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82F43C">
      <w:pPr>
        <w:autoSpaceDE w:val="0"/>
        <w:autoSpaceDN w:val="0"/>
        <w:adjustRightInd w:val="0"/>
        <w:spacing w:line="276" w:lineRule="auto"/>
        <w:ind w:left="357" w:leftChars="170" w:right="-23" w:rightChars="-11"/>
        <w:jc w:val="center"/>
        <w:rPr>
          <w:rFonts w:hint="eastAsia" w:ascii="宋体" w:hAnsi="宋体" w:eastAsia="宋体" w:cs="宋体"/>
          <w:b/>
          <w:bCs/>
          <w:color w:val="auto"/>
          <w:kern w:val="0"/>
          <w:sz w:val="52"/>
          <w:szCs w:val="52"/>
          <w:highlight w:val="none"/>
          <w:lang w:val="zh-CN"/>
        </w:rPr>
      </w:pPr>
    </w:p>
    <w:p w14:paraId="495A95D9">
      <w:pPr>
        <w:autoSpaceDE w:val="0"/>
        <w:autoSpaceDN w:val="0"/>
        <w:adjustRightInd w:val="0"/>
        <w:spacing w:line="276" w:lineRule="auto"/>
        <w:ind w:left="357" w:leftChars="170" w:right="-23" w:rightChars="-11"/>
        <w:jc w:val="center"/>
        <w:rPr>
          <w:rFonts w:hint="eastAsia" w:ascii="宋体" w:hAnsi="宋体" w:eastAsia="宋体" w:cs="宋体"/>
          <w:b/>
          <w:bCs/>
          <w:color w:val="auto"/>
          <w:kern w:val="0"/>
          <w:sz w:val="52"/>
          <w:szCs w:val="52"/>
          <w:highlight w:val="none"/>
          <w:lang w:val="zh-CN"/>
        </w:rPr>
      </w:pPr>
    </w:p>
    <w:p w14:paraId="742411B5">
      <w:pPr>
        <w:autoSpaceDE w:val="0"/>
        <w:autoSpaceDN w:val="0"/>
        <w:adjustRightInd w:val="0"/>
        <w:spacing w:line="276" w:lineRule="auto"/>
        <w:ind w:left="357" w:leftChars="170" w:right="-23" w:rightChars="-11"/>
        <w:jc w:val="center"/>
        <w:rPr>
          <w:rFonts w:hint="eastAsia" w:ascii="宋体" w:hAnsi="宋体" w:eastAsia="宋体" w:cs="宋体"/>
          <w:b/>
          <w:bCs/>
          <w:color w:val="auto"/>
          <w:kern w:val="0"/>
          <w:sz w:val="44"/>
          <w:szCs w:val="44"/>
          <w:highlight w:val="none"/>
          <w:lang w:val="zh-CN"/>
        </w:rPr>
      </w:pPr>
      <w:r>
        <w:rPr>
          <w:rFonts w:hint="eastAsia" w:ascii="宋体" w:hAnsi="宋体" w:eastAsia="宋体" w:cs="宋体"/>
          <w:b/>
          <w:bCs/>
          <w:color w:val="auto"/>
          <w:kern w:val="0"/>
          <w:sz w:val="44"/>
          <w:szCs w:val="44"/>
          <w:highlight w:val="none"/>
          <w:lang w:val="zh-CN"/>
        </w:rPr>
        <w:t>2025年前端设备运维服务项目</w:t>
      </w:r>
    </w:p>
    <w:p w14:paraId="077D5A59">
      <w:pPr>
        <w:autoSpaceDE w:val="0"/>
        <w:autoSpaceDN w:val="0"/>
        <w:adjustRightInd w:val="0"/>
        <w:spacing w:line="360" w:lineRule="auto"/>
        <w:ind w:right="-23" w:rightChars="-11"/>
        <w:jc w:val="left"/>
        <w:rPr>
          <w:rFonts w:hint="eastAsia" w:ascii="宋体" w:hAnsi="宋体" w:eastAsia="宋体" w:cs="宋体"/>
          <w:b/>
          <w:bCs/>
          <w:color w:val="auto"/>
          <w:sz w:val="44"/>
          <w:szCs w:val="44"/>
          <w:highlight w:val="none"/>
          <w:lang w:val="zh-CN"/>
        </w:rPr>
      </w:pPr>
    </w:p>
    <w:p w14:paraId="2483A41B">
      <w:pPr>
        <w:pStyle w:val="17"/>
        <w:rPr>
          <w:rFonts w:hint="eastAsia" w:ascii="宋体" w:hAnsi="宋体" w:eastAsia="宋体" w:cs="宋体"/>
          <w:color w:val="auto"/>
          <w:highlight w:val="none"/>
        </w:rPr>
      </w:pPr>
    </w:p>
    <w:p w14:paraId="7A9EDD90">
      <w:pPr>
        <w:pStyle w:val="17"/>
        <w:rPr>
          <w:rFonts w:hint="eastAsia" w:ascii="宋体" w:hAnsi="宋体" w:eastAsia="宋体" w:cs="宋体"/>
          <w:color w:val="auto"/>
          <w:highlight w:val="none"/>
        </w:rPr>
      </w:pPr>
    </w:p>
    <w:p w14:paraId="789B3DCF">
      <w:pPr>
        <w:rPr>
          <w:rFonts w:hint="eastAsia" w:ascii="宋体" w:hAnsi="宋体" w:eastAsia="宋体" w:cs="宋体"/>
          <w:color w:val="auto"/>
          <w:highlight w:val="none"/>
        </w:rPr>
      </w:pPr>
    </w:p>
    <w:p w14:paraId="162B1840">
      <w:pPr>
        <w:autoSpaceDE w:val="0"/>
        <w:autoSpaceDN w:val="0"/>
        <w:adjustRightInd w:val="0"/>
        <w:spacing w:line="360" w:lineRule="auto"/>
        <w:ind w:right="-23" w:rightChars="-11"/>
        <w:jc w:val="center"/>
        <w:rPr>
          <w:rFonts w:hint="eastAsia" w:ascii="宋体" w:hAnsi="宋体" w:eastAsia="宋体" w:cs="宋体"/>
          <w:b/>
          <w:bCs/>
          <w:color w:val="auto"/>
          <w:sz w:val="72"/>
          <w:szCs w:val="72"/>
          <w:highlight w:val="none"/>
          <w:lang w:val="zh-CN"/>
        </w:rPr>
      </w:pPr>
      <w:r>
        <w:rPr>
          <w:rFonts w:hint="eastAsia" w:ascii="宋体" w:hAnsi="宋体" w:eastAsia="宋体" w:cs="宋体"/>
          <w:b/>
          <w:bCs/>
          <w:color w:val="auto"/>
          <w:sz w:val="72"/>
          <w:szCs w:val="72"/>
          <w:highlight w:val="none"/>
          <w:lang w:val="zh-CN"/>
        </w:rPr>
        <w:t>招</w:t>
      </w:r>
      <w:r>
        <w:rPr>
          <w:rFonts w:hint="eastAsia" w:ascii="宋体" w:hAnsi="宋体" w:eastAsia="宋体" w:cs="宋体"/>
          <w:b/>
          <w:bCs/>
          <w:color w:val="auto"/>
          <w:sz w:val="72"/>
          <w:szCs w:val="72"/>
          <w:highlight w:val="none"/>
        </w:rPr>
        <w:t xml:space="preserve"> </w:t>
      </w:r>
      <w:r>
        <w:rPr>
          <w:rFonts w:hint="eastAsia" w:ascii="宋体" w:hAnsi="宋体" w:eastAsia="宋体" w:cs="宋体"/>
          <w:b/>
          <w:bCs/>
          <w:color w:val="auto"/>
          <w:sz w:val="72"/>
          <w:szCs w:val="72"/>
          <w:highlight w:val="none"/>
          <w:lang w:val="zh-CN"/>
        </w:rPr>
        <w:t>标</w:t>
      </w:r>
      <w:r>
        <w:rPr>
          <w:rFonts w:hint="eastAsia" w:ascii="宋体" w:hAnsi="宋体" w:eastAsia="宋体" w:cs="宋体"/>
          <w:b/>
          <w:bCs/>
          <w:color w:val="auto"/>
          <w:sz w:val="72"/>
          <w:szCs w:val="72"/>
          <w:highlight w:val="none"/>
        </w:rPr>
        <w:t xml:space="preserve"> </w:t>
      </w:r>
      <w:r>
        <w:rPr>
          <w:rFonts w:hint="eastAsia" w:ascii="宋体" w:hAnsi="宋体" w:eastAsia="宋体" w:cs="宋体"/>
          <w:b/>
          <w:bCs/>
          <w:color w:val="auto"/>
          <w:sz w:val="72"/>
          <w:szCs w:val="72"/>
          <w:highlight w:val="none"/>
          <w:lang w:val="zh-CN"/>
        </w:rPr>
        <w:t>文</w:t>
      </w:r>
      <w:r>
        <w:rPr>
          <w:rFonts w:hint="eastAsia" w:ascii="宋体" w:hAnsi="宋体" w:eastAsia="宋体" w:cs="宋体"/>
          <w:b/>
          <w:bCs/>
          <w:color w:val="auto"/>
          <w:sz w:val="72"/>
          <w:szCs w:val="72"/>
          <w:highlight w:val="none"/>
        </w:rPr>
        <w:t xml:space="preserve"> </w:t>
      </w:r>
      <w:r>
        <w:rPr>
          <w:rFonts w:hint="eastAsia" w:ascii="宋体" w:hAnsi="宋体" w:eastAsia="宋体" w:cs="宋体"/>
          <w:b/>
          <w:bCs/>
          <w:color w:val="auto"/>
          <w:sz w:val="72"/>
          <w:szCs w:val="72"/>
          <w:highlight w:val="none"/>
          <w:lang w:val="zh-CN"/>
        </w:rPr>
        <w:t>件</w:t>
      </w:r>
    </w:p>
    <w:p w14:paraId="1F5AC03F">
      <w:pPr>
        <w:autoSpaceDE w:val="0"/>
        <w:autoSpaceDN w:val="0"/>
        <w:adjustRightInd w:val="0"/>
        <w:spacing w:line="360" w:lineRule="auto"/>
        <w:ind w:right="-23" w:rightChars="-11"/>
        <w:jc w:val="left"/>
        <w:rPr>
          <w:rFonts w:hint="eastAsia" w:ascii="宋体" w:hAnsi="宋体" w:eastAsia="宋体" w:cs="宋体"/>
          <w:b/>
          <w:bCs/>
          <w:color w:val="auto"/>
          <w:sz w:val="32"/>
          <w:szCs w:val="32"/>
          <w:highlight w:val="none"/>
          <w:u w:val="single"/>
          <w:lang w:val="zh-CN"/>
        </w:rPr>
      </w:pPr>
    </w:p>
    <w:p w14:paraId="63FB9919">
      <w:pPr>
        <w:autoSpaceDE w:val="0"/>
        <w:autoSpaceDN w:val="0"/>
        <w:adjustRightInd w:val="0"/>
        <w:spacing w:line="360" w:lineRule="auto"/>
        <w:ind w:right="-23" w:rightChars="-11"/>
        <w:jc w:val="left"/>
        <w:rPr>
          <w:rFonts w:hint="eastAsia" w:ascii="宋体" w:hAnsi="宋体" w:eastAsia="宋体" w:cs="宋体"/>
          <w:b/>
          <w:bCs/>
          <w:color w:val="auto"/>
          <w:sz w:val="32"/>
          <w:szCs w:val="32"/>
          <w:highlight w:val="none"/>
          <w:u w:val="single"/>
          <w:lang w:val="zh-CN"/>
        </w:rPr>
      </w:pPr>
    </w:p>
    <w:p w14:paraId="5D9FAC65">
      <w:pPr>
        <w:tabs>
          <w:tab w:val="left" w:pos="9240"/>
        </w:tabs>
        <w:autoSpaceDE w:val="0"/>
        <w:autoSpaceDN w:val="0"/>
        <w:adjustRightInd w:val="0"/>
        <w:spacing w:line="360" w:lineRule="auto"/>
        <w:ind w:right="-23" w:rightChars="-11"/>
        <w:jc w:val="left"/>
        <w:rPr>
          <w:rFonts w:hint="eastAsia" w:ascii="宋体" w:hAnsi="宋体" w:eastAsia="宋体" w:cs="宋体"/>
          <w:b/>
          <w:bCs/>
          <w:color w:val="auto"/>
          <w:sz w:val="32"/>
          <w:szCs w:val="32"/>
          <w:highlight w:val="none"/>
          <w:lang w:val="zh-CN"/>
        </w:rPr>
      </w:pPr>
    </w:p>
    <w:p w14:paraId="25A23B4A">
      <w:pPr>
        <w:autoSpaceDE w:val="0"/>
        <w:autoSpaceDN w:val="0"/>
        <w:adjustRightInd w:val="0"/>
        <w:spacing w:line="360" w:lineRule="auto"/>
        <w:jc w:val="center"/>
        <w:outlineLvl w:val="9"/>
        <w:rPr>
          <w:rFonts w:hint="eastAsia" w:ascii="宋体" w:hAnsi="宋体" w:eastAsia="宋体" w:cs="宋体"/>
          <w:b/>
          <w:bCs/>
          <w:color w:val="auto"/>
          <w:sz w:val="32"/>
          <w:szCs w:val="32"/>
          <w:highlight w:val="none"/>
          <w:lang w:val="zh-CN"/>
        </w:rPr>
      </w:pPr>
      <w:r>
        <w:rPr>
          <w:rFonts w:hint="eastAsia" w:ascii="宋体" w:hAnsi="宋体" w:eastAsia="宋体" w:cs="宋体"/>
          <w:b/>
          <w:bCs/>
          <w:color w:val="auto"/>
          <w:sz w:val="32"/>
          <w:szCs w:val="32"/>
          <w:highlight w:val="none"/>
          <w:lang w:val="zh-CN"/>
        </w:rPr>
        <w:t>招</w:t>
      </w:r>
      <w:r>
        <w:rPr>
          <w:rFonts w:hint="eastAsia" w:ascii="宋体" w:hAnsi="宋体" w:eastAsia="宋体" w:cs="宋体"/>
          <w:b/>
          <w:bCs/>
          <w:color w:val="auto"/>
          <w:sz w:val="32"/>
          <w:szCs w:val="32"/>
          <w:highlight w:val="none"/>
        </w:rPr>
        <w:t xml:space="preserve"> </w:t>
      </w:r>
      <w:r>
        <w:rPr>
          <w:rFonts w:hint="eastAsia" w:ascii="宋体" w:hAnsi="宋体" w:eastAsia="宋体" w:cs="宋体"/>
          <w:b/>
          <w:bCs/>
          <w:color w:val="auto"/>
          <w:sz w:val="32"/>
          <w:szCs w:val="32"/>
          <w:highlight w:val="none"/>
          <w:lang w:val="zh-CN"/>
        </w:rPr>
        <w:t>标</w:t>
      </w:r>
      <w:r>
        <w:rPr>
          <w:rFonts w:hint="eastAsia" w:ascii="宋体" w:hAnsi="宋体" w:eastAsia="宋体" w:cs="宋体"/>
          <w:b/>
          <w:bCs/>
          <w:color w:val="auto"/>
          <w:sz w:val="32"/>
          <w:szCs w:val="32"/>
          <w:highlight w:val="none"/>
        </w:rPr>
        <w:t xml:space="preserve"> </w:t>
      </w:r>
      <w:r>
        <w:rPr>
          <w:rFonts w:hint="eastAsia" w:ascii="宋体" w:hAnsi="宋体" w:eastAsia="宋体" w:cs="宋体"/>
          <w:b/>
          <w:bCs/>
          <w:color w:val="auto"/>
          <w:sz w:val="32"/>
          <w:szCs w:val="32"/>
          <w:highlight w:val="none"/>
          <w:lang w:val="zh-CN"/>
        </w:rPr>
        <w:t>编</w:t>
      </w:r>
      <w:r>
        <w:rPr>
          <w:rFonts w:hint="eastAsia" w:ascii="宋体" w:hAnsi="宋体" w:eastAsia="宋体" w:cs="宋体"/>
          <w:b/>
          <w:bCs/>
          <w:color w:val="auto"/>
          <w:sz w:val="32"/>
          <w:szCs w:val="32"/>
          <w:highlight w:val="none"/>
        </w:rPr>
        <w:t xml:space="preserve"> </w:t>
      </w:r>
      <w:r>
        <w:rPr>
          <w:rFonts w:hint="eastAsia" w:ascii="宋体" w:hAnsi="宋体" w:eastAsia="宋体" w:cs="宋体"/>
          <w:b/>
          <w:bCs/>
          <w:color w:val="auto"/>
          <w:sz w:val="32"/>
          <w:szCs w:val="32"/>
          <w:highlight w:val="none"/>
          <w:lang w:val="zh-CN"/>
        </w:rPr>
        <w:t>号：YDZB25DGQY0185</w:t>
      </w:r>
    </w:p>
    <w:p w14:paraId="548836B9">
      <w:pPr>
        <w:tabs>
          <w:tab w:val="left" w:pos="2694"/>
        </w:tabs>
        <w:autoSpaceDE w:val="0"/>
        <w:autoSpaceDN w:val="0"/>
        <w:adjustRightInd w:val="0"/>
        <w:spacing w:line="360" w:lineRule="auto"/>
        <w:jc w:val="center"/>
        <w:outlineLvl w:val="9"/>
        <w:rPr>
          <w:rFonts w:hint="eastAsia" w:ascii="宋体" w:hAnsi="宋体" w:eastAsia="宋体" w:cs="宋体"/>
          <w:b/>
          <w:bCs/>
          <w:color w:val="auto"/>
          <w:sz w:val="32"/>
          <w:szCs w:val="32"/>
          <w:highlight w:val="none"/>
          <w:lang w:val="zh-CN"/>
        </w:rPr>
      </w:pPr>
      <w:r>
        <w:rPr>
          <w:rFonts w:hint="eastAsia" w:ascii="宋体" w:hAnsi="宋体" w:eastAsia="宋体" w:cs="宋体"/>
          <w:b/>
          <w:bCs/>
          <w:color w:val="auto"/>
          <w:sz w:val="32"/>
          <w:szCs w:val="32"/>
          <w:highlight w:val="none"/>
          <w:lang w:val="zh-CN"/>
        </w:rPr>
        <w:t>招</w:t>
      </w:r>
      <w:r>
        <w:rPr>
          <w:rFonts w:hint="eastAsia" w:ascii="宋体" w:hAnsi="宋体" w:eastAsia="宋体" w:cs="宋体"/>
          <w:b/>
          <w:bCs/>
          <w:color w:val="auto"/>
          <w:sz w:val="32"/>
          <w:szCs w:val="32"/>
          <w:highlight w:val="none"/>
        </w:rPr>
        <w:t xml:space="preserve"> </w:t>
      </w:r>
      <w:r>
        <w:rPr>
          <w:rFonts w:hint="eastAsia" w:ascii="宋体" w:hAnsi="宋体" w:eastAsia="宋体" w:cs="宋体"/>
          <w:b/>
          <w:bCs/>
          <w:color w:val="auto"/>
          <w:sz w:val="32"/>
          <w:szCs w:val="32"/>
          <w:highlight w:val="none"/>
          <w:lang w:val="zh-CN"/>
        </w:rPr>
        <w:t>标</w:t>
      </w:r>
      <w:r>
        <w:rPr>
          <w:rFonts w:hint="eastAsia" w:ascii="宋体" w:hAnsi="宋体" w:eastAsia="宋体" w:cs="宋体"/>
          <w:b/>
          <w:bCs/>
          <w:color w:val="auto"/>
          <w:sz w:val="32"/>
          <w:szCs w:val="32"/>
          <w:highlight w:val="none"/>
        </w:rPr>
        <w:t xml:space="preserve"> </w:t>
      </w:r>
      <w:r>
        <w:rPr>
          <w:rFonts w:hint="eastAsia" w:ascii="宋体" w:hAnsi="宋体" w:eastAsia="宋体" w:cs="宋体"/>
          <w:b/>
          <w:bCs/>
          <w:color w:val="auto"/>
          <w:sz w:val="32"/>
          <w:szCs w:val="32"/>
          <w:highlight w:val="none"/>
          <w:lang w:val="zh-CN"/>
        </w:rPr>
        <w:t>人：东莞数字城市科技有限公司</w:t>
      </w:r>
    </w:p>
    <w:p w14:paraId="3D9DD2E8">
      <w:pPr>
        <w:autoSpaceDE w:val="0"/>
        <w:autoSpaceDN w:val="0"/>
        <w:adjustRightInd w:val="0"/>
        <w:spacing w:line="360" w:lineRule="auto"/>
        <w:jc w:val="center"/>
        <w:outlineLvl w:val="9"/>
        <w:rPr>
          <w:rFonts w:hint="eastAsia" w:ascii="宋体" w:hAnsi="宋体" w:eastAsia="宋体" w:cs="宋体"/>
          <w:b/>
          <w:bCs/>
          <w:color w:val="auto"/>
          <w:sz w:val="32"/>
          <w:szCs w:val="32"/>
          <w:highlight w:val="none"/>
          <w:lang w:val="zh-CN" w:eastAsia="zh-CN"/>
        </w:rPr>
      </w:pPr>
      <w:r>
        <w:rPr>
          <w:rFonts w:hint="eastAsia" w:ascii="宋体" w:hAnsi="宋体" w:eastAsia="宋体" w:cs="宋体"/>
          <w:b/>
          <w:bCs/>
          <w:color w:val="auto"/>
          <w:sz w:val="32"/>
          <w:szCs w:val="32"/>
          <w:highlight w:val="none"/>
          <w:lang w:val="zh-CN"/>
        </w:rPr>
        <w:t>招标代理机构：广东有德招标采购有限公司</w:t>
      </w:r>
      <w:bookmarkStart w:id="0" w:name="auto_fouce_1"/>
    </w:p>
    <w:bookmarkEnd w:id="0"/>
    <w:p w14:paraId="2D7798C0">
      <w:pPr>
        <w:rPr>
          <w:rFonts w:hint="eastAsia" w:ascii="宋体" w:hAnsi="宋体" w:eastAsia="宋体" w:cs="宋体"/>
          <w:color w:val="auto"/>
          <w:highlight w:val="none"/>
          <w:lang w:val="zh-CN" w:eastAsia="zh-CN"/>
        </w:rPr>
      </w:pPr>
    </w:p>
    <w:p w14:paraId="1D67B9E9">
      <w:pPr>
        <w:autoSpaceDE w:val="0"/>
        <w:autoSpaceDN w:val="0"/>
        <w:adjustRightInd w:val="0"/>
        <w:spacing w:line="360" w:lineRule="auto"/>
        <w:ind w:right="-23" w:rightChars="-11"/>
        <w:jc w:val="left"/>
        <w:rPr>
          <w:rFonts w:hint="eastAsia" w:ascii="宋体" w:hAnsi="宋体" w:eastAsia="宋体" w:cs="宋体"/>
          <w:b/>
          <w:bCs/>
          <w:color w:val="auto"/>
          <w:kern w:val="0"/>
          <w:sz w:val="32"/>
          <w:szCs w:val="32"/>
          <w:highlight w:val="none"/>
          <w:lang w:val="zh-CN"/>
        </w:rPr>
      </w:pPr>
    </w:p>
    <w:p w14:paraId="658A029E">
      <w:pPr>
        <w:autoSpaceDE w:val="0"/>
        <w:autoSpaceDN w:val="0"/>
        <w:adjustRightInd w:val="0"/>
        <w:spacing w:line="360" w:lineRule="auto"/>
        <w:ind w:right="-23" w:rightChars="-11"/>
        <w:jc w:val="center"/>
        <w:rPr>
          <w:rFonts w:hint="eastAsia" w:ascii="宋体" w:hAnsi="宋体" w:eastAsia="宋体" w:cs="宋体"/>
          <w:b/>
          <w:bCs/>
          <w:color w:val="auto"/>
          <w:kern w:val="0"/>
          <w:sz w:val="84"/>
          <w:szCs w:val="84"/>
          <w:highlight w:val="none"/>
          <w:lang w:val="zh-CN"/>
        </w:rPr>
      </w:pPr>
    </w:p>
    <w:p w14:paraId="109513CA">
      <w:pPr>
        <w:autoSpaceDE w:val="0"/>
        <w:autoSpaceDN w:val="0"/>
        <w:adjustRightInd w:val="0"/>
        <w:spacing w:line="360" w:lineRule="auto"/>
        <w:ind w:right="-23" w:rightChars="-11"/>
        <w:jc w:val="center"/>
        <w:rPr>
          <w:rFonts w:hint="eastAsia" w:ascii="宋体" w:hAnsi="宋体" w:eastAsia="宋体" w:cs="宋体"/>
          <w:b/>
          <w:bCs/>
          <w:color w:val="auto"/>
          <w:sz w:val="32"/>
          <w:szCs w:val="32"/>
          <w:highlight w:val="none"/>
          <w:lang w:val="zh-CN"/>
        </w:rPr>
      </w:pPr>
      <w:r>
        <w:rPr>
          <w:rFonts w:hint="eastAsia" w:ascii="宋体" w:hAnsi="宋体" w:eastAsia="宋体" w:cs="宋体"/>
          <w:b/>
          <w:bCs/>
          <w:color w:val="auto"/>
          <w:sz w:val="32"/>
          <w:szCs w:val="32"/>
          <w:highlight w:val="none"/>
          <w:lang w:val="en-US" w:eastAsia="zh-CN"/>
        </w:rPr>
        <w:t>2025</w:t>
      </w:r>
      <w:r>
        <w:rPr>
          <w:rFonts w:hint="eastAsia" w:ascii="宋体" w:hAnsi="宋体" w:eastAsia="宋体" w:cs="宋体"/>
          <w:b/>
          <w:bCs/>
          <w:color w:val="auto"/>
          <w:sz w:val="32"/>
          <w:szCs w:val="32"/>
          <w:highlight w:val="none"/>
          <w:lang w:val="zh-CN"/>
        </w:rPr>
        <w:t>年</w:t>
      </w:r>
      <w:r>
        <w:rPr>
          <w:rFonts w:hint="eastAsia" w:ascii="宋体" w:hAnsi="宋体" w:eastAsia="宋体" w:cs="宋体"/>
          <w:b/>
          <w:bCs/>
          <w:color w:val="auto"/>
          <w:sz w:val="32"/>
          <w:szCs w:val="32"/>
          <w:highlight w:val="none"/>
          <w:lang w:val="en-US" w:eastAsia="zh-CN"/>
        </w:rPr>
        <w:t>12</w:t>
      </w:r>
      <w:r>
        <w:rPr>
          <w:rFonts w:hint="eastAsia" w:ascii="宋体" w:hAnsi="宋体" w:eastAsia="宋体" w:cs="宋体"/>
          <w:b/>
          <w:bCs/>
          <w:color w:val="auto"/>
          <w:sz w:val="32"/>
          <w:szCs w:val="32"/>
          <w:highlight w:val="none"/>
          <w:lang w:val="zh-CN"/>
        </w:rPr>
        <w:t>月</w:t>
      </w:r>
      <w:r>
        <w:rPr>
          <w:rFonts w:hint="eastAsia" w:ascii="宋体" w:hAnsi="宋体" w:eastAsia="宋体" w:cs="宋体"/>
          <w:b/>
          <w:bCs/>
          <w:color w:val="auto"/>
          <w:sz w:val="32"/>
          <w:szCs w:val="32"/>
          <w:highlight w:val="none"/>
          <w:lang w:val="en-US" w:eastAsia="zh-CN"/>
        </w:rPr>
        <w:t>19</w:t>
      </w:r>
      <w:r>
        <w:rPr>
          <w:rFonts w:hint="eastAsia" w:ascii="宋体" w:hAnsi="宋体" w:eastAsia="宋体" w:cs="宋体"/>
          <w:b/>
          <w:bCs/>
          <w:color w:val="auto"/>
          <w:sz w:val="32"/>
          <w:szCs w:val="32"/>
          <w:highlight w:val="none"/>
          <w:lang w:val="zh-CN"/>
        </w:rPr>
        <w:t>日</w:t>
      </w:r>
    </w:p>
    <w:p w14:paraId="3C528C43">
      <w:pPr>
        <w:rPr>
          <w:rFonts w:hint="eastAsia" w:ascii="宋体" w:hAnsi="宋体" w:eastAsia="宋体" w:cs="宋体"/>
          <w:b/>
          <w:bCs/>
          <w:color w:val="auto"/>
          <w:sz w:val="32"/>
          <w:szCs w:val="32"/>
          <w:highlight w:val="none"/>
          <w:lang w:val="zh-CN"/>
        </w:rPr>
      </w:pPr>
      <w:r>
        <w:rPr>
          <w:rFonts w:hint="eastAsia" w:ascii="宋体" w:hAnsi="宋体" w:eastAsia="宋体" w:cs="宋体"/>
          <w:b/>
          <w:bCs/>
          <w:color w:val="auto"/>
          <w:sz w:val="32"/>
          <w:szCs w:val="32"/>
          <w:highlight w:val="none"/>
          <w:lang w:val="zh-CN"/>
        </w:rPr>
        <w:br w:type="page"/>
      </w:r>
    </w:p>
    <w:sdt>
      <w:sdtPr>
        <w:rPr>
          <w:rFonts w:hint="eastAsia" w:ascii="宋体" w:hAnsi="宋体" w:eastAsia="宋体" w:cs="宋体"/>
          <w:b/>
          <w:color w:val="auto"/>
          <w:kern w:val="0"/>
          <w:sz w:val="32"/>
          <w:szCs w:val="32"/>
          <w:highlight w:val="none"/>
          <w:lang w:val="en-US" w:eastAsia="zh-CN"/>
        </w:rPr>
        <w:id w:val="147457320"/>
        <w15:color w:val="DBDBDB"/>
        <w:docPartObj>
          <w:docPartGallery w:val="Table of Contents"/>
          <w:docPartUnique/>
        </w:docPartObj>
      </w:sdtPr>
      <w:sdtEndPr>
        <w:rPr>
          <w:rFonts w:hint="eastAsia" w:ascii="宋体" w:hAnsi="宋体" w:eastAsia="宋体" w:cs="宋体"/>
          <w:b/>
          <w:color w:val="auto"/>
          <w:kern w:val="0"/>
          <w:sz w:val="32"/>
          <w:szCs w:val="32"/>
          <w:highlight w:val="none"/>
          <w:lang w:val="en-US" w:eastAsia="zh-CN"/>
        </w:rPr>
      </w:sdtEndPr>
      <w:sdtContent>
        <w:p w14:paraId="3FF90C8A">
          <w:pPr>
            <w:tabs>
              <w:tab w:val="left" w:pos="9923"/>
              <w:tab w:val="left" w:pos="10206"/>
            </w:tabs>
            <w:autoSpaceDE w:val="0"/>
            <w:autoSpaceDN w:val="0"/>
            <w:adjustRightInd w:val="0"/>
            <w:spacing w:line="360" w:lineRule="auto"/>
            <w:jc w:val="cente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t>目</w:t>
          </w:r>
          <w:r>
            <w:rPr>
              <w:rFonts w:hint="eastAsia" w:ascii="宋体" w:hAnsi="宋体" w:eastAsia="宋体" w:cs="宋体"/>
              <w:b/>
              <w:color w:val="auto"/>
              <w:kern w:val="0"/>
              <w:sz w:val="32"/>
              <w:szCs w:val="32"/>
              <w:highlight w:val="none"/>
              <w:lang w:val="en-US" w:eastAsia="zh-CN"/>
            </w:rPr>
            <w:t xml:space="preserve"> </w:t>
          </w:r>
          <w:r>
            <w:rPr>
              <w:rFonts w:hint="eastAsia" w:ascii="宋体" w:hAnsi="宋体" w:eastAsia="宋体" w:cs="宋体"/>
              <w:b/>
              <w:color w:val="auto"/>
              <w:kern w:val="0"/>
              <w:sz w:val="32"/>
              <w:szCs w:val="32"/>
              <w:highlight w:val="none"/>
            </w:rPr>
            <w:t>录</w:t>
          </w:r>
        </w:p>
        <w:p w14:paraId="0B7AFB83">
          <w:pPr>
            <w:pStyle w:val="31"/>
            <w:keepNext w:val="0"/>
            <w:keepLines w:val="0"/>
            <w:pageBreakBefore w:val="0"/>
            <w:tabs>
              <w:tab w:val="right" w:leader="dot" w:pos="10154"/>
              <w:tab w:val="clear" w:pos="10144"/>
            </w:tabs>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TOC \o "1-3" \h \u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"_Toc8724" </w:instrText>
          </w:r>
          <w:r>
            <w:rPr>
              <w:rFonts w:hint="eastAsia" w:ascii="宋体" w:hAnsi="宋体" w:eastAsia="宋体" w:cs="宋体"/>
              <w:color w:val="auto"/>
              <w:highlight w:val="none"/>
            </w:rPr>
            <w:fldChar w:fldCharType="separate"/>
          </w:r>
          <w:r>
            <w:rPr>
              <w:rFonts w:hint="eastAsia" w:ascii="宋体" w:hAnsi="宋体" w:eastAsia="宋体" w:cs="宋体"/>
              <w:bCs/>
              <w:color w:val="auto"/>
              <w:kern w:val="44"/>
              <w:szCs w:val="32"/>
              <w:highlight w:val="none"/>
              <w:lang w:val="zh-CN"/>
            </w:rPr>
            <w:t>第一篇 招标公告</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_Toc8724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3</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14:paraId="0BC91F71">
          <w:pPr>
            <w:pStyle w:val="34"/>
            <w:keepNext w:val="0"/>
            <w:keepLines w:val="0"/>
            <w:pageBreakBefore w:val="0"/>
            <w:tabs>
              <w:tab w:val="right" w:leader="dot" w:pos="10154"/>
            </w:tabs>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"_Toc29912" </w:instrText>
          </w:r>
          <w:r>
            <w:rPr>
              <w:rFonts w:hint="eastAsia" w:ascii="宋体" w:hAnsi="宋体" w:eastAsia="宋体" w:cs="宋体"/>
              <w:color w:val="auto"/>
              <w:highlight w:val="none"/>
            </w:rPr>
            <w:fldChar w:fldCharType="separate"/>
          </w:r>
          <w:r>
            <w:rPr>
              <w:rFonts w:hint="eastAsia" w:ascii="宋体" w:hAnsi="宋体" w:eastAsia="宋体" w:cs="宋体"/>
              <w:bCs/>
              <w:color w:val="auto"/>
              <w:kern w:val="44"/>
              <w:szCs w:val="32"/>
              <w:highlight w:val="none"/>
              <w:lang w:val="zh-CN"/>
            </w:rPr>
            <w:t>第二篇</w:t>
          </w:r>
          <w:r>
            <w:rPr>
              <w:rFonts w:hint="eastAsia" w:ascii="宋体" w:hAnsi="宋体" w:eastAsia="宋体" w:cs="宋体"/>
              <w:bCs/>
              <w:color w:val="auto"/>
              <w:kern w:val="44"/>
              <w:szCs w:val="32"/>
              <w:highlight w:val="none"/>
            </w:rPr>
            <w:t xml:space="preserve"> </w:t>
          </w:r>
          <w:r>
            <w:rPr>
              <w:rFonts w:hint="eastAsia" w:ascii="宋体" w:hAnsi="宋体" w:eastAsia="宋体" w:cs="宋体"/>
              <w:bCs/>
              <w:color w:val="auto"/>
              <w:kern w:val="44"/>
              <w:szCs w:val="32"/>
              <w:highlight w:val="none"/>
              <w:lang w:val="zh-CN"/>
            </w:rPr>
            <w:t>投标人须知</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_Toc29912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14:paraId="4DEC113D">
          <w:pPr>
            <w:pStyle w:val="31"/>
            <w:keepNext w:val="0"/>
            <w:keepLines w:val="0"/>
            <w:pageBreakBefore w:val="0"/>
            <w:tabs>
              <w:tab w:val="right" w:leader="dot" w:pos="10154"/>
              <w:tab w:val="clear" w:pos="10144"/>
            </w:tabs>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"_Toc7745" </w:instrText>
          </w:r>
          <w:r>
            <w:rPr>
              <w:rFonts w:hint="eastAsia" w:ascii="宋体" w:hAnsi="宋体" w:eastAsia="宋体" w:cs="宋体"/>
              <w:color w:val="auto"/>
              <w:highlight w:val="none"/>
            </w:rPr>
            <w:fldChar w:fldCharType="separate"/>
          </w:r>
          <w:r>
            <w:rPr>
              <w:rFonts w:hint="eastAsia" w:ascii="宋体" w:hAnsi="宋体" w:eastAsia="宋体" w:cs="宋体"/>
              <w:bCs/>
              <w:color w:val="auto"/>
              <w:kern w:val="44"/>
              <w:szCs w:val="21"/>
              <w:highlight w:val="none"/>
              <w:lang w:val="zh-CN"/>
            </w:rPr>
            <w:t>一、总则</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_Toc7745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14:paraId="5469AAAE">
          <w:pPr>
            <w:pStyle w:val="31"/>
            <w:keepNext w:val="0"/>
            <w:keepLines w:val="0"/>
            <w:pageBreakBefore w:val="0"/>
            <w:tabs>
              <w:tab w:val="right" w:leader="dot" w:pos="10154"/>
              <w:tab w:val="clear" w:pos="10144"/>
            </w:tabs>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"_Toc27414" </w:instrText>
          </w:r>
          <w:r>
            <w:rPr>
              <w:rFonts w:hint="eastAsia" w:ascii="宋体" w:hAnsi="宋体" w:eastAsia="宋体" w:cs="宋体"/>
              <w:color w:val="auto"/>
              <w:highlight w:val="none"/>
            </w:rPr>
            <w:fldChar w:fldCharType="separate"/>
          </w:r>
          <w:r>
            <w:rPr>
              <w:rFonts w:hint="eastAsia" w:ascii="宋体" w:hAnsi="宋体" w:eastAsia="宋体" w:cs="宋体"/>
              <w:bCs/>
              <w:color w:val="auto"/>
              <w:kern w:val="44"/>
              <w:szCs w:val="21"/>
              <w:highlight w:val="none"/>
              <w:lang w:val="zh-CN"/>
            </w:rPr>
            <w:t>二、招标文件</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_Toc27414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6</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14:paraId="58143577">
          <w:pPr>
            <w:pStyle w:val="31"/>
            <w:keepNext w:val="0"/>
            <w:keepLines w:val="0"/>
            <w:pageBreakBefore w:val="0"/>
            <w:tabs>
              <w:tab w:val="right" w:leader="dot" w:pos="10154"/>
              <w:tab w:val="clear" w:pos="10144"/>
            </w:tabs>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"_Toc24282" </w:instrText>
          </w:r>
          <w:r>
            <w:rPr>
              <w:rFonts w:hint="eastAsia" w:ascii="宋体" w:hAnsi="宋体" w:eastAsia="宋体" w:cs="宋体"/>
              <w:color w:val="auto"/>
              <w:highlight w:val="none"/>
            </w:rPr>
            <w:fldChar w:fldCharType="separate"/>
          </w:r>
          <w:r>
            <w:rPr>
              <w:rFonts w:hint="eastAsia" w:ascii="宋体" w:hAnsi="宋体" w:eastAsia="宋体" w:cs="宋体"/>
              <w:bCs/>
              <w:color w:val="auto"/>
              <w:kern w:val="44"/>
              <w:szCs w:val="21"/>
              <w:highlight w:val="none"/>
              <w:lang w:val="zh-CN"/>
            </w:rPr>
            <w:t>三、投标文件的编制</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_Toc24282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8</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14:paraId="6D7F117B">
          <w:pPr>
            <w:pStyle w:val="31"/>
            <w:keepNext w:val="0"/>
            <w:keepLines w:val="0"/>
            <w:pageBreakBefore w:val="0"/>
            <w:tabs>
              <w:tab w:val="right" w:leader="dot" w:pos="10154"/>
              <w:tab w:val="clear" w:pos="10144"/>
            </w:tabs>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"_Toc5235" </w:instrText>
          </w:r>
          <w:r>
            <w:rPr>
              <w:rFonts w:hint="eastAsia" w:ascii="宋体" w:hAnsi="宋体" w:eastAsia="宋体" w:cs="宋体"/>
              <w:color w:val="auto"/>
              <w:highlight w:val="none"/>
            </w:rPr>
            <w:fldChar w:fldCharType="separate"/>
          </w:r>
          <w:r>
            <w:rPr>
              <w:rFonts w:hint="eastAsia" w:ascii="宋体" w:hAnsi="宋体" w:eastAsia="宋体" w:cs="宋体"/>
              <w:bCs/>
              <w:color w:val="auto"/>
              <w:kern w:val="44"/>
              <w:szCs w:val="21"/>
              <w:highlight w:val="none"/>
              <w:lang w:val="zh-CN"/>
            </w:rPr>
            <w:t>四、投标文件的递交</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_Toc5235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11</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14:paraId="0EB044AA">
          <w:pPr>
            <w:pStyle w:val="31"/>
            <w:keepNext w:val="0"/>
            <w:keepLines w:val="0"/>
            <w:pageBreakBefore w:val="0"/>
            <w:tabs>
              <w:tab w:val="right" w:leader="dot" w:pos="10154"/>
              <w:tab w:val="clear" w:pos="10144"/>
            </w:tabs>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"_Toc8686" </w:instrText>
          </w:r>
          <w:r>
            <w:rPr>
              <w:rFonts w:hint="eastAsia" w:ascii="宋体" w:hAnsi="宋体" w:eastAsia="宋体" w:cs="宋体"/>
              <w:color w:val="auto"/>
              <w:highlight w:val="none"/>
            </w:rPr>
            <w:fldChar w:fldCharType="separate"/>
          </w:r>
          <w:r>
            <w:rPr>
              <w:rFonts w:hint="eastAsia" w:ascii="宋体" w:hAnsi="宋体" w:eastAsia="宋体" w:cs="宋体"/>
              <w:bCs/>
              <w:color w:val="auto"/>
              <w:kern w:val="44"/>
              <w:szCs w:val="21"/>
              <w:highlight w:val="none"/>
              <w:lang w:val="zh-CN"/>
            </w:rPr>
            <w:t>五、开标与评标</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_Toc8686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12</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14:paraId="5763CADE">
          <w:pPr>
            <w:pStyle w:val="31"/>
            <w:keepNext w:val="0"/>
            <w:keepLines w:val="0"/>
            <w:pageBreakBefore w:val="0"/>
            <w:tabs>
              <w:tab w:val="right" w:leader="dot" w:pos="10154"/>
              <w:tab w:val="clear" w:pos="10144"/>
            </w:tabs>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"_Toc3036" </w:instrText>
          </w:r>
          <w:r>
            <w:rPr>
              <w:rFonts w:hint="eastAsia" w:ascii="宋体" w:hAnsi="宋体" w:eastAsia="宋体" w:cs="宋体"/>
              <w:color w:val="auto"/>
              <w:highlight w:val="none"/>
            </w:rPr>
            <w:fldChar w:fldCharType="separate"/>
          </w:r>
          <w:r>
            <w:rPr>
              <w:rFonts w:hint="eastAsia" w:ascii="宋体" w:hAnsi="宋体" w:eastAsia="宋体" w:cs="宋体"/>
              <w:bCs/>
              <w:color w:val="auto"/>
              <w:kern w:val="44"/>
              <w:szCs w:val="21"/>
              <w:highlight w:val="none"/>
              <w:lang w:val="zh-CN"/>
            </w:rPr>
            <w:t>六、授予合同</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_Toc3036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15</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14:paraId="102ED83C">
          <w:pPr>
            <w:pStyle w:val="34"/>
            <w:keepNext w:val="0"/>
            <w:keepLines w:val="0"/>
            <w:pageBreakBefore w:val="0"/>
            <w:tabs>
              <w:tab w:val="right" w:leader="dot" w:pos="10154"/>
            </w:tabs>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"_Toc32611" </w:instrText>
          </w:r>
          <w:r>
            <w:rPr>
              <w:rFonts w:hint="eastAsia" w:ascii="宋体" w:hAnsi="宋体" w:eastAsia="宋体" w:cs="宋体"/>
              <w:color w:val="auto"/>
              <w:highlight w:val="none"/>
            </w:rPr>
            <w:fldChar w:fldCharType="separate"/>
          </w:r>
          <w:r>
            <w:rPr>
              <w:rFonts w:hint="eastAsia" w:ascii="宋体" w:hAnsi="宋体" w:eastAsia="宋体" w:cs="宋体"/>
              <w:bCs/>
              <w:color w:val="auto"/>
              <w:kern w:val="44"/>
              <w:szCs w:val="32"/>
              <w:highlight w:val="none"/>
              <w:lang w:val="zh-CN"/>
            </w:rPr>
            <w:t>第三篇 用户需求书</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_Toc32611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19</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14:paraId="2322A726">
          <w:pPr>
            <w:pStyle w:val="34"/>
            <w:keepNext w:val="0"/>
            <w:keepLines w:val="0"/>
            <w:pageBreakBefore w:val="0"/>
            <w:tabs>
              <w:tab w:val="right" w:leader="dot" w:pos="10154"/>
            </w:tabs>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"_Toc6025" </w:instrText>
          </w:r>
          <w:r>
            <w:rPr>
              <w:rFonts w:hint="eastAsia" w:ascii="宋体" w:hAnsi="宋体" w:eastAsia="宋体" w:cs="宋体"/>
              <w:color w:val="auto"/>
              <w:highlight w:val="none"/>
            </w:rPr>
            <w:fldChar w:fldCharType="separate"/>
          </w:r>
          <w:r>
            <w:rPr>
              <w:rFonts w:hint="eastAsia" w:ascii="宋体" w:hAnsi="宋体" w:eastAsia="宋体" w:cs="宋体"/>
              <w:bCs/>
              <w:color w:val="auto"/>
              <w:kern w:val="44"/>
              <w:szCs w:val="32"/>
              <w:highlight w:val="none"/>
              <w:lang w:val="zh-CN"/>
            </w:rPr>
            <w:t>第四篇 合同条款格式</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_Toc6025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19</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14:paraId="7ECE43A2">
          <w:pPr>
            <w:pStyle w:val="24"/>
            <w:keepNext w:val="0"/>
            <w:keepLines w:val="0"/>
            <w:pageBreakBefore w:val="0"/>
            <w:tabs>
              <w:tab w:val="right" w:leader="dot" w:pos="10154"/>
              <w:tab w:val="clear" w:pos="10144"/>
            </w:tabs>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"_Toc8919" </w:instrText>
          </w:r>
          <w:r>
            <w:rPr>
              <w:rFonts w:hint="eastAsia" w:ascii="宋体" w:hAnsi="宋体" w:eastAsia="宋体" w:cs="宋体"/>
              <w:color w:val="auto"/>
              <w:highlight w:val="none"/>
            </w:rPr>
            <w:fldChar w:fldCharType="separate"/>
          </w:r>
          <w:r>
            <w:rPr>
              <w:rFonts w:hint="eastAsia" w:ascii="宋体" w:hAnsi="宋体" w:eastAsia="宋体" w:cs="宋体"/>
              <w:bCs/>
              <w:color w:val="auto"/>
              <w:szCs w:val="32"/>
              <w:highlight w:val="none"/>
              <w:lang w:val="zh-CN"/>
            </w:rPr>
            <w:t>第五篇 相关保函格式</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_Toc8919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44</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14:paraId="4E8C97BA">
          <w:pPr>
            <w:pStyle w:val="31"/>
            <w:keepNext w:val="0"/>
            <w:keepLines w:val="0"/>
            <w:pageBreakBefore w:val="0"/>
            <w:tabs>
              <w:tab w:val="right" w:leader="dot" w:pos="10154"/>
              <w:tab w:val="clear" w:pos="10144"/>
            </w:tabs>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"_Toc16858" </w:instrText>
          </w:r>
          <w:r>
            <w:rPr>
              <w:rFonts w:hint="eastAsia" w:ascii="宋体" w:hAnsi="宋体" w:eastAsia="宋体" w:cs="宋体"/>
              <w:color w:val="auto"/>
              <w:highlight w:val="none"/>
            </w:rPr>
            <w:fldChar w:fldCharType="separate"/>
          </w:r>
          <w:r>
            <w:rPr>
              <w:rFonts w:hint="eastAsia" w:ascii="宋体" w:hAnsi="宋体" w:eastAsia="宋体" w:cs="宋体"/>
              <w:bCs/>
              <w:color w:val="auto"/>
              <w:kern w:val="44"/>
              <w:szCs w:val="32"/>
              <w:highlight w:val="none"/>
              <w:lang w:val="zh-CN"/>
            </w:rPr>
            <w:t>第六篇 投标文件格式</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_Toc16858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55</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14:paraId="0EE84AC8">
          <w:pPr>
            <w:pStyle w:val="31"/>
            <w:keepNext w:val="0"/>
            <w:keepLines w:val="0"/>
            <w:pageBreakBefore w:val="0"/>
            <w:tabs>
              <w:tab w:val="right" w:leader="dot" w:pos="10154"/>
              <w:tab w:val="clear" w:pos="10144"/>
            </w:tabs>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"_Toc11645" </w:instrText>
          </w:r>
          <w:r>
            <w:rPr>
              <w:rFonts w:hint="eastAsia" w:ascii="宋体" w:hAnsi="宋体" w:eastAsia="宋体" w:cs="宋体"/>
              <w:color w:val="auto"/>
              <w:highlight w:val="none"/>
            </w:rPr>
            <w:fldChar w:fldCharType="separate"/>
          </w:r>
          <w:r>
            <w:rPr>
              <w:rFonts w:hint="eastAsia" w:ascii="宋体" w:hAnsi="宋体" w:eastAsia="宋体" w:cs="宋体"/>
              <w:bCs/>
              <w:color w:val="auto"/>
              <w:kern w:val="44"/>
              <w:szCs w:val="32"/>
              <w:highlight w:val="none"/>
              <w:lang w:val="zh-CN"/>
            </w:rPr>
            <w:t>附件一：评标工作大纲</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_Toc11645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89</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14:paraId="42520196">
          <w:pPr>
            <w:keepNext w:val="0"/>
            <w:keepLines w:val="0"/>
            <w:pageBreakBefore w:val="0"/>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fldChar w:fldCharType="end"/>
          </w:r>
        </w:p>
      </w:sdtContent>
    </w:sdt>
    <w:p w14:paraId="4D823494">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34F41190">
      <w:pPr>
        <w:keepNext/>
        <w:keepLines/>
        <w:pageBreakBefore/>
        <w:tabs>
          <w:tab w:val="left" w:pos="1080"/>
        </w:tabs>
        <w:autoSpaceDE w:val="0"/>
        <w:autoSpaceDN w:val="0"/>
        <w:adjustRightInd w:val="0"/>
        <w:spacing w:line="360" w:lineRule="auto"/>
        <w:ind w:left="357" w:leftChars="-100" w:hanging="567"/>
        <w:jc w:val="center"/>
        <w:outlineLvl w:val="0"/>
        <w:rPr>
          <w:rFonts w:hint="eastAsia" w:ascii="宋体" w:hAnsi="宋体" w:eastAsia="宋体" w:cs="宋体"/>
          <w:b/>
          <w:bCs/>
          <w:color w:val="auto"/>
          <w:kern w:val="44"/>
          <w:sz w:val="44"/>
          <w:szCs w:val="44"/>
          <w:highlight w:val="none"/>
          <w:lang w:val="zh-CN"/>
        </w:rPr>
      </w:pPr>
      <w:bookmarkStart w:id="1" w:name="_Toc2723_WPSOffice_Level1"/>
      <w:bookmarkStart w:id="2" w:name="_Toc142508310"/>
      <w:bookmarkStart w:id="3" w:name="_Toc11638"/>
      <w:bookmarkStart w:id="4" w:name="_Toc8724"/>
      <w:bookmarkStart w:id="5" w:name="_Toc486167660"/>
      <w:bookmarkStart w:id="6" w:name="_Toc450662846"/>
      <w:bookmarkStart w:id="7" w:name="_Toc165140961"/>
      <w:r>
        <w:rPr>
          <w:rFonts w:hint="eastAsia" w:ascii="宋体" w:hAnsi="宋体" w:eastAsia="宋体" w:cs="宋体"/>
          <w:b/>
          <w:bCs/>
          <w:color w:val="auto"/>
          <w:kern w:val="44"/>
          <w:sz w:val="32"/>
          <w:szCs w:val="32"/>
          <w:highlight w:val="none"/>
          <w:lang w:val="zh-CN"/>
        </w:rPr>
        <w:t>第一篇 招标公告</w:t>
      </w:r>
      <w:bookmarkEnd w:id="1"/>
      <w:bookmarkEnd w:id="2"/>
      <w:bookmarkEnd w:id="3"/>
      <w:bookmarkEnd w:id="4"/>
      <w:bookmarkEnd w:id="5"/>
      <w:bookmarkEnd w:id="6"/>
      <w:bookmarkEnd w:id="7"/>
    </w:p>
    <w:p w14:paraId="75695914">
      <w:pPr>
        <w:autoSpaceDE w:val="0"/>
        <w:autoSpaceDN w:val="0"/>
        <w:spacing w:line="360" w:lineRule="auto"/>
        <w:ind w:right="-34" w:firstLine="420" w:firstLineChars="200"/>
        <w:outlineLvl w:val="9"/>
        <w:rPr>
          <w:rFonts w:hint="eastAsia" w:ascii="宋体" w:hAnsi="宋体" w:eastAsia="宋体" w:cs="宋体"/>
          <w:color w:val="auto"/>
          <w:szCs w:val="21"/>
          <w:highlight w:val="none"/>
          <w:lang w:val="zh-CN"/>
        </w:rPr>
      </w:pPr>
      <w:r>
        <w:rPr>
          <w:rFonts w:hint="eastAsia" w:ascii="宋体" w:hAnsi="宋体" w:eastAsia="宋体" w:cs="宋体"/>
          <w:color w:val="auto"/>
          <w:kern w:val="0"/>
          <w:szCs w:val="21"/>
          <w:highlight w:val="none"/>
        </w:rPr>
        <w:t>广东有德招标采购有限公司</w:t>
      </w:r>
      <w:r>
        <w:rPr>
          <w:rFonts w:hint="eastAsia" w:ascii="宋体" w:hAnsi="宋体" w:eastAsia="宋体" w:cs="宋体"/>
          <w:color w:val="auto"/>
          <w:szCs w:val="21"/>
          <w:highlight w:val="none"/>
          <w:lang w:val="zh-CN"/>
        </w:rPr>
        <w:t>（以下简称“招标代理机构”）受东莞数字城市科技有限公司（以下简称“招标人”）的委托，对2025年前端设备运维服务项目</w:t>
      </w:r>
      <w:r>
        <w:rPr>
          <w:rFonts w:hint="eastAsia" w:ascii="宋体" w:hAnsi="宋体" w:eastAsia="宋体" w:cs="宋体"/>
          <w:color w:val="auto"/>
          <w:kern w:val="0"/>
          <w:szCs w:val="21"/>
          <w:highlight w:val="none"/>
        </w:rPr>
        <w:t>(招标编号：YDZB25DGQY0185)</w:t>
      </w:r>
      <w:r>
        <w:rPr>
          <w:rFonts w:hint="eastAsia" w:ascii="宋体" w:hAnsi="宋体" w:eastAsia="宋体" w:cs="宋体"/>
          <w:color w:val="auto"/>
          <w:szCs w:val="21"/>
          <w:highlight w:val="none"/>
          <w:lang w:val="zh-CN"/>
        </w:rPr>
        <w:t>进行公开招标，</w:t>
      </w:r>
      <w:r>
        <w:rPr>
          <w:rFonts w:hint="eastAsia" w:ascii="宋体" w:hAnsi="宋体" w:eastAsia="宋体" w:cs="宋体"/>
          <w:bCs/>
          <w:color w:val="auto"/>
          <w:kern w:val="0"/>
          <w:szCs w:val="21"/>
          <w:highlight w:val="none"/>
        </w:rPr>
        <w:t>详情请参见本招标文件。</w:t>
      </w:r>
      <w:r>
        <w:rPr>
          <w:rFonts w:hint="eastAsia" w:ascii="宋体" w:hAnsi="宋体" w:eastAsia="宋体" w:cs="宋体"/>
          <w:color w:val="auto"/>
          <w:kern w:val="0"/>
          <w:szCs w:val="21"/>
          <w:highlight w:val="none"/>
        </w:rPr>
        <w:t>欢迎符合条件的合格投标人参加投标，</w:t>
      </w:r>
      <w:r>
        <w:rPr>
          <w:rFonts w:hint="eastAsia" w:ascii="宋体" w:hAnsi="宋体" w:eastAsia="宋体" w:cs="宋体"/>
          <w:bCs/>
          <w:color w:val="auto"/>
          <w:kern w:val="0"/>
          <w:szCs w:val="21"/>
          <w:highlight w:val="none"/>
        </w:rPr>
        <w:t>有关事项如下：</w:t>
      </w:r>
    </w:p>
    <w:p w14:paraId="16F3072B">
      <w:pPr>
        <w:autoSpaceDE w:val="0"/>
        <w:autoSpaceDN w:val="0"/>
        <w:spacing w:line="360" w:lineRule="auto"/>
        <w:ind w:right="-29" w:rightChars="-14" w:firstLine="420" w:firstLineChars="200"/>
        <w:outlineLvl w:val="9"/>
        <w:rPr>
          <w:rFonts w:hint="eastAsia" w:ascii="宋体" w:hAnsi="宋体" w:eastAsia="宋体" w:cs="宋体"/>
          <w:color w:val="auto"/>
          <w:szCs w:val="21"/>
          <w:highlight w:val="none"/>
          <w:lang w:val="zh-CN"/>
        </w:rPr>
      </w:pPr>
    </w:p>
    <w:p w14:paraId="581EF0D2">
      <w:pPr>
        <w:numPr>
          <w:ilvl w:val="0"/>
          <w:numId w:val="1"/>
        </w:numPr>
        <w:autoSpaceDE w:val="0"/>
        <w:autoSpaceDN w:val="0"/>
        <w:spacing w:line="360" w:lineRule="auto"/>
        <w:ind w:right="-34"/>
        <w:jc w:val="left"/>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项目基本情况</w:t>
      </w:r>
    </w:p>
    <w:p w14:paraId="5E9A916D">
      <w:pPr>
        <w:autoSpaceDE w:val="0"/>
        <w:autoSpaceDN w:val="0"/>
        <w:spacing w:line="360" w:lineRule="auto"/>
        <w:ind w:left="424" w:right="-34" w:hanging="424" w:hangingChars="202"/>
        <w:jc w:val="left"/>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招标编号：YDZB25DGQY0185</w:t>
      </w:r>
    </w:p>
    <w:p w14:paraId="3A459160">
      <w:pPr>
        <w:autoSpaceDE w:val="0"/>
        <w:autoSpaceDN w:val="0"/>
        <w:spacing w:line="360" w:lineRule="auto"/>
        <w:ind w:left="424" w:right="-34" w:hanging="424" w:hangingChars="202"/>
        <w:jc w:val="left"/>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项目名称：2025年前端设备运维服务项目</w:t>
      </w:r>
    </w:p>
    <w:p w14:paraId="239A66DE">
      <w:pPr>
        <w:autoSpaceDE w:val="0"/>
        <w:autoSpaceDN w:val="0"/>
        <w:spacing w:line="360" w:lineRule="auto"/>
        <w:ind w:left="424" w:right="-34" w:hanging="424" w:hangingChars="202"/>
        <w:jc w:val="left"/>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1.3</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预算金额：9,562,400.00元</w:t>
      </w:r>
    </w:p>
    <w:p w14:paraId="67EED040">
      <w:pPr>
        <w:autoSpaceDE w:val="0"/>
        <w:autoSpaceDN w:val="0"/>
        <w:spacing w:line="360" w:lineRule="auto"/>
        <w:ind w:left="424" w:right="-34" w:hanging="424" w:hangingChars="202"/>
        <w:jc w:val="left"/>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1.4</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招标范围：2025年前端设备运维服务（具体内容详见：第三篇用户需求书）。</w:t>
      </w:r>
    </w:p>
    <w:p w14:paraId="6BA244C5">
      <w:pPr>
        <w:autoSpaceDE w:val="0"/>
        <w:autoSpaceDN w:val="0"/>
        <w:spacing w:line="360" w:lineRule="auto"/>
        <w:ind w:right="-29" w:rightChars="-14"/>
        <w:outlineLvl w:val="9"/>
        <w:rPr>
          <w:rFonts w:hint="eastAsia" w:ascii="宋体" w:hAnsi="宋体" w:eastAsia="宋体" w:cs="宋体"/>
          <w:color w:val="auto"/>
          <w:szCs w:val="21"/>
          <w:highlight w:val="none"/>
        </w:rPr>
      </w:pPr>
    </w:p>
    <w:p w14:paraId="1FF0EFC5">
      <w:pPr>
        <w:numPr>
          <w:ilvl w:val="0"/>
          <w:numId w:val="1"/>
        </w:numPr>
        <w:autoSpaceDE w:val="0"/>
        <w:autoSpaceDN w:val="0"/>
        <w:spacing w:line="360" w:lineRule="auto"/>
        <w:ind w:right="-34"/>
        <w:jc w:val="left"/>
        <w:outlineLvl w:val="9"/>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合格投标人资格要求：</w:t>
      </w:r>
    </w:p>
    <w:p w14:paraId="47C5986A">
      <w:pPr>
        <w:pStyle w:val="61"/>
        <w:spacing w:line="360" w:lineRule="auto"/>
        <w:ind w:left="420" w:right="-34" w:hanging="420" w:firstLineChars="0"/>
        <w:outlineLvl w:val="9"/>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2.1</w:t>
      </w:r>
      <w:r>
        <w:rPr>
          <w:rFonts w:hint="eastAsia" w:ascii="宋体" w:hAnsi="宋体" w:eastAsia="宋体" w:cs="宋体"/>
          <w:b/>
          <w:bCs/>
          <w:color w:val="auto"/>
          <w:szCs w:val="21"/>
          <w:highlight w:val="none"/>
        </w:rPr>
        <w:tab/>
      </w:r>
      <w:r>
        <w:rPr>
          <w:rFonts w:hint="eastAsia" w:ascii="宋体" w:hAnsi="宋体" w:eastAsia="宋体" w:cs="宋体"/>
          <w:b/>
          <w:bCs/>
          <w:color w:val="auto"/>
          <w:szCs w:val="21"/>
          <w:highlight w:val="none"/>
        </w:rPr>
        <w:t>投标人是在中华人民共和国境内依法登记注册、合法存续、正常经营且具有独立承担民事责任能力的法人或其他组织(注：须提供有效证件并加盖投标人公章)；</w:t>
      </w:r>
      <w:r>
        <w:rPr>
          <w:rFonts w:hint="eastAsia" w:ascii="宋体" w:hAnsi="宋体" w:eastAsia="宋体" w:cs="宋体"/>
          <w:b/>
          <w:color w:val="auto"/>
          <w:sz w:val="21"/>
          <w:szCs w:val="21"/>
          <w:highlight w:val="none"/>
          <w:lang w:val="zh-CN"/>
        </w:rPr>
        <w:t>若投标人为非独立法人（即由合法法人依法建立的</w:t>
      </w:r>
      <w:r>
        <w:rPr>
          <w:rFonts w:hint="eastAsia" w:ascii="宋体" w:hAnsi="宋体" w:eastAsia="宋体" w:cs="宋体"/>
          <w:b/>
          <w:color w:val="auto"/>
          <w:sz w:val="21"/>
          <w:szCs w:val="21"/>
          <w:highlight w:val="none"/>
          <w:lang w:val="en-US" w:eastAsia="zh-CN"/>
        </w:rPr>
        <w:t>分支机构</w:t>
      </w:r>
      <w:r>
        <w:rPr>
          <w:rFonts w:hint="eastAsia" w:ascii="宋体" w:hAnsi="宋体" w:eastAsia="宋体" w:cs="宋体"/>
          <w:b/>
          <w:color w:val="auto"/>
          <w:sz w:val="21"/>
          <w:szCs w:val="21"/>
          <w:highlight w:val="none"/>
          <w:lang w:val="zh-CN"/>
        </w:rPr>
        <w:t>），还必须同时提供：①总公司的多证合一营业执照（或事业单位法人证书）；②总公司对</w:t>
      </w:r>
      <w:r>
        <w:rPr>
          <w:rFonts w:hint="eastAsia" w:ascii="宋体" w:hAnsi="宋体" w:eastAsia="宋体" w:cs="宋体"/>
          <w:b/>
          <w:color w:val="auto"/>
          <w:sz w:val="21"/>
          <w:szCs w:val="21"/>
          <w:highlight w:val="none"/>
          <w:lang w:val="en-US" w:eastAsia="zh-CN"/>
        </w:rPr>
        <w:t>分支机构</w:t>
      </w:r>
      <w:r>
        <w:rPr>
          <w:rFonts w:hint="eastAsia" w:ascii="宋体" w:hAnsi="宋体" w:eastAsia="宋体" w:cs="宋体"/>
          <w:b/>
          <w:color w:val="auto"/>
          <w:sz w:val="21"/>
          <w:szCs w:val="21"/>
          <w:highlight w:val="none"/>
          <w:lang w:val="zh-CN"/>
        </w:rPr>
        <w:t>出具的独家授权其参加本次投标的授权书，同一</w:t>
      </w:r>
      <w:r>
        <w:rPr>
          <w:rFonts w:hint="eastAsia" w:ascii="宋体" w:hAnsi="宋体" w:eastAsia="宋体" w:cs="宋体"/>
          <w:b/>
          <w:color w:val="auto"/>
          <w:sz w:val="21"/>
          <w:szCs w:val="21"/>
          <w:highlight w:val="none"/>
          <w:lang w:val="en-US" w:eastAsia="zh-CN"/>
        </w:rPr>
        <w:t>总公司</w:t>
      </w:r>
      <w:r>
        <w:rPr>
          <w:rFonts w:hint="eastAsia" w:ascii="宋体" w:hAnsi="宋体" w:eastAsia="宋体" w:cs="宋体"/>
          <w:b/>
          <w:color w:val="auto"/>
          <w:sz w:val="21"/>
          <w:szCs w:val="21"/>
          <w:highlight w:val="none"/>
          <w:lang w:val="zh-CN"/>
        </w:rPr>
        <w:t>只能授权一家分支机构参加本项目投标（授权一家以上分支机构参与投标的，将同时作无效投标处理）；</w:t>
      </w:r>
    </w:p>
    <w:p w14:paraId="7ECB2867">
      <w:pPr>
        <w:pStyle w:val="61"/>
        <w:spacing w:line="360" w:lineRule="auto"/>
        <w:ind w:left="420" w:right="-34" w:hanging="420" w:firstLineChars="0"/>
        <w:outlineLvl w:val="9"/>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2.2</w:t>
      </w:r>
      <w:r>
        <w:rPr>
          <w:rFonts w:hint="eastAsia" w:ascii="宋体" w:hAnsi="宋体" w:eastAsia="宋体" w:cs="宋体"/>
          <w:b/>
          <w:bCs/>
          <w:color w:val="auto"/>
          <w:szCs w:val="21"/>
          <w:highlight w:val="none"/>
        </w:rPr>
        <w:tab/>
      </w:r>
      <w:r>
        <w:rPr>
          <w:rFonts w:hint="eastAsia" w:ascii="宋体" w:hAnsi="宋体" w:eastAsia="宋体" w:cs="宋体"/>
          <w:b/>
          <w:bCs/>
          <w:color w:val="auto"/>
          <w:szCs w:val="21"/>
          <w:highlight w:val="none"/>
        </w:rPr>
        <w:t>本项目不接受联合体投标。</w:t>
      </w:r>
    </w:p>
    <w:p w14:paraId="17555B14">
      <w:pPr>
        <w:pStyle w:val="61"/>
        <w:spacing w:line="360" w:lineRule="auto"/>
        <w:ind w:right="-34" w:firstLineChars="0"/>
        <w:outlineLvl w:val="9"/>
        <w:rPr>
          <w:rFonts w:hint="eastAsia" w:ascii="宋体" w:hAnsi="宋体" w:eastAsia="宋体" w:cs="宋体"/>
          <w:color w:val="auto"/>
          <w:szCs w:val="21"/>
          <w:highlight w:val="none"/>
        </w:rPr>
      </w:pPr>
    </w:p>
    <w:p w14:paraId="365F5E50">
      <w:pPr>
        <w:pStyle w:val="61"/>
        <w:numPr>
          <w:ilvl w:val="0"/>
          <w:numId w:val="1"/>
        </w:numPr>
        <w:spacing w:line="360" w:lineRule="auto"/>
        <w:ind w:left="426" w:right="-34" w:hanging="426" w:firstLineChars="0"/>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zh-CN"/>
        </w:rPr>
        <w:t>获取招标文件</w:t>
      </w:r>
      <w:r>
        <w:rPr>
          <w:rFonts w:hint="eastAsia" w:ascii="宋体" w:hAnsi="宋体" w:eastAsia="宋体" w:cs="宋体"/>
          <w:color w:val="auto"/>
          <w:szCs w:val="21"/>
          <w:highlight w:val="none"/>
        </w:rPr>
        <w:t>的时间、地点、方式及招标文件售价：</w:t>
      </w:r>
    </w:p>
    <w:p w14:paraId="7CA1EB0B">
      <w:pPr>
        <w:pStyle w:val="61"/>
        <w:spacing w:line="360" w:lineRule="auto"/>
        <w:ind w:left="420" w:right="-34" w:hanging="420" w:firstLineChars="0"/>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3.1 获取</w:t>
      </w:r>
      <w:r>
        <w:rPr>
          <w:rFonts w:hint="eastAsia" w:ascii="宋体" w:hAnsi="宋体" w:eastAsia="宋体" w:cs="宋体"/>
          <w:color w:val="auto"/>
          <w:szCs w:val="21"/>
          <w:highlight w:val="none"/>
          <w:lang w:val="zh-CN"/>
        </w:rPr>
        <w:t>招标文件</w:t>
      </w:r>
      <w:r>
        <w:rPr>
          <w:rFonts w:hint="eastAsia" w:ascii="宋体" w:hAnsi="宋体" w:eastAsia="宋体" w:cs="宋体"/>
          <w:color w:val="auto"/>
          <w:szCs w:val="21"/>
          <w:highlight w:val="none"/>
        </w:rPr>
        <w:t>时间：</w:t>
      </w:r>
      <w:r>
        <w:rPr>
          <w:rFonts w:hint="eastAsia" w:ascii="宋体" w:hAnsi="宋体" w:cs="宋体"/>
          <w:color w:val="auto"/>
          <w:szCs w:val="21"/>
          <w:highlight w:val="none"/>
          <w:u w:val="single"/>
          <w:lang w:val="en-US" w:eastAsia="zh-CN"/>
        </w:rPr>
        <w:t>2025</w:t>
      </w:r>
      <w:r>
        <w:rPr>
          <w:rFonts w:hint="eastAsia" w:ascii="宋体" w:hAnsi="宋体" w:eastAsia="宋体" w:cs="宋体"/>
          <w:color w:val="auto"/>
          <w:szCs w:val="21"/>
          <w:highlight w:val="none"/>
        </w:rPr>
        <w:t>年</w:t>
      </w:r>
      <w:r>
        <w:rPr>
          <w:rFonts w:hint="eastAsia" w:ascii="宋体" w:hAnsi="宋体" w:cs="宋体"/>
          <w:color w:val="auto"/>
          <w:szCs w:val="21"/>
          <w:highlight w:val="none"/>
          <w:u w:val="single"/>
          <w:lang w:val="en-US" w:eastAsia="zh-CN"/>
        </w:rPr>
        <w:t>12</w:t>
      </w:r>
      <w:r>
        <w:rPr>
          <w:rFonts w:hint="eastAsia" w:ascii="宋体" w:hAnsi="宋体" w:eastAsia="宋体" w:cs="宋体"/>
          <w:color w:val="auto"/>
          <w:szCs w:val="21"/>
          <w:highlight w:val="none"/>
        </w:rPr>
        <w:t>月</w:t>
      </w:r>
      <w:r>
        <w:rPr>
          <w:rFonts w:hint="eastAsia" w:ascii="宋体" w:hAnsi="宋体" w:cs="宋体"/>
          <w:color w:val="auto"/>
          <w:szCs w:val="21"/>
          <w:highlight w:val="none"/>
          <w:u w:val="single"/>
          <w:lang w:val="en-US" w:eastAsia="zh-CN"/>
        </w:rPr>
        <w:t>19</w:t>
      </w:r>
      <w:r>
        <w:rPr>
          <w:rFonts w:hint="eastAsia" w:ascii="宋体" w:hAnsi="宋体" w:eastAsia="宋体" w:cs="宋体"/>
          <w:color w:val="auto"/>
          <w:szCs w:val="21"/>
          <w:highlight w:val="none"/>
        </w:rPr>
        <w:t>日至</w:t>
      </w:r>
      <w:r>
        <w:rPr>
          <w:rFonts w:hint="eastAsia" w:ascii="宋体" w:hAnsi="宋体" w:cs="宋体"/>
          <w:color w:val="auto"/>
          <w:szCs w:val="21"/>
          <w:highlight w:val="none"/>
          <w:u w:val="single"/>
          <w:lang w:val="en-US" w:eastAsia="zh-CN"/>
        </w:rPr>
        <w:t>2025</w:t>
      </w:r>
      <w:r>
        <w:rPr>
          <w:rFonts w:hint="eastAsia" w:ascii="宋体" w:hAnsi="宋体" w:eastAsia="宋体" w:cs="宋体"/>
          <w:color w:val="auto"/>
          <w:szCs w:val="21"/>
          <w:highlight w:val="none"/>
        </w:rPr>
        <w:t>年</w:t>
      </w:r>
      <w:r>
        <w:rPr>
          <w:rFonts w:hint="eastAsia" w:ascii="宋体" w:hAnsi="宋体" w:cs="宋体"/>
          <w:color w:val="auto"/>
          <w:szCs w:val="21"/>
          <w:highlight w:val="none"/>
          <w:u w:val="single"/>
          <w:lang w:val="en-US" w:eastAsia="zh-CN"/>
        </w:rPr>
        <w:t>12</w:t>
      </w:r>
      <w:r>
        <w:rPr>
          <w:rFonts w:hint="eastAsia" w:ascii="宋体" w:hAnsi="宋体" w:eastAsia="宋体" w:cs="宋体"/>
          <w:color w:val="auto"/>
          <w:szCs w:val="21"/>
          <w:highlight w:val="none"/>
        </w:rPr>
        <w:t>月</w:t>
      </w:r>
      <w:r>
        <w:rPr>
          <w:rFonts w:hint="eastAsia" w:ascii="宋体" w:hAnsi="宋体" w:cs="宋体"/>
          <w:color w:val="auto"/>
          <w:szCs w:val="21"/>
          <w:highlight w:val="none"/>
          <w:u w:val="single"/>
          <w:lang w:val="en-US" w:eastAsia="zh-CN"/>
        </w:rPr>
        <w:t>26</w:t>
      </w:r>
      <w:r>
        <w:rPr>
          <w:rFonts w:hint="eastAsia" w:ascii="宋体" w:hAnsi="宋体" w:eastAsia="宋体" w:cs="宋体"/>
          <w:color w:val="auto"/>
          <w:szCs w:val="21"/>
          <w:highlight w:val="none"/>
        </w:rPr>
        <w:t>日，工作日9：00-12：00，14：30-17：30（法定节假日除外）</w:t>
      </w:r>
    </w:p>
    <w:p w14:paraId="5FE3C6E0">
      <w:pPr>
        <w:pStyle w:val="61"/>
        <w:spacing w:line="360" w:lineRule="auto"/>
        <w:ind w:left="420" w:right="-34" w:hanging="420" w:firstLineChars="0"/>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3.2 获取</w:t>
      </w:r>
      <w:r>
        <w:rPr>
          <w:rFonts w:hint="eastAsia" w:ascii="宋体" w:hAnsi="宋体" w:eastAsia="宋体" w:cs="宋体"/>
          <w:color w:val="auto"/>
          <w:szCs w:val="21"/>
          <w:highlight w:val="none"/>
          <w:lang w:val="zh-CN"/>
        </w:rPr>
        <w:t>招标文件</w:t>
      </w:r>
      <w:r>
        <w:rPr>
          <w:rFonts w:hint="eastAsia" w:ascii="宋体" w:hAnsi="宋体" w:eastAsia="宋体" w:cs="宋体"/>
          <w:color w:val="auto"/>
          <w:szCs w:val="21"/>
          <w:highlight w:val="none"/>
        </w:rPr>
        <w:t>地点：</w:t>
      </w:r>
      <w:r>
        <w:rPr>
          <w:rFonts w:hint="eastAsia" w:ascii="宋体" w:hAnsi="宋体" w:eastAsia="宋体" w:cs="宋体"/>
          <w:color w:val="auto"/>
          <w:kern w:val="0"/>
          <w:szCs w:val="21"/>
          <w:highlight w:val="none"/>
          <w:u w:val="single"/>
        </w:rPr>
        <w:t>到东莞市东城街道新源路海德琥珀台6栋1703室（有德招标）进行获取或微信搜索公众号“有德招标东莞分公司”进行获取。</w:t>
      </w:r>
    </w:p>
    <w:p w14:paraId="2D109CEA">
      <w:pPr>
        <w:pStyle w:val="61"/>
        <w:spacing w:line="360" w:lineRule="auto"/>
        <w:ind w:left="420" w:right="-34" w:hanging="420" w:firstLineChars="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3.3 获取</w:t>
      </w:r>
      <w:r>
        <w:rPr>
          <w:rFonts w:hint="eastAsia" w:ascii="宋体" w:hAnsi="宋体" w:eastAsia="宋体" w:cs="宋体"/>
          <w:color w:val="auto"/>
          <w:szCs w:val="21"/>
          <w:highlight w:val="none"/>
          <w:lang w:val="zh-CN"/>
        </w:rPr>
        <w:t>招标文件</w:t>
      </w:r>
      <w:r>
        <w:rPr>
          <w:rFonts w:hint="eastAsia" w:ascii="宋体" w:hAnsi="宋体" w:eastAsia="宋体" w:cs="宋体"/>
          <w:color w:val="auto"/>
          <w:szCs w:val="21"/>
          <w:highlight w:val="none"/>
        </w:rPr>
        <w:t>方式：</w:t>
      </w:r>
      <w:r>
        <w:rPr>
          <w:rFonts w:hint="eastAsia" w:ascii="宋体" w:hAnsi="宋体" w:eastAsia="宋体" w:cs="宋体"/>
          <w:color w:val="auto"/>
          <w:szCs w:val="21"/>
          <w:highlight w:val="none"/>
          <w:lang w:val="zh-CN"/>
        </w:rPr>
        <w:t>现场或线上获取。</w:t>
      </w:r>
    </w:p>
    <w:p w14:paraId="6D043EA0">
      <w:pPr>
        <w:pStyle w:val="61"/>
        <w:spacing w:line="360" w:lineRule="auto"/>
        <w:ind w:left="420" w:right="-34" w:hanging="420" w:firstLineChars="0"/>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3.4 招标文件售价：招标文件每份人民币200.00元整，售后不退。</w:t>
      </w:r>
    </w:p>
    <w:p w14:paraId="1D61BCBD">
      <w:pPr>
        <w:pStyle w:val="61"/>
        <w:spacing w:line="360" w:lineRule="auto"/>
        <w:ind w:left="420" w:right="-34" w:hanging="420" w:firstLineChars="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3.5</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获取了</w:t>
      </w:r>
      <w:r>
        <w:rPr>
          <w:rFonts w:hint="eastAsia" w:ascii="宋体" w:hAnsi="宋体" w:eastAsia="宋体" w:cs="宋体"/>
          <w:color w:val="auto"/>
          <w:szCs w:val="21"/>
          <w:highlight w:val="none"/>
        </w:rPr>
        <w:t>招标文件</w:t>
      </w:r>
      <w:r>
        <w:rPr>
          <w:rFonts w:hint="eastAsia" w:ascii="宋体" w:hAnsi="宋体" w:eastAsia="宋体" w:cs="宋体"/>
          <w:color w:val="auto"/>
          <w:szCs w:val="21"/>
          <w:highlight w:val="none"/>
          <w:lang w:val="zh-CN"/>
        </w:rPr>
        <w:t>，而不参加投标的潜在投标人，请在开标日期三日前以书面形式通知招标代理机构。</w:t>
      </w:r>
    </w:p>
    <w:p w14:paraId="1C75825A">
      <w:pPr>
        <w:autoSpaceDE w:val="0"/>
        <w:autoSpaceDN w:val="0"/>
        <w:spacing w:line="360" w:lineRule="auto"/>
        <w:ind w:left="630" w:leftChars="100" w:right="-29" w:rightChars="-14" w:hanging="420" w:hangingChars="200"/>
        <w:outlineLvl w:val="9"/>
        <w:rPr>
          <w:rFonts w:hint="eastAsia" w:ascii="宋体" w:hAnsi="宋体" w:eastAsia="宋体" w:cs="宋体"/>
          <w:color w:val="auto"/>
          <w:szCs w:val="21"/>
          <w:highlight w:val="none"/>
          <w:lang w:val="zh-CN"/>
        </w:rPr>
      </w:pPr>
    </w:p>
    <w:p w14:paraId="25DBD7D0">
      <w:pPr>
        <w:numPr>
          <w:ilvl w:val="0"/>
          <w:numId w:val="1"/>
        </w:numPr>
        <w:autoSpaceDE w:val="0"/>
        <w:autoSpaceDN w:val="0"/>
        <w:spacing w:line="360" w:lineRule="auto"/>
        <w:ind w:right="-34"/>
        <w:jc w:val="left"/>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招标代理机构在递交投标文件截止时间当天通过“信用中国”网站（www.creditchina.gov.cn）查询投标人（含其不具有独立法人资格的分支机构）信用记录。</w:t>
      </w:r>
      <w:bookmarkStart w:id="8" w:name="auto_fouce_2"/>
    </w:p>
    <w:p w14:paraId="7FDB332D">
      <w:pPr>
        <w:pStyle w:val="6"/>
        <w:rPr>
          <w:rFonts w:hint="eastAsia" w:ascii="宋体" w:hAnsi="宋体" w:eastAsia="宋体" w:cs="宋体"/>
          <w:color w:val="auto"/>
          <w:highlight w:val="none"/>
          <w:lang w:val="zh-CN"/>
        </w:rPr>
      </w:pPr>
    </w:p>
    <w:bookmarkEnd w:id="8"/>
    <w:p w14:paraId="190EFAA0">
      <w:pPr>
        <w:numPr>
          <w:ilvl w:val="0"/>
          <w:numId w:val="1"/>
        </w:numPr>
        <w:autoSpaceDE w:val="0"/>
        <w:autoSpaceDN w:val="0"/>
        <w:spacing w:line="360" w:lineRule="auto"/>
        <w:ind w:right="-34"/>
        <w:jc w:val="left"/>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招标代理机构对投标人信用记录进行甄别，对列入失信被执行人、重大税收违法失信主体、</w:t>
      </w:r>
      <w:r>
        <w:rPr>
          <w:rFonts w:hint="eastAsia" w:ascii="宋体" w:hAnsi="宋体" w:eastAsia="宋体" w:cs="宋体"/>
          <w:color w:val="auto"/>
          <w:szCs w:val="21"/>
          <w:highlight w:val="none"/>
        </w:rPr>
        <w:t>政府采购</w:t>
      </w:r>
      <w:r>
        <w:rPr>
          <w:rFonts w:hint="eastAsia" w:ascii="宋体" w:hAnsi="宋体" w:eastAsia="宋体" w:cs="宋体"/>
          <w:color w:val="auto"/>
          <w:szCs w:val="21"/>
          <w:highlight w:val="none"/>
          <w:lang w:val="zh-CN"/>
        </w:rPr>
        <w:t>严重违法失信行为记录名单的投标人，做好相关记录（处罚期限届满的除外）。</w:t>
      </w:r>
    </w:p>
    <w:p w14:paraId="5D4C6636">
      <w:pPr>
        <w:numPr>
          <w:ilvl w:val="0"/>
          <w:numId w:val="1"/>
        </w:numPr>
        <w:autoSpaceDE w:val="0"/>
        <w:autoSpaceDN w:val="0"/>
        <w:spacing w:line="360" w:lineRule="auto"/>
        <w:ind w:right="-34"/>
        <w:jc w:val="left"/>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投标、开标时间及地点：</w:t>
      </w:r>
      <w:bookmarkStart w:id="517" w:name="_GoBack"/>
      <w:bookmarkEnd w:id="517"/>
    </w:p>
    <w:p w14:paraId="5FE1618F">
      <w:pPr>
        <w:autoSpaceDE w:val="0"/>
        <w:autoSpaceDN w:val="0"/>
        <w:spacing w:line="360" w:lineRule="auto"/>
        <w:ind w:right="-29" w:rightChars="-14"/>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lang w:val="zh-CN"/>
        </w:rPr>
        <w:t>.1 投标文件递交时间：</w:t>
      </w:r>
      <w:r>
        <w:rPr>
          <w:rFonts w:hint="eastAsia" w:ascii="宋体" w:hAnsi="宋体" w:eastAsia="宋体" w:cs="宋体"/>
          <w:color w:val="auto"/>
          <w:szCs w:val="21"/>
          <w:highlight w:val="none"/>
          <w:u w:val="single"/>
          <w:lang w:val="en-US" w:eastAsia="zh-CN"/>
        </w:rPr>
        <w:t>2026</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u w:val="single"/>
          <w:lang w:val="en-US" w:eastAsia="zh-CN"/>
        </w:rPr>
        <w:t>1</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u w:val="single"/>
          <w:lang w:val="en-US" w:eastAsia="zh-CN"/>
        </w:rPr>
        <w:t>9</w:t>
      </w:r>
      <w:r>
        <w:rPr>
          <w:rFonts w:hint="eastAsia" w:ascii="宋体" w:hAnsi="宋体" w:eastAsia="宋体" w:cs="宋体"/>
          <w:color w:val="auto"/>
          <w:szCs w:val="21"/>
          <w:highlight w:val="none"/>
        </w:rPr>
        <w:t>日</w:t>
      </w:r>
      <w:r>
        <w:rPr>
          <w:rFonts w:hint="eastAsia" w:ascii="宋体" w:hAnsi="宋体" w:eastAsia="宋体" w:cs="宋体"/>
          <w:color w:val="auto"/>
          <w:szCs w:val="21"/>
          <w:highlight w:val="none"/>
          <w:u w:val="single"/>
          <w:lang w:val="en-US" w:eastAsia="zh-CN"/>
        </w:rPr>
        <w:t>14</w:t>
      </w:r>
      <w:r>
        <w:rPr>
          <w:rFonts w:hint="eastAsia" w:ascii="宋体" w:hAnsi="宋体" w:eastAsia="宋体" w:cs="宋体"/>
          <w:color w:val="auto"/>
          <w:kern w:val="0"/>
          <w:szCs w:val="21"/>
          <w:highlight w:val="none"/>
          <w:u w:val="single"/>
        </w:rPr>
        <w:t>：</w:t>
      </w:r>
      <w:r>
        <w:rPr>
          <w:rFonts w:hint="eastAsia" w:ascii="宋体" w:hAnsi="宋体" w:eastAsia="宋体" w:cs="宋体"/>
          <w:color w:val="auto"/>
          <w:szCs w:val="21"/>
          <w:highlight w:val="none"/>
          <w:u w:val="single"/>
          <w:lang w:val="en-US" w:eastAsia="zh-CN"/>
        </w:rPr>
        <w:t>00</w:t>
      </w:r>
      <w:r>
        <w:rPr>
          <w:rFonts w:hint="eastAsia" w:ascii="宋体" w:hAnsi="宋体" w:eastAsia="宋体" w:cs="宋体"/>
          <w:color w:val="auto"/>
          <w:kern w:val="0"/>
          <w:szCs w:val="21"/>
          <w:highlight w:val="none"/>
        </w:rPr>
        <w:t>～</w:t>
      </w:r>
      <w:r>
        <w:rPr>
          <w:rFonts w:hint="eastAsia" w:ascii="宋体" w:hAnsi="宋体" w:eastAsia="宋体" w:cs="宋体"/>
          <w:color w:val="auto"/>
          <w:szCs w:val="21"/>
          <w:highlight w:val="none"/>
          <w:u w:val="single"/>
          <w:lang w:val="en-US" w:eastAsia="zh-CN"/>
        </w:rPr>
        <w:t>14</w:t>
      </w:r>
      <w:r>
        <w:rPr>
          <w:rFonts w:hint="eastAsia" w:ascii="宋体" w:hAnsi="宋体" w:eastAsia="宋体" w:cs="宋体"/>
          <w:color w:val="auto"/>
          <w:kern w:val="0"/>
          <w:szCs w:val="21"/>
          <w:highlight w:val="none"/>
          <w:u w:val="single"/>
        </w:rPr>
        <w:t>：</w:t>
      </w:r>
      <w:r>
        <w:rPr>
          <w:rFonts w:hint="eastAsia" w:ascii="宋体" w:hAnsi="宋体" w:eastAsia="宋体" w:cs="宋体"/>
          <w:color w:val="auto"/>
          <w:szCs w:val="21"/>
          <w:highlight w:val="none"/>
          <w:u w:val="single"/>
          <w:lang w:val="en-US" w:eastAsia="zh-CN"/>
        </w:rPr>
        <w:t>30</w:t>
      </w:r>
      <w:r>
        <w:rPr>
          <w:rFonts w:hint="eastAsia" w:ascii="宋体" w:hAnsi="宋体" w:eastAsia="宋体" w:cs="宋体"/>
          <w:color w:val="auto"/>
          <w:kern w:val="0"/>
          <w:szCs w:val="21"/>
          <w:highlight w:val="none"/>
        </w:rPr>
        <w:t>；</w:t>
      </w:r>
    </w:p>
    <w:p w14:paraId="3EA360A7">
      <w:pPr>
        <w:autoSpaceDE w:val="0"/>
        <w:autoSpaceDN w:val="0"/>
        <w:spacing w:line="360" w:lineRule="auto"/>
        <w:ind w:right="-29" w:rightChars="-14"/>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lang w:val="zh-CN"/>
        </w:rPr>
        <w:t>.2 投标截止及开标时间：</w:t>
      </w:r>
      <w:r>
        <w:rPr>
          <w:rFonts w:hint="eastAsia" w:ascii="宋体" w:hAnsi="宋体" w:eastAsia="宋体" w:cs="宋体"/>
          <w:color w:val="auto"/>
          <w:szCs w:val="21"/>
          <w:highlight w:val="none"/>
          <w:u w:val="single"/>
          <w:lang w:val="en-US" w:eastAsia="zh-CN"/>
        </w:rPr>
        <w:t>2026</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u w:val="single"/>
          <w:lang w:val="en-US" w:eastAsia="zh-CN"/>
        </w:rPr>
        <w:t>1</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u w:val="single"/>
          <w:lang w:val="en-US" w:eastAsia="zh-CN"/>
        </w:rPr>
        <w:t>9</w:t>
      </w:r>
      <w:r>
        <w:rPr>
          <w:rFonts w:hint="eastAsia" w:ascii="宋体" w:hAnsi="宋体" w:eastAsia="宋体" w:cs="宋体"/>
          <w:color w:val="auto"/>
          <w:szCs w:val="21"/>
          <w:highlight w:val="none"/>
        </w:rPr>
        <w:t>日</w:t>
      </w:r>
      <w:r>
        <w:rPr>
          <w:rFonts w:hint="eastAsia" w:ascii="宋体" w:hAnsi="宋体" w:eastAsia="宋体" w:cs="宋体"/>
          <w:color w:val="auto"/>
          <w:szCs w:val="21"/>
          <w:highlight w:val="none"/>
          <w:u w:val="single"/>
          <w:lang w:val="en-US" w:eastAsia="zh-CN"/>
        </w:rPr>
        <w:t>14</w:t>
      </w:r>
      <w:r>
        <w:rPr>
          <w:rFonts w:hint="eastAsia" w:ascii="宋体" w:hAnsi="宋体" w:eastAsia="宋体" w:cs="宋体"/>
          <w:color w:val="auto"/>
          <w:kern w:val="0"/>
          <w:szCs w:val="21"/>
          <w:highlight w:val="none"/>
          <w:u w:val="single"/>
        </w:rPr>
        <w:t>：</w:t>
      </w:r>
      <w:r>
        <w:rPr>
          <w:rFonts w:hint="eastAsia" w:ascii="宋体" w:hAnsi="宋体" w:eastAsia="宋体" w:cs="宋体"/>
          <w:color w:val="auto"/>
          <w:szCs w:val="21"/>
          <w:highlight w:val="none"/>
          <w:u w:val="single"/>
          <w:lang w:val="en-US" w:eastAsia="zh-CN"/>
        </w:rPr>
        <w:t>30</w:t>
      </w:r>
      <w:r>
        <w:rPr>
          <w:rFonts w:hint="eastAsia" w:ascii="宋体" w:hAnsi="宋体" w:eastAsia="宋体" w:cs="宋体"/>
          <w:color w:val="auto"/>
          <w:kern w:val="0"/>
          <w:szCs w:val="21"/>
          <w:highlight w:val="none"/>
        </w:rPr>
        <w:t>；</w:t>
      </w:r>
    </w:p>
    <w:p w14:paraId="63E80575">
      <w:pPr>
        <w:autoSpaceDE w:val="0"/>
        <w:autoSpaceDN w:val="0"/>
        <w:spacing w:line="360" w:lineRule="auto"/>
        <w:ind w:right="-29" w:rightChars="-14"/>
        <w:outlineLvl w:val="9"/>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lang w:val="zh-CN"/>
        </w:rPr>
        <w:t>.3 投标及开标地点：</w:t>
      </w:r>
      <w:r>
        <w:rPr>
          <w:rFonts w:hint="eastAsia" w:ascii="宋体" w:hAnsi="宋体" w:eastAsia="宋体" w:cs="宋体"/>
          <w:color w:val="auto"/>
          <w:kern w:val="0"/>
          <w:szCs w:val="21"/>
          <w:highlight w:val="none"/>
          <w:u w:val="single"/>
        </w:rPr>
        <w:t>东莞市东城街道新源路海德琥珀台6栋17</w:t>
      </w:r>
      <w:r>
        <w:rPr>
          <w:rFonts w:hint="eastAsia" w:ascii="宋体" w:hAnsi="宋体" w:eastAsia="宋体" w:cs="宋体"/>
          <w:color w:val="auto"/>
          <w:kern w:val="0"/>
          <w:szCs w:val="21"/>
          <w:highlight w:val="none"/>
          <w:u w:val="single"/>
          <w:lang w:val="en-US" w:eastAsia="zh-CN"/>
        </w:rPr>
        <w:t>03</w:t>
      </w:r>
      <w:r>
        <w:rPr>
          <w:rFonts w:hint="eastAsia" w:ascii="宋体" w:hAnsi="宋体" w:eastAsia="宋体" w:cs="宋体"/>
          <w:color w:val="auto"/>
          <w:kern w:val="0"/>
          <w:szCs w:val="21"/>
          <w:highlight w:val="none"/>
          <w:u w:val="single"/>
        </w:rPr>
        <w:t>室</w:t>
      </w:r>
      <w:r>
        <w:rPr>
          <w:rFonts w:hint="eastAsia" w:ascii="宋体" w:hAnsi="宋体" w:eastAsia="宋体" w:cs="宋体"/>
          <w:color w:val="auto"/>
          <w:kern w:val="0"/>
          <w:szCs w:val="21"/>
          <w:highlight w:val="none"/>
        </w:rPr>
        <w:t>。</w:t>
      </w:r>
    </w:p>
    <w:p w14:paraId="750BC2DC">
      <w:pPr>
        <w:autoSpaceDE w:val="0"/>
        <w:autoSpaceDN w:val="0"/>
        <w:spacing w:line="360" w:lineRule="auto"/>
        <w:ind w:right="-29" w:rightChars="-14" w:firstLine="210" w:firstLineChars="100"/>
        <w:outlineLvl w:val="9"/>
        <w:rPr>
          <w:rFonts w:hint="eastAsia" w:ascii="宋体" w:hAnsi="宋体" w:eastAsia="宋体" w:cs="宋体"/>
          <w:color w:val="auto"/>
          <w:kern w:val="0"/>
          <w:szCs w:val="21"/>
          <w:highlight w:val="none"/>
        </w:rPr>
      </w:pPr>
    </w:p>
    <w:p w14:paraId="145FD9A2">
      <w:pPr>
        <w:numPr>
          <w:ilvl w:val="0"/>
          <w:numId w:val="1"/>
        </w:numPr>
        <w:autoSpaceDE w:val="0"/>
        <w:autoSpaceDN w:val="0"/>
        <w:spacing w:line="360" w:lineRule="auto"/>
        <w:ind w:right="-34"/>
        <w:jc w:val="left"/>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招标代理机构只接受在递交投标文件截止日当天由投标人法定代表人</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法定负责人</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或其授权代表于递交投标文件截止时间前亲自递交的投标文件</w:t>
      </w:r>
      <w:r>
        <w:rPr>
          <w:rFonts w:hint="eastAsia" w:ascii="宋体" w:hAnsi="宋体" w:eastAsia="宋体" w:cs="宋体"/>
          <w:color w:val="auto"/>
          <w:szCs w:val="21"/>
          <w:highlight w:val="none"/>
          <w:lang w:val="zh-CN"/>
        </w:rPr>
        <w:t>。电报、传真形式的投标概不接受。</w:t>
      </w:r>
    </w:p>
    <w:p w14:paraId="20B387BF">
      <w:pPr>
        <w:autoSpaceDE w:val="0"/>
        <w:autoSpaceDN w:val="0"/>
        <w:spacing w:line="360" w:lineRule="auto"/>
        <w:ind w:left="210" w:leftChars="100" w:right="-29" w:rightChars="-14"/>
        <w:outlineLvl w:val="9"/>
        <w:rPr>
          <w:rFonts w:hint="eastAsia" w:ascii="宋体" w:hAnsi="宋体" w:eastAsia="宋体" w:cs="宋体"/>
          <w:color w:val="auto"/>
          <w:szCs w:val="21"/>
          <w:highlight w:val="none"/>
          <w:lang w:val="zh-CN"/>
        </w:rPr>
      </w:pPr>
    </w:p>
    <w:p w14:paraId="260C6332">
      <w:pPr>
        <w:numPr>
          <w:ilvl w:val="0"/>
          <w:numId w:val="1"/>
        </w:numPr>
        <w:autoSpaceDE w:val="0"/>
        <w:autoSpaceDN w:val="0"/>
        <w:spacing w:line="360" w:lineRule="auto"/>
        <w:ind w:right="-34"/>
        <w:jc w:val="left"/>
        <w:outlineLvl w:val="9"/>
        <w:rPr>
          <w:rFonts w:hint="eastAsia" w:ascii="宋体" w:hAnsi="宋体" w:eastAsia="宋体" w:cs="宋体"/>
          <w:color w:val="auto"/>
          <w:szCs w:val="21"/>
          <w:highlight w:val="none"/>
          <w:lang w:val="zh-CN"/>
        </w:rPr>
      </w:pPr>
      <w:r>
        <w:rPr>
          <w:rFonts w:hint="eastAsia" w:ascii="宋体" w:hAnsi="宋体" w:eastAsia="宋体" w:cs="宋体"/>
          <w:bCs/>
          <w:color w:val="auto"/>
          <w:szCs w:val="21"/>
          <w:highlight w:val="none"/>
        </w:rPr>
        <w:t>本项目相关公告在以下媒介发布：中国采购与招标网(https：//www.chinabidding.cn/)、广东有德招标采购有限公司网站(http：//www.youde.net/)</w:t>
      </w:r>
      <w:r>
        <w:rPr>
          <w:rFonts w:hint="eastAsia" w:ascii="宋体" w:hAnsi="宋体" w:eastAsia="宋体" w:cs="宋体"/>
          <w:bCs/>
          <w:color w:val="auto"/>
          <w:szCs w:val="21"/>
          <w:highlight w:val="none"/>
          <w:lang w:eastAsia="zh-CN"/>
        </w:rPr>
        <w:t>、</w:t>
      </w:r>
      <w:r>
        <w:rPr>
          <w:rFonts w:hint="eastAsia" w:ascii="宋体" w:hAnsi="宋体" w:eastAsia="宋体" w:cs="宋体"/>
          <w:bCs/>
          <w:color w:val="auto"/>
          <w:szCs w:val="21"/>
          <w:highlight w:val="none"/>
        </w:rPr>
        <w:t>东莞市人工智能与数字经济有限公司官网（https://www.dgszjt.com/）</w:t>
      </w:r>
      <w:r>
        <w:rPr>
          <w:rFonts w:hint="eastAsia" w:ascii="宋体" w:hAnsi="宋体" w:eastAsia="宋体" w:cs="宋体"/>
          <w:color w:val="auto"/>
          <w:szCs w:val="21"/>
          <w:highlight w:val="none"/>
          <w:lang w:val="zh-CN"/>
        </w:rPr>
        <w:t>。</w:t>
      </w:r>
    </w:p>
    <w:p w14:paraId="795F0CE8">
      <w:pPr>
        <w:autoSpaceDE w:val="0"/>
        <w:autoSpaceDN w:val="0"/>
        <w:spacing w:line="360" w:lineRule="auto"/>
        <w:ind w:right="-29" w:rightChars="-14" w:firstLine="420"/>
        <w:outlineLvl w:val="9"/>
        <w:rPr>
          <w:rFonts w:hint="eastAsia" w:ascii="宋体" w:hAnsi="宋体" w:eastAsia="宋体" w:cs="宋体"/>
          <w:bCs/>
          <w:color w:val="auto"/>
          <w:szCs w:val="21"/>
          <w:highlight w:val="none"/>
        </w:rPr>
      </w:pPr>
    </w:p>
    <w:p w14:paraId="6178227C">
      <w:pPr>
        <w:numPr>
          <w:ilvl w:val="0"/>
          <w:numId w:val="1"/>
        </w:numPr>
        <w:autoSpaceDE w:val="0"/>
        <w:autoSpaceDN w:val="0"/>
        <w:spacing w:line="360" w:lineRule="auto"/>
        <w:ind w:right="-34"/>
        <w:jc w:val="left"/>
        <w:outlineLvl w:val="9"/>
        <w:rPr>
          <w:rFonts w:hint="eastAsia" w:ascii="宋体" w:hAnsi="宋体" w:eastAsia="宋体" w:cs="宋体"/>
          <w:color w:val="auto"/>
          <w:szCs w:val="21"/>
          <w:highlight w:val="none"/>
        </w:rPr>
      </w:pPr>
      <w:r>
        <w:rPr>
          <w:rFonts w:hint="eastAsia" w:ascii="宋体" w:hAnsi="宋体" w:eastAsia="宋体" w:cs="宋体"/>
          <w:bCs/>
          <w:color w:val="auto"/>
          <w:szCs w:val="21"/>
          <w:highlight w:val="none"/>
          <w:lang w:val="zh-CN"/>
        </w:rPr>
        <w:t>招标人联系方式</w:t>
      </w:r>
    </w:p>
    <w:p w14:paraId="118DD530">
      <w:pPr>
        <w:widowControl/>
        <w:autoSpaceDE w:val="0"/>
        <w:autoSpaceDN w:val="0"/>
        <w:spacing w:line="360" w:lineRule="auto"/>
        <w:ind w:right="-31" w:rightChars="-15" w:firstLine="424" w:firstLineChars="202"/>
        <w:jc w:val="left"/>
        <w:textAlignment w:val="bottom"/>
        <w:outlineLvl w:val="9"/>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招标人：</w:t>
      </w:r>
      <w:r>
        <w:rPr>
          <w:rFonts w:hint="eastAsia" w:ascii="宋体" w:hAnsi="宋体" w:eastAsia="宋体" w:cs="宋体"/>
          <w:color w:val="auto"/>
          <w:kern w:val="0"/>
          <w:szCs w:val="21"/>
          <w:highlight w:val="none"/>
          <w:lang w:eastAsia="zh-CN"/>
        </w:rPr>
        <w:t>东莞数字城市科技有限公司</w:t>
      </w:r>
    </w:p>
    <w:p w14:paraId="2B58B2F8">
      <w:pPr>
        <w:widowControl/>
        <w:autoSpaceDE w:val="0"/>
        <w:autoSpaceDN w:val="0"/>
        <w:spacing w:line="360" w:lineRule="auto"/>
        <w:ind w:right="-31" w:rightChars="-15" w:firstLine="424" w:firstLineChars="202"/>
        <w:jc w:val="left"/>
        <w:textAlignment w:val="bottom"/>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地  址：广东省东莞市东城街道东莞大道东城段15号701室</w:t>
      </w:r>
    </w:p>
    <w:p w14:paraId="770E5E12">
      <w:pPr>
        <w:widowControl/>
        <w:autoSpaceDE w:val="0"/>
        <w:autoSpaceDN w:val="0"/>
        <w:spacing w:line="360" w:lineRule="auto"/>
        <w:ind w:right="-31" w:rightChars="-15" w:firstLine="424" w:firstLineChars="202"/>
        <w:jc w:val="left"/>
        <w:textAlignment w:val="bottom"/>
        <w:outlineLvl w:val="9"/>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rPr>
        <w:t>联系人：</w:t>
      </w:r>
      <w:r>
        <w:rPr>
          <w:rFonts w:hint="eastAsia" w:ascii="宋体" w:hAnsi="宋体" w:eastAsia="宋体" w:cs="宋体"/>
          <w:color w:val="auto"/>
          <w:kern w:val="0"/>
          <w:szCs w:val="21"/>
          <w:highlight w:val="none"/>
          <w:lang w:val="en-US" w:eastAsia="zh-CN"/>
        </w:rPr>
        <w:t>周小姐</w:t>
      </w:r>
    </w:p>
    <w:p w14:paraId="73B08DF3">
      <w:pPr>
        <w:widowControl/>
        <w:autoSpaceDE w:val="0"/>
        <w:autoSpaceDN w:val="0"/>
        <w:spacing w:line="360" w:lineRule="auto"/>
        <w:ind w:right="-31" w:rightChars="-15" w:firstLine="424" w:firstLineChars="202"/>
        <w:jc w:val="left"/>
        <w:textAlignment w:val="bottom"/>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电  话：</w:t>
      </w:r>
      <w:r>
        <w:rPr>
          <w:rFonts w:hint="eastAsia" w:ascii="宋体" w:hAnsi="宋体" w:eastAsia="宋体" w:cs="宋体"/>
          <w:color w:val="auto"/>
          <w:highlight w:val="none"/>
        </w:rPr>
        <w:t>0769-22312345</w:t>
      </w:r>
    </w:p>
    <w:p w14:paraId="6FBBE9FA">
      <w:pPr>
        <w:autoSpaceDE w:val="0"/>
        <w:autoSpaceDN w:val="0"/>
        <w:spacing w:line="360" w:lineRule="auto"/>
        <w:ind w:right="-29" w:rightChars="-14" w:firstLine="420"/>
        <w:outlineLvl w:val="9"/>
        <w:rPr>
          <w:rFonts w:hint="eastAsia" w:ascii="宋体" w:hAnsi="宋体" w:eastAsia="宋体" w:cs="宋体"/>
          <w:color w:val="auto"/>
          <w:kern w:val="0"/>
          <w:szCs w:val="21"/>
          <w:highlight w:val="none"/>
        </w:rPr>
      </w:pPr>
    </w:p>
    <w:p w14:paraId="3C166866">
      <w:pPr>
        <w:numPr>
          <w:ilvl w:val="0"/>
          <w:numId w:val="1"/>
        </w:numPr>
        <w:autoSpaceDE w:val="0"/>
        <w:autoSpaceDN w:val="0"/>
        <w:spacing w:line="360" w:lineRule="auto"/>
        <w:ind w:right="-34"/>
        <w:jc w:val="left"/>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招标代理机构联系方式</w:t>
      </w:r>
    </w:p>
    <w:p w14:paraId="6B750E9E">
      <w:pPr>
        <w:widowControl/>
        <w:autoSpaceDE w:val="0"/>
        <w:autoSpaceDN w:val="0"/>
        <w:spacing w:line="360" w:lineRule="auto"/>
        <w:ind w:right="-31" w:rightChars="-15" w:firstLine="424" w:firstLineChars="202"/>
        <w:jc w:val="left"/>
        <w:textAlignment w:val="bottom"/>
        <w:outlineLvl w:val="9"/>
        <w:rPr>
          <w:rFonts w:hint="eastAsia" w:ascii="宋体" w:hAnsi="宋体" w:eastAsia="宋体" w:cs="宋体"/>
          <w:color w:val="auto"/>
          <w:kern w:val="0"/>
          <w:szCs w:val="21"/>
          <w:highlight w:val="none"/>
        </w:rPr>
      </w:pPr>
      <w:bookmarkStart w:id="9" w:name="_Toc31764_WPSOffice_Level1"/>
      <w:bookmarkStart w:id="10" w:name="_Toc450662847"/>
      <w:bookmarkStart w:id="11" w:name="_Toc486167661"/>
      <w:r>
        <w:rPr>
          <w:rFonts w:hint="eastAsia" w:ascii="宋体" w:hAnsi="宋体" w:eastAsia="宋体" w:cs="宋体"/>
          <w:color w:val="auto"/>
          <w:kern w:val="0"/>
          <w:szCs w:val="21"/>
          <w:highlight w:val="none"/>
        </w:rPr>
        <w:t>招标代理机构：广东有德招标采购有限公司</w:t>
      </w:r>
    </w:p>
    <w:p w14:paraId="1B8AD45A">
      <w:pPr>
        <w:widowControl/>
        <w:autoSpaceDE w:val="0"/>
        <w:autoSpaceDN w:val="0"/>
        <w:spacing w:line="360" w:lineRule="auto"/>
        <w:ind w:right="-31" w:rightChars="-15" w:firstLine="424" w:firstLineChars="202"/>
        <w:jc w:val="left"/>
        <w:textAlignment w:val="bottom"/>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地  址：东莞市东城街道新源路海德琥珀台6栋1703室</w:t>
      </w:r>
    </w:p>
    <w:p w14:paraId="4F168D00">
      <w:pPr>
        <w:widowControl/>
        <w:autoSpaceDE w:val="0"/>
        <w:autoSpaceDN w:val="0"/>
        <w:spacing w:line="360" w:lineRule="auto"/>
        <w:ind w:right="-31" w:rightChars="-15" w:firstLine="424" w:firstLineChars="202"/>
        <w:jc w:val="left"/>
        <w:textAlignment w:val="bottom"/>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联系人：缪俊豪</w:t>
      </w:r>
    </w:p>
    <w:p w14:paraId="3E45FB46">
      <w:pPr>
        <w:widowControl/>
        <w:autoSpaceDE w:val="0"/>
        <w:autoSpaceDN w:val="0"/>
        <w:spacing w:line="360" w:lineRule="auto"/>
        <w:ind w:right="-31" w:rightChars="-15" w:firstLine="424" w:firstLineChars="202"/>
        <w:jc w:val="left"/>
        <w:textAlignment w:val="bottom"/>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电  话：（0769）</w:t>
      </w:r>
      <w:r>
        <w:rPr>
          <w:rFonts w:hint="eastAsia" w:ascii="宋体" w:hAnsi="宋体" w:eastAsia="宋体" w:cs="宋体"/>
          <w:bCs/>
          <w:color w:val="auto"/>
          <w:szCs w:val="21"/>
          <w:highlight w:val="none"/>
        </w:rPr>
        <w:t>23362836-8018</w:t>
      </w:r>
    </w:p>
    <w:p w14:paraId="7F222C56">
      <w:pPr>
        <w:pageBreakBefore/>
        <w:tabs>
          <w:tab w:val="left" w:pos="1080"/>
        </w:tabs>
        <w:autoSpaceDE w:val="0"/>
        <w:autoSpaceDN w:val="0"/>
        <w:adjustRightInd w:val="0"/>
        <w:spacing w:line="360" w:lineRule="auto"/>
        <w:ind w:left="-167" w:leftChars="-100" w:hanging="43"/>
        <w:jc w:val="center"/>
        <w:outlineLvl w:val="1"/>
        <w:rPr>
          <w:rFonts w:hint="eastAsia" w:ascii="宋体" w:hAnsi="宋体" w:eastAsia="宋体" w:cs="宋体"/>
          <w:b/>
          <w:bCs/>
          <w:color w:val="auto"/>
          <w:kern w:val="44"/>
          <w:sz w:val="32"/>
          <w:szCs w:val="32"/>
          <w:highlight w:val="none"/>
        </w:rPr>
      </w:pPr>
      <w:bookmarkStart w:id="12" w:name="_Toc142508311"/>
      <w:bookmarkStart w:id="13" w:name="_Toc12475"/>
      <w:bookmarkStart w:id="14" w:name="_Toc29912"/>
      <w:r>
        <w:rPr>
          <w:rFonts w:hint="eastAsia" w:ascii="宋体" w:hAnsi="宋体" w:eastAsia="宋体" w:cs="宋体"/>
          <w:b/>
          <w:bCs/>
          <w:color w:val="auto"/>
          <w:kern w:val="44"/>
          <w:sz w:val="32"/>
          <w:szCs w:val="32"/>
          <w:highlight w:val="none"/>
          <w:lang w:val="zh-CN"/>
        </w:rPr>
        <w:t>第二篇</w:t>
      </w:r>
      <w:r>
        <w:rPr>
          <w:rFonts w:hint="eastAsia" w:ascii="宋体" w:hAnsi="宋体" w:eastAsia="宋体" w:cs="宋体"/>
          <w:b/>
          <w:bCs/>
          <w:color w:val="auto"/>
          <w:kern w:val="44"/>
          <w:sz w:val="32"/>
          <w:szCs w:val="32"/>
          <w:highlight w:val="none"/>
        </w:rPr>
        <w:t xml:space="preserve"> </w:t>
      </w:r>
      <w:r>
        <w:rPr>
          <w:rFonts w:hint="eastAsia" w:ascii="宋体" w:hAnsi="宋体" w:eastAsia="宋体" w:cs="宋体"/>
          <w:b/>
          <w:bCs/>
          <w:color w:val="auto"/>
          <w:kern w:val="44"/>
          <w:sz w:val="32"/>
          <w:szCs w:val="32"/>
          <w:highlight w:val="none"/>
          <w:lang w:val="zh-CN"/>
        </w:rPr>
        <w:t>投标人须知</w:t>
      </w:r>
      <w:bookmarkEnd w:id="9"/>
      <w:bookmarkEnd w:id="10"/>
      <w:bookmarkEnd w:id="11"/>
      <w:bookmarkEnd w:id="12"/>
      <w:bookmarkEnd w:id="13"/>
      <w:bookmarkEnd w:id="14"/>
    </w:p>
    <w:p w14:paraId="03B26195">
      <w:pPr>
        <w:keepNext/>
        <w:keepLines/>
        <w:autoSpaceDE w:val="0"/>
        <w:autoSpaceDN w:val="0"/>
        <w:adjustRightInd w:val="0"/>
        <w:spacing w:line="360" w:lineRule="auto"/>
        <w:jc w:val="left"/>
        <w:outlineLvl w:val="0"/>
        <w:rPr>
          <w:rFonts w:hint="eastAsia" w:ascii="宋体" w:hAnsi="宋体" w:eastAsia="宋体" w:cs="宋体"/>
          <w:b/>
          <w:bCs/>
          <w:color w:val="auto"/>
          <w:kern w:val="44"/>
          <w:szCs w:val="21"/>
          <w:highlight w:val="none"/>
          <w:lang w:val="zh-CN"/>
        </w:rPr>
      </w:pPr>
      <w:bookmarkStart w:id="15" w:name="_Toc486167662"/>
      <w:bookmarkStart w:id="16" w:name="_Toc140596871"/>
      <w:bookmarkStart w:id="17" w:name="_Toc142508312"/>
      <w:bookmarkStart w:id="18" w:name="_Toc7745"/>
      <w:bookmarkStart w:id="19" w:name="_Toc15366_WPSOffice_Level2"/>
      <w:bookmarkStart w:id="20" w:name="_Toc16098"/>
      <w:bookmarkStart w:id="21" w:name="_Toc450662848"/>
      <w:r>
        <w:rPr>
          <w:rFonts w:hint="eastAsia" w:ascii="宋体" w:hAnsi="宋体" w:eastAsia="宋体" w:cs="宋体"/>
          <w:b/>
          <w:bCs/>
          <w:color w:val="auto"/>
          <w:kern w:val="44"/>
          <w:szCs w:val="21"/>
          <w:highlight w:val="none"/>
          <w:lang w:val="zh-CN"/>
        </w:rPr>
        <w:t>一、总则</w:t>
      </w:r>
      <w:bookmarkEnd w:id="15"/>
      <w:bookmarkEnd w:id="16"/>
      <w:bookmarkEnd w:id="17"/>
      <w:bookmarkEnd w:id="18"/>
      <w:bookmarkEnd w:id="19"/>
      <w:bookmarkEnd w:id="20"/>
      <w:bookmarkEnd w:id="21"/>
    </w:p>
    <w:p w14:paraId="048155D8">
      <w:pPr>
        <w:tabs>
          <w:tab w:val="left" w:pos="570"/>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22" w:name="_Toc142508313"/>
      <w:bookmarkStart w:id="23" w:name="_Toc450662849"/>
      <w:bookmarkStart w:id="24" w:name="_Toc21710_WPSOffice_Level3"/>
      <w:bookmarkStart w:id="25" w:name="_Toc486167663"/>
      <w:bookmarkStart w:id="26" w:name="_Toc16700"/>
      <w:r>
        <w:rPr>
          <w:rFonts w:hint="eastAsia" w:ascii="宋体" w:hAnsi="宋体" w:eastAsia="宋体" w:cs="宋体"/>
          <w:color w:val="auto"/>
          <w:szCs w:val="21"/>
          <w:highlight w:val="none"/>
          <w:lang w:val="zh-CN"/>
        </w:rPr>
        <w:t>1 资金来源：</w:t>
      </w:r>
      <w:r>
        <w:rPr>
          <w:rFonts w:hint="eastAsia" w:ascii="宋体" w:hAnsi="宋体" w:eastAsia="宋体" w:cs="宋体"/>
          <w:color w:val="auto"/>
          <w:szCs w:val="21"/>
          <w:highlight w:val="none"/>
          <w:lang w:val="en-US" w:eastAsia="zh-CN"/>
        </w:rPr>
        <w:t>自筹</w:t>
      </w:r>
      <w:r>
        <w:rPr>
          <w:rFonts w:hint="eastAsia" w:ascii="宋体" w:hAnsi="宋体" w:eastAsia="宋体" w:cs="宋体"/>
          <w:color w:val="auto"/>
          <w:szCs w:val="21"/>
          <w:highlight w:val="none"/>
          <w:lang w:val="zh-CN"/>
        </w:rPr>
        <w:t>资金。</w:t>
      </w:r>
      <w:bookmarkEnd w:id="22"/>
      <w:bookmarkEnd w:id="23"/>
      <w:bookmarkEnd w:id="24"/>
      <w:bookmarkEnd w:id="25"/>
      <w:bookmarkEnd w:id="26"/>
    </w:p>
    <w:p w14:paraId="5F7F70FD">
      <w:pPr>
        <w:autoSpaceDE w:val="0"/>
        <w:autoSpaceDN w:val="0"/>
        <w:adjustRightInd w:val="0"/>
        <w:spacing w:line="360" w:lineRule="auto"/>
        <w:jc w:val="left"/>
        <w:outlineLvl w:val="9"/>
        <w:rPr>
          <w:rFonts w:hint="eastAsia" w:ascii="宋体" w:hAnsi="宋体" w:eastAsia="宋体" w:cs="宋体"/>
          <w:color w:val="auto"/>
          <w:kern w:val="0"/>
          <w:sz w:val="24"/>
          <w:szCs w:val="24"/>
          <w:highlight w:val="none"/>
        </w:rPr>
      </w:pPr>
    </w:p>
    <w:p w14:paraId="4EFFD8D6">
      <w:pPr>
        <w:tabs>
          <w:tab w:val="left" w:pos="570"/>
        </w:tabs>
        <w:autoSpaceDE w:val="0"/>
        <w:autoSpaceDN w:val="0"/>
        <w:adjustRightInd w:val="0"/>
        <w:spacing w:line="360" w:lineRule="auto"/>
        <w:ind w:left="357" w:leftChars="-100" w:hanging="567"/>
        <w:jc w:val="left"/>
        <w:outlineLvl w:val="9"/>
        <w:rPr>
          <w:rFonts w:hint="eastAsia" w:ascii="宋体" w:hAnsi="宋体" w:eastAsia="宋体" w:cs="宋体"/>
          <w:b/>
          <w:color w:val="auto"/>
          <w:szCs w:val="21"/>
          <w:highlight w:val="none"/>
          <w:lang w:val="zh-CN"/>
        </w:rPr>
      </w:pPr>
      <w:bookmarkStart w:id="27" w:name="_Toc142508314"/>
      <w:bookmarkStart w:id="28" w:name="_Toc80_WPSOffice_Level3"/>
      <w:bookmarkStart w:id="29" w:name="_Toc486167664"/>
      <w:bookmarkStart w:id="30" w:name="_Toc450662850"/>
      <w:bookmarkStart w:id="31" w:name="_Toc5550"/>
      <w:r>
        <w:rPr>
          <w:rFonts w:hint="eastAsia" w:ascii="宋体" w:hAnsi="宋体" w:eastAsia="宋体" w:cs="宋体"/>
          <w:b/>
          <w:color w:val="auto"/>
          <w:szCs w:val="21"/>
          <w:highlight w:val="none"/>
          <w:lang w:val="zh-CN"/>
        </w:rPr>
        <w:t>2 合格的投标人</w:t>
      </w:r>
      <w:bookmarkEnd w:id="27"/>
      <w:bookmarkEnd w:id="28"/>
      <w:bookmarkEnd w:id="29"/>
      <w:bookmarkEnd w:id="30"/>
      <w:bookmarkEnd w:id="31"/>
    </w:p>
    <w:p w14:paraId="73D48560">
      <w:pPr>
        <w:autoSpaceDE w:val="0"/>
        <w:autoSpaceDN w:val="0"/>
        <w:adjustRightInd w:val="0"/>
        <w:spacing w:line="360" w:lineRule="auto"/>
        <w:ind w:left="317" w:leftChars="-100" w:hanging="527" w:hangingChars="250"/>
        <w:outlineLvl w:val="9"/>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2.1  合格的投标人条件见第一篇《招标公告》中第2条的“合格投标人资格要求”及本条以下2.2款至</w:t>
      </w:r>
      <w:r>
        <w:rPr>
          <w:rFonts w:hint="eastAsia" w:ascii="宋体" w:hAnsi="宋体" w:eastAsia="宋体" w:cs="宋体"/>
          <w:b/>
          <w:color w:val="auto"/>
          <w:szCs w:val="21"/>
          <w:highlight w:val="none"/>
        </w:rPr>
        <w:t>2.6</w:t>
      </w:r>
      <w:r>
        <w:rPr>
          <w:rFonts w:hint="eastAsia" w:ascii="宋体" w:hAnsi="宋体" w:eastAsia="宋体" w:cs="宋体"/>
          <w:b/>
          <w:color w:val="auto"/>
          <w:szCs w:val="21"/>
          <w:highlight w:val="none"/>
          <w:lang w:val="zh-CN"/>
        </w:rPr>
        <w:t>款的通用要求。</w:t>
      </w:r>
    </w:p>
    <w:p w14:paraId="65ED59F0">
      <w:pPr>
        <w:autoSpaceDE w:val="0"/>
        <w:autoSpaceDN w:val="0"/>
        <w:adjustRightInd w:val="0"/>
        <w:spacing w:line="360" w:lineRule="auto"/>
        <w:ind w:left="359" w:leftChars="-100" w:hanging="569" w:hangingChars="270"/>
        <w:outlineLvl w:val="9"/>
        <w:rPr>
          <w:rFonts w:hint="eastAsia" w:ascii="宋体" w:hAnsi="宋体" w:eastAsia="宋体" w:cs="宋体"/>
          <w:b/>
          <w:color w:val="auto"/>
          <w:kern w:val="0"/>
          <w:szCs w:val="21"/>
          <w:highlight w:val="none"/>
        </w:rPr>
      </w:pPr>
      <w:r>
        <w:rPr>
          <w:rFonts w:hint="eastAsia" w:ascii="宋体" w:hAnsi="宋体" w:eastAsia="宋体" w:cs="宋体"/>
          <w:b/>
          <w:color w:val="auto"/>
          <w:kern w:val="0"/>
          <w:szCs w:val="24"/>
          <w:highlight w:val="none"/>
        </w:rPr>
        <w:t xml:space="preserve">2.2  </w:t>
      </w:r>
      <w:r>
        <w:rPr>
          <w:rFonts w:hint="eastAsia" w:ascii="宋体" w:hAnsi="宋体" w:eastAsia="宋体" w:cs="宋体"/>
          <w:b/>
          <w:color w:val="auto"/>
          <w:kern w:val="0"/>
          <w:szCs w:val="21"/>
          <w:highlight w:val="none"/>
        </w:rPr>
        <w:t>投标人在参加本项目投标前的三年内不得在投标活动中存在《中华人民共和国招标投标法》第五十三条（相互串通投标或者与招标人串通投标，以向招标人或者评标委员会成员行贿的手段谋取中标）、第五十四条（以他人名义投标或者以其他方式弄虚作假，骗取中标）、第六十条（中标人不履行与招标人订立的合同）、《中华人民共和国招标投标法实施条例》第七十六条（将中标项目转让给他人的，将中标项目肢解后分别转让给他人的，违反招标投标法和本条例规定将中标项目的部分主体、关键性工作分包给他人的，或者分包人再次分包）、第七十七条（捏造事实、伪造材料或者以非法手段取得证明材料进行投诉）规定的违法行为，而受到各级管理部门的处罚。投标人存在前述处罚的，在投标文件中必须主动按招标文件的要求填报“最近3年投标人牵涉的其他（失信和违法）</w:t>
      </w:r>
      <w:r>
        <w:rPr>
          <w:rFonts w:hint="eastAsia" w:ascii="宋体" w:hAnsi="宋体" w:eastAsia="宋体" w:cs="宋体"/>
          <w:b/>
          <w:color w:val="auto"/>
          <w:kern w:val="0"/>
          <w:szCs w:val="21"/>
          <w:highlight w:val="none"/>
          <w:lang w:val="zh-CN"/>
        </w:rPr>
        <w:t>处罚说明</w:t>
      </w:r>
      <w:r>
        <w:rPr>
          <w:rFonts w:hint="eastAsia" w:ascii="宋体" w:hAnsi="宋体" w:eastAsia="宋体" w:cs="宋体"/>
          <w:b/>
          <w:color w:val="auto"/>
          <w:kern w:val="0"/>
          <w:szCs w:val="21"/>
          <w:highlight w:val="none"/>
        </w:rPr>
        <w:t>”，如果不主动填报而被事后发现的，将取消其投标（中标）资格，并按有关规定从重处理。</w:t>
      </w:r>
    </w:p>
    <w:p w14:paraId="5AEBBB54">
      <w:pPr>
        <w:autoSpaceDE w:val="0"/>
        <w:autoSpaceDN w:val="0"/>
        <w:adjustRightInd w:val="0"/>
        <w:spacing w:line="360" w:lineRule="auto"/>
        <w:ind w:left="317" w:leftChars="-100" w:hanging="527" w:hangingChars="250"/>
        <w:outlineLvl w:val="9"/>
        <w:rPr>
          <w:rFonts w:hint="eastAsia" w:ascii="宋体" w:hAnsi="宋体" w:eastAsia="宋体" w:cs="宋体"/>
          <w:b/>
          <w:color w:val="auto"/>
          <w:szCs w:val="21"/>
          <w:highlight w:val="none"/>
          <w:lang w:val="zh-CN"/>
        </w:rPr>
      </w:pPr>
      <w:r>
        <w:rPr>
          <w:rFonts w:hint="eastAsia" w:ascii="宋体" w:hAnsi="宋体" w:eastAsia="宋体" w:cs="宋体"/>
          <w:b/>
          <w:color w:val="auto"/>
          <w:kern w:val="0"/>
          <w:szCs w:val="21"/>
          <w:highlight w:val="none"/>
          <w:lang w:val="zh-CN"/>
        </w:rPr>
        <w:t>2.3  投标人</w:t>
      </w:r>
      <w:r>
        <w:rPr>
          <w:rFonts w:hint="eastAsia" w:ascii="宋体" w:hAnsi="宋体" w:eastAsia="宋体" w:cs="宋体"/>
          <w:b/>
          <w:color w:val="auto"/>
          <w:szCs w:val="21"/>
          <w:highlight w:val="none"/>
          <w:lang w:val="zh-CN"/>
        </w:rPr>
        <w:t>符合《中华人民共和国招标投标法》第二十六条规定。</w:t>
      </w:r>
    </w:p>
    <w:p w14:paraId="279479DA">
      <w:pPr>
        <w:autoSpaceDE w:val="0"/>
        <w:autoSpaceDN w:val="0"/>
        <w:adjustRightInd w:val="0"/>
        <w:spacing w:line="360" w:lineRule="auto"/>
        <w:ind w:left="359" w:leftChars="-99" w:hanging="567" w:hangingChars="269"/>
        <w:outlineLvl w:val="9"/>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2.4  投标人（含其不具有独立法人资格的分支机构）未被列入“信用中国”网站（www.creditchina.gov.cn）失信被执行人、重大税收违法失信主体、政府采购严重违法失信行为记录名单（处罚期限届满的除外）。</w:t>
      </w:r>
    </w:p>
    <w:p w14:paraId="5BE39BEA">
      <w:pPr>
        <w:autoSpaceDE w:val="0"/>
        <w:autoSpaceDN w:val="0"/>
        <w:adjustRightInd w:val="0"/>
        <w:spacing w:line="360" w:lineRule="auto"/>
        <w:ind w:left="317" w:leftChars="-100" w:hanging="527" w:hangingChars="250"/>
        <w:outlineLvl w:val="9"/>
        <w:rPr>
          <w:rFonts w:hint="eastAsia" w:ascii="宋体" w:hAnsi="宋体" w:eastAsia="宋体" w:cs="宋体"/>
          <w:b/>
          <w:color w:val="auto"/>
          <w:kern w:val="0"/>
          <w:szCs w:val="21"/>
          <w:highlight w:val="none"/>
          <w:lang w:val="zh-CN"/>
        </w:rPr>
      </w:pPr>
      <w:r>
        <w:rPr>
          <w:rFonts w:hint="eastAsia" w:ascii="宋体" w:hAnsi="宋体" w:eastAsia="宋体" w:cs="宋体"/>
          <w:b/>
          <w:color w:val="auto"/>
          <w:szCs w:val="21"/>
          <w:highlight w:val="none"/>
          <w:lang w:val="zh-CN"/>
        </w:rPr>
        <w:t xml:space="preserve">2.5  </w:t>
      </w:r>
      <w:r>
        <w:rPr>
          <w:rFonts w:hint="eastAsia" w:ascii="宋体" w:hAnsi="宋体" w:eastAsia="宋体" w:cs="宋体"/>
          <w:b/>
          <w:color w:val="auto"/>
          <w:kern w:val="0"/>
          <w:szCs w:val="21"/>
          <w:highlight w:val="none"/>
        </w:rPr>
        <w:t>根据《中华人民共和国招标投标法实施条例》第三十四条规定，与招标人存在利害关系可能影响招标公正性的法人、其他组织或者个人，不得参加投标；投标人负责人为同一人或者存在控股、管理关系的不同投标人，不得参加同一项目投标。上述情况一经发现，相关投标均无效</w:t>
      </w:r>
      <w:r>
        <w:rPr>
          <w:rFonts w:hint="eastAsia" w:ascii="宋体" w:hAnsi="宋体" w:eastAsia="宋体" w:cs="宋体"/>
          <w:b/>
          <w:color w:val="auto"/>
          <w:szCs w:val="21"/>
          <w:highlight w:val="none"/>
          <w:lang w:val="zh-CN"/>
        </w:rPr>
        <w:t>。</w:t>
      </w:r>
    </w:p>
    <w:p w14:paraId="4392496C">
      <w:pPr>
        <w:autoSpaceDE w:val="0"/>
        <w:autoSpaceDN w:val="0"/>
        <w:adjustRightInd w:val="0"/>
        <w:spacing w:line="360" w:lineRule="auto"/>
        <w:ind w:left="317" w:leftChars="-100" w:hanging="527" w:hangingChars="250"/>
        <w:outlineLvl w:val="9"/>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2.6  投标人必须在获取招标文件期间在招标代理机构处报名获取了招标文件，方能参与本项目的投标。</w:t>
      </w:r>
    </w:p>
    <w:p w14:paraId="30095E52">
      <w:pPr>
        <w:tabs>
          <w:tab w:val="left" w:pos="426"/>
        </w:tabs>
        <w:autoSpaceDE w:val="0"/>
        <w:autoSpaceDN w:val="0"/>
        <w:adjustRightInd w:val="0"/>
        <w:spacing w:line="360" w:lineRule="auto"/>
        <w:ind w:left="319" w:leftChars="-100" w:hanging="529" w:hangingChars="252"/>
        <w:outlineLvl w:val="9"/>
        <w:rPr>
          <w:rFonts w:hint="eastAsia" w:ascii="宋体" w:hAnsi="宋体" w:eastAsia="宋体" w:cs="宋体"/>
          <w:color w:val="auto"/>
          <w:kern w:val="0"/>
          <w:szCs w:val="24"/>
          <w:highlight w:val="none"/>
        </w:rPr>
      </w:pPr>
    </w:p>
    <w:p w14:paraId="232F44E5">
      <w:pPr>
        <w:tabs>
          <w:tab w:val="left" w:pos="570"/>
        </w:tabs>
        <w:autoSpaceDE w:val="0"/>
        <w:autoSpaceDN w:val="0"/>
        <w:adjustRightInd w:val="0"/>
        <w:spacing w:line="360" w:lineRule="auto"/>
        <w:ind w:left="357" w:leftChars="-100" w:hanging="567"/>
        <w:jc w:val="left"/>
        <w:outlineLvl w:val="9"/>
        <w:rPr>
          <w:rFonts w:hint="eastAsia" w:ascii="宋体" w:hAnsi="宋体" w:eastAsia="宋体" w:cs="宋体"/>
          <w:b/>
          <w:color w:val="auto"/>
          <w:szCs w:val="21"/>
          <w:highlight w:val="none"/>
          <w:lang w:val="zh-CN" w:eastAsia="zh-CN"/>
        </w:rPr>
      </w:pPr>
      <w:bookmarkStart w:id="32" w:name="_Toc8199"/>
      <w:bookmarkStart w:id="33" w:name="_Toc142508315"/>
      <w:bookmarkStart w:id="34" w:name="_Toc23847_WPSOffice_Level3"/>
      <w:bookmarkStart w:id="35" w:name="_Toc450662851"/>
      <w:bookmarkStart w:id="36" w:name="_Toc486167665"/>
      <w:r>
        <w:rPr>
          <w:rFonts w:hint="eastAsia" w:ascii="宋体" w:hAnsi="宋体" w:eastAsia="宋体" w:cs="宋体"/>
          <w:b/>
          <w:color w:val="auto"/>
          <w:szCs w:val="21"/>
          <w:highlight w:val="none"/>
          <w:lang w:val="zh-CN"/>
        </w:rPr>
        <w:t>3 合格的</w:t>
      </w:r>
      <w:bookmarkEnd w:id="32"/>
      <w:bookmarkEnd w:id="33"/>
      <w:bookmarkEnd w:id="34"/>
      <w:r>
        <w:rPr>
          <w:rFonts w:hint="eastAsia" w:ascii="宋体" w:hAnsi="宋体" w:eastAsia="宋体" w:cs="宋体"/>
          <w:b/>
          <w:color w:val="auto"/>
          <w:szCs w:val="21"/>
          <w:highlight w:val="none"/>
          <w:lang w:val="en-US" w:eastAsia="zh-CN"/>
        </w:rPr>
        <w:t>服务</w:t>
      </w:r>
    </w:p>
    <w:p w14:paraId="779E4A5C">
      <w:pPr>
        <w:autoSpaceDE w:val="0"/>
        <w:autoSpaceDN w:val="0"/>
        <w:adjustRightInd w:val="0"/>
        <w:spacing w:line="360" w:lineRule="auto"/>
        <w:ind w:left="315" w:leftChars="-100" w:hanging="525" w:hangingChars="2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3.1</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en-US" w:eastAsia="zh-CN"/>
        </w:rPr>
        <w:t xml:space="preserve"> </w:t>
      </w:r>
      <w:r>
        <w:rPr>
          <w:rFonts w:hint="eastAsia" w:ascii="宋体" w:hAnsi="宋体" w:eastAsia="宋体" w:cs="宋体"/>
          <w:color w:val="auto"/>
          <w:szCs w:val="21"/>
          <w:highlight w:val="none"/>
        </w:rPr>
        <w:t>“服务”是指投标人按招标文件规定完成的全部服务内容，其中包括完成服务所需的货物和工程，及须承担的技术支持、培训和其它伴随服务。</w:t>
      </w:r>
    </w:p>
    <w:p w14:paraId="222F296D">
      <w:pPr>
        <w:autoSpaceDE w:val="0"/>
        <w:autoSpaceDN w:val="0"/>
        <w:adjustRightInd w:val="0"/>
        <w:spacing w:line="360" w:lineRule="auto"/>
        <w:ind w:left="315" w:leftChars="-100" w:hanging="525" w:hangingChars="250"/>
        <w:rPr>
          <w:rFonts w:hint="eastAsia" w:ascii="宋体" w:hAnsi="宋体" w:eastAsia="宋体" w:cs="宋体"/>
          <w:color w:val="auto"/>
          <w:szCs w:val="21"/>
          <w:highlight w:val="none"/>
          <w:lang w:val="zh-CN"/>
        </w:rPr>
      </w:pPr>
      <w:bookmarkStart w:id="37" w:name="_Toc1977663"/>
      <w:bookmarkStart w:id="38" w:name="_Toc533708063"/>
      <w:r>
        <w:rPr>
          <w:rFonts w:hint="eastAsia" w:ascii="宋体" w:hAnsi="宋体" w:eastAsia="宋体" w:cs="宋体"/>
          <w:color w:val="auto"/>
          <w:szCs w:val="21"/>
          <w:highlight w:val="none"/>
          <w:lang w:val="zh-CN"/>
        </w:rPr>
        <w:t xml:space="preserve">3.2  </w:t>
      </w:r>
      <w:bookmarkEnd w:id="37"/>
      <w:bookmarkEnd w:id="38"/>
      <w:bookmarkStart w:id="39" w:name="_Toc1977665"/>
      <w:bookmarkStart w:id="40" w:name="_Toc533708065"/>
      <w:r>
        <w:rPr>
          <w:rFonts w:hint="eastAsia" w:ascii="宋体" w:hAnsi="宋体" w:eastAsia="宋体" w:cs="宋体"/>
          <w:color w:val="auto"/>
          <w:szCs w:val="21"/>
          <w:highlight w:val="none"/>
          <w:lang w:val="zh-CN"/>
        </w:rPr>
        <w:t>投标人必须保证提供的所有</w:t>
      </w:r>
      <w:r>
        <w:rPr>
          <w:rFonts w:hint="eastAsia" w:ascii="宋体" w:hAnsi="宋体" w:eastAsia="宋体" w:cs="宋体"/>
          <w:color w:val="auto"/>
          <w:szCs w:val="21"/>
          <w:highlight w:val="none"/>
          <w:lang w:val="en-US" w:eastAsia="zh-CN"/>
        </w:rPr>
        <w:t>服务</w:t>
      </w:r>
      <w:r>
        <w:rPr>
          <w:rFonts w:hint="eastAsia" w:ascii="宋体" w:hAnsi="宋体" w:eastAsia="宋体" w:cs="宋体"/>
          <w:color w:val="auto"/>
          <w:szCs w:val="21"/>
          <w:highlight w:val="none"/>
          <w:lang w:val="zh-CN"/>
        </w:rPr>
        <w:t>或</w:t>
      </w:r>
      <w:r>
        <w:rPr>
          <w:rFonts w:hint="eastAsia" w:ascii="宋体" w:hAnsi="宋体" w:eastAsia="宋体" w:cs="宋体"/>
          <w:color w:val="auto"/>
          <w:szCs w:val="21"/>
          <w:highlight w:val="none"/>
          <w:lang w:val="en-US" w:eastAsia="zh-CN"/>
        </w:rPr>
        <w:t>服务</w:t>
      </w:r>
      <w:r>
        <w:rPr>
          <w:rFonts w:hint="eastAsia" w:ascii="宋体" w:hAnsi="宋体" w:eastAsia="宋体" w:cs="宋体"/>
          <w:color w:val="auto"/>
          <w:szCs w:val="21"/>
          <w:highlight w:val="none"/>
          <w:lang w:val="zh-CN"/>
        </w:rPr>
        <w:t>的任何部分均为最新正式版本。</w:t>
      </w:r>
      <w:bookmarkEnd w:id="39"/>
      <w:bookmarkEnd w:id="40"/>
    </w:p>
    <w:p w14:paraId="7A221209">
      <w:pPr>
        <w:autoSpaceDE w:val="0"/>
        <w:autoSpaceDN w:val="0"/>
        <w:adjustRightInd w:val="0"/>
        <w:spacing w:line="360" w:lineRule="auto"/>
        <w:ind w:left="315" w:leftChars="-100" w:hanging="525" w:hangingChars="250"/>
        <w:rPr>
          <w:rFonts w:hint="eastAsia" w:ascii="宋体" w:hAnsi="宋体" w:eastAsia="宋体" w:cs="宋体"/>
          <w:color w:val="auto"/>
          <w:szCs w:val="21"/>
          <w:highlight w:val="none"/>
          <w:lang w:val="zh-CN"/>
        </w:rPr>
      </w:pPr>
      <w:bookmarkStart w:id="41" w:name="_Toc533708066"/>
      <w:bookmarkStart w:id="42" w:name="_Toc1977666"/>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lang w:val="zh-CN"/>
        </w:rPr>
        <w:t xml:space="preserve">  </w:t>
      </w:r>
      <w:bookmarkEnd w:id="41"/>
      <w:bookmarkEnd w:id="42"/>
      <w:bookmarkStart w:id="43" w:name="_Toc533708067"/>
      <w:bookmarkStart w:id="44" w:name="_Toc1977667"/>
      <w:r>
        <w:rPr>
          <w:rFonts w:hint="eastAsia" w:ascii="宋体" w:hAnsi="宋体" w:eastAsia="宋体" w:cs="宋体"/>
          <w:color w:val="auto"/>
          <w:szCs w:val="21"/>
          <w:highlight w:val="none"/>
          <w:lang w:val="zh-CN"/>
        </w:rPr>
        <w:t>投标人</w:t>
      </w:r>
      <w:r>
        <w:rPr>
          <w:rFonts w:hint="eastAsia" w:ascii="宋体" w:hAnsi="宋体" w:eastAsia="宋体" w:cs="宋体"/>
          <w:color w:val="auto"/>
          <w:kern w:val="0"/>
          <w:szCs w:val="21"/>
          <w:highlight w:val="none"/>
        </w:rPr>
        <w:t>应保证招标人在中华人民共和国使用</w:t>
      </w:r>
      <w:r>
        <w:rPr>
          <w:rFonts w:hint="eastAsia" w:ascii="宋体" w:hAnsi="宋体" w:eastAsia="宋体" w:cs="宋体"/>
          <w:color w:val="auto"/>
          <w:kern w:val="0"/>
          <w:szCs w:val="21"/>
          <w:highlight w:val="none"/>
          <w:lang w:val="en-US" w:eastAsia="zh-CN"/>
        </w:rPr>
        <w:t>服务</w:t>
      </w:r>
      <w:r>
        <w:rPr>
          <w:rFonts w:hint="eastAsia" w:ascii="宋体" w:hAnsi="宋体" w:eastAsia="宋体" w:cs="宋体"/>
          <w:color w:val="auto"/>
          <w:kern w:val="0"/>
          <w:szCs w:val="21"/>
          <w:highlight w:val="none"/>
        </w:rPr>
        <w:t>或</w:t>
      </w:r>
      <w:r>
        <w:rPr>
          <w:rFonts w:hint="eastAsia" w:ascii="宋体" w:hAnsi="宋体" w:eastAsia="宋体" w:cs="宋体"/>
          <w:color w:val="auto"/>
          <w:kern w:val="0"/>
          <w:szCs w:val="21"/>
          <w:highlight w:val="none"/>
          <w:lang w:val="en-US" w:eastAsia="zh-CN"/>
        </w:rPr>
        <w:t>服务</w:t>
      </w:r>
      <w:r>
        <w:rPr>
          <w:rFonts w:hint="eastAsia" w:ascii="宋体" w:hAnsi="宋体" w:eastAsia="宋体" w:cs="宋体"/>
          <w:color w:val="auto"/>
          <w:kern w:val="0"/>
          <w:szCs w:val="21"/>
          <w:highlight w:val="none"/>
        </w:rPr>
        <w:t>的任何一部分时，招标人免受第三方提出侵犯其专利权、商标权或其它知识产权的起诉。如果投标人不拥有相应的知识产权，则须在报价中包括合法获取该知识产权的相关费用，并在招标文件中附有相关证明文件。如有违反，造成招标人任何经济损失或其他损失的，由投标人承担全部赔偿责任</w:t>
      </w:r>
      <w:r>
        <w:rPr>
          <w:rFonts w:hint="eastAsia" w:ascii="宋体" w:hAnsi="宋体" w:eastAsia="宋体" w:cs="宋体"/>
          <w:color w:val="auto"/>
          <w:szCs w:val="21"/>
          <w:highlight w:val="none"/>
          <w:lang w:val="zh-CN"/>
        </w:rPr>
        <w:t>。</w:t>
      </w:r>
      <w:bookmarkEnd w:id="43"/>
      <w:bookmarkEnd w:id="44"/>
    </w:p>
    <w:p w14:paraId="5CEF432A">
      <w:pPr>
        <w:autoSpaceDE w:val="0"/>
        <w:autoSpaceDN w:val="0"/>
        <w:adjustRightInd w:val="0"/>
        <w:spacing w:line="360" w:lineRule="auto"/>
        <w:ind w:left="315" w:leftChars="-100" w:hanging="525" w:hangingChars="250"/>
        <w:rPr>
          <w:rFonts w:hint="eastAsia" w:ascii="宋体" w:hAnsi="宋体" w:eastAsia="宋体" w:cs="宋体"/>
          <w:color w:val="auto"/>
          <w:szCs w:val="21"/>
          <w:highlight w:val="none"/>
          <w:lang w:val="zh-CN"/>
        </w:rPr>
      </w:pPr>
      <w:bookmarkStart w:id="45" w:name="_Toc533708068"/>
      <w:bookmarkStart w:id="46" w:name="_Toc1977668"/>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lang w:val="en-US" w:eastAsia="zh-CN"/>
        </w:rPr>
        <w:t xml:space="preserve">4 </w:t>
      </w:r>
      <w:r>
        <w:rPr>
          <w:rFonts w:hint="eastAsia" w:ascii="宋体" w:hAnsi="宋体" w:eastAsia="宋体" w:cs="宋体"/>
          <w:color w:val="auto"/>
          <w:szCs w:val="21"/>
          <w:highlight w:val="none"/>
          <w:lang w:val="zh-CN"/>
        </w:rPr>
        <w:t xml:space="preserve"> </w:t>
      </w:r>
      <w:bookmarkEnd w:id="45"/>
      <w:bookmarkEnd w:id="46"/>
      <w:r>
        <w:rPr>
          <w:rFonts w:hint="eastAsia" w:ascii="宋体" w:hAnsi="宋体" w:eastAsia="宋体" w:cs="宋体"/>
          <w:color w:val="auto"/>
          <w:szCs w:val="21"/>
          <w:highlight w:val="none"/>
          <w:lang w:val="zh-CN"/>
        </w:rPr>
        <w:t>无论投标人</w:t>
      </w:r>
      <w:r>
        <w:rPr>
          <w:rFonts w:hint="eastAsia" w:ascii="宋体" w:hAnsi="宋体" w:eastAsia="宋体" w:cs="宋体"/>
          <w:color w:val="auto"/>
          <w:kern w:val="0"/>
          <w:szCs w:val="21"/>
          <w:highlight w:val="none"/>
        </w:rPr>
        <w:t>是否在投标报价表中明示，均视为投标报价已包含所有应支付的对专利权</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rPr>
        <w:t>商标权和版权、设计或其他知识产权而需要向其他方支付的版税和使用费等相关费用。如投标人未依法向第三方支付应缴版税和使用费等相关费用</w:t>
      </w:r>
      <w:r>
        <w:rPr>
          <w:rFonts w:hint="eastAsia" w:ascii="宋体" w:hAnsi="宋体" w:eastAsia="宋体" w:cs="宋体"/>
          <w:color w:val="auto"/>
          <w:kern w:val="0"/>
          <w:szCs w:val="21"/>
          <w:highlight w:val="none"/>
          <w:lang w:val="en-US" w:eastAsia="zh-CN"/>
        </w:rPr>
        <w:t>的</w:t>
      </w:r>
      <w:r>
        <w:rPr>
          <w:rFonts w:hint="eastAsia" w:ascii="宋体" w:hAnsi="宋体" w:eastAsia="宋体" w:cs="宋体"/>
          <w:color w:val="auto"/>
          <w:kern w:val="0"/>
          <w:szCs w:val="21"/>
          <w:highlight w:val="none"/>
        </w:rPr>
        <w:t>，造成招标人任何经济损失的，由投标人承担全部赔偿责任</w:t>
      </w:r>
      <w:r>
        <w:rPr>
          <w:rFonts w:hint="eastAsia" w:ascii="宋体" w:hAnsi="宋体" w:eastAsia="宋体" w:cs="宋体"/>
          <w:color w:val="auto"/>
          <w:szCs w:val="21"/>
          <w:highlight w:val="none"/>
          <w:lang w:val="zh-CN"/>
        </w:rPr>
        <w:t>。</w:t>
      </w:r>
    </w:p>
    <w:p w14:paraId="1434CC59">
      <w:pPr>
        <w:autoSpaceDE w:val="0"/>
        <w:autoSpaceDN w:val="0"/>
        <w:adjustRightInd w:val="0"/>
        <w:spacing w:line="360" w:lineRule="auto"/>
        <w:jc w:val="left"/>
        <w:outlineLvl w:val="9"/>
        <w:rPr>
          <w:rFonts w:hint="eastAsia" w:ascii="宋体" w:hAnsi="宋体" w:eastAsia="宋体" w:cs="宋体"/>
          <w:color w:val="auto"/>
          <w:szCs w:val="21"/>
          <w:highlight w:val="none"/>
          <w:lang w:val="zh-CN"/>
        </w:rPr>
      </w:pPr>
    </w:p>
    <w:p w14:paraId="5004743A">
      <w:pPr>
        <w:tabs>
          <w:tab w:val="left" w:pos="570"/>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47" w:name="_Toc142508316"/>
      <w:bookmarkStart w:id="48" w:name="_Toc23394"/>
      <w:bookmarkStart w:id="49" w:name="_Toc9658_WPSOffice_Level3"/>
      <w:r>
        <w:rPr>
          <w:rFonts w:hint="eastAsia" w:ascii="宋体" w:hAnsi="宋体" w:eastAsia="宋体" w:cs="宋体"/>
          <w:color w:val="auto"/>
          <w:szCs w:val="21"/>
          <w:highlight w:val="none"/>
          <w:lang w:val="zh-CN"/>
        </w:rPr>
        <w:t>4 其它说明</w:t>
      </w:r>
      <w:bookmarkEnd w:id="47"/>
      <w:bookmarkEnd w:id="48"/>
      <w:bookmarkEnd w:id="49"/>
    </w:p>
    <w:p w14:paraId="0B33D283">
      <w:pPr>
        <w:autoSpaceDE w:val="0"/>
        <w:autoSpaceDN w:val="0"/>
        <w:adjustRightInd w:val="0"/>
        <w:spacing w:line="360" w:lineRule="auto"/>
        <w:ind w:left="315" w:leftChars="-100" w:hanging="525" w:hangingChars="250"/>
        <w:outlineLvl w:val="9"/>
        <w:rPr>
          <w:rFonts w:hint="eastAsia" w:ascii="宋体" w:hAnsi="宋体" w:eastAsia="宋体" w:cs="宋体"/>
          <w:color w:val="auto"/>
          <w:szCs w:val="21"/>
          <w:highlight w:val="none"/>
          <w:lang w:val="zh-CN"/>
        </w:rPr>
      </w:pPr>
      <w:bookmarkStart w:id="50" w:name="_Toc533708070"/>
      <w:bookmarkStart w:id="51" w:name="_Toc1977670"/>
      <w:r>
        <w:rPr>
          <w:rFonts w:hint="eastAsia" w:ascii="宋体" w:hAnsi="宋体" w:eastAsia="宋体" w:cs="宋体"/>
          <w:color w:val="auto"/>
          <w:szCs w:val="21"/>
          <w:highlight w:val="none"/>
          <w:lang w:val="zh-CN"/>
        </w:rPr>
        <w:t>4.1  投标费用</w:t>
      </w:r>
      <w:bookmarkEnd w:id="50"/>
      <w:bookmarkEnd w:id="51"/>
    </w:p>
    <w:p w14:paraId="0534EFF5">
      <w:pPr>
        <w:autoSpaceDE w:val="0"/>
        <w:autoSpaceDN w:val="0"/>
        <w:adjustRightInd w:val="0"/>
        <w:spacing w:line="360" w:lineRule="auto"/>
        <w:ind w:left="210" w:leftChars="100" w:firstLine="420" w:firstLineChars="200"/>
        <w:outlineLvl w:val="9"/>
        <w:rPr>
          <w:rFonts w:hint="eastAsia" w:ascii="宋体" w:hAnsi="宋体" w:eastAsia="宋体" w:cs="宋体"/>
          <w:color w:val="auto"/>
          <w:szCs w:val="21"/>
          <w:highlight w:val="none"/>
          <w:lang w:val="zh-CN"/>
        </w:rPr>
      </w:pPr>
      <w:bookmarkStart w:id="52" w:name="_Toc533708072"/>
      <w:bookmarkStart w:id="53" w:name="_Toc1977672"/>
      <w:r>
        <w:rPr>
          <w:rFonts w:hint="eastAsia" w:ascii="宋体" w:hAnsi="宋体" w:eastAsia="宋体" w:cs="宋体"/>
          <w:color w:val="auto"/>
          <w:szCs w:val="21"/>
          <w:highlight w:val="none"/>
          <w:lang w:val="zh-CN"/>
        </w:rPr>
        <w:t>无论招标过程中的做法和结果如何，投标人须承担所有与编写和递交投标文件有关的费用，招标人和招标代理机构在任何情况下不负担这些费用。</w:t>
      </w:r>
      <w:bookmarkEnd w:id="52"/>
      <w:bookmarkEnd w:id="53"/>
    </w:p>
    <w:p w14:paraId="7214A15B">
      <w:pPr>
        <w:autoSpaceDE w:val="0"/>
        <w:autoSpaceDN w:val="0"/>
        <w:adjustRightInd w:val="0"/>
        <w:spacing w:line="360" w:lineRule="auto"/>
        <w:ind w:left="315" w:leftChars="-100" w:hanging="525" w:hangingChars="250"/>
        <w:outlineLvl w:val="9"/>
        <w:rPr>
          <w:rFonts w:hint="eastAsia" w:ascii="宋体" w:hAnsi="宋体" w:eastAsia="宋体" w:cs="宋体"/>
          <w:color w:val="auto"/>
          <w:szCs w:val="21"/>
          <w:highlight w:val="none"/>
          <w:lang w:val="zh-CN"/>
        </w:rPr>
      </w:pPr>
      <w:bookmarkStart w:id="54" w:name="_Toc1977673"/>
      <w:bookmarkStart w:id="55" w:name="_Toc533708073"/>
      <w:r>
        <w:rPr>
          <w:rFonts w:hint="eastAsia" w:ascii="宋体" w:hAnsi="宋体" w:eastAsia="宋体" w:cs="宋体"/>
          <w:color w:val="auto"/>
          <w:szCs w:val="21"/>
          <w:highlight w:val="none"/>
          <w:lang w:val="zh-CN"/>
        </w:rPr>
        <w:t>4.2  踏勘现场</w:t>
      </w:r>
      <w:bookmarkEnd w:id="54"/>
      <w:bookmarkEnd w:id="55"/>
    </w:p>
    <w:p w14:paraId="47BB7C59">
      <w:pPr>
        <w:autoSpaceDE w:val="0"/>
        <w:autoSpaceDN w:val="0"/>
        <w:adjustRightInd w:val="0"/>
        <w:spacing w:line="360" w:lineRule="auto"/>
        <w:ind w:left="300" w:leftChars="-59" w:hanging="424" w:hangingChars="202"/>
        <w:jc w:val="left"/>
        <w:outlineLvl w:val="9"/>
        <w:rPr>
          <w:rFonts w:hint="eastAsia" w:ascii="宋体" w:hAnsi="宋体" w:eastAsia="宋体" w:cs="宋体"/>
          <w:color w:val="auto"/>
          <w:kern w:val="0"/>
          <w:szCs w:val="21"/>
          <w:highlight w:val="none"/>
        </w:rPr>
      </w:pPr>
      <w:bookmarkStart w:id="56" w:name="_Toc1977676"/>
      <w:bookmarkStart w:id="57" w:name="_Toc533708076"/>
      <w:r>
        <w:rPr>
          <w:rFonts w:hint="eastAsia" w:ascii="宋体" w:hAnsi="宋体" w:eastAsia="宋体" w:cs="宋体"/>
          <w:color w:val="auto"/>
          <w:kern w:val="0"/>
          <w:szCs w:val="21"/>
          <w:highlight w:val="none"/>
        </w:rPr>
        <w:t>（1）本项目不组织集中踏勘现场和答疑，投标人获取招标文件后应自行到实地踏勘考察。</w:t>
      </w:r>
    </w:p>
    <w:p w14:paraId="36AC94AF">
      <w:pPr>
        <w:autoSpaceDE w:val="0"/>
        <w:autoSpaceDN w:val="0"/>
        <w:adjustRightInd w:val="0"/>
        <w:spacing w:line="360" w:lineRule="auto"/>
        <w:ind w:left="300" w:leftChars="-59" w:hanging="424" w:hangingChars="202"/>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（2）潜在投标人应承担踏勘现场自身所发生的费用。</w:t>
      </w:r>
    </w:p>
    <w:p w14:paraId="23C017F6">
      <w:pPr>
        <w:spacing w:line="360" w:lineRule="auto"/>
        <w:ind w:left="300" w:leftChars="-59" w:hanging="424" w:hangingChars="202"/>
        <w:outlineLvl w:val="9"/>
        <w:rPr>
          <w:rFonts w:hint="eastAsia" w:ascii="宋体" w:hAnsi="宋体" w:eastAsia="宋体" w:cs="宋体"/>
          <w:color w:val="auto"/>
          <w:kern w:val="0"/>
          <w:szCs w:val="21"/>
          <w:highlight w:val="none"/>
          <w:lang w:val="zh-CN"/>
        </w:rPr>
      </w:pPr>
      <w:r>
        <w:rPr>
          <w:rFonts w:hint="eastAsia" w:ascii="宋体" w:hAnsi="宋体" w:eastAsia="宋体" w:cs="宋体"/>
          <w:color w:val="auto"/>
          <w:kern w:val="0"/>
          <w:szCs w:val="21"/>
          <w:highlight w:val="none"/>
          <w:lang w:val="zh-CN"/>
        </w:rPr>
        <w:t>（3）招标人和招标代理机构在踏勘现场中介绍的有关现场和相关的周边环境情况，供投标人在编制投标文件时参考，招标人不对投标人据此作出的判断和决策负责。</w:t>
      </w:r>
    </w:p>
    <w:p w14:paraId="46CFB7DD">
      <w:pPr>
        <w:spacing w:line="360" w:lineRule="auto"/>
        <w:ind w:left="300" w:leftChars="-59" w:hanging="424" w:hangingChars="202"/>
        <w:outlineLvl w:val="9"/>
        <w:rPr>
          <w:rFonts w:hint="eastAsia" w:ascii="宋体" w:hAnsi="宋体" w:eastAsia="宋体" w:cs="宋体"/>
          <w:color w:val="auto"/>
          <w:kern w:val="0"/>
          <w:szCs w:val="21"/>
          <w:highlight w:val="none"/>
          <w:lang w:val="zh-CN"/>
        </w:rPr>
      </w:pPr>
      <w:r>
        <w:rPr>
          <w:rFonts w:hint="eastAsia" w:ascii="宋体" w:hAnsi="宋体" w:eastAsia="宋体" w:cs="宋体"/>
          <w:color w:val="auto"/>
          <w:kern w:val="0"/>
          <w:szCs w:val="21"/>
          <w:highlight w:val="none"/>
          <w:lang w:val="zh-CN"/>
        </w:rPr>
        <w:t>（4）潜在投标人可为踏勘需要而进入招标人的项目现场，但潜在投标人不得因此使招标人承担有关的责任和蒙受损失。潜在投标人应承担踏勘现场的责任和风险。</w:t>
      </w:r>
    </w:p>
    <w:p w14:paraId="282DC19D">
      <w:pPr>
        <w:autoSpaceDE w:val="0"/>
        <w:autoSpaceDN w:val="0"/>
        <w:adjustRightInd w:val="0"/>
        <w:spacing w:line="360" w:lineRule="auto"/>
        <w:ind w:left="315" w:leftChars="-100" w:hanging="525" w:hangingChars="250"/>
        <w:outlineLvl w:val="9"/>
        <w:rPr>
          <w:rFonts w:hint="eastAsia" w:ascii="宋体" w:hAnsi="宋体" w:eastAsia="宋体" w:cs="宋体"/>
          <w:color w:val="auto"/>
          <w:szCs w:val="21"/>
          <w:highlight w:val="none"/>
          <w:lang w:val="zh-CN" w:eastAsia="zh-CN"/>
        </w:rPr>
      </w:pPr>
      <w:r>
        <w:rPr>
          <w:rFonts w:hint="eastAsia" w:ascii="宋体" w:hAnsi="宋体" w:eastAsia="宋体" w:cs="宋体"/>
          <w:color w:val="auto"/>
          <w:szCs w:val="21"/>
          <w:highlight w:val="none"/>
          <w:lang w:val="zh-CN"/>
        </w:rPr>
        <w:t>4.3  纪律与保密事项</w:t>
      </w:r>
      <w:bookmarkEnd w:id="35"/>
      <w:bookmarkEnd w:id="36"/>
      <w:bookmarkEnd w:id="56"/>
      <w:bookmarkEnd w:id="57"/>
      <w:bookmarkStart w:id="58" w:name="auto_fouce_3"/>
    </w:p>
    <w:bookmarkEnd w:id="58"/>
    <w:p w14:paraId="47628BD5">
      <w:pPr>
        <w:pStyle w:val="6"/>
        <w:rPr>
          <w:rFonts w:hint="eastAsia" w:ascii="宋体" w:hAnsi="宋体" w:eastAsia="宋体" w:cs="宋体"/>
          <w:color w:val="auto"/>
          <w:highlight w:val="none"/>
          <w:lang w:val="zh-CN" w:eastAsia="zh-CN"/>
        </w:rPr>
      </w:pPr>
    </w:p>
    <w:p w14:paraId="5E6E84D0">
      <w:pPr>
        <w:autoSpaceDE w:val="0"/>
        <w:autoSpaceDN w:val="0"/>
        <w:adjustRightInd w:val="0"/>
        <w:spacing w:line="360" w:lineRule="auto"/>
        <w:ind w:left="441" w:leftChars="-60"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（1）获得本招标文件的投标人，应对文件进行保密，不得用作本次投标以外的任何用途。若有要求，开标后，投标人应归还招标文件中保密的文件和资料。</w:t>
      </w:r>
    </w:p>
    <w:p w14:paraId="3E6AFF6D">
      <w:pPr>
        <w:autoSpaceDE w:val="0"/>
        <w:autoSpaceDN w:val="0"/>
        <w:adjustRightInd w:val="0"/>
        <w:spacing w:line="360" w:lineRule="auto"/>
        <w:ind w:left="441" w:leftChars="-60"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zh-CN"/>
        </w:rPr>
        <w:t>（2</w:t>
      </w:r>
      <w:r>
        <w:rPr>
          <w:rFonts w:hint="eastAsia" w:ascii="宋体" w:hAnsi="宋体" w:eastAsia="宋体" w:cs="宋体"/>
          <w:color w:val="auto"/>
          <w:kern w:val="0"/>
          <w:szCs w:val="21"/>
          <w:highlight w:val="none"/>
        </w:rPr>
        <w:t>）凡参与招标工作的有关人员均应自觉接受有关主管部门的监督，不得向他人透露已获得招标文件的潜在投标人的名称、数量以及可能影响公平竞争的有关投标报价的其他情况。</w:t>
      </w:r>
    </w:p>
    <w:p w14:paraId="06320AF0">
      <w:pPr>
        <w:autoSpaceDE w:val="0"/>
        <w:autoSpaceDN w:val="0"/>
        <w:adjustRightInd w:val="0"/>
        <w:spacing w:line="360" w:lineRule="auto"/>
        <w:ind w:left="441" w:leftChars="-60"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（3）开标后，直至向中标人授予合同期间，凡与审查、澄清、评价和比较报价的有关资料以及授标意见等，参与评标工作的有关人员均不得向投标人及与评标无关的其他人透露。</w:t>
      </w:r>
    </w:p>
    <w:p w14:paraId="1F6B6963">
      <w:pPr>
        <w:autoSpaceDE w:val="0"/>
        <w:autoSpaceDN w:val="0"/>
        <w:adjustRightInd w:val="0"/>
        <w:spacing w:line="360" w:lineRule="auto"/>
        <w:ind w:left="441" w:leftChars="-60"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（4）除投标人被要求对投标文件进行澄清外，从递交投标文件截止之时起至授予合同期间，投标人不得就与其投标文件有关的事项主动与评标委员会、招标代理机构以及招标人联系。</w:t>
      </w:r>
    </w:p>
    <w:p w14:paraId="04E6DB78">
      <w:pPr>
        <w:autoSpaceDE w:val="0"/>
        <w:autoSpaceDN w:val="0"/>
        <w:adjustRightInd w:val="0"/>
        <w:spacing w:line="360" w:lineRule="auto"/>
        <w:ind w:left="441" w:leftChars="-60"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从开标之日起至授予合同期间，在投标文件的审查、澄清、比较和评价阶段，投标人试图对评标委员会和招标代理机构施加任何影响或对招标人的比较及授予合同的决定产生影响，都可能导致其投标文件被拒绝。</w:t>
      </w:r>
    </w:p>
    <w:p w14:paraId="2176B844">
      <w:pPr>
        <w:autoSpaceDE w:val="0"/>
        <w:autoSpaceDN w:val="0"/>
        <w:adjustRightInd w:val="0"/>
        <w:spacing w:line="360" w:lineRule="auto"/>
        <w:ind w:left="441" w:leftChars="-60"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（6）投标人不得串通作弊，以不正当的手段妨碍、排挤其他投标人，扰乱采购市场，破坏公平竞争原则。</w:t>
      </w:r>
    </w:p>
    <w:p w14:paraId="49697FA2">
      <w:pPr>
        <w:autoSpaceDE w:val="0"/>
        <w:autoSpaceDN w:val="0"/>
        <w:adjustRightInd w:val="0"/>
        <w:spacing w:line="360" w:lineRule="auto"/>
        <w:ind w:left="315" w:leftChars="-100" w:hanging="525" w:hangingChars="250"/>
        <w:outlineLvl w:val="9"/>
        <w:rPr>
          <w:rFonts w:hint="eastAsia" w:ascii="宋体" w:hAnsi="宋体" w:eastAsia="宋体" w:cs="宋体"/>
          <w:color w:val="auto"/>
          <w:szCs w:val="21"/>
          <w:highlight w:val="none"/>
        </w:rPr>
      </w:pPr>
    </w:p>
    <w:p w14:paraId="1A89EA25">
      <w:pPr>
        <w:keepNext/>
        <w:keepLines/>
        <w:autoSpaceDE w:val="0"/>
        <w:autoSpaceDN w:val="0"/>
        <w:adjustRightInd w:val="0"/>
        <w:spacing w:line="360" w:lineRule="auto"/>
        <w:jc w:val="left"/>
        <w:outlineLvl w:val="0"/>
        <w:rPr>
          <w:rFonts w:hint="eastAsia" w:ascii="宋体" w:hAnsi="宋体" w:eastAsia="宋体" w:cs="宋体"/>
          <w:b/>
          <w:bCs/>
          <w:color w:val="auto"/>
          <w:kern w:val="44"/>
          <w:szCs w:val="21"/>
          <w:highlight w:val="none"/>
          <w:lang w:val="zh-CN"/>
        </w:rPr>
      </w:pPr>
      <w:bookmarkStart w:id="59" w:name="_Toc1482"/>
      <w:bookmarkStart w:id="60" w:name="_Toc27414"/>
      <w:bookmarkStart w:id="61" w:name="_Toc142508317"/>
      <w:bookmarkStart w:id="62" w:name="_Toc450662853"/>
      <w:bookmarkStart w:id="63" w:name="_Toc486167667"/>
      <w:bookmarkStart w:id="64" w:name="_Toc140596876"/>
      <w:bookmarkStart w:id="65" w:name="_Toc30507_WPSOffice_Level2"/>
      <w:r>
        <w:rPr>
          <w:rFonts w:hint="eastAsia" w:ascii="宋体" w:hAnsi="宋体" w:eastAsia="宋体" w:cs="宋体"/>
          <w:b/>
          <w:bCs/>
          <w:color w:val="auto"/>
          <w:kern w:val="44"/>
          <w:szCs w:val="21"/>
          <w:highlight w:val="none"/>
          <w:lang w:val="zh-CN"/>
        </w:rPr>
        <w:t>二、招标文件</w:t>
      </w:r>
      <w:bookmarkEnd w:id="59"/>
      <w:bookmarkEnd w:id="60"/>
      <w:bookmarkEnd w:id="61"/>
      <w:bookmarkEnd w:id="62"/>
      <w:bookmarkEnd w:id="63"/>
      <w:bookmarkEnd w:id="64"/>
      <w:bookmarkEnd w:id="65"/>
    </w:p>
    <w:p w14:paraId="09256C0D">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66" w:name="_Toc486167668"/>
      <w:bookmarkStart w:id="67" w:name="_Toc450662854"/>
      <w:bookmarkStart w:id="68" w:name="_Toc142508318"/>
      <w:bookmarkStart w:id="69" w:name="_Toc28179"/>
      <w:bookmarkStart w:id="70" w:name="_Toc26635_WPSOffice_Level3"/>
      <w:r>
        <w:rPr>
          <w:rFonts w:hint="eastAsia" w:ascii="宋体" w:hAnsi="宋体" w:eastAsia="宋体" w:cs="宋体"/>
          <w:color w:val="auto"/>
          <w:szCs w:val="21"/>
          <w:highlight w:val="none"/>
          <w:lang w:val="zh-CN"/>
        </w:rPr>
        <w:t>5 招标文件的构成</w:t>
      </w:r>
      <w:bookmarkEnd w:id="66"/>
      <w:bookmarkEnd w:id="67"/>
      <w:bookmarkEnd w:id="68"/>
      <w:bookmarkEnd w:id="69"/>
      <w:bookmarkEnd w:id="70"/>
    </w:p>
    <w:p w14:paraId="301D3145">
      <w:pPr>
        <w:tabs>
          <w:tab w:val="left" w:pos="567"/>
        </w:tabs>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5.1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招标文件包括：</w:t>
      </w:r>
    </w:p>
    <w:p w14:paraId="01762A71">
      <w:pPr>
        <w:tabs>
          <w:tab w:val="left" w:pos="1890"/>
        </w:tabs>
        <w:autoSpaceDE w:val="0"/>
        <w:autoSpaceDN w:val="0"/>
        <w:adjustRightInd w:val="0"/>
        <w:spacing w:line="360" w:lineRule="auto"/>
        <w:ind w:firstLine="424" w:firstLineChars="202"/>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第一篇 招标公告</w:t>
      </w:r>
    </w:p>
    <w:p w14:paraId="0E7D3706">
      <w:pPr>
        <w:tabs>
          <w:tab w:val="left" w:pos="1890"/>
        </w:tabs>
        <w:autoSpaceDE w:val="0"/>
        <w:autoSpaceDN w:val="0"/>
        <w:adjustRightInd w:val="0"/>
        <w:spacing w:line="360" w:lineRule="auto"/>
        <w:ind w:firstLine="424" w:firstLineChars="202"/>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第二篇 投标人须知</w:t>
      </w:r>
    </w:p>
    <w:p w14:paraId="5DACFEC7">
      <w:pPr>
        <w:tabs>
          <w:tab w:val="left" w:pos="1890"/>
        </w:tabs>
        <w:autoSpaceDE w:val="0"/>
        <w:autoSpaceDN w:val="0"/>
        <w:adjustRightInd w:val="0"/>
        <w:spacing w:line="360" w:lineRule="auto"/>
        <w:ind w:firstLine="424" w:firstLineChars="202"/>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第三篇 用户需求书</w:t>
      </w:r>
    </w:p>
    <w:p w14:paraId="2C83366F">
      <w:pPr>
        <w:tabs>
          <w:tab w:val="left" w:pos="1890"/>
        </w:tabs>
        <w:autoSpaceDE w:val="0"/>
        <w:autoSpaceDN w:val="0"/>
        <w:adjustRightInd w:val="0"/>
        <w:spacing w:line="360" w:lineRule="auto"/>
        <w:ind w:firstLine="424" w:firstLineChars="202"/>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zh-CN"/>
        </w:rPr>
        <w:t>第四篇 合同条款</w:t>
      </w:r>
      <w:r>
        <w:rPr>
          <w:rFonts w:hint="eastAsia" w:ascii="宋体" w:hAnsi="宋体" w:eastAsia="宋体" w:cs="宋体"/>
          <w:color w:val="auto"/>
          <w:szCs w:val="21"/>
          <w:highlight w:val="none"/>
        </w:rPr>
        <w:t>格式</w:t>
      </w:r>
    </w:p>
    <w:p w14:paraId="75A2D61F">
      <w:pPr>
        <w:tabs>
          <w:tab w:val="left" w:pos="1890"/>
        </w:tabs>
        <w:autoSpaceDE w:val="0"/>
        <w:autoSpaceDN w:val="0"/>
        <w:adjustRightInd w:val="0"/>
        <w:spacing w:line="360" w:lineRule="auto"/>
        <w:ind w:firstLine="424" w:firstLineChars="202"/>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第五篇 相关保函格式</w:t>
      </w:r>
    </w:p>
    <w:p w14:paraId="575C7427">
      <w:pPr>
        <w:tabs>
          <w:tab w:val="left" w:pos="1890"/>
        </w:tabs>
        <w:autoSpaceDE w:val="0"/>
        <w:autoSpaceDN w:val="0"/>
        <w:adjustRightInd w:val="0"/>
        <w:spacing w:line="360" w:lineRule="auto"/>
        <w:ind w:firstLine="424" w:firstLineChars="202"/>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第六篇 投标文件格式</w:t>
      </w:r>
    </w:p>
    <w:p w14:paraId="191A4685">
      <w:pPr>
        <w:tabs>
          <w:tab w:val="left" w:pos="1890"/>
        </w:tabs>
        <w:autoSpaceDE w:val="0"/>
        <w:autoSpaceDN w:val="0"/>
        <w:adjustRightInd w:val="0"/>
        <w:spacing w:line="360" w:lineRule="auto"/>
        <w:ind w:firstLine="424" w:firstLineChars="202"/>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附件一：评标工作大纲</w:t>
      </w:r>
    </w:p>
    <w:p w14:paraId="6A5294CE">
      <w:pPr>
        <w:autoSpaceDE w:val="0"/>
        <w:autoSpaceDN w:val="0"/>
        <w:adjustRightInd w:val="0"/>
        <w:spacing w:line="360" w:lineRule="auto"/>
        <w:ind w:left="356" w:leftChars="-99" w:hanging="564" w:hangingChars="269"/>
        <w:outlineLvl w:val="9"/>
        <w:rPr>
          <w:rFonts w:hint="eastAsia" w:ascii="宋体" w:hAnsi="宋体" w:eastAsia="宋体" w:cs="宋体"/>
          <w:b/>
          <w:bCs/>
          <w:color w:val="auto"/>
          <w:szCs w:val="21"/>
          <w:highlight w:val="none"/>
          <w:lang w:val="zh-CN"/>
        </w:rPr>
      </w:pPr>
      <w:r>
        <w:rPr>
          <w:rFonts w:hint="eastAsia" w:ascii="宋体" w:hAnsi="宋体" w:eastAsia="宋体" w:cs="宋体"/>
          <w:bCs/>
          <w:color w:val="auto"/>
          <w:szCs w:val="21"/>
          <w:highlight w:val="none"/>
          <w:lang w:val="zh-CN"/>
        </w:rPr>
        <w:t>5.2</w:t>
      </w:r>
      <w:r>
        <w:rPr>
          <w:rFonts w:hint="eastAsia" w:ascii="宋体" w:hAnsi="宋体" w:eastAsia="宋体" w:cs="宋体"/>
          <w:b/>
          <w:bCs/>
          <w:color w:val="auto"/>
          <w:szCs w:val="21"/>
          <w:highlight w:val="none"/>
          <w:lang w:val="zh-CN"/>
        </w:rPr>
        <w:tab/>
      </w:r>
      <w:r>
        <w:rPr>
          <w:rFonts w:hint="eastAsia" w:ascii="宋体" w:hAnsi="宋体" w:eastAsia="宋体" w:cs="宋体"/>
          <w:b/>
          <w:bCs/>
          <w:color w:val="auto"/>
          <w:szCs w:val="21"/>
          <w:highlight w:val="none"/>
          <w:u w:val="single"/>
          <w:lang w:val="zh-CN"/>
        </w:rPr>
        <w:t>投标人应审阅招标文件中所有须知、格式、条款和规格。投标人未按招标文件要求提供全部资料或提交的投标文件未对招标文件作出实质性响应（★标志的部分为投标人、投标拟供货物必备的条件或重要指示），那么投标人的投标文件将有可能被拒绝接收或评审为无效投标文件</w:t>
      </w:r>
      <w:r>
        <w:rPr>
          <w:rFonts w:hint="eastAsia" w:ascii="宋体" w:hAnsi="宋体" w:eastAsia="宋体" w:cs="宋体"/>
          <w:b/>
          <w:bCs/>
          <w:color w:val="auto"/>
          <w:szCs w:val="21"/>
          <w:highlight w:val="none"/>
          <w:lang w:val="zh-CN"/>
        </w:rPr>
        <w:t>。</w:t>
      </w:r>
    </w:p>
    <w:p w14:paraId="48CF9A94">
      <w:pPr>
        <w:autoSpaceDE w:val="0"/>
        <w:autoSpaceDN w:val="0"/>
        <w:adjustRightInd w:val="0"/>
        <w:spacing w:line="360" w:lineRule="auto"/>
        <w:ind w:left="356" w:leftChars="-99" w:hanging="564" w:hangingChars="269"/>
        <w:outlineLvl w:val="9"/>
        <w:rPr>
          <w:rFonts w:hint="eastAsia" w:ascii="宋体" w:hAnsi="宋体" w:eastAsia="宋体" w:cs="宋体"/>
          <w:b/>
          <w:bCs/>
          <w:color w:val="auto"/>
          <w:szCs w:val="21"/>
          <w:highlight w:val="none"/>
          <w:u w:val="single"/>
        </w:rPr>
      </w:pPr>
      <w:r>
        <w:rPr>
          <w:rFonts w:hint="eastAsia" w:ascii="宋体" w:hAnsi="宋体" w:eastAsia="宋体" w:cs="宋体"/>
          <w:color w:val="auto"/>
          <w:szCs w:val="21"/>
          <w:highlight w:val="none"/>
          <w:lang w:val="zh-CN"/>
        </w:rPr>
        <w:t>5.3  本招标文件使用的词语有如下定义：</w:t>
      </w:r>
    </w:p>
    <w:p w14:paraId="376C5513">
      <w:pPr>
        <w:autoSpaceDE w:val="0"/>
        <w:autoSpaceDN w:val="0"/>
        <w:adjustRightInd w:val="0"/>
        <w:spacing w:line="360" w:lineRule="auto"/>
        <w:ind w:left="441" w:leftChars="-60"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（1）“招标人”指</w:t>
      </w:r>
      <w:r>
        <w:rPr>
          <w:rFonts w:hint="eastAsia" w:ascii="宋体" w:hAnsi="宋体" w:eastAsia="宋体" w:cs="宋体"/>
          <w:color w:val="auto"/>
          <w:kern w:val="0"/>
          <w:szCs w:val="21"/>
          <w:highlight w:val="none"/>
          <w:lang w:eastAsia="zh-CN"/>
        </w:rPr>
        <w:t>东莞数字城市科技有限公司</w:t>
      </w:r>
      <w:r>
        <w:rPr>
          <w:rFonts w:hint="eastAsia" w:ascii="宋体" w:hAnsi="宋体" w:eastAsia="宋体" w:cs="宋体"/>
          <w:color w:val="auto"/>
          <w:kern w:val="0"/>
          <w:szCs w:val="21"/>
          <w:highlight w:val="none"/>
        </w:rPr>
        <w:t>；</w:t>
      </w:r>
    </w:p>
    <w:p w14:paraId="500B2C3E">
      <w:pPr>
        <w:autoSpaceDE w:val="0"/>
        <w:autoSpaceDN w:val="0"/>
        <w:adjustRightInd w:val="0"/>
        <w:spacing w:line="360" w:lineRule="auto"/>
        <w:ind w:left="441" w:leftChars="-60"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（2）“招标代理机构”指广东有德招标采购有限公司；</w:t>
      </w:r>
    </w:p>
    <w:p w14:paraId="361EE12E">
      <w:pPr>
        <w:autoSpaceDE w:val="0"/>
        <w:autoSpaceDN w:val="0"/>
        <w:adjustRightInd w:val="0"/>
        <w:spacing w:line="360" w:lineRule="auto"/>
        <w:ind w:left="441" w:leftChars="-60"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（3）“投标人”指在招标文件获取时间内从招标代理机构处获取了招标文件，参加</w:t>
      </w:r>
      <w:r>
        <w:rPr>
          <w:rFonts w:hint="eastAsia" w:ascii="宋体" w:hAnsi="宋体" w:eastAsia="宋体" w:cs="宋体"/>
          <w:color w:val="auto"/>
          <w:kern w:val="0"/>
          <w:szCs w:val="21"/>
          <w:highlight w:val="none"/>
          <w:lang w:eastAsia="zh-CN"/>
        </w:rPr>
        <w:t>2025年前端设备运维服务项目</w:t>
      </w:r>
      <w:r>
        <w:rPr>
          <w:rFonts w:hint="eastAsia" w:ascii="宋体" w:hAnsi="宋体" w:eastAsia="宋体" w:cs="宋体"/>
          <w:color w:val="auto"/>
          <w:kern w:val="0"/>
          <w:szCs w:val="21"/>
          <w:highlight w:val="none"/>
        </w:rPr>
        <w:t>所需的货物及有关服务的投标，并向招标代理机构提交投标文件的当事人；</w:t>
      </w:r>
    </w:p>
    <w:p w14:paraId="1EBDD45F">
      <w:pPr>
        <w:autoSpaceDE w:val="0"/>
        <w:autoSpaceDN w:val="0"/>
        <w:adjustRightInd w:val="0"/>
        <w:spacing w:line="360" w:lineRule="auto"/>
        <w:ind w:left="441" w:leftChars="-60"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（4）“评标委员会”是依照《中华人民共和国招标投标法》等法规组建的专门负责本次评标工作的临时性机构；</w:t>
      </w:r>
    </w:p>
    <w:p w14:paraId="4CF5BA5B">
      <w:pPr>
        <w:autoSpaceDE w:val="0"/>
        <w:autoSpaceDN w:val="0"/>
        <w:adjustRightInd w:val="0"/>
        <w:spacing w:line="360" w:lineRule="auto"/>
        <w:ind w:left="441" w:leftChars="-60"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（5）“中标人”指其投标被招标人接受，并与招标人签订合同的当事人；</w:t>
      </w:r>
    </w:p>
    <w:p w14:paraId="43D2C2D8">
      <w:pPr>
        <w:autoSpaceDE w:val="0"/>
        <w:autoSpaceDN w:val="0"/>
        <w:adjustRightInd w:val="0"/>
        <w:spacing w:line="360" w:lineRule="auto"/>
        <w:ind w:left="441" w:leftChars="-60"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（6）“甲方”指在合同条款中指明的购买货物及有关服务的单位，即</w:t>
      </w:r>
      <w:r>
        <w:rPr>
          <w:rFonts w:hint="eastAsia" w:ascii="宋体" w:hAnsi="宋体" w:eastAsia="宋体" w:cs="宋体"/>
          <w:color w:val="auto"/>
          <w:kern w:val="0"/>
          <w:szCs w:val="21"/>
          <w:highlight w:val="none"/>
          <w:lang w:eastAsia="zh-CN"/>
        </w:rPr>
        <w:t>东莞数字城市科技有限公司</w:t>
      </w:r>
      <w:r>
        <w:rPr>
          <w:rFonts w:hint="eastAsia" w:ascii="宋体" w:hAnsi="宋体" w:eastAsia="宋体" w:cs="宋体"/>
          <w:color w:val="auto"/>
          <w:kern w:val="0"/>
          <w:szCs w:val="21"/>
          <w:highlight w:val="none"/>
        </w:rPr>
        <w:t>；</w:t>
      </w:r>
    </w:p>
    <w:p w14:paraId="09CDCB35">
      <w:pPr>
        <w:autoSpaceDE w:val="0"/>
        <w:autoSpaceDN w:val="0"/>
        <w:adjustRightInd w:val="0"/>
        <w:spacing w:line="360" w:lineRule="auto"/>
        <w:ind w:left="441" w:leftChars="-60"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（7）“乙方”指在合同条款中指明的本合同项下提供货物及有关服务的公司或实体；</w:t>
      </w:r>
    </w:p>
    <w:p w14:paraId="41D940B0">
      <w:pPr>
        <w:autoSpaceDE w:val="0"/>
        <w:autoSpaceDN w:val="0"/>
        <w:adjustRightInd w:val="0"/>
        <w:spacing w:line="360" w:lineRule="auto"/>
        <w:ind w:left="441" w:leftChars="-60"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（8）“招标文件”指由招标代理机构发出的本招标文件，包括全部章节和附件；</w:t>
      </w:r>
    </w:p>
    <w:p w14:paraId="6784832E">
      <w:pPr>
        <w:autoSpaceDE w:val="0"/>
        <w:autoSpaceDN w:val="0"/>
        <w:adjustRightInd w:val="0"/>
        <w:spacing w:line="360" w:lineRule="auto"/>
        <w:ind w:left="441" w:leftChars="-60"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（9）“投标文件”指投标人根据本招标文件向招标代理机构提交的全部文件；</w:t>
      </w:r>
    </w:p>
    <w:p w14:paraId="2BDA6167">
      <w:pPr>
        <w:autoSpaceDE w:val="0"/>
        <w:autoSpaceDN w:val="0"/>
        <w:adjustRightInd w:val="0"/>
        <w:spacing w:line="360" w:lineRule="auto"/>
        <w:ind w:left="441" w:leftChars="-60"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（10）“书面函件”指手写、打字或印刷的函件，包括电传、电报和传真；</w:t>
      </w:r>
    </w:p>
    <w:p w14:paraId="4EAE3DCB">
      <w:pPr>
        <w:autoSpaceDE w:val="0"/>
        <w:autoSpaceDN w:val="0"/>
        <w:adjustRightInd w:val="0"/>
        <w:spacing w:line="360" w:lineRule="auto"/>
        <w:ind w:left="441" w:leftChars="-60"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（11）“合同”指由本次招标所产生的合同或合约文件；</w:t>
      </w:r>
    </w:p>
    <w:p w14:paraId="0C7E6424">
      <w:pPr>
        <w:autoSpaceDE w:val="0"/>
        <w:autoSpaceDN w:val="0"/>
        <w:adjustRightInd w:val="0"/>
        <w:spacing w:line="360" w:lineRule="auto"/>
        <w:ind w:left="441" w:leftChars="-60"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（12）“日期”指日历日，“时间”指北京时间；</w:t>
      </w:r>
    </w:p>
    <w:p w14:paraId="68AF8D11">
      <w:pPr>
        <w:autoSpaceDE w:val="0"/>
        <w:autoSpaceDN w:val="0"/>
        <w:adjustRightInd w:val="0"/>
        <w:spacing w:line="360" w:lineRule="auto"/>
        <w:ind w:left="441" w:leftChars="-60"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（13）本招标文件中的“境内”特指中华人民共和国海关关境以内，“境外”特指中华人民共和国海关关境以外；</w:t>
      </w:r>
    </w:p>
    <w:p w14:paraId="019D03DA">
      <w:pPr>
        <w:autoSpaceDE w:val="0"/>
        <w:autoSpaceDN w:val="0"/>
        <w:adjustRightInd w:val="0"/>
        <w:spacing w:line="360" w:lineRule="auto"/>
        <w:ind w:left="951" w:leftChars="78" w:hanging="787" w:hangingChars="375"/>
        <w:outlineLvl w:val="9"/>
        <w:rPr>
          <w:rFonts w:hint="eastAsia" w:ascii="宋体" w:hAnsi="宋体" w:eastAsia="宋体" w:cs="宋体"/>
          <w:color w:val="auto"/>
          <w:szCs w:val="21"/>
          <w:highlight w:val="none"/>
          <w:lang w:val="zh-CN"/>
        </w:rPr>
      </w:pPr>
    </w:p>
    <w:p w14:paraId="1672C9AA">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71" w:name="_Toc450662855"/>
      <w:bookmarkStart w:id="72" w:name="_Toc486167669"/>
      <w:bookmarkStart w:id="73" w:name="_Toc29125_WPSOffice_Level3"/>
      <w:bookmarkStart w:id="74" w:name="_Toc18407"/>
      <w:bookmarkStart w:id="75" w:name="_Toc142508319"/>
      <w:r>
        <w:rPr>
          <w:rFonts w:hint="eastAsia" w:ascii="宋体" w:hAnsi="宋体" w:eastAsia="宋体" w:cs="宋体"/>
          <w:color w:val="auto"/>
          <w:szCs w:val="21"/>
          <w:highlight w:val="none"/>
          <w:lang w:val="zh-CN"/>
        </w:rPr>
        <w:t>6 招标文件的异议</w:t>
      </w:r>
      <w:bookmarkEnd w:id="71"/>
      <w:bookmarkEnd w:id="72"/>
      <w:bookmarkEnd w:id="73"/>
      <w:bookmarkEnd w:id="74"/>
      <w:bookmarkEnd w:id="75"/>
    </w:p>
    <w:p w14:paraId="4CA0C2F8">
      <w:pPr>
        <w:autoSpaceDE w:val="0"/>
        <w:autoSpaceDN w:val="0"/>
        <w:adjustRightInd w:val="0"/>
        <w:spacing w:line="360" w:lineRule="auto"/>
        <w:ind w:left="288" w:leftChars="137" w:firstLine="420" w:firstLineChars="200"/>
        <w:outlineLvl w:val="9"/>
        <w:rPr>
          <w:rFonts w:hint="eastAsia" w:ascii="宋体" w:hAnsi="宋体" w:eastAsia="宋体" w:cs="宋体"/>
          <w:color w:val="auto"/>
          <w:szCs w:val="21"/>
          <w:highlight w:val="none"/>
          <w:lang w:val="zh-CN" w:eastAsia="zh-CN"/>
        </w:rPr>
      </w:pPr>
      <w:r>
        <w:rPr>
          <w:rFonts w:hint="eastAsia" w:ascii="宋体" w:hAnsi="宋体" w:eastAsia="宋体" w:cs="宋体"/>
          <w:bCs/>
          <w:color w:val="auto"/>
          <w:szCs w:val="21"/>
          <w:highlight w:val="none"/>
          <w:lang w:val="zh-CN"/>
        </w:rPr>
        <w:t>投标人或者其他利害关系人对招标文件有异议的，应当在投标截止时间10日前</w:t>
      </w:r>
      <w:r>
        <w:rPr>
          <w:rFonts w:hint="eastAsia" w:ascii="宋体" w:hAnsi="宋体" w:eastAsia="宋体" w:cs="宋体"/>
          <w:color w:val="auto"/>
          <w:szCs w:val="21"/>
          <w:highlight w:val="none"/>
          <w:lang w:val="zh-CN"/>
        </w:rPr>
        <w:t>以书面形式向招标代理机构提出，并将材料原件送达招标代理机构，逾期则视为对招标文件所有内容无异议。</w:t>
      </w:r>
      <w:bookmarkStart w:id="76" w:name="auto_fouce_4"/>
    </w:p>
    <w:bookmarkEnd w:id="76"/>
    <w:p w14:paraId="40F0C128">
      <w:pPr>
        <w:autoSpaceDE w:val="0"/>
        <w:autoSpaceDN w:val="0"/>
        <w:adjustRightInd w:val="0"/>
        <w:spacing w:line="360" w:lineRule="auto"/>
        <w:ind w:left="288" w:leftChars="137" w:firstLine="420" w:firstLineChars="200"/>
        <w:outlineLvl w:val="9"/>
        <w:rPr>
          <w:rFonts w:hint="eastAsia" w:ascii="宋体" w:hAnsi="宋体" w:eastAsia="宋体" w:cs="宋体"/>
          <w:bCs/>
          <w:color w:val="auto"/>
          <w:szCs w:val="21"/>
          <w:highlight w:val="none"/>
          <w:lang w:val="zh-CN"/>
        </w:rPr>
      </w:pPr>
      <w:r>
        <w:rPr>
          <w:rFonts w:hint="eastAsia" w:ascii="宋体" w:hAnsi="宋体" w:eastAsia="宋体" w:cs="宋体"/>
          <w:bCs/>
          <w:color w:val="auto"/>
          <w:szCs w:val="21"/>
          <w:highlight w:val="none"/>
          <w:lang w:val="zh-CN"/>
        </w:rPr>
        <w:t>异议</w:t>
      </w:r>
      <w:r>
        <w:rPr>
          <w:rFonts w:hint="eastAsia" w:ascii="宋体" w:hAnsi="宋体" w:eastAsia="宋体" w:cs="宋体"/>
          <w:color w:val="auto"/>
          <w:szCs w:val="21"/>
          <w:highlight w:val="none"/>
          <w:lang w:val="zh-CN"/>
        </w:rPr>
        <w:t>书面材料必须加盖投标人法人公章，并注明联系人、联系电话、联系地址。</w:t>
      </w:r>
      <w:r>
        <w:rPr>
          <w:rFonts w:hint="eastAsia" w:ascii="宋体" w:hAnsi="宋体" w:eastAsia="宋体" w:cs="宋体"/>
          <w:bCs/>
          <w:color w:val="auto"/>
          <w:szCs w:val="21"/>
          <w:highlight w:val="none"/>
          <w:lang w:val="zh-CN"/>
        </w:rPr>
        <w:t>超出</w:t>
      </w:r>
      <w:r>
        <w:rPr>
          <w:rFonts w:hint="eastAsia" w:ascii="宋体" w:hAnsi="宋体" w:eastAsia="宋体" w:cs="宋体"/>
          <w:color w:val="auto"/>
          <w:szCs w:val="21"/>
          <w:highlight w:val="none"/>
          <w:lang w:val="zh-CN"/>
        </w:rPr>
        <w:t>提交接收异议截止时间而</w:t>
      </w:r>
      <w:r>
        <w:rPr>
          <w:rFonts w:hint="eastAsia" w:ascii="宋体" w:hAnsi="宋体" w:eastAsia="宋体" w:cs="宋体"/>
          <w:bCs/>
          <w:color w:val="auto"/>
          <w:szCs w:val="21"/>
          <w:highlight w:val="none"/>
          <w:lang w:val="zh-CN"/>
        </w:rPr>
        <w:t>提出的任何疑问，招标代理机构可不予答复。</w:t>
      </w:r>
      <w:r>
        <w:rPr>
          <w:rFonts w:hint="eastAsia" w:ascii="宋体" w:hAnsi="宋体" w:eastAsia="宋体" w:cs="宋体"/>
          <w:b/>
          <w:bCs/>
          <w:color w:val="auto"/>
          <w:szCs w:val="21"/>
          <w:highlight w:val="none"/>
          <w:u w:val="single"/>
          <w:lang w:val="zh-CN"/>
        </w:rPr>
        <w:t>投标人必须在投标文件中提供投标承诺书（格式详见第六篇投标文件格式）</w:t>
      </w:r>
      <w:r>
        <w:rPr>
          <w:rFonts w:hint="eastAsia" w:ascii="宋体" w:hAnsi="宋体" w:eastAsia="宋体" w:cs="宋体"/>
          <w:b/>
          <w:bCs/>
          <w:color w:val="auto"/>
          <w:szCs w:val="21"/>
          <w:highlight w:val="none"/>
          <w:lang w:val="zh-CN"/>
        </w:rPr>
        <w:t>。</w:t>
      </w:r>
    </w:p>
    <w:p w14:paraId="6DA56EED">
      <w:pPr>
        <w:autoSpaceDE w:val="0"/>
        <w:autoSpaceDN w:val="0"/>
        <w:adjustRightInd w:val="0"/>
        <w:spacing w:line="360" w:lineRule="auto"/>
        <w:ind w:left="290" w:leftChars="137" w:hanging="2" w:hangingChars="1"/>
        <w:outlineLvl w:val="9"/>
        <w:rPr>
          <w:rFonts w:hint="eastAsia" w:ascii="宋体" w:hAnsi="宋体" w:eastAsia="宋体" w:cs="宋体"/>
          <w:b/>
          <w:bCs/>
          <w:color w:val="auto"/>
          <w:szCs w:val="21"/>
          <w:highlight w:val="none"/>
          <w:lang w:val="zh-CN"/>
        </w:rPr>
      </w:pPr>
    </w:p>
    <w:p w14:paraId="4B2947E0">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77" w:name="_Toc486167670"/>
      <w:bookmarkStart w:id="78" w:name="_Toc142508320"/>
      <w:bookmarkStart w:id="79" w:name="_Toc26320"/>
      <w:bookmarkStart w:id="80" w:name="_Toc23483_WPSOffice_Level3"/>
      <w:bookmarkStart w:id="81" w:name="_Toc450662856"/>
      <w:r>
        <w:rPr>
          <w:rFonts w:hint="eastAsia" w:ascii="宋体" w:hAnsi="宋体" w:eastAsia="宋体" w:cs="宋体"/>
          <w:color w:val="auto"/>
          <w:szCs w:val="21"/>
          <w:highlight w:val="none"/>
          <w:lang w:val="zh-CN"/>
        </w:rPr>
        <w:t>7 招标文件的澄清及修改</w:t>
      </w:r>
      <w:bookmarkEnd w:id="77"/>
      <w:bookmarkEnd w:id="78"/>
      <w:bookmarkEnd w:id="79"/>
      <w:bookmarkEnd w:id="80"/>
      <w:bookmarkEnd w:id="81"/>
    </w:p>
    <w:p w14:paraId="1EC7EC17">
      <w:pPr>
        <w:tabs>
          <w:tab w:val="left" w:pos="567"/>
        </w:tabs>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7.1  招标代理机构对已发出的招标文件进行必要澄清或者修改的，将在招标文件要求提交投标文件截止时间15日前，在招标信息发布媒介上发布更正公告，并以书面形式通知所有招标文件收受人，投标人应于收到该修改文件的当日内以书面形式给予确认。该澄清或者修改的内容为招标文件的组成部分。</w:t>
      </w:r>
    </w:p>
    <w:p w14:paraId="39CBFA15">
      <w:pPr>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7.2  项目特定情况下，招标代理机构必须延长投标截止时间和开标时间时，将在招标文件要求提交投标文件的截止时间前，将变更时间书面通知所有招标文件收受人，</w:t>
      </w:r>
      <w:r>
        <w:rPr>
          <w:rFonts w:hint="eastAsia" w:ascii="宋体" w:hAnsi="宋体" w:eastAsia="宋体" w:cs="宋体"/>
          <w:color w:val="auto"/>
          <w:szCs w:val="21"/>
          <w:highlight w:val="none"/>
        </w:rPr>
        <w:t>并</w:t>
      </w:r>
      <w:r>
        <w:rPr>
          <w:rFonts w:hint="eastAsia" w:ascii="宋体" w:hAnsi="宋体" w:eastAsia="宋体" w:cs="宋体"/>
          <w:color w:val="auto"/>
          <w:szCs w:val="21"/>
          <w:highlight w:val="none"/>
          <w:lang w:val="zh-CN"/>
        </w:rPr>
        <w:t>在招标信息发布媒介上发布变更公告。</w:t>
      </w:r>
    </w:p>
    <w:p w14:paraId="47059F6B">
      <w:pPr>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eastAsia="zh-CN"/>
        </w:rPr>
      </w:pPr>
      <w:r>
        <w:rPr>
          <w:rFonts w:hint="eastAsia" w:ascii="宋体" w:hAnsi="宋体" w:eastAsia="宋体" w:cs="宋体"/>
          <w:color w:val="auto"/>
          <w:szCs w:val="21"/>
          <w:highlight w:val="none"/>
          <w:lang w:val="zh-CN"/>
        </w:rPr>
        <w:t>7.3  招标文件的修改、补充通知在中国采购与招标网(https：//www.chinabidding.cn/)、广东有德招标采购有限公司网站(http：//www.youde.net/)、东莞市人工智能与数字经济有限公司官网（https://www.dgszjt.com/）公布的同时以书面形式通知所有</w:t>
      </w:r>
      <w:r>
        <w:rPr>
          <w:rFonts w:hint="eastAsia" w:ascii="宋体" w:hAnsi="宋体" w:eastAsia="宋体" w:cs="宋体"/>
          <w:color w:val="auto"/>
          <w:szCs w:val="21"/>
          <w:highlight w:val="none"/>
        </w:rPr>
        <w:t>获取</w:t>
      </w:r>
      <w:r>
        <w:rPr>
          <w:rFonts w:hint="eastAsia" w:ascii="宋体" w:hAnsi="宋体" w:eastAsia="宋体" w:cs="宋体"/>
          <w:color w:val="auto"/>
          <w:szCs w:val="21"/>
          <w:highlight w:val="none"/>
          <w:lang w:val="zh-CN"/>
        </w:rPr>
        <w:t>招标文件的潜在投标人。潜在投标人收到上述通知后，应立即以书面形式向招标人及招标代理机构确认。如在24小时内无书面回函则视为同意修改内容，并有责任履行相应的义务。</w:t>
      </w:r>
      <w:bookmarkStart w:id="82" w:name="auto_fouce_5"/>
    </w:p>
    <w:bookmarkEnd w:id="82"/>
    <w:p w14:paraId="57F8FA8A">
      <w:pPr>
        <w:rPr>
          <w:rFonts w:hint="eastAsia" w:ascii="宋体" w:hAnsi="宋体" w:eastAsia="宋体" w:cs="宋体"/>
          <w:color w:val="auto"/>
          <w:highlight w:val="none"/>
          <w:lang w:val="zh-CN" w:eastAsia="zh-CN"/>
        </w:rPr>
      </w:pPr>
    </w:p>
    <w:p w14:paraId="3506EA50">
      <w:pPr>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rPr>
      </w:pPr>
    </w:p>
    <w:p w14:paraId="63F249CF">
      <w:pPr>
        <w:keepNext/>
        <w:keepLines/>
        <w:tabs>
          <w:tab w:val="left" w:pos="509"/>
        </w:tabs>
        <w:autoSpaceDE w:val="0"/>
        <w:autoSpaceDN w:val="0"/>
        <w:adjustRightInd w:val="0"/>
        <w:spacing w:line="360" w:lineRule="auto"/>
        <w:jc w:val="left"/>
        <w:outlineLvl w:val="0"/>
        <w:rPr>
          <w:rFonts w:hint="eastAsia" w:ascii="宋体" w:hAnsi="宋体" w:eastAsia="宋体" w:cs="宋体"/>
          <w:b/>
          <w:bCs/>
          <w:color w:val="auto"/>
          <w:kern w:val="44"/>
          <w:szCs w:val="21"/>
          <w:highlight w:val="none"/>
          <w:lang w:val="zh-CN"/>
        </w:rPr>
      </w:pPr>
      <w:bookmarkStart w:id="83" w:name="_Toc29659_WPSOffice_Level2"/>
      <w:bookmarkStart w:id="84" w:name="_Toc6039"/>
      <w:bookmarkStart w:id="85" w:name="_Toc24282"/>
      <w:bookmarkStart w:id="86" w:name="_Toc140596880"/>
      <w:bookmarkStart w:id="87" w:name="_Toc450662857"/>
      <w:bookmarkStart w:id="88" w:name="_Toc486167671"/>
      <w:bookmarkStart w:id="89" w:name="_Toc142508321"/>
      <w:r>
        <w:rPr>
          <w:rFonts w:hint="eastAsia" w:ascii="宋体" w:hAnsi="宋体" w:eastAsia="宋体" w:cs="宋体"/>
          <w:b/>
          <w:bCs/>
          <w:color w:val="auto"/>
          <w:kern w:val="44"/>
          <w:szCs w:val="21"/>
          <w:highlight w:val="none"/>
          <w:lang w:val="zh-CN"/>
        </w:rPr>
        <w:t>三、投标文件的编制</w:t>
      </w:r>
      <w:bookmarkEnd w:id="83"/>
      <w:bookmarkEnd w:id="84"/>
      <w:bookmarkEnd w:id="85"/>
      <w:bookmarkEnd w:id="86"/>
      <w:bookmarkEnd w:id="87"/>
      <w:bookmarkEnd w:id="88"/>
      <w:bookmarkEnd w:id="89"/>
    </w:p>
    <w:p w14:paraId="0202B53C">
      <w:pPr>
        <w:tabs>
          <w:tab w:val="left" w:pos="675"/>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90" w:name="_Toc450662858"/>
      <w:bookmarkStart w:id="91" w:name="_Toc25773"/>
      <w:bookmarkStart w:id="92" w:name="_Toc486167672"/>
      <w:bookmarkStart w:id="93" w:name="_Toc10015_WPSOffice_Level3"/>
      <w:bookmarkStart w:id="94" w:name="_Toc142508322"/>
      <w:r>
        <w:rPr>
          <w:rFonts w:hint="eastAsia" w:ascii="宋体" w:hAnsi="宋体" w:eastAsia="宋体" w:cs="宋体"/>
          <w:color w:val="auto"/>
          <w:szCs w:val="21"/>
          <w:highlight w:val="none"/>
          <w:lang w:val="zh-CN"/>
        </w:rPr>
        <w:t>8 投标使用的文字及度量衡单位</w:t>
      </w:r>
      <w:bookmarkEnd w:id="90"/>
      <w:bookmarkEnd w:id="91"/>
      <w:bookmarkEnd w:id="92"/>
      <w:bookmarkEnd w:id="93"/>
      <w:bookmarkEnd w:id="94"/>
    </w:p>
    <w:p w14:paraId="7506A5B8">
      <w:pPr>
        <w:tabs>
          <w:tab w:val="left" w:pos="567"/>
        </w:tabs>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8.1  投标人的投标文件以及投标人与招标代理机构就有关投标的所有往来函电均应使用简体中文。</w:t>
      </w:r>
    </w:p>
    <w:p w14:paraId="74B7EA7D">
      <w:pPr>
        <w:tabs>
          <w:tab w:val="left" w:pos="567"/>
        </w:tabs>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8.2  投标文件使用的度量衡单位采用中华人民共和国法定计量单位。</w:t>
      </w:r>
    </w:p>
    <w:p w14:paraId="0F50947B">
      <w:pPr>
        <w:autoSpaceDE w:val="0"/>
        <w:autoSpaceDN w:val="0"/>
        <w:adjustRightInd w:val="0"/>
        <w:spacing w:line="360" w:lineRule="auto"/>
        <w:outlineLvl w:val="9"/>
        <w:rPr>
          <w:rFonts w:hint="eastAsia" w:ascii="宋体" w:hAnsi="宋体" w:eastAsia="宋体" w:cs="宋体"/>
          <w:color w:val="auto"/>
          <w:szCs w:val="21"/>
          <w:highlight w:val="none"/>
          <w:lang w:val="zh-CN"/>
        </w:rPr>
      </w:pPr>
    </w:p>
    <w:p w14:paraId="57809709">
      <w:pPr>
        <w:tabs>
          <w:tab w:val="left" w:pos="540"/>
        </w:tabs>
        <w:autoSpaceDE w:val="0"/>
        <w:autoSpaceDN w:val="0"/>
        <w:adjustRightInd w:val="0"/>
        <w:spacing w:line="360" w:lineRule="auto"/>
        <w:ind w:left="357" w:leftChars="-100" w:hanging="567"/>
        <w:jc w:val="left"/>
        <w:outlineLvl w:val="9"/>
        <w:rPr>
          <w:rFonts w:hint="eastAsia" w:ascii="宋体" w:hAnsi="宋体" w:eastAsia="宋体" w:cs="宋体"/>
          <w:color w:val="auto"/>
          <w:sz w:val="24"/>
          <w:szCs w:val="24"/>
          <w:highlight w:val="none"/>
          <w:lang w:val="zh-CN"/>
        </w:rPr>
      </w:pPr>
      <w:bookmarkStart w:id="95" w:name="_Toc142508323"/>
      <w:bookmarkStart w:id="96" w:name="_Toc486167673"/>
      <w:bookmarkStart w:id="97" w:name="_Toc450662859"/>
      <w:bookmarkStart w:id="98" w:name="_Toc24916_WPSOffice_Level3"/>
      <w:bookmarkStart w:id="99" w:name="_Toc1879"/>
      <w:r>
        <w:rPr>
          <w:rFonts w:hint="eastAsia" w:ascii="宋体" w:hAnsi="宋体" w:eastAsia="宋体" w:cs="宋体"/>
          <w:color w:val="auto"/>
          <w:szCs w:val="21"/>
          <w:highlight w:val="none"/>
          <w:lang w:val="zh-CN"/>
        </w:rPr>
        <w:t>9</w:t>
      </w:r>
      <w:r>
        <w:rPr>
          <w:rFonts w:hint="eastAsia" w:ascii="宋体" w:hAnsi="宋体" w:eastAsia="宋体" w:cs="宋体"/>
          <w:color w:val="auto"/>
          <w:sz w:val="24"/>
          <w:szCs w:val="24"/>
          <w:highlight w:val="none"/>
          <w:lang w:val="zh-CN"/>
        </w:rPr>
        <w:t xml:space="preserve"> </w:t>
      </w:r>
      <w:r>
        <w:rPr>
          <w:rFonts w:hint="eastAsia" w:ascii="宋体" w:hAnsi="宋体" w:eastAsia="宋体" w:cs="宋体"/>
          <w:color w:val="auto"/>
          <w:szCs w:val="21"/>
          <w:highlight w:val="none"/>
          <w:lang w:val="zh-CN"/>
        </w:rPr>
        <w:t>投标文件的组成</w:t>
      </w:r>
      <w:bookmarkEnd w:id="95"/>
      <w:bookmarkEnd w:id="96"/>
      <w:bookmarkEnd w:id="97"/>
      <w:bookmarkEnd w:id="98"/>
      <w:bookmarkEnd w:id="99"/>
    </w:p>
    <w:p w14:paraId="3B45B96E">
      <w:pPr>
        <w:autoSpaceDE w:val="0"/>
        <w:autoSpaceDN w:val="0"/>
        <w:adjustRightInd w:val="0"/>
        <w:spacing w:line="360" w:lineRule="auto"/>
        <w:ind w:left="422" w:leftChars="-100" w:hanging="632" w:hangingChars="300"/>
        <w:outlineLvl w:val="9"/>
        <w:rPr>
          <w:rFonts w:hint="eastAsia" w:ascii="宋体" w:hAnsi="宋体" w:eastAsia="宋体" w:cs="宋体"/>
          <w:b/>
          <w:color w:val="auto"/>
          <w:kern w:val="0"/>
          <w:szCs w:val="21"/>
          <w:highlight w:val="none"/>
        </w:rPr>
      </w:pPr>
      <w:r>
        <w:rPr>
          <w:rFonts w:hint="eastAsia" w:ascii="宋体" w:hAnsi="宋体" w:eastAsia="宋体" w:cs="宋体"/>
          <w:b/>
          <w:color w:val="auto"/>
          <w:kern w:val="0"/>
          <w:szCs w:val="24"/>
          <w:highlight w:val="none"/>
        </w:rPr>
        <w:t xml:space="preserve">9.1  </w:t>
      </w:r>
      <w:r>
        <w:rPr>
          <w:rFonts w:hint="eastAsia" w:ascii="宋体" w:hAnsi="宋体" w:eastAsia="宋体" w:cs="宋体"/>
          <w:color w:val="auto"/>
          <w:kern w:val="0"/>
          <w:szCs w:val="24"/>
          <w:highlight w:val="none"/>
        </w:rPr>
        <w:t>投标文件的组成：</w:t>
      </w:r>
      <w:r>
        <w:rPr>
          <w:rFonts w:hint="eastAsia" w:ascii="宋体" w:hAnsi="宋体" w:eastAsia="宋体" w:cs="宋体"/>
          <w:b/>
          <w:color w:val="auto"/>
          <w:kern w:val="0"/>
          <w:szCs w:val="21"/>
          <w:highlight w:val="none"/>
          <w:u w:val="single"/>
        </w:rPr>
        <w:t>商务文件、技术文件由投标人根据各自文件的实际情况决定是否分册装订，招标文件不做限制</w:t>
      </w:r>
      <w:r>
        <w:rPr>
          <w:rFonts w:hint="eastAsia" w:ascii="宋体" w:hAnsi="宋体" w:eastAsia="宋体" w:cs="宋体"/>
          <w:b/>
          <w:color w:val="auto"/>
          <w:kern w:val="0"/>
          <w:szCs w:val="21"/>
          <w:highlight w:val="none"/>
        </w:rPr>
        <w:t>。</w:t>
      </w:r>
    </w:p>
    <w:p w14:paraId="4ABEF96F">
      <w:pPr>
        <w:autoSpaceDE w:val="0"/>
        <w:autoSpaceDN w:val="0"/>
        <w:adjustRightInd w:val="0"/>
        <w:spacing w:line="360" w:lineRule="auto"/>
        <w:ind w:left="422" w:leftChars="-100" w:hanging="632" w:hangingChars="300"/>
        <w:outlineLvl w:val="9"/>
        <w:rPr>
          <w:rFonts w:hint="eastAsia" w:ascii="宋体" w:hAnsi="宋体" w:eastAsia="宋体" w:cs="宋体"/>
          <w:b/>
          <w:color w:val="auto"/>
          <w:kern w:val="0"/>
          <w:szCs w:val="21"/>
          <w:highlight w:val="none"/>
        </w:rPr>
      </w:pPr>
      <w:r>
        <w:rPr>
          <w:rFonts w:hint="eastAsia" w:ascii="宋体" w:hAnsi="宋体" w:eastAsia="宋体" w:cs="宋体"/>
          <w:b/>
          <w:color w:val="auto"/>
          <w:kern w:val="0"/>
          <w:szCs w:val="24"/>
          <w:highlight w:val="none"/>
        </w:rPr>
        <w:t>9.1.1 商务文件：</w:t>
      </w:r>
    </w:p>
    <w:p w14:paraId="49FB9E18">
      <w:pPr>
        <w:autoSpaceDE w:val="0"/>
        <w:autoSpaceDN w:val="0"/>
        <w:adjustRightInd w:val="0"/>
        <w:spacing w:line="360" w:lineRule="auto"/>
        <w:jc w:val="left"/>
        <w:outlineLvl w:val="9"/>
        <w:rPr>
          <w:rFonts w:hint="eastAsia" w:ascii="宋体" w:hAnsi="宋体" w:eastAsia="宋体" w:cs="宋体"/>
          <w:b/>
          <w:color w:val="auto"/>
          <w:kern w:val="0"/>
          <w:szCs w:val="21"/>
          <w:highlight w:val="none"/>
          <w:lang w:val="zh-CN"/>
        </w:rPr>
      </w:pPr>
      <w:r>
        <w:rPr>
          <w:rFonts w:hint="eastAsia" w:ascii="宋体" w:hAnsi="宋体" w:eastAsia="宋体" w:cs="宋体"/>
          <w:color w:val="auto"/>
          <w:kern w:val="0"/>
          <w:sz w:val="24"/>
          <w:szCs w:val="24"/>
          <w:highlight w:val="none"/>
          <w:lang w:val="zh-CN"/>
        </w:rPr>
        <w:t xml:space="preserve">   </w:t>
      </w:r>
      <w:r>
        <w:rPr>
          <w:rFonts w:hint="eastAsia" w:ascii="宋体" w:hAnsi="宋体" w:eastAsia="宋体" w:cs="宋体"/>
          <w:b/>
          <w:color w:val="auto"/>
          <w:kern w:val="0"/>
          <w:szCs w:val="21"/>
          <w:highlight w:val="none"/>
          <w:lang w:val="zh-CN"/>
        </w:rPr>
        <w:t>目录：</w:t>
      </w:r>
    </w:p>
    <w:p w14:paraId="324FAE3F">
      <w:pPr>
        <w:tabs>
          <w:tab w:val="left" w:pos="567"/>
        </w:tabs>
        <w:autoSpaceDE w:val="0"/>
        <w:autoSpaceDN w:val="0"/>
        <w:adjustRightInd w:val="0"/>
        <w:spacing w:line="360" w:lineRule="auto"/>
        <w:ind w:left="105" w:leftChars="-100" w:hanging="315" w:hangingChars="15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（1）投标函；</w:t>
      </w:r>
    </w:p>
    <w:p w14:paraId="30175223">
      <w:pPr>
        <w:tabs>
          <w:tab w:val="left" w:pos="567"/>
        </w:tabs>
        <w:autoSpaceDE w:val="0"/>
        <w:autoSpaceDN w:val="0"/>
        <w:adjustRightInd w:val="0"/>
        <w:spacing w:line="360" w:lineRule="auto"/>
        <w:ind w:left="105" w:leftChars="-100" w:hanging="315" w:hangingChars="15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（2）投标承诺书；</w:t>
      </w:r>
    </w:p>
    <w:p w14:paraId="35E04D3E">
      <w:pPr>
        <w:tabs>
          <w:tab w:val="left" w:pos="567"/>
        </w:tabs>
        <w:autoSpaceDE w:val="0"/>
        <w:autoSpaceDN w:val="0"/>
        <w:adjustRightInd w:val="0"/>
        <w:spacing w:line="360" w:lineRule="auto"/>
        <w:ind w:left="105" w:leftChars="-100" w:hanging="315" w:hangingChars="15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）投标报价表（含投标报价表和分项报价表）；</w:t>
      </w:r>
    </w:p>
    <w:p w14:paraId="39427DDD">
      <w:pPr>
        <w:tabs>
          <w:tab w:val="left" w:pos="567"/>
        </w:tabs>
        <w:autoSpaceDE w:val="0"/>
        <w:autoSpaceDN w:val="0"/>
        <w:adjustRightInd w:val="0"/>
        <w:spacing w:line="360" w:lineRule="auto"/>
        <w:ind w:left="105" w:leftChars="-100" w:hanging="315" w:hangingChars="15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rPr>
        <w:t>4</w:t>
      </w:r>
      <w:r>
        <w:rPr>
          <w:rFonts w:hint="eastAsia" w:ascii="宋体" w:hAnsi="宋体" w:eastAsia="宋体" w:cs="宋体"/>
          <w:color w:val="auto"/>
          <w:szCs w:val="21"/>
          <w:highlight w:val="none"/>
          <w:lang w:val="zh-CN"/>
        </w:rPr>
        <w:t>）投标人资格证明文件：</w:t>
      </w:r>
    </w:p>
    <w:p w14:paraId="479D3DD5">
      <w:pPr>
        <w:autoSpaceDE w:val="0"/>
        <w:autoSpaceDN w:val="0"/>
        <w:adjustRightInd w:val="0"/>
        <w:spacing w:line="360" w:lineRule="auto"/>
        <w:ind w:left="284" w:hanging="283" w:hangingChars="135"/>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4.1 法人或其他组织营业执照；若投标人为非独立法人（即由合法法人依法建立的分支机构），还必须同时提供：①总公司的多证合一营业执照（或事业单位法人证书）复印件；②总公司对</w:t>
      </w:r>
      <w:r>
        <w:rPr>
          <w:rFonts w:hint="eastAsia" w:ascii="宋体" w:hAnsi="宋体" w:eastAsia="宋体" w:cs="宋体"/>
          <w:color w:val="auto"/>
          <w:szCs w:val="21"/>
          <w:highlight w:val="none"/>
          <w:lang w:val="en-US" w:eastAsia="zh-CN"/>
        </w:rPr>
        <w:t>分支机构</w:t>
      </w:r>
      <w:r>
        <w:rPr>
          <w:rFonts w:hint="eastAsia" w:ascii="宋体" w:hAnsi="宋体" w:eastAsia="宋体" w:cs="宋体"/>
          <w:color w:val="auto"/>
          <w:szCs w:val="21"/>
          <w:highlight w:val="none"/>
          <w:lang w:val="zh-CN"/>
        </w:rPr>
        <w:t>出具的独家授权其参加本次投标的授权书，同一总公司只能授权一家分支机构参加本项目投标（授权一家以上分支机构参与投标的，将同时作无效投标处理），授权书需加盖总公司公章；</w:t>
      </w:r>
    </w:p>
    <w:p w14:paraId="13C18D3C">
      <w:pPr>
        <w:autoSpaceDE w:val="0"/>
        <w:autoSpaceDN w:val="0"/>
        <w:adjustRightInd w:val="0"/>
        <w:spacing w:line="360" w:lineRule="auto"/>
        <w:ind w:left="284" w:hanging="283" w:hangingChars="135"/>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 xml:space="preserve">4.2 </w:t>
      </w:r>
      <w:r>
        <w:rPr>
          <w:rFonts w:hint="eastAsia" w:ascii="宋体" w:hAnsi="宋体" w:eastAsia="宋体" w:cs="宋体"/>
          <w:color w:val="auto"/>
          <w:szCs w:val="21"/>
          <w:highlight w:val="none"/>
          <w:lang w:val="zh-CN"/>
        </w:rPr>
        <w:t>法定代表人</w:t>
      </w:r>
      <w:r>
        <w:rPr>
          <w:rFonts w:hint="eastAsia" w:ascii="宋体" w:hAnsi="宋体" w:eastAsia="宋体" w:cs="宋体"/>
          <w:color w:val="auto"/>
          <w:kern w:val="2"/>
          <w:sz w:val="21"/>
          <w:szCs w:val="21"/>
          <w:highlight w:val="none"/>
          <w:lang w:val="zh-CN"/>
        </w:rPr>
        <w:t>（或法定负责人）</w:t>
      </w:r>
      <w:r>
        <w:rPr>
          <w:rFonts w:hint="eastAsia" w:ascii="宋体" w:hAnsi="宋体" w:eastAsia="宋体" w:cs="宋体"/>
          <w:color w:val="auto"/>
          <w:szCs w:val="21"/>
          <w:highlight w:val="none"/>
          <w:lang w:val="zh-CN"/>
        </w:rPr>
        <w:t>身份证明书和法定代表人</w:t>
      </w:r>
      <w:r>
        <w:rPr>
          <w:rFonts w:hint="eastAsia" w:ascii="宋体" w:hAnsi="宋体" w:eastAsia="宋体" w:cs="宋体"/>
          <w:color w:val="auto"/>
          <w:kern w:val="2"/>
          <w:sz w:val="21"/>
          <w:szCs w:val="21"/>
          <w:highlight w:val="none"/>
          <w:lang w:val="zh-CN"/>
        </w:rPr>
        <w:t>（或法定负责人）</w:t>
      </w:r>
      <w:r>
        <w:rPr>
          <w:rFonts w:hint="eastAsia" w:ascii="宋体" w:hAnsi="宋体" w:eastAsia="宋体" w:cs="宋体"/>
          <w:color w:val="auto"/>
          <w:szCs w:val="21"/>
          <w:highlight w:val="none"/>
          <w:lang w:val="zh-CN"/>
        </w:rPr>
        <w:t>授权书原件（法定代表人</w:t>
      </w:r>
      <w:r>
        <w:rPr>
          <w:rFonts w:hint="eastAsia" w:ascii="宋体" w:hAnsi="宋体" w:eastAsia="宋体" w:cs="宋体"/>
          <w:color w:val="auto"/>
          <w:kern w:val="2"/>
          <w:sz w:val="21"/>
          <w:szCs w:val="21"/>
          <w:highlight w:val="none"/>
          <w:lang w:val="zh-CN"/>
        </w:rPr>
        <w:t>（或法定负责人）</w:t>
      </w:r>
      <w:r>
        <w:rPr>
          <w:rFonts w:hint="eastAsia" w:ascii="宋体" w:hAnsi="宋体" w:eastAsia="宋体" w:cs="宋体"/>
          <w:color w:val="auto"/>
          <w:szCs w:val="21"/>
          <w:highlight w:val="none"/>
          <w:lang w:val="zh-CN"/>
        </w:rPr>
        <w:t>投标时只提供法定代表人</w:t>
      </w:r>
      <w:r>
        <w:rPr>
          <w:rFonts w:hint="eastAsia" w:ascii="宋体" w:hAnsi="宋体" w:eastAsia="宋体" w:cs="宋体"/>
          <w:color w:val="auto"/>
          <w:kern w:val="2"/>
          <w:sz w:val="21"/>
          <w:szCs w:val="21"/>
          <w:highlight w:val="none"/>
          <w:lang w:val="zh-CN"/>
        </w:rPr>
        <w:t>（或法定负责人）</w:t>
      </w:r>
      <w:r>
        <w:rPr>
          <w:rFonts w:hint="eastAsia" w:ascii="宋体" w:hAnsi="宋体" w:eastAsia="宋体" w:cs="宋体"/>
          <w:color w:val="auto"/>
          <w:szCs w:val="21"/>
          <w:highlight w:val="none"/>
          <w:lang w:val="zh-CN"/>
        </w:rPr>
        <w:t>身份证明书，委托</w:t>
      </w:r>
      <w:r>
        <w:rPr>
          <w:rFonts w:hint="eastAsia" w:ascii="宋体" w:hAnsi="宋体" w:eastAsia="宋体" w:cs="宋体"/>
          <w:color w:val="auto"/>
          <w:szCs w:val="21"/>
          <w:highlight w:val="none"/>
        </w:rPr>
        <w:t>他人</w:t>
      </w:r>
      <w:r>
        <w:rPr>
          <w:rFonts w:hint="eastAsia" w:ascii="宋体" w:hAnsi="宋体" w:eastAsia="宋体" w:cs="宋体"/>
          <w:color w:val="auto"/>
          <w:szCs w:val="21"/>
          <w:highlight w:val="none"/>
          <w:lang w:val="zh-CN"/>
        </w:rPr>
        <w:t>为投标代表时同时提供法定代表人</w:t>
      </w:r>
      <w:r>
        <w:rPr>
          <w:rFonts w:hint="eastAsia" w:ascii="宋体" w:hAnsi="宋体" w:eastAsia="宋体" w:cs="宋体"/>
          <w:color w:val="auto"/>
          <w:kern w:val="2"/>
          <w:sz w:val="21"/>
          <w:szCs w:val="21"/>
          <w:highlight w:val="none"/>
          <w:lang w:val="zh-CN"/>
        </w:rPr>
        <w:t>（或法定负责人）</w:t>
      </w:r>
      <w:r>
        <w:rPr>
          <w:rFonts w:hint="eastAsia" w:ascii="宋体" w:hAnsi="宋体" w:eastAsia="宋体" w:cs="宋体"/>
          <w:color w:val="auto"/>
          <w:szCs w:val="21"/>
          <w:highlight w:val="none"/>
          <w:lang w:val="zh-CN"/>
        </w:rPr>
        <w:t>授权书）；</w:t>
      </w:r>
    </w:p>
    <w:p w14:paraId="5E18D88C">
      <w:pPr>
        <w:autoSpaceDE w:val="0"/>
        <w:autoSpaceDN w:val="0"/>
        <w:adjustRightInd w:val="0"/>
        <w:spacing w:line="360" w:lineRule="auto"/>
        <w:ind w:left="913" w:hanging="913" w:hangingChars="435"/>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 xml:space="preserve">4.3 </w:t>
      </w:r>
      <w:bookmarkStart w:id="100" w:name="_Hlk159951855"/>
      <w:r>
        <w:rPr>
          <w:rFonts w:hint="eastAsia" w:ascii="宋体" w:hAnsi="宋体" w:eastAsia="宋体" w:cs="宋体"/>
          <w:color w:val="auto"/>
          <w:szCs w:val="21"/>
          <w:highlight w:val="none"/>
          <w:lang w:val="zh-CN"/>
        </w:rPr>
        <w:t>最近3年投标人牵涉的其他（失信和违法）</w:t>
      </w:r>
      <w:r>
        <w:rPr>
          <w:rFonts w:hint="eastAsia" w:ascii="宋体" w:hAnsi="宋体" w:eastAsia="宋体" w:cs="宋体"/>
          <w:color w:val="auto"/>
          <w:kern w:val="0"/>
          <w:szCs w:val="21"/>
          <w:highlight w:val="none"/>
        </w:rPr>
        <w:t>处罚说明</w:t>
      </w:r>
      <w:bookmarkEnd w:id="100"/>
      <w:r>
        <w:rPr>
          <w:rFonts w:hint="eastAsia" w:ascii="宋体" w:hAnsi="宋体" w:eastAsia="宋体" w:cs="宋体"/>
          <w:color w:val="auto"/>
          <w:szCs w:val="21"/>
          <w:highlight w:val="none"/>
          <w:lang w:val="zh-CN"/>
        </w:rPr>
        <w:t>；</w:t>
      </w:r>
    </w:p>
    <w:p w14:paraId="4D30AEF1">
      <w:pPr>
        <w:tabs>
          <w:tab w:val="left" w:pos="567"/>
        </w:tabs>
        <w:autoSpaceDE w:val="0"/>
        <w:autoSpaceDN w:val="0"/>
        <w:adjustRightInd w:val="0"/>
        <w:spacing w:line="360" w:lineRule="auto"/>
        <w:ind w:left="105" w:leftChars="-100" w:hanging="315" w:hangingChars="150"/>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（5）投标人基本情况一览表；</w:t>
      </w:r>
    </w:p>
    <w:p w14:paraId="669D5031">
      <w:pPr>
        <w:tabs>
          <w:tab w:val="left" w:pos="567"/>
        </w:tabs>
        <w:autoSpaceDE w:val="0"/>
        <w:autoSpaceDN w:val="0"/>
        <w:adjustRightInd w:val="0"/>
        <w:spacing w:line="360" w:lineRule="auto"/>
        <w:ind w:left="105" w:leftChars="-100" w:hanging="315" w:hangingChars="150"/>
        <w:outlineLvl w:val="9"/>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6</w:t>
      </w:r>
      <w:r>
        <w:rPr>
          <w:rFonts w:hint="eastAsia" w:ascii="宋体" w:hAnsi="宋体" w:eastAsia="宋体" w:cs="宋体"/>
          <w:color w:val="auto"/>
          <w:kern w:val="0"/>
          <w:szCs w:val="21"/>
          <w:highlight w:val="none"/>
        </w:rPr>
        <w:t>）</w:t>
      </w:r>
      <w:r>
        <w:rPr>
          <w:rFonts w:hint="eastAsia" w:ascii="宋体" w:hAnsi="宋体" w:eastAsia="宋体" w:cs="宋体"/>
          <w:b w:val="0"/>
          <w:bCs w:val="0"/>
          <w:color w:val="auto"/>
          <w:kern w:val="0"/>
          <w:sz w:val="21"/>
          <w:szCs w:val="21"/>
          <w:highlight w:val="none"/>
          <w:lang w:val="en-US" w:eastAsia="zh-CN"/>
        </w:rPr>
        <w:t>投标人综合实力</w:t>
      </w:r>
      <w:r>
        <w:rPr>
          <w:rFonts w:hint="eastAsia" w:ascii="宋体" w:hAnsi="宋体" w:eastAsia="宋体" w:cs="宋体"/>
          <w:color w:val="auto"/>
          <w:kern w:val="0"/>
          <w:szCs w:val="21"/>
          <w:highlight w:val="none"/>
          <w:lang w:val="en-US" w:eastAsia="zh-CN"/>
        </w:rPr>
        <w:t>；</w:t>
      </w:r>
    </w:p>
    <w:p w14:paraId="1E5981E7">
      <w:pPr>
        <w:tabs>
          <w:tab w:val="left" w:pos="567"/>
        </w:tabs>
        <w:autoSpaceDE w:val="0"/>
        <w:autoSpaceDN w:val="0"/>
        <w:adjustRightInd w:val="0"/>
        <w:spacing w:line="360" w:lineRule="auto"/>
        <w:ind w:left="105" w:leftChars="-100" w:hanging="315" w:hangingChars="150"/>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lang w:val="en-US" w:eastAsia="zh-CN"/>
        </w:rPr>
        <w:t>7</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lang w:val="en-US" w:eastAsia="zh-CN"/>
        </w:rPr>
        <w:t>拟投入本项目人员情况</w:t>
      </w:r>
      <w:r>
        <w:rPr>
          <w:rFonts w:hint="eastAsia" w:ascii="宋体" w:hAnsi="宋体" w:eastAsia="宋体" w:cs="宋体"/>
          <w:color w:val="auto"/>
          <w:kern w:val="0"/>
          <w:szCs w:val="21"/>
          <w:highlight w:val="none"/>
          <w:lang w:eastAsia="zh-CN"/>
        </w:rPr>
        <w:t>；</w:t>
      </w:r>
    </w:p>
    <w:p w14:paraId="567B0BDE">
      <w:pPr>
        <w:tabs>
          <w:tab w:val="left" w:pos="567"/>
        </w:tabs>
        <w:autoSpaceDE w:val="0"/>
        <w:autoSpaceDN w:val="0"/>
        <w:adjustRightInd w:val="0"/>
        <w:spacing w:line="360" w:lineRule="auto"/>
        <w:ind w:left="105" w:leftChars="-100" w:hanging="315" w:hangingChars="150"/>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8</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业绩表</w:t>
      </w:r>
      <w:r>
        <w:rPr>
          <w:rFonts w:hint="eastAsia" w:ascii="宋体" w:hAnsi="宋体" w:eastAsia="宋体" w:cs="宋体"/>
          <w:color w:val="auto"/>
          <w:kern w:val="0"/>
          <w:szCs w:val="21"/>
          <w:highlight w:val="none"/>
        </w:rPr>
        <w:t>；</w:t>
      </w:r>
    </w:p>
    <w:p w14:paraId="60B1864E">
      <w:pPr>
        <w:tabs>
          <w:tab w:val="left" w:pos="567"/>
        </w:tabs>
        <w:autoSpaceDE w:val="0"/>
        <w:autoSpaceDN w:val="0"/>
        <w:adjustRightInd w:val="0"/>
        <w:spacing w:line="360" w:lineRule="auto"/>
        <w:ind w:left="105" w:leftChars="-100" w:hanging="315" w:hangingChars="150"/>
        <w:outlineLvl w:val="9"/>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9</w:t>
      </w:r>
      <w:r>
        <w:rPr>
          <w:rFonts w:hint="eastAsia" w:ascii="宋体" w:hAnsi="宋体" w:eastAsia="宋体" w:cs="宋体"/>
          <w:color w:val="auto"/>
          <w:kern w:val="0"/>
          <w:szCs w:val="21"/>
          <w:highlight w:val="none"/>
        </w:rPr>
        <w:t>）拟投入本项目设备情况表</w:t>
      </w:r>
      <w:r>
        <w:rPr>
          <w:rFonts w:hint="eastAsia" w:ascii="宋体" w:hAnsi="宋体" w:eastAsia="宋体" w:cs="宋体"/>
          <w:color w:val="auto"/>
          <w:kern w:val="0"/>
          <w:szCs w:val="21"/>
          <w:highlight w:val="none"/>
          <w:lang w:eastAsia="zh-CN"/>
        </w:rPr>
        <w:t>；</w:t>
      </w:r>
    </w:p>
    <w:p w14:paraId="669019FE">
      <w:pPr>
        <w:tabs>
          <w:tab w:val="left" w:pos="567"/>
        </w:tabs>
        <w:autoSpaceDE w:val="0"/>
        <w:autoSpaceDN w:val="0"/>
        <w:adjustRightInd w:val="0"/>
        <w:spacing w:line="360" w:lineRule="auto"/>
        <w:ind w:left="105" w:leftChars="-100" w:hanging="315" w:hangingChars="150"/>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lang w:val="en-US" w:eastAsia="zh-CN"/>
        </w:rPr>
        <w:t>10</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rPr>
        <w:t>投标人资格证明文件以外的其他资质证书、知识产权证书及获得的相关获奖、认证证书、社会评价资料证明文件复印件等投标人认为有需要证明其具备为本次招标项目提供货物及有关服务能力的有关其它商务文件（不做强制要求）。</w:t>
      </w:r>
    </w:p>
    <w:p w14:paraId="4E45C38E">
      <w:pPr>
        <w:autoSpaceDE w:val="0"/>
        <w:autoSpaceDN w:val="0"/>
        <w:adjustRightInd w:val="0"/>
        <w:spacing w:line="360" w:lineRule="auto"/>
        <w:ind w:left="422" w:leftChars="-100" w:hanging="632" w:hangingChars="300"/>
        <w:outlineLvl w:val="9"/>
        <w:rPr>
          <w:rFonts w:hint="eastAsia" w:ascii="宋体" w:hAnsi="宋体" w:eastAsia="宋体" w:cs="宋体"/>
          <w:b/>
          <w:color w:val="auto"/>
          <w:kern w:val="0"/>
          <w:szCs w:val="24"/>
          <w:highlight w:val="none"/>
        </w:rPr>
      </w:pPr>
      <w:r>
        <w:rPr>
          <w:rFonts w:hint="eastAsia" w:ascii="宋体" w:hAnsi="宋体" w:eastAsia="宋体" w:cs="宋体"/>
          <w:b/>
          <w:color w:val="auto"/>
          <w:kern w:val="0"/>
          <w:szCs w:val="24"/>
          <w:highlight w:val="none"/>
        </w:rPr>
        <w:t xml:space="preserve">9.1.2 技术文件： </w:t>
      </w:r>
    </w:p>
    <w:p w14:paraId="0500668F">
      <w:pPr>
        <w:autoSpaceDE w:val="0"/>
        <w:autoSpaceDN w:val="0"/>
        <w:adjustRightInd w:val="0"/>
        <w:spacing w:line="360" w:lineRule="auto"/>
        <w:ind w:right="-23" w:rightChars="-11"/>
        <w:jc w:val="left"/>
        <w:outlineLvl w:val="9"/>
        <w:rPr>
          <w:rFonts w:hint="eastAsia" w:ascii="宋体" w:hAnsi="宋体" w:eastAsia="宋体" w:cs="宋体"/>
          <w:b/>
          <w:bCs/>
          <w:color w:val="auto"/>
          <w:kern w:val="0"/>
          <w:szCs w:val="21"/>
          <w:highlight w:val="none"/>
          <w:lang w:val="zh-CN"/>
        </w:rPr>
      </w:pPr>
      <w:r>
        <w:rPr>
          <w:rFonts w:hint="eastAsia" w:ascii="宋体" w:hAnsi="宋体" w:eastAsia="宋体" w:cs="宋体"/>
          <w:b/>
          <w:bCs/>
          <w:color w:val="auto"/>
          <w:kern w:val="0"/>
          <w:szCs w:val="21"/>
          <w:highlight w:val="none"/>
          <w:lang w:val="zh-CN"/>
        </w:rPr>
        <w:t xml:space="preserve">    目录：</w:t>
      </w:r>
    </w:p>
    <w:p w14:paraId="15FAF174">
      <w:pPr>
        <w:spacing w:line="360" w:lineRule="auto"/>
        <w:ind w:left="315" w:leftChars="-100" w:hanging="525" w:hangingChars="250"/>
        <w:outlineLvl w:val="9"/>
        <w:rPr>
          <w:rFonts w:hint="eastAsia" w:ascii="宋体" w:hAnsi="宋体" w:eastAsia="宋体" w:cs="宋体"/>
          <w:color w:val="auto"/>
          <w:kern w:val="0"/>
          <w:szCs w:val="21"/>
          <w:highlight w:val="none"/>
          <w:lang w:eastAsia="zh-CN"/>
        </w:rPr>
      </w:pPr>
      <w:bookmarkStart w:id="101" w:name="_Hlk159951417"/>
      <w:r>
        <w:rPr>
          <w:rFonts w:hint="eastAsia" w:ascii="宋体" w:hAnsi="宋体" w:eastAsia="宋体" w:cs="宋体"/>
          <w:color w:val="auto"/>
          <w:kern w:val="0"/>
          <w:szCs w:val="21"/>
          <w:highlight w:val="none"/>
        </w:rPr>
        <w:t>（1）用户需求响应表</w:t>
      </w:r>
      <w:r>
        <w:rPr>
          <w:rFonts w:hint="eastAsia" w:ascii="宋体" w:hAnsi="宋体" w:eastAsia="宋体" w:cs="宋体"/>
          <w:color w:val="auto"/>
          <w:kern w:val="0"/>
          <w:szCs w:val="21"/>
          <w:highlight w:val="none"/>
          <w:lang w:eastAsia="zh-CN"/>
        </w:rPr>
        <w:t>；</w:t>
      </w:r>
    </w:p>
    <w:p w14:paraId="3943B0C0">
      <w:pPr>
        <w:autoSpaceDE w:val="0"/>
        <w:autoSpaceDN w:val="0"/>
        <w:adjustRightInd w:val="0"/>
        <w:spacing w:line="360" w:lineRule="auto"/>
        <w:ind w:left="420" w:leftChars="-100" w:hanging="630" w:hangingChars="300"/>
        <w:outlineLvl w:val="9"/>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（2）实质性条款（★号条款）响应一览表</w:t>
      </w:r>
      <w:r>
        <w:rPr>
          <w:rFonts w:hint="eastAsia" w:ascii="宋体" w:hAnsi="宋体" w:eastAsia="宋体" w:cs="宋体"/>
          <w:color w:val="auto"/>
          <w:kern w:val="0"/>
          <w:szCs w:val="21"/>
          <w:highlight w:val="none"/>
          <w:lang w:eastAsia="zh-CN"/>
        </w:rPr>
        <w:t>；</w:t>
      </w:r>
    </w:p>
    <w:p w14:paraId="39E87B0F">
      <w:pPr>
        <w:autoSpaceDE w:val="0"/>
        <w:autoSpaceDN w:val="0"/>
        <w:adjustRightInd w:val="0"/>
        <w:spacing w:line="360" w:lineRule="auto"/>
        <w:ind w:left="420" w:leftChars="-100" w:hanging="630" w:hangingChars="300"/>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（3）《技术条款偏离表》；</w:t>
      </w:r>
    </w:p>
    <w:p w14:paraId="05B1078E">
      <w:pPr>
        <w:autoSpaceDE w:val="0"/>
        <w:autoSpaceDN w:val="0"/>
        <w:adjustRightInd w:val="0"/>
        <w:spacing w:line="360" w:lineRule="auto"/>
        <w:ind w:left="420" w:leftChars="-100" w:hanging="630" w:hangingChars="300"/>
        <w:outlineLvl w:val="9"/>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（4）对本项目的理解</w:t>
      </w:r>
      <w:r>
        <w:rPr>
          <w:rFonts w:hint="eastAsia" w:ascii="宋体" w:hAnsi="宋体" w:eastAsia="宋体" w:cs="宋体"/>
          <w:color w:val="auto"/>
          <w:sz w:val="21"/>
          <w:szCs w:val="21"/>
          <w:highlight w:val="none"/>
          <w:lang w:eastAsia="zh-CN"/>
        </w:rPr>
        <w:t>；</w:t>
      </w:r>
    </w:p>
    <w:p w14:paraId="1B08DD42">
      <w:pPr>
        <w:autoSpaceDE w:val="0"/>
        <w:autoSpaceDN w:val="0"/>
        <w:adjustRightInd w:val="0"/>
        <w:spacing w:line="360" w:lineRule="auto"/>
        <w:ind w:left="420" w:leftChars="-100" w:hanging="630" w:hangingChars="300"/>
        <w:outlineLvl w:val="9"/>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（5）</w:t>
      </w:r>
      <w:r>
        <w:rPr>
          <w:rFonts w:hint="eastAsia" w:ascii="宋体" w:hAnsi="宋体" w:eastAsia="宋体" w:cs="宋体"/>
          <w:color w:val="auto"/>
          <w:kern w:val="0"/>
          <w:szCs w:val="21"/>
          <w:highlight w:val="none"/>
          <w:lang w:val="en-US" w:eastAsia="zh-CN"/>
        </w:rPr>
        <w:t>运维实施方案</w:t>
      </w:r>
      <w:r>
        <w:rPr>
          <w:rFonts w:hint="eastAsia" w:ascii="宋体" w:hAnsi="宋体" w:eastAsia="宋体" w:cs="宋体"/>
          <w:color w:val="auto"/>
          <w:kern w:val="0"/>
          <w:szCs w:val="21"/>
          <w:highlight w:val="none"/>
          <w:lang w:eastAsia="zh-CN"/>
        </w:rPr>
        <w:t>；</w:t>
      </w:r>
    </w:p>
    <w:p w14:paraId="622BE2FA">
      <w:pPr>
        <w:autoSpaceDE w:val="0"/>
        <w:autoSpaceDN w:val="0"/>
        <w:adjustRightInd w:val="0"/>
        <w:spacing w:line="360" w:lineRule="auto"/>
        <w:ind w:left="420" w:leftChars="-100" w:hanging="630" w:hangingChars="300"/>
        <w:outlineLvl w:val="9"/>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（6）</w:t>
      </w:r>
      <w:r>
        <w:rPr>
          <w:rFonts w:hint="eastAsia" w:ascii="宋体" w:hAnsi="宋体" w:eastAsia="宋体" w:cs="宋体"/>
          <w:color w:val="auto"/>
          <w:kern w:val="0"/>
          <w:szCs w:val="21"/>
          <w:highlight w:val="none"/>
          <w:lang w:val="en-US" w:eastAsia="zh-CN"/>
        </w:rPr>
        <w:t>系统及数据安全保障措施</w:t>
      </w:r>
      <w:r>
        <w:rPr>
          <w:rFonts w:hint="eastAsia" w:ascii="宋体" w:hAnsi="宋体" w:eastAsia="宋体" w:cs="宋体"/>
          <w:color w:val="auto"/>
          <w:kern w:val="0"/>
          <w:szCs w:val="21"/>
          <w:highlight w:val="none"/>
          <w:lang w:eastAsia="zh-CN"/>
        </w:rPr>
        <w:t>；</w:t>
      </w:r>
    </w:p>
    <w:p w14:paraId="3FFBDD28">
      <w:pPr>
        <w:autoSpaceDE w:val="0"/>
        <w:autoSpaceDN w:val="0"/>
        <w:adjustRightInd w:val="0"/>
        <w:spacing w:line="360" w:lineRule="auto"/>
        <w:ind w:left="420" w:leftChars="-100" w:hanging="630" w:hangingChars="300"/>
        <w:outlineLvl w:val="9"/>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（7）质量保障方案</w:t>
      </w:r>
      <w:r>
        <w:rPr>
          <w:rFonts w:hint="eastAsia" w:ascii="宋体" w:hAnsi="宋体" w:eastAsia="宋体" w:cs="宋体"/>
          <w:color w:val="auto"/>
          <w:kern w:val="0"/>
          <w:szCs w:val="21"/>
          <w:highlight w:val="none"/>
          <w:lang w:eastAsia="zh-CN"/>
        </w:rPr>
        <w:t>；</w:t>
      </w:r>
    </w:p>
    <w:p w14:paraId="0510EE38">
      <w:pPr>
        <w:autoSpaceDE w:val="0"/>
        <w:autoSpaceDN w:val="0"/>
        <w:adjustRightInd w:val="0"/>
        <w:spacing w:line="360" w:lineRule="auto"/>
        <w:ind w:left="420" w:leftChars="-100" w:hanging="630" w:hangingChars="300"/>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（8）投标人认为有必要提供的其它材料（不做强制要求）</w:t>
      </w:r>
    </w:p>
    <w:bookmarkEnd w:id="101"/>
    <w:p w14:paraId="6F1F0C39">
      <w:pPr>
        <w:autoSpaceDE w:val="0"/>
        <w:autoSpaceDN w:val="0"/>
        <w:adjustRightInd w:val="0"/>
        <w:spacing w:line="360" w:lineRule="auto"/>
        <w:ind w:left="422" w:leftChars="-100" w:hanging="632" w:hangingChars="300"/>
        <w:outlineLvl w:val="9"/>
        <w:rPr>
          <w:rFonts w:hint="eastAsia" w:ascii="宋体" w:hAnsi="宋体" w:eastAsia="宋体" w:cs="宋体"/>
          <w:color w:val="auto"/>
          <w:kern w:val="0"/>
          <w:szCs w:val="21"/>
          <w:highlight w:val="none"/>
          <w:lang w:val="zh-CN"/>
        </w:rPr>
      </w:pPr>
      <w:r>
        <w:rPr>
          <w:rFonts w:hint="eastAsia" w:ascii="宋体" w:hAnsi="宋体" w:eastAsia="宋体" w:cs="宋体"/>
          <w:b/>
          <w:color w:val="auto"/>
          <w:kern w:val="0"/>
          <w:szCs w:val="21"/>
          <w:highlight w:val="none"/>
        </w:rPr>
        <w:t xml:space="preserve">9.1.3 </w:t>
      </w:r>
      <w:r>
        <w:rPr>
          <w:rFonts w:hint="eastAsia" w:ascii="宋体" w:hAnsi="宋体" w:eastAsia="宋体" w:cs="宋体"/>
          <w:b/>
          <w:bCs/>
          <w:color w:val="auto"/>
          <w:kern w:val="0"/>
          <w:szCs w:val="21"/>
          <w:highlight w:val="none"/>
          <w:lang w:val="zh-CN"/>
        </w:rPr>
        <w:t>投标文件电子文件</w:t>
      </w:r>
      <w:r>
        <w:rPr>
          <w:rFonts w:hint="eastAsia" w:ascii="宋体" w:hAnsi="宋体" w:eastAsia="宋体" w:cs="宋体"/>
          <w:color w:val="auto"/>
          <w:kern w:val="0"/>
          <w:szCs w:val="21"/>
          <w:highlight w:val="none"/>
          <w:lang w:val="zh-CN"/>
        </w:rPr>
        <w:t>（详细要求见本篇第17.5款）</w:t>
      </w:r>
    </w:p>
    <w:p w14:paraId="00B8F12E">
      <w:pPr>
        <w:autoSpaceDE w:val="0"/>
        <w:autoSpaceDN w:val="0"/>
        <w:adjustRightInd w:val="0"/>
        <w:spacing w:line="360" w:lineRule="auto"/>
        <w:ind w:left="35" w:leftChars="-118" w:hanging="283" w:hangingChars="135"/>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（1）签字、盖章后的投标文件扫描版PDF格式电子文件。</w:t>
      </w:r>
    </w:p>
    <w:p w14:paraId="3098A057">
      <w:pPr>
        <w:autoSpaceDE w:val="0"/>
        <w:autoSpaceDN w:val="0"/>
        <w:adjustRightInd w:val="0"/>
        <w:spacing w:line="360" w:lineRule="auto"/>
        <w:ind w:left="422" w:leftChars="-100" w:hanging="632" w:hangingChars="300"/>
        <w:outlineLvl w:val="9"/>
        <w:rPr>
          <w:rFonts w:hint="eastAsia" w:ascii="宋体" w:hAnsi="宋体" w:eastAsia="宋体" w:cs="宋体"/>
          <w:b/>
          <w:bCs/>
          <w:color w:val="auto"/>
          <w:szCs w:val="21"/>
          <w:highlight w:val="none"/>
          <w:lang w:val="zh-CN"/>
        </w:rPr>
      </w:pPr>
      <w:r>
        <w:rPr>
          <w:rFonts w:hint="eastAsia" w:ascii="宋体" w:hAnsi="宋体" w:eastAsia="宋体" w:cs="宋体"/>
          <w:b/>
          <w:bCs/>
          <w:color w:val="auto"/>
          <w:szCs w:val="21"/>
          <w:highlight w:val="none"/>
          <w:lang w:val="zh-CN"/>
        </w:rPr>
        <w:t>9.1.4 唱标信封（单独密封）</w:t>
      </w:r>
    </w:p>
    <w:p w14:paraId="04E0338D">
      <w:pPr>
        <w:spacing w:line="360" w:lineRule="auto"/>
        <w:ind w:left="105" w:leftChars="-100" w:hanging="315" w:hangingChars="150"/>
        <w:outlineLvl w:val="9"/>
        <w:rPr>
          <w:rFonts w:hint="eastAsia" w:ascii="宋体" w:hAnsi="宋体" w:eastAsia="宋体" w:cs="宋体"/>
          <w:color w:val="auto"/>
          <w:kern w:val="0"/>
          <w:szCs w:val="21"/>
          <w:highlight w:val="none"/>
          <w:lang w:val="zh-CN"/>
        </w:rPr>
      </w:pPr>
      <w:r>
        <w:rPr>
          <w:rFonts w:hint="eastAsia" w:ascii="宋体" w:hAnsi="宋体" w:eastAsia="宋体" w:cs="宋体"/>
          <w:color w:val="auto"/>
          <w:kern w:val="0"/>
          <w:szCs w:val="21"/>
          <w:highlight w:val="none"/>
          <w:lang w:val="zh-CN"/>
        </w:rPr>
        <w:t>（1）</w:t>
      </w:r>
      <w:r>
        <w:rPr>
          <w:rFonts w:hint="eastAsia" w:ascii="宋体" w:hAnsi="宋体" w:eastAsia="宋体" w:cs="宋体"/>
          <w:color w:val="auto"/>
          <w:szCs w:val="21"/>
          <w:highlight w:val="none"/>
          <w:lang w:val="zh-CN"/>
        </w:rPr>
        <w:t>投标报价表</w:t>
      </w:r>
      <w:r>
        <w:rPr>
          <w:rFonts w:hint="eastAsia" w:ascii="宋体" w:hAnsi="宋体" w:eastAsia="宋体" w:cs="宋体"/>
          <w:color w:val="auto"/>
          <w:kern w:val="0"/>
          <w:szCs w:val="21"/>
          <w:highlight w:val="none"/>
          <w:lang w:val="zh-CN"/>
        </w:rPr>
        <w:t>；</w:t>
      </w:r>
    </w:p>
    <w:p w14:paraId="18594DFB">
      <w:pPr>
        <w:spacing w:line="360" w:lineRule="auto"/>
        <w:ind w:left="105" w:leftChars="-100" w:hanging="315" w:hangingChars="150"/>
        <w:outlineLvl w:val="9"/>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（2）分项报价表；</w:t>
      </w:r>
    </w:p>
    <w:p w14:paraId="768C1EA9">
      <w:pPr>
        <w:autoSpaceDE w:val="0"/>
        <w:autoSpaceDN w:val="0"/>
        <w:adjustRightInd w:val="0"/>
        <w:spacing w:line="360" w:lineRule="auto"/>
        <w:ind w:left="315" w:leftChars="-100" w:hanging="525" w:hangingChars="25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9.2  投标人按照投标文件的组成目录编制投标文件应包括上述内容，但不限于上述内容。招标文件提供了相关格式的，严格按照招标文件的要求编制，投标文件未含格式的，投标人自行编制。投标文件编制中要求的复印件、照片可为该资料扫描件的打印件。</w:t>
      </w:r>
    </w:p>
    <w:p w14:paraId="1A26AF0D">
      <w:pPr>
        <w:tabs>
          <w:tab w:val="left" w:pos="567"/>
        </w:tabs>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xml:space="preserve">9.3  </w:t>
      </w:r>
      <w:r>
        <w:rPr>
          <w:rFonts w:hint="eastAsia" w:ascii="宋体" w:hAnsi="宋体" w:eastAsia="宋体" w:cs="宋体"/>
          <w:b/>
          <w:color w:val="auto"/>
          <w:szCs w:val="21"/>
          <w:highlight w:val="none"/>
          <w:u w:val="single"/>
          <w:lang w:val="zh-CN"/>
        </w:rPr>
        <w:t>投标文件中相关证件、证书、合同、发票、照片等证明材料中的原始印章、签名、关键内容必须清晰、可辨认，否则视为无效证明材料；投标文件中存在外文资料的，投标人必须同时提供中文译本，且必须保证中文译本的准确，否则招标人不予认可，视为无效材料；投标人须承担因此对应造成投标无效，或评标时因无效证明材料不得分，或拒绝接受投标的风险</w:t>
      </w:r>
      <w:r>
        <w:rPr>
          <w:rFonts w:hint="eastAsia" w:ascii="宋体" w:hAnsi="宋体" w:eastAsia="宋体" w:cs="宋体"/>
          <w:color w:val="auto"/>
          <w:szCs w:val="21"/>
          <w:highlight w:val="none"/>
          <w:lang w:val="zh-CN"/>
        </w:rPr>
        <w:t>。</w:t>
      </w:r>
    </w:p>
    <w:p w14:paraId="06D3A584">
      <w:pPr>
        <w:autoSpaceDE w:val="0"/>
        <w:autoSpaceDN w:val="0"/>
        <w:adjustRightInd w:val="0"/>
        <w:spacing w:line="360" w:lineRule="auto"/>
        <w:ind w:left="315" w:leftChars="-100" w:hanging="525" w:hangingChars="250"/>
        <w:outlineLvl w:val="9"/>
        <w:rPr>
          <w:rFonts w:hint="eastAsia" w:ascii="宋体" w:hAnsi="宋体" w:eastAsia="宋体" w:cs="宋体"/>
          <w:color w:val="auto"/>
          <w:szCs w:val="21"/>
          <w:highlight w:val="none"/>
          <w:lang w:val="zh-CN"/>
        </w:rPr>
      </w:pPr>
    </w:p>
    <w:p w14:paraId="0F2CD47F">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102" w:name="_Toc18697"/>
      <w:bookmarkStart w:id="103" w:name="_Toc142508324"/>
      <w:bookmarkStart w:id="104" w:name="_Toc486167674"/>
      <w:bookmarkStart w:id="105" w:name="_Toc450662860"/>
      <w:bookmarkStart w:id="106" w:name="_Toc8675_WPSOffice_Level3"/>
      <w:r>
        <w:rPr>
          <w:rFonts w:hint="eastAsia" w:ascii="宋体" w:hAnsi="宋体" w:eastAsia="宋体" w:cs="宋体"/>
          <w:color w:val="auto"/>
          <w:szCs w:val="21"/>
          <w:highlight w:val="none"/>
          <w:lang w:val="zh-CN"/>
        </w:rPr>
        <w:t>10 投标函</w:t>
      </w:r>
      <w:bookmarkEnd w:id="102"/>
      <w:bookmarkEnd w:id="103"/>
      <w:bookmarkEnd w:id="104"/>
      <w:bookmarkEnd w:id="105"/>
      <w:bookmarkEnd w:id="106"/>
    </w:p>
    <w:p w14:paraId="6D662210">
      <w:pPr>
        <w:autoSpaceDE w:val="0"/>
        <w:autoSpaceDN w:val="0"/>
        <w:adjustRightInd w:val="0"/>
        <w:spacing w:line="360" w:lineRule="auto"/>
        <w:ind w:left="265" w:leftChars="119" w:hanging="15"/>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投标人应完整填写投标文件格式中规定的投标函。</w:t>
      </w:r>
    </w:p>
    <w:p w14:paraId="1A26CAD7">
      <w:pPr>
        <w:autoSpaceDE w:val="0"/>
        <w:autoSpaceDN w:val="0"/>
        <w:adjustRightInd w:val="0"/>
        <w:spacing w:line="360" w:lineRule="auto"/>
        <w:ind w:left="265" w:leftChars="119" w:hanging="15"/>
        <w:outlineLvl w:val="9"/>
        <w:rPr>
          <w:rFonts w:hint="eastAsia" w:ascii="宋体" w:hAnsi="宋体" w:eastAsia="宋体" w:cs="宋体"/>
          <w:color w:val="auto"/>
          <w:szCs w:val="21"/>
          <w:highlight w:val="none"/>
          <w:lang w:val="zh-CN"/>
        </w:rPr>
      </w:pPr>
    </w:p>
    <w:p w14:paraId="0FC286A3">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107" w:name="_Toc450662861"/>
      <w:bookmarkStart w:id="108" w:name="_Toc142508325"/>
      <w:bookmarkStart w:id="109" w:name="_Toc4385_WPSOffice_Level3"/>
      <w:bookmarkStart w:id="110" w:name="_Toc486167675"/>
      <w:bookmarkStart w:id="111" w:name="_Toc28822"/>
      <w:r>
        <w:rPr>
          <w:rFonts w:hint="eastAsia" w:ascii="宋体" w:hAnsi="宋体" w:eastAsia="宋体" w:cs="宋体"/>
          <w:color w:val="auto"/>
          <w:szCs w:val="21"/>
          <w:highlight w:val="none"/>
          <w:lang w:val="zh-CN"/>
        </w:rPr>
        <w:t>11 投标报价</w:t>
      </w:r>
      <w:bookmarkEnd w:id="107"/>
      <w:bookmarkEnd w:id="108"/>
      <w:bookmarkEnd w:id="109"/>
      <w:bookmarkEnd w:id="110"/>
      <w:bookmarkEnd w:id="111"/>
    </w:p>
    <w:p w14:paraId="589EE57F">
      <w:pPr>
        <w:tabs>
          <w:tab w:val="left" w:pos="567"/>
        </w:tabs>
        <w:autoSpaceDE w:val="0"/>
        <w:autoSpaceDN w:val="0"/>
        <w:adjustRightInd w:val="0"/>
        <w:spacing w:line="360" w:lineRule="auto"/>
        <w:ind w:left="357" w:leftChars="-100" w:hanging="567"/>
        <w:outlineLvl w:val="9"/>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11.1 本项目只允许有一个报价价格，任何有选择的或</w:t>
      </w:r>
      <w:r>
        <w:rPr>
          <w:rFonts w:hint="eastAsia" w:ascii="宋体" w:hAnsi="宋体" w:eastAsia="宋体" w:cs="宋体"/>
          <w:b/>
          <w:color w:val="auto"/>
          <w:kern w:val="0"/>
          <w:szCs w:val="21"/>
          <w:highlight w:val="none"/>
          <w:lang w:val="zh-CN"/>
        </w:rPr>
        <w:t>不是固定价的</w:t>
      </w:r>
      <w:r>
        <w:rPr>
          <w:rFonts w:hint="eastAsia" w:ascii="宋体" w:hAnsi="宋体" w:eastAsia="宋体" w:cs="宋体"/>
          <w:b/>
          <w:color w:val="auto"/>
          <w:szCs w:val="21"/>
          <w:highlight w:val="none"/>
          <w:lang w:val="zh-CN"/>
        </w:rPr>
        <w:t>投标报价将不予接受，</w:t>
      </w:r>
      <w:r>
        <w:rPr>
          <w:rFonts w:hint="eastAsia" w:ascii="宋体" w:hAnsi="宋体" w:eastAsia="宋体" w:cs="宋体"/>
          <w:b/>
          <w:color w:val="auto"/>
          <w:kern w:val="0"/>
          <w:szCs w:val="21"/>
          <w:highlight w:val="none"/>
          <w:lang w:val="zh-CN"/>
        </w:rPr>
        <w:t>作为非实质性响应投标而予以拒绝。</w:t>
      </w:r>
    </w:p>
    <w:p w14:paraId="3D5C9DA1">
      <w:pPr>
        <w:autoSpaceDE w:val="0"/>
        <w:autoSpaceDN w:val="0"/>
        <w:adjustRightInd w:val="0"/>
        <w:spacing w:line="360" w:lineRule="auto"/>
        <w:ind w:left="357" w:leftChars="-100" w:hanging="567"/>
        <w:outlineLvl w:val="9"/>
        <w:rPr>
          <w:rFonts w:hint="eastAsia" w:ascii="宋体" w:hAnsi="宋体" w:eastAsia="宋体" w:cs="宋体"/>
          <w:b/>
          <w:bCs/>
          <w:color w:val="auto"/>
          <w:szCs w:val="21"/>
          <w:highlight w:val="none"/>
          <w:lang w:val="zh-CN"/>
        </w:rPr>
      </w:pPr>
      <w:r>
        <w:rPr>
          <w:rFonts w:hint="eastAsia" w:ascii="宋体" w:hAnsi="宋体" w:eastAsia="宋体" w:cs="宋体"/>
          <w:color w:val="auto"/>
          <w:szCs w:val="21"/>
          <w:highlight w:val="none"/>
          <w:lang w:val="zh-CN"/>
        </w:rPr>
        <w:t xml:space="preserve">11.2 </w:t>
      </w:r>
      <w:r>
        <w:rPr>
          <w:rFonts w:hint="eastAsia" w:ascii="宋体" w:hAnsi="宋体" w:eastAsia="宋体" w:cs="宋体"/>
          <w:b/>
          <w:bCs/>
          <w:color w:val="auto"/>
          <w:szCs w:val="21"/>
          <w:highlight w:val="none"/>
          <w:lang w:val="zh-CN"/>
        </w:rPr>
        <w:t>合同项下，招标人需要的货物及</w:t>
      </w:r>
      <w:r>
        <w:rPr>
          <w:rFonts w:hint="eastAsia" w:ascii="宋体" w:hAnsi="宋体" w:eastAsia="宋体" w:cs="宋体"/>
          <w:b/>
          <w:bCs/>
          <w:color w:val="auto"/>
          <w:szCs w:val="21"/>
          <w:highlight w:val="none"/>
        </w:rPr>
        <w:t>有关</w:t>
      </w:r>
      <w:r>
        <w:rPr>
          <w:rFonts w:hint="eastAsia" w:ascii="宋体" w:hAnsi="宋体" w:eastAsia="宋体" w:cs="宋体"/>
          <w:b/>
          <w:bCs/>
          <w:color w:val="auto"/>
          <w:szCs w:val="21"/>
          <w:highlight w:val="none"/>
          <w:lang w:val="zh-CN"/>
        </w:rPr>
        <w:t>服务所需的费用，投标人都应计入投标报价总价。</w:t>
      </w:r>
    </w:p>
    <w:p w14:paraId="17F6E626">
      <w:pPr>
        <w:autoSpaceDE w:val="0"/>
        <w:autoSpaceDN w:val="0"/>
        <w:adjustRightInd w:val="0"/>
        <w:spacing w:line="360" w:lineRule="auto"/>
        <w:ind w:left="357" w:leftChars="-100" w:hanging="567"/>
        <w:outlineLvl w:val="9"/>
        <w:rPr>
          <w:rFonts w:hint="eastAsia" w:ascii="宋体" w:hAnsi="宋体" w:eastAsia="宋体" w:cs="宋体"/>
          <w:b/>
          <w:color w:val="auto"/>
          <w:szCs w:val="21"/>
          <w:highlight w:val="none"/>
          <w:lang w:val="zh-CN"/>
        </w:rPr>
      </w:pPr>
      <w:r>
        <w:rPr>
          <w:rFonts w:hint="eastAsia" w:ascii="宋体" w:hAnsi="宋体" w:eastAsia="宋体" w:cs="宋体"/>
          <w:color w:val="auto"/>
          <w:szCs w:val="21"/>
          <w:highlight w:val="none"/>
          <w:lang w:val="zh-CN"/>
        </w:rPr>
        <w:t>11.3</w:t>
      </w:r>
      <w:r>
        <w:rPr>
          <w:rFonts w:hint="eastAsia" w:ascii="宋体" w:hAnsi="宋体" w:eastAsia="宋体" w:cs="宋体"/>
          <w:b/>
          <w:bCs/>
          <w:color w:val="auto"/>
          <w:szCs w:val="21"/>
          <w:highlight w:val="none"/>
          <w:u w:val="single"/>
        </w:rPr>
        <w:t xml:space="preserve"> 投标人应按总价报价，</w:t>
      </w:r>
      <w:r>
        <w:rPr>
          <w:rFonts w:hint="eastAsia" w:ascii="宋体" w:hAnsi="宋体" w:eastAsia="宋体" w:cs="宋体"/>
          <w:b/>
          <w:color w:val="auto"/>
          <w:szCs w:val="21"/>
          <w:highlight w:val="none"/>
          <w:u w:val="single"/>
          <w:lang w:val="zh-CN"/>
        </w:rPr>
        <w:t>投标人</w:t>
      </w:r>
      <w:r>
        <w:rPr>
          <w:rFonts w:hint="eastAsia" w:ascii="宋体" w:hAnsi="宋体" w:eastAsia="宋体" w:cs="宋体"/>
          <w:b/>
          <w:bCs/>
          <w:color w:val="auto"/>
          <w:kern w:val="0"/>
          <w:szCs w:val="24"/>
          <w:highlight w:val="none"/>
          <w:u w:val="single"/>
        </w:rPr>
        <w:t>的投标报价高于</w:t>
      </w:r>
      <w:r>
        <w:rPr>
          <w:rFonts w:hint="eastAsia" w:ascii="宋体" w:hAnsi="宋体" w:eastAsia="宋体" w:cs="宋体"/>
          <w:b/>
          <w:bCs/>
          <w:color w:val="auto"/>
          <w:kern w:val="0"/>
          <w:szCs w:val="24"/>
          <w:highlight w:val="none"/>
          <w:u w:val="single"/>
          <w:lang w:val="en-US" w:eastAsia="zh-CN"/>
        </w:rPr>
        <w:t>预算金额</w:t>
      </w:r>
      <w:r>
        <w:rPr>
          <w:rFonts w:hint="eastAsia" w:ascii="宋体" w:hAnsi="宋体" w:eastAsia="宋体" w:cs="宋体"/>
          <w:b/>
          <w:color w:val="auto"/>
          <w:kern w:val="0"/>
          <w:szCs w:val="21"/>
          <w:highlight w:val="none"/>
          <w:lang w:val="en-US" w:eastAsia="zh-CN"/>
        </w:rPr>
        <w:t>或①电费/②迁移费用（总价或各项单价）/③备品备件费用高于最高限价</w:t>
      </w:r>
      <w:r>
        <w:rPr>
          <w:rFonts w:hint="eastAsia" w:ascii="宋体" w:hAnsi="宋体" w:eastAsia="宋体" w:cs="宋体"/>
          <w:b/>
          <w:bCs/>
          <w:color w:val="auto"/>
          <w:kern w:val="0"/>
          <w:szCs w:val="24"/>
          <w:highlight w:val="none"/>
          <w:u w:val="single"/>
        </w:rPr>
        <w:t>的，该投标人的投标文件将被视为无效投标</w:t>
      </w:r>
      <w:r>
        <w:rPr>
          <w:rFonts w:hint="eastAsia" w:ascii="宋体" w:hAnsi="宋体" w:eastAsia="宋体" w:cs="宋体"/>
          <w:b/>
          <w:color w:val="auto"/>
          <w:szCs w:val="21"/>
          <w:highlight w:val="none"/>
          <w:u w:val="single"/>
          <w:lang w:val="zh-CN"/>
        </w:rPr>
        <w:t>。</w:t>
      </w:r>
    </w:p>
    <w:p w14:paraId="3B121652">
      <w:pPr>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zh-CN"/>
        </w:rPr>
        <w:t xml:space="preserve">     </w:t>
      </w:r>
    </w:p>
    <w:p w14:paraId="782DF5E4">
      <w:pPr>
        <w:autoSpaceDE w:val="0"/>
        <w:autoSpaceDN w:val="0"/>
        <w:adjustRightInd w:val="0"/>
        <w:spacing w:line="360" w:lineRule="auto"/>
        <w:ind w:left="357" w:leftChars="-100" w:hanging="567"/>
        <w:jc w:val="left"/>
        <w:outlineLvl w:val="9"/>
        <w:rPr>
          <w:rFonts w:hint="eastAsia" w:ascii="宋体" w:hAnsi="宋体" w:eastAsia="宋体" w:cs="宋体"/>
          <w:b/>
          <w:color w:val="auto"/>
          <w:szCs w:val="21"/>
          <w:highlight w:val="none"/>
          <w:lang w:val="zh-CN"/>
        </w:rPr>
      </w:pPr>
      <w:bookmarkStart w:id="112" w:name="_Toc486167676"/>
      <w:bookmarkStart w:id="113" w:name="_Toc142508326"/>
      <w:bookmarkStart w:id="114" w:name="_Toc450662862"/>
      <w:bookmarkStart w:id="115" w:name="_Toc30042_WPSOffice_Level3"/>
      <w:bookmarkStart w:id="116" w:name="_Toc14068"/>
      <w:r>
        <w:rPr>
          <w:rFonts w:hint="eastAsia" w:ascii="宋体" w:hAnsi="宋体" w:eastAsia="宋体" w:cs="宋体"/>
          <w:b/>
          <w:color w:val="auto"/>
          <w:szCs w:val="21"/>
          <w:highlight w:val="none"/>
          <w:lang w:val="zh-CN"/>
        </w:rPr>
        <w:t>12 投标报价货币</w:t>
      </w:r>
      <w:bookmarkEnd w:id="112"/>
      <w:bookmarkEnd w:id="113"/>
      <w:bookmarkEnd w:id="114"/>
      <w:bookmarkEnd w:id="115"/>
      <w:bookmarkEnd w:id="116"/>
    </w:p>
    <w:p w14:paraId="24E87C79">
      <w:pPr>
        <w:autoSpaceDE w:val="0"/>
        <w:autoSpaceDN w:val="0"/>
        <w:adjustRightInd w:val="0"/>
        <w:spacing w:line="360" w:lineRule="auto"/>
        <w:ind w:left="265" w:leftChars="119" w:hanging="15"/>
        <w:outlineLvl w:val="9"/>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投标报价表上的价格须以人民币报价，以其</w:t>
      </w:r>
      <w:r>
        <w:rPr>
          <w:rFonts w:hint="eastAsia" w:ascii="宋体" w:hAnsi="宋体" w:eastAsia="宋体" w:cs="宋体"/>
          <w:b/>
          <w:color w:val="auto"/>
          <w:szCs w:val="21"/>
          <w:highlight w:val="none"/>
        </w:rPr>
        <w:t>他</w:t>
      </w:r>
      <w:r>
        <w:rPr>
          <w:rFonts w:hint="eastAsia" w:ascii="宋体" w:hAnsi="宋体" w:eastAsia="宋体" w:cs="宋体"/>
          <w:b/>
          <w:color w:val="auto"/>
          <w:szCs w:val="21"/>
          <w:highlight w:val="none"/>
          <w:lang w:val="zh-CN"/>
        </w:rPr>
        <w:t>货币标价的投标将予以拒绝。</w:t>
      </w:r>
    </w:p>
    <w:p w14:paraId="1A83244A">
      <w:pPr>
        <w:autoSpaceDE w:val="0"/>
        <w:autoSpaceDN w:val="0"/>
        <w:adjustRightInd w:val="0"/>
        <w:spacing w:line="360" w:lineRule="auto"/>
        <w:ind w:left="265" w:leftChars="119" w:hanging="15"/>
        <w:outlineLvl w:val="9"/>
        <w:rPr>
          <w:rFonts w:hint="eastAsia" w:ascii="宋体" w:hAnsi="宋体" w:eastAsia="宋体" w:cs="宋体"/>
          <w:color w:val="auto"/>
          <w:szCs w:val="21"/>
          <w:highlight w:val="none"/>
        </w:rPr>
      </w:pPr>
    </w:p>
    <w:p w14:paraId="43D733AC">
      <w:pPr>
        <w:tabs>
          <w:tab w:val="left" w:pos="570"/>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117" w:name="_Toc9411_WPSOffice_Level3"/>
      <w:bookmarkStart w:id="118" w:name="_Toc142508327"/>
      <w:bookmarkStart w:id="119" w:name="_Toc486167677"/>
      <w:bookmarkStart w:id="120" w:name="_Toc25596"/>
      <w:bookmarkStart w:id="121" w:name="_Toc450662863"/>
      <w:r>
        <w:rPr>
          <w:rFonts w:hint="eastAsia" w:ascii="宋体" w:hAnsi="宋体" w:eastAsia="宋体" w:cs="宋体"/>
          <w:color w:val="auto"/>
          <w:szCs w:val="21"/>
          <w:highlight w:val="none"/>
          <w:lang w:val="zh-CN"/>
        </w:rPr>
        <w:t>13 证明投标人的合格性和资格的声明文件</w:t>
      </w:r>
      <w:bookmarkEnd w:id="117"/>
      <w:bookmarkEnd w:id="118"/>
      <w:bookmarkEnd w:id="119"/>
      <w:bookmarkEnd w:id="120"/>
      <w:bookmarkEnd w:id="121"/>
    </w:p>
    <w:p w14:paraId="61877C3B">
      <w:pPr>
        <w:tabs>
          <w:tab w:val="left" w:pos="567"/>
        </w:tabs>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13.1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根据第2条、第13.2款规定，投标人须提交证明其有资格进行投标和有能力履行合同的文件，作为投标文件的一部分。</w:t>
      </w:r>
    </w:p>
    <w:p w14:paraId="68BB75AB">
      <w:pPr>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vertAlign w:val="superscript"/>
          <w:lang w:val="zh-CN"/>
        </w:rPr>
      </w:pPr>
      <w:r>
        <w:rPr>
          <w:rFonts w:hint="eastAsia" w:ascii="宋体" w:hAnsi="宋体" w:eastAsia="宋体" w:cs="宋体"/>
          <w:color w:val="auto"/>
          <w:szCs w:val="21"/>
          <w:highlight w:val="none"/>
          <w:lang w:val="zh-CN"/>
        </w:rPr>
        <w:t>13.2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投标人提供的履行合同的资格声明文件应符合：</w:t>
      </w:r>
    </w:p>
    <w:p w14:paraId="04DBBFA7">
      <w:pPr>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（1）符合《中华人民共和国招标投标法》《中华人民共和国招标投标法实施条例》投标人应当具备的条件；</w:t>
      </w:r>
    </w:p>
    <w:p w14:paraId="2ABA2007">
      <w:pPr>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（2）投标人具有履行本项目所必须的证明文件；</w:t>
      </w:r>
    </w:p>
    <w:p w14:paraId="05FC68AD">
      <w:pPr>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（3）投标人证明其相应资格符合或优于招标文件要求的其它文件。</w:t>
      </w:r>
    </w:p>
    <w:p w14:paraId="120A211F">
      <w:pPr>
        <w:spacing w:line="360" w:lineRule="auto"/>
        <w:ind w:left="315" w:leftChars="-100" w:hanging="525" w:hangingChars="25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13.3 投标人根据招标文件载明的货物及有关服务要求的实际情况，拟在中标后将中标项目的非主体、非关键性专业工作交由他人完成的，应当在投标文件中载明，并提供他人的资质、能力证明材料。</w:t>
      </w:r>
    </w:p>
    <w:p w14:paraId="52CA1828">
      <w:pPr>
        <w:autoSpaceDE w:val="0"/>
        <w:autoSpaceDN w:val="0"/>
        <w:adjustRightInd w:val="0"/>
        <w:spacing w:line="360" w:lineRule="auto"/>
        <w:ind w:left="560" w:leftChars="128" w:hanging="291" w:hangingChars="139"/>
        <w:outlineLvl w:val="9"/>
        <w:rPr>
          <w:rFonts w:hint="eastAsia" w:ascii="宋体" w:hAnsi="宋体" w:eastAsia="宋体" w:cs="宋体"/>
          <w:color w:val="auto"/>
          <w:szCs w:val="21"/>
          <w:highlight w:val="none"/>
        </w:rPr>
      </w:pPr>
    </w:p>
    <w:p w14:paraId="4DBBC9BB">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122" w:name="_Toc30441"/>
      <w:bookmarkStart w:id="123" w:name="_Toc450662864"/>
      <w:bookmarkStart w:id="124" w:name="_Toc27771_WPSOffice_Level3"/>
      <w:bookmarkStart w:id="125" w:name="_Toc142508328"/>
      <w:bookmarkStart w:id="126" w:name="_Toc486167678"/>
      <w:r>
        <w:rPr>
          <w:rFonts w:hint="eastAsia" w:ascii="宋体" w:hAnsi="宋体" w:eastAsia="宋体" w:cs="宋体"/>
          <w:color w:val="auto"/>
          <w:szCs w:val="21"/>
          <w:highlight w:val="none"/>
          <w:lang w:val="zh-CN"/>
        </w:rPr>
        <w:t xml:space="preserve">14 </w:t>
      </w:r>
      <w:bookmarkEnd w:id="122"/>
      <w:bookmarkEnd w:id="123"/>
      <w:bookmarkEnd w:id="124"/>
      <w:bookmarkEnd w:id="125"/>
      <w:bookmarkEnd w:id="126"/>
      <w:r>
        <w:rPr>
          <w:rFonts w:hint="eastAsia" w:ascii="宋体" w:hAnsi="宋体" w:eastAsia="宋体" w:cs="宋体"/>
          <w:color w:val="auto"/>
          <w:szCs w:val="21"/>
          <w:highlight w:val="none"/>
          <w:lang w:val="zh-CN"/>
        </w:rPr>
        <w:t>证明服务的合格性并符合招标文件规定的声明文件</w:t>
      </w:r>
    </w:p>
    <w:p w14:paraId="14F8D1D3">
      <w:pPr>
        <w:spacing w:line="360" w:lineRule="auto"/>
        <w:ind w:left="315" w:leftChars="-100" w:hanging="525" w:hangingChars="25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14.1 根据</w:t>
      </w:r>
      <w:r>
        <w:rPr>
          <w:rFonts w:hint="eastAsia" w:ascii="宋体" w:hAnsi="宋体" w:eastAsia="宋体" w:cs="宋体"/>
          <w:color w:val="auto"/>
          <w:kern w:val="0"/>
          <w:szCs w:val="21"/>
          <w:highlight w:val="none"/>
        </w:rPr>
        <w:t>第9</w:t>
      </w:r>
      <w:r>
        <w:rPr>
          <w:rFonts w:hint="eastAsia" w:ascii="宋体" w:hAnsi="宋体" w:eastAsia="宋体" w:cs="宋体"/>
          <w:color w:val="auto"/>
          <w:szCs w:val="21"/>
          <w:highlight w:val="none"/>
          <w:lang w:val="zh-CN"/>
        </w:rPr>
        <w:t>条规定，投标人须提交证明其拟供</w:t>
      </w:r>
      <w:r>
        <w:rPr>
          <w:rFonts w:hint="eastAsia" w:ascii="宋体" w:hAnsi="宋体" w:eastAsia="宋体" w:cs="宋体"/>
          <w:color w:val="auto"/>
          <w:szCs w:val="21"/>
          <w:highlight w:val="none"/>
          <w:lang w:val="en-US" w:eastAsia="zh-CN"/>
        </w:rPr>
        <w:t>服务</w:t>
      </w:r>
      <w:r>
        <w:rPr>
          <w:rFonts w:hint="eastAsia" w:ascii="宋体" w:hAnsi="宋体" w:eastAsia="宋体" w:cs="宋体"/>
          <w:color w:val="auto"/>
          <w:szCs w:val="21"/>
          <w:highlight w:val="none"/>
          <w:lang w:val="zh-CN"/>
        </w:rPr>
        <w:t>的合格性并符合招标文件规定的声明文件，作为投标文件的一部分。</w:t>
      </w:r>
    </w:p>
    <w:p w14:paraId="5D5DA1E2">
      <w:pPr>
        <w:spacing w:line="360" w:lineRule="auto"/>
        <w:ind w:left="315" w:leftChars="-100" w:hanging="525" w:hangingChars="25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14.2 证明</w:t>
      </w:r>
      <w:r>
        <w:rPr>
          <w:rFonts w:hint="eastAsia" w:ascii="宋体" w:hAnsi="宋体" w:eastAsia="宋体" w:cs="宋体"/>
          <w:color w:val="auto"/>
          <w:kern w:val="0"/>
          <w:szCs w:val="21"/>
          <w:highlight w:val="none"/>
          <w:lang w:eastAsia="zh-CN"/>
        </w:rPr>
        <w:t>相关</w:t>
      </w:r>
      <w:r>
        <w:rPr>
          <w:rFonts w:hint="eastAsia" w:ascii="宋体" w:hAnsi="宋体" w:eastAsia="宋体" w:cs="宋体"/>
          <w:color w:val="auto"/>
          <w:kern w:val="0"/>
          <w:szCs w:val="21"/>
          <w:highlight w:val="none"/>
        </w:rPr>
        <w:t>服务</w:t>
      </w:r>
      <w:r>
        <w:rPr>
          <w:rFonts w:hint="eastAsia" w:ascii="宋体" w:hAnsi="宋体" w:eastAsia="宋体" w:cs="宋体"/>
          <w:color w:val="auto"/>
          <w:szCs w:val="21"/>
          <w:highlight w:val="none"/>
          <w:lang w:val="zh-CN"/>
        </w:rPr>
        <w:t>与招标文件的要求相一致的文件可以是文字资料、图纸和数据资料。</w:t>
      </w:r>
    </w:p>
    <w:p w14:paraId="79A4A4F4">
      <w:pPr>
        <w:autoSpaceDE w:val="0"/>
        <w:autoSpaceDN w:val="0"/>
        <w:adjustRightInd w:val="0"/>
        <w:spacing w:line="360" w:lineRule="auto"/>
        <w:ind w:left="317" w:leftChars="-100" w:hanging="527" w:hangingChars="251"/>
        <w:outlineLvl w:val="9"/>
        <w:rPr>
          <w:rFonts w:hint="eastAsia" w:ascii="宋体" w:hAnsi="宋体" w:eastAsia="宋体" w:cs="宋体"/>
          <w:b/>
          <w:color w:val="auto"/>
          <w:szCs w:val="21"/>
          <w:highlight w:val="none"/>
          <w:lang w:val="zh-CN"/>
        </w:rPr>
      </w:pPr>
      <w:r>
        <w:rPr>
          <w:rFonts w:hint="eastAsia" w:ascii="宋体" w:hAnsi="宋体" w:eastAsia="宋体" w:cs="宋体"/>
          <w:color w:val="auto"/>
          <w:szCs w:val="21"/>
          <w:highlight w:val="none"/>
          <w:lang w:val="zh-CN"/>
        </w:rPr>
        <w:t xml:space="preserve">14.3 </w:t>
      </w:r>
      <w:r>
        <w:rPr>
          <w:rFonts w:hint="eastAsia" w:ascii="宋体" w:hAnsi="宋体" w:eastAsia="宋体" w:cs="宋体"/>
          <w:b/>
          <w:color w:val="auto"/>
          <w:szCs w:val="21"/>
          <w:highlight w:val="none"/>
          <w:lang w:val="zh-CN"/>
        </w:rPr>
        <w:t>为说明第14.2款的规定，投标人应注意本招标文件在《用户需求书》中对服务要求</w:t>
      </w:r>
      <w:r>
        <w:rPr>
          <w:rFonts w:hint="eastAsia" w:ascii="宋体" w:hAnsi="宋体" w:eastAsia="宋体" w:cs="宋体"/>
          <w:b/>
          <w:color w:val="auto"/>
          <w:szCs w:val="21"/>
          <w:highlight w:val="none"/>
          <w:lang w:val="en-US" w:eastAsia="zh-CN"/>
        </w:rPr>
        <w:t>的</w:t>
      </w:r>
      <w:r>
        <w:rPr>
          <w:rFonts w:hint="eastAsia" w:ascii="宋体" w:hAnsi="宋体" w:eastAsia="宋体" w:cs="宋体"/>
          <w:b/>
          <w:color w:val="auto"/>
          <w:szCs w:val="21"/>
          <w:highlight w:val="none"/>
          <w:lang w:val="zh-CN"/>
        </w:rPr>
        <w:t>说明只是概括性的，不能理解为所需要的全部服务的要求，投标人应按国家、行业相关技术标准、规范和以往的服务经验，合格优质的完成采购内容和包含的全部服务。但凡标有“★”的地方均被视为重要的技术指标要求或性能要求。投标人要特别加以注意，必须对此回答并完全满足这些要求，否则若有一项带“★”的指标未响应或不满足，将按无效投标处理。</w:t>
      </w:r>
    </w:p>
    <w:p w14:paraId="355ADFED">
      <w:pPr>
        <w:autoSpaceDE w:val="0"/>
        <w:autoSpaceDN w:val="0"/>
        <w:adjustRightInd w:val="0"/>
        <w:spacing w:line="360" w:lineRule="auto"/>
        <w:ind w:left="392" w:leftChars="-100" w:hanging="602" w:hangingChars="251"/>
        <w:outlineLvl w:val="9"/>
        <w:rPr>
          <w:rFonts w:hint="eastAsia" w:ascii="宋体" w:hAnsi="宋体" w:eastAsia="宋体" w:cs="宋体"/>
          <w:color w:val="auto"/>
          <w:kern w:val="0"/>
          <w:sz w:val="24"/>
          <w:szCs w:val="24"/>
          <w:highlight w:val="none"/>
        </w:rPr>
      </w:pPr>
    </w:p>
    <w:p w14:paraId="6B183D4E">
      <w:pPr>
        <w:autoSpaceDE w:val="0"/>
        <w:autoSpaceDN w:val="0"/>
        <w:adjustRightInd w:val="0"/>
        <w:spacing w:line="360" w:lineRule="auto"/>
        <w:ind w:left="317" w:leftChars="-100" w:hanging="527" w:hangingChars="251"/>
        <w:outlineLvl w:val="9"/>
        <w:rPr>
          <w:rFonts w:hint="eastAsia" w:ascii="宋体" w:hAnsi="宋体" w:eastAsia="宋体" w:cs="宋体"/>
          <w:color w:val="auto"/>
          <w:szCs w:val="21"/>
          <w:highlight w:val="none"/>
          <w:lang w:val="zh-CN"/>
        </w:rPr>
      </w:pPr>
      <w:bookmarkStart w:id="127" w:name="_Toc5356_WPSOffice_Level3"/>
      <w:bookmarkStart w:id="128" w:name="_Toc142508329"/>
      <w:bookmarkStart w:id="129" w:name="_Toc486167679"/>
      <w:bookmarkStart w:id="130" w:name="_Toc24774"/>
      <w:r>
        <w:rPr>
          <w:rFonts w:hint="eastAsia" w:ascii="宋体" w:hAnsi="宋体" w:eastAsia="宋体" w:cs="宋体"/>
          <w:color w:val="auto"/>
          <w:szCs w:val="21"/>
          <w:highlight w:val="none"/>
          <w:lang w:val="zh-CN"/>
        </w:rPr>
        <w:t>15 投标保证金</w:t>
      </w:r>
      <w:bookmarkEnd w:id="127"/>
      <w:bookmarkEnd w:id="128"/>
      <w:bookmarkEnd w:id="129"/>
      <w:bookmarkEnd w:id="130"/>
      <w:r>
        <w:rPr>
          <w:rFonts w:hint="eastAsia" w:ascii="宋体" w:hAnsi="宋体" w:eastAsia="宋体" w:cs="宋体"/>
          <w:color w:val="auto"/>
          <w:szCs w:val="21"/>
          <w:highlight w:val="none"/>
          <w:lang w:val="zh-CN"/>
        </w:rPr>
        <w:t>（本项目不设投标保证金）</w:t>
      </w:r>
    </w:p>
    <w:p w14:paraId="421DC8E6">
      <w:pPr>
        <w:autoSpaceDE w:val="0"/>
        <w:autoSpaceDN w:val="0"/>
        <w:adjustRightInd w:val="0"/>
        <w:spacing w:line="360" w:lineRule="auto"/>
        <w:ind w:left="392" w:leftChars="-100" w:hanging="602" w:hangingChars="251"/>
        <w:outlineLvl w:val="9"/>
        <w:rPr>
          <w:rFonts w:hint="eastAsia" w:ascii="宋体" w:hAnsi="宋体" w:eastAsia="宋体" w:cs="宋体"/>
          <w:color w:val="auto"/>
          <w:kern w:val="0"/>
          <w:sz w:val="24"/>
          <w:szCs w:val="24"/>
          <w:highlight w:val="none"/>
        </w:rPr>
      </w:pPr>
    </w:p>
    <w:p w14:paraId="76101A7E">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131" w:name="_Toc450662865"/>
      <w:bookmarkStart w:id="132" w:name="_Toc486167680"/>
      <w:bookmarkStart w:id="133" w:name="_Toc142508330"/>
      <w:bookmarkStart w:id="134" w:name="_Toc10550"/>
      <w:bookmarkStart w:id="135" w:name="_Toc22649_WPSOffice_Level3"/>
      <w:r>
        <w:rPr>
          <w:rFonts w:hint="eastAsia" w:ascii="宋体" w:hAnsi="宋体" w:eastAsia="宋体" w:cs="宋体"/>
          <w:color w:val="auto"/>
          <w:szCs w:val="21"/>
          <w:highlight w:val="none"/>
          <w:lang w:val="zh-CN"/>
        </w:rPr>
        <w:t>16 投标有效期</w:t>
      </w:r>
      <w:bookmarkEnd w:id="131"/>
      <w:bookmarkEnd w:id="132"/>
      <w:bookmarkEnd w:id="133"/>
      <w:bookmarkEnd w:id="134"/>
      <w:bookmarkEnd w:id="135"/>
    </w:p>
    <w:p w14:paraId="63182F90">
      <w:pPr>
        <w:tabs>
          <w:tab w:val="left" w:pos="567"/>
        </w:tabs>
        <w:autoSpaceDE w:val="0"/>
        <w:autoSpaceDN w:val="0"/>
        <w:adjustRightInd w:val="0"/>
        <w:spacing w:line="360" w:lineRule="auto"/>
        <w:ind w:left="357" w:leftChars="-100" w:hanging="567"/>
        <w:outlineLvl w:val="9"/>
        <w:rPr>
          <w:rFonts w:hint="eastAsia" w:ascii="宋体" w:hAnsi="宋体" w:eastAsia="宋体" w:cs="宋体"/>
          <w:b/>
          <w:bCs/>
          <w:color w:val="auto"/>
          <w:szCs w:val="21"/>
          <w:highlight w:val="none"/>
          <w:lang w:val="zh-CN"/>
        </w:rPr>
      </w:pPr>
      <w:r>
        <w:rPr>
          <w:rFonts w:hint="eastAsia" w:ascii="宋体" w:hAnsi="宋体" w:eastAsia="宋体" w:cs="宋体"/>
          <w:color w:val="auto"/>
          <w:szCs w:val="21"/>
          <w:highlight w:val="none"/>
          <w:lang w:val="zh-CN"/>
        </w:rPr>
        <w:t>16.1</w:t>
      </w:r>
      <w:r>
        <w:rPr>
          <w:rFonts w:hint="eastAsia" w:ascii="宋体" w:hAnsi="宋体" w:eastAsia="宋体" w:cs="宋体"/>
          <w:color w:val="auto"/>
          <w:szCs w:val="21"/>
          <w:highlight w:val="none"/>
          <w:lang w:val="zh-CN"/>
        </w:rPr>
        <w:tab/>
      </w:r>
      <w:r>
        <w:rPr>
          <w:rFonts w:hint="eastAsia" w:ascii="宋体" w:hAnsi="宋体" w:eastAsia="宋体" w:cs="宋体"/>
          <w:b/>
          <w:bCs/>
          <w:color w:val="auto"/>
          <w:szCs w:val="21"/>
          <w:highlight w:val="none"/>
          <w:u w:val="single"/>
          <w:lang w:val="zh-CN"/>
        </w:rPr>
        <w:t>投标文件将在递交投标文件截止时间届满后90日内有效。投标有效期比规定时间短的按无效投标文件处理</w:t>
      </w:r>
      <w:r>
        <w:rPr>
          <w:rFonts w:hint="eastAsia" w:ascii="宋体" w:hAnsi="宋体" w:eastAsia="宋体" w:cs="宋体"/>
          <w:b/>
          <w:bCs/>
          <w:color w:val="auto"/>
          <w:szCs w:val="21"/>
          <w:highlight w:val="none"/>
          <w:lang w:val="zh-CN"/>
        </w:rPr>
        <w:t>。</w:t>
      </w:r>
    </w:p>
    <w:p w14:paraId="72215438">
      <w:pPr>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16.2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中标人的投标文件作为合同附件，合同失效时同时失效。</w:t>
      </w:r>
    </w:p>
    <w:p w14:paraId="3E15B532">
      <w:pPr>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16.3</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在特殊情况下，招标代理机构可于投标有效期满之前要求投标人同意延长投标有效期。要求与答复均应为书面形式往来。投标人可以拒绝上述要求，招标</w:t>
      </w:r>
      <w:r>
        <w:rPr>
          <w:rFonts w:hint="eastAsia" w:ascii="宋体" w:hAnsi="宋体" w:eastAsia="宋体" w:cs="宋体"/>
          <w:color w:val="auto"/>
          <w:szCs w:val="21"/>
          <w:highlight w:val="none"/>
        </w:rPr>
        <w:t>人</w:t>
      </w:r>
      <w:r>
        <w:rPr>
          <w:rFonts w:hint="eastAsia" w:ascii="宋体" w:hAnsi="宋体" w:eastAsia="宋体" w:cs="宋体"/>
          <w:color w:val="auto"/>
          <w:szCs w:val="21"/>
          <w:highlight w:val="none"/>
          <w:lang w:val="zh-CN"/>
        </w:rPr>
        <w:t>将退还其投标保证金。对于同意该要求的投标人，既不要求也不允许其修改投标文件，但将要求其相应延长投标保证金的有效期。第15条投标保证金的有关规定在投标保证金延长期内仍适用。</w:t>
      </w:r>
    </w:p>
    <w:p w14:paraId="3EEF9664">
      <w:pPr>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rPr>
      </w:pPr>
    </w:p>
    <w:p w14:paraId="699CC1B3">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136" w:name="_Toc450662866"/>
      <w:bookmarkStart w:id="137" w:name="_Toc13311"/>
      <w:bookmarkStart w:id="138" w:name="_Toc486167681"/>
      <w:bookmarkStart w:id="139" w:name="_Toc25637_WPSOffice_Level3"/>
      <w:bookmarkStart w:id="140" w:name="_Toc142508331"/>
      <w:r>
        <w:rPr>
          <w:rFonts w:hint="eastAsia" w:ascii="宋体" w:hAnsi="宋体" w:eastAsia="宋体" w:cs="宋体"/>
          <w:color w:val="auto"/>
          <w:szCs w:val="21"/>
          <w:highlight w:val="none"/>
          <w:lang w:val="zh-CN"/>
        </w:rPr>
        <w:t>17 投标文件的式样和签署</w:t>
      </w:r>
      <w:bookmarkEnd w:id="136"/>
      <w:bookmarkEnd w:id="137"/>
      <w:bookmarkEnd w:id="138"/>
      <w:bookmarkEnd w:id="139"/>
      <w:bookmarkEnd w:id="140"/>
    </w:p>
    <w:p w14:paraId="1BF4BBD1">
      <w:pPr>
        <w:tabs>
          <w:tab w:val="left" w:pos="567"/>
        </w:tabs>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17.1</w:t>
      </w:r>
      <w:r>
        <w:rPr>
          <w:rFonts w:hint="eastAsia" w:ascii="宋体" w:hAnsi="宋体" w:eastAsia="宋体" w:cs="宋体"/>
          <w:color w:val="auto"/>
          <w:szCs w:val="21"/>
          <w:highlight w:val="none"/>
          <w:lang w:val="zh-CN"/>
        </w:rPr>
        <w:tab/>
      </w:r>
      <w:r>
        <w:rPr>
          <w:rFonts w:hint="eastAsia" w:ascii="宋体" w:hAnsi="宋体" w:eastAsia="宋体" w:cs="宋体"/>
          <w:b/>
          <w:color w:val="auto"/>
          <w:szCs w:val="21"/>
          <w:highlight w:val="none"/>
          <w:u w:val="single"/>
          <w:lang w:val="zh-CN"/>
        </w:rPr>
        <w:t>投标人应准备一份“唱标信封”、一份投标文件电子文件、一份正本和五份副本“投标文件”</w:t>
      </w:r>
      <w:r>
        <w:rPr>
          <w:rFonts w:hint="eastAsia" w:ascii="宋体" w:hAnsi="宋体" w:eastAsia="宋体" w:cs="宋体"/>
          <w:color w:val="auto"/>
          <w:szCs w:val="21"/>
          <w:highlight w:val="none"/>
          <w:lang w:val="zh-CN"/>
        </w:rPr>
        <w:t>，在每一份投标文件上编上目录（目录内的页码必须与实际内容对应）、页次，装订成册（不允许使用活页夹），并要明确注明“正本”或“副本”，一旦正本和副本发现差异，以正本为准。</w:t>
      </w:r>
    </w:p>
    <w:p w14:paraId="04E66B0E">
      <w:pPr>
        <w:tabs>
          <w:tab w:val="left" w:pos="567"/>
        </w:tabs>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17.2</w:t>
      </w:r>
      <w:r>
        <w:rPr>
          <w:rFonts w:hint="eastAsia" w:ascii="宋体" w:hAnsi="宋体" w:eastAsia="宋体" w:cs="宋体"/>
          <w:color w:val="auto"/>
          <w:szCs w:val="21"/>
          <w:highlight w:val="none"/>
          <w:lang w:val="zh-CN"/>
        </w:rPr>
        <w:tab/>
      </w:r>
      <w:r>
        <w:rPr>
          <w:rFonts w:hint="eastAsia" w:ascii="宋体" w:hAnsi="宋体" w:eastAsia="宋体" w:cs="宋体"/>
          <w:bCs/>
          <w:color w:val="auto"/>
          <w:szCs w:val="21"/>
          <w:highlight w:val="none"/>
          <w:lang w:val="zh-CN"/>
        </w:rPr>
        <w:t>投标文件正本和副本须打印或用不褪色墨水书写，招标文件提供的格式文件或投标文件中明确要求签署的，由投标人法定代表人（</w:t>
      </w:r>
      <w:r>
        <w:rPr>
          <w:rFonts w:hint="eastAsia" w:ascii="宋体" w:hAnsi="宋体" w:eastAsia="宋体" w:cs="宋体"/>
          <w:bCs/>
          <w:color w:val="auto"/>
          <w:szCs w:val="21"/>
          <w:highlight w:val="none"/>
          <w:lang w:val="en-US" w:eastAsia="zh-CN"/>
        </w:rPr>
        <w:t>法定负责人</w:t>
      </w:r>
      <w:r>
        <w:rPr>
          <w:rFonts w:hint="eastAsia" w:ascii="宋体" w:hAnsi="宋体" w:eastAsia="宋体" w:cs="宋体"/>
          <w:bCs/>
          <w:color w:val="auto"/>
          <w:szCs w:val="21"/>
          <w:highlight w:val="none"/>
          <w:lang w:val="zh-CN"/>
        </w:rPr>
        <w:t>）或其授权代表签字（或盖私章），后者须将“法定代表人（</w:t>
      </w:r>
      <w:r>
        <w:rPr>
          <w:rFonts w:hint="eastAsia" w:ascii="宋体" w:hAnsi="宋体" w:eastAsia="宋体" w:cs="宋体"/>
          <w:bCs/>
          <w:color w:val="auto"/>
          <w:szCs w:val="21"/>
          <w:highlight w:val="none"/>
          <w:lang w:val="en-US" w:eastAsia="zh-CN"/>
        </w:rPr>
        <w:t>法定负责人</w:t>
      </w:r>
      <w:r>
        <w:rPr>
          <w:rFonts w:hint="eastAsia" w:ascii="宋体" w:hAnsi="宋体" w:eastAsia="宋体" w:cs="宋体"/>
          <w:bCs/>
          <w:color w:val="auto"/>
          <w:szCs w:val="21"/>
          <w:highlight w:val="none"/>
          <w:lang w:val="zh-CN"/>
        </w:rPr>
        <w:t>）授权书”以书面形式附在投标文件中。</w:t>
      </w:r>
      <w:r>
        <w:rPr>
          <w:rFonts w:hint="eastAsia" w:ascii="宋体" w:hAnsi="宋体" w:eastAsia="宋体" w:cs="宋体"/>
          <w:color w:val="auto"/>
          <w:szCs w:val="21"/>
          <w:highlight w:val="none"/>
          <w:lang w:val="zh-CN"/>
        </w:rPr>
        <w:t>副本文件可由正本文件复印而成。</w:t>
      </w:r>
    </w:p>
    <w:p w14:paraId="47A194E3">
      <w:pPr>
        <w:autoSpaceDE w:val="0"/>
        <w:autoSpaceDN w:val="0"/>
        <w:adjustRightInd w:val="0"/>
        <w:spacing w:line="360" w:lineRule="auto"/>
        <w:ind w:left="357" w:leftChars="-100" w:hanging="567"/>
        <w:outlineLvl w:val="9"/>
        <w:rPr>
          <w:rFonts w:hint="eastAsia" w:ascii="宋体" w:hAnsi="宋体" w:eastAsia="宋体" w:cs="宋体"/>
          <w:bCs/>
          <w:color w:val="auto"/>
          <w:szCs w:val="21"/>
          <w:highlight w:val="none"/>
          <w:lang w:val="zh-CN"/>
        </w:rPr>
      </w:pPr>
      <w:r>
        <w:rPr>
          <w:rFonts w:hint="eastAsia" w:ascii="宋体" w:hAnsi="宋体" w:eastAsia="宋体" w:cs="宋体"/>
          <w:color w:val="auto"/>
          <w:szCs w:val="21"/>
          <w:highlight w:val="none"/>
          <w:lang w:val="zh-CN"/>
        </w:rPr>
        <w:t>17.3</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除投标人对错处作必要修改外，投标文件中不许有加行、涂抹或改写。</w:t>
      </w:r>
      <w:r>
        <w:rPr>
          <w:rFonts w:hint="eastAsia" w:ascii="宋体" w:hAnsi="宋体" w:eastAsia="宋体" w:cs="宋体"/>
          <w:bCs/>
          <w:color w:val="auto"/>
          <w:szCs w:val="21"/>
          <w:highlight w:val="none"/>
          <w:lang w:val="zh-CN"/>
        </w:rPr>
        <w:t>若有修改须由签署投标文件的人进行签字（或盖私章），并加盖投标人法人公章。</w:t>
      </w:r>
    </w:p>
    <w:p w14:paraId="1670F340">
      <w:pPr>
        <w:autoSpaceDE w:val="0"/>
        <w:autoSpaceDN w:val="0"/>
        <w:adjustRightInd w:val="0"/>
        <w:spacing w:line="360" w:lineRule="auto"/>
        <w:ind w:left="357" w:leftChars="-100" w:hanging="567"/>
        <w:outlineLvl w:val="9"/>
        <w:rPr>
          <w:rFonts w:hint="eastAsia" w:ascii="宋体" w:hAnsi="宋体" w:eastAsia="宋体" w:cs="宋体"/>
          <w:b/>
          <w:bCs/>
          <w:color w:val="auto"/>
          <w:szCs w:val="21"/>
          <w:highlight w:val="none"/>
          <w:u w:val="single"/>
          <w:lang w:val="zh-CN"/>
        </w:rPr>
      </w:pPr>
      <w:r>
        <w:rPr>
          <w:rFonts w:hint="eastAsia" w:ascii="宋体" w:hAnsi="宋体" w:eastAsia="宋体" w:cs="宋体"/>
          <w:color w:val="auto"/>
          <w:szCs w:val="21"/>
          <w:highlight w:val="none"/>
          <w:lang w:val="zh-CN"/>
        </w:rPr>
        <w:t>17.4  投标文件的封面应注明“项目名称、招标编号、投标人名称、投标日期等”。</w:t>
      </w:r>
    </w:p>
    <w:p w14:paraId="4C9D3F9D">
      <w:pPr>
        <w:autoSpaceDE w:val="0"/>
        <w:autoSpaceDN w:val="0"/>
        <w:adjustRightInd w:val="0"/>
        <w:spacing w:line="360" w:lineRule="auto"/>
        <w:ind w:left="357" w:leftChars="-100" w:hanging="567"/>
        <w:outlineLvl w:val="9"/>
        <w:rPr>
          <w:rFonts w:hint="eastAsia" w:ascii="宋体" w:hAnsi="宋体" w:eastAsia="宋体" w:cs="宋体"/>
          <w:b/>
          <w:bCs/>
          <w:color w:val="auto"/>
          <w:szCs w:val="21"/>
          <w:highlight w:val="none"/>
          <w:lang w:val="zh-CN"/>
        </w:rPr>
      </w:pPr>
      <w:r>
        <w:rPr>
          <w:rFonts w:hint="eastAsia" w:ascii="宋体" w:hAnsi="宋体" w:eastAsia="宋体" w:cs="宋体"/>
          <w:color w:val="auto"/>
          <w:szCs w:val="21"/>
          <w:highlight w:val="none"/>
          <w:lang w:val="zh-CN"/>
        </w:rPr>
        <w:t>17.5</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电子文件内容包括：由投标人自行制作的与正本文件一致的所有文件，须含盖章版扫描的PDF文件和WORD版投标文件各一版。电子文件不可设置密码，用光盘或U盘储存，</w:t>
      </w:r>
      <w:r>
        <w:rPr>
          <w:rFonts w:hint="eastAsia" w:ascii="宋体" w:hAnsi="宋体" w:eastAsia="宋体" w:cs="宋体"/>
          <w:color w:val="auto"/>
          <w:szCs w:val="21"/>
          <w:highlight w:val="none"/>
          <w:lang w:val="en-US" w:eastAsia="zh-CN"/>
        </w:rPr>
        <w:t>并</w:t>
      </w:r>
      <w:r>
        <w:rPr>
          <w:rFonts w:hint="eastAsia" w:ascii="宋体" w:hAnsi="宋体" w:eastAsia="宋体" w:cs="宋体"/>
          <w:color w:val="auto"/>
          <w:szCs w:val="21"/>
          <w:highlight w:val="none"/>
          <w:lang w:val="zh-CN"/>
        </w:rPr>
        <w:t>注明项目名称、招标编号、投标人单位名称。</w:t>
      </w:r>
    </w:p>
    <w:p w14:paraId="4D1CDC84">
      <w:pPr>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17.6</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电报、电传、传真的投标概不接受。</w:t>
      </w:r>
    </w:p>
    <w:p w14:paraId="4002AC0E">
      <w:pPr>
        <w:autoSpaceDE w:val="0"/>
        <w:autoSpaceDN w:val="0"/>
        <w:adjustRightInd w:val="0"/>
        <w:spacing w:line="360" w:lineRule="auto"/>
        <w:jc w:val="left"/>
        <w:outlineLvl w:val="9"/>
        <w:rPr>
          <w:rFonts w:hint="eastAsia" w:ascii="宋体" w:hAnsi="宋体" w:eastAsia="宋体" w:cs="宋体"/>
          <w:color w:val="auto"/>
          <w:kern w:val="0"/>
          <w:sz w:val="24"/>
          <w:szCs w:val="24"/>
          <w:highlight w:val="none"/>
        </w:rPr>
      </w:pPr>
      <w:bookmarkStart w:id="141" w:name="_Toc450662867"/>
    </w:p>
    <w:p w14:paraId="42BD4262">
      <w:pPr>
        <w:keepNext/>
        <w:keepLines/>
        <w:tabs>
          <w:tab w:val="left" w:pos="509"/>
        </w:tabs>
        <w:autoSpaceDE w:val="0"/>
        <w:autoSpaceDN w:val="0"/>
        <w:adjustRightInd w:val="0"/>
        <w:spacing w:line="360" w:lineRule="auto"/>
        <w:jc w:val="left"/>
        <w:outlineLvl w:val="0"/>
        <w:rPr>
          <w:rFonts w:hint="eastAsia" w:ascii="宋体" w:hAnsi="宋体" w:eastAsia="宋体" w:cs="宋体"/>
          <w:color w:val="auto"/>
          <w:kern w:val="0"/>
          <w:sz w:val="24"/>
          <w:szCs w:val="24"/>
          <w:highlight w:val="none"/>
        </w:rPr>
      </w:pPr>
      <w:bookmarkStart w:id="142" w:name="_Toc142508332"/>
      <w:bookmarkStart w:id="143" w:name="_Toc17608"/>
      <w:bookmarkStart w:id="144" w:name="_Toc22356_WPSOffice_Level2"/>
      <w:bookmarkStart w:id="145" w:name="_Toc486167682"/>
      <w:bookmarkStart w:id="146" w:name="_Toc5235"/>
      <w:bookmarkStart w:id="147" w:name="_Toc140596891"/>
      <w:r>
        <w:rPr>
          <w:rFonts w:hint="eastAsia" w:ascii="宋体" w:hAnsi="宋体" w:eastAsia="宋体" w:cs="宋体"/>
          <w:b/>
          <w:bCs/>
          <w:color w:val="auto"/>
          <w:kern w:val="44"/>
          <w:szCs w:val="21"/>
          <w:highlight w:val="none"/>
          <w:lang w:val="zh-CN"/>
        </w:rPr>
        <w:t>四、投标文件的递交</w:t>
      </w:r>
      <w:bookmarkEnd w:id="141"/>
      <w:bookmarkEnd w:id="142"/>
      <w:bookmarkEnd w:id="143"/>
      <w:bookmarkEnd w:id="144"/>
      <w:bookmarkEnd w:id="145"/>
      <w:bookmarkEnd w:id="146"/>
      <w:bookmarkEnd w:id="147"/>
    </w:p>
    <w:p w14:paraId="689EFAF6">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148" w:name="_Toc450662868"/>
      <w:bookmarkStart w:id="149" w:name="_Toc12192_WPSOffice_Level3"/>
      <w:bookmarkStart w:id="150" w:name="_Toc9900"/>
      <w:bookmarkStart w:id="151" w:name="_Toc486167683"/>
      <w:bookmarkStart w:id="152" w:name="_Toc142508333"/>
      <w:r>
        <w:rPr>
          <w:rFonts w:hint="eastAsia" w:ascii="宋体" w:hAnsi="宋体" w:eastAsia="宋体" w:cs="宋体"/>
          <w:color w:val="auto"/>
          <w:szCs w:val="21"/>
          <w:highlight w:val="none"/>
          <w:lang w:val="zh-CN"/>
        </w:rPr>
        <w:t>18 投标文件的密封和标记</w:t>
      </w:r>
      <w:bookmarkEnd w:id="148"/>
      <w:bookmarkEnd w:id="149"/>
      <w:bookmarkEnd w:id="150"/>
      <w:bookmarkEnd w:id="151"/>
      <w:bookmarkEnd w:id="152"/>
    </w:p>
    <w:p w14:paraId="42969907">
      <w:pPr>
        <w:tabs>
          <w:tab w:val="left" w:pos="567"/>
        </w:tabs>
        <w:autoSpaceDE w:val="0"/>
        <w:autoSpaceDN w:val="0"/>
        <w:adjustRightInd w:val="0"/>
        <w:spacing w:line="360" w:lineRule="auto"/>
        <w:ind w:left="357" w:leftChars="-100" w:right="15" w:rightChars="7"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18.1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投标人应将正本和副本投标文件（本处不含唱标信封、投标文件电子文件）密封在不透明的外层封装中。</w:t>
      </w:r>
    </w:p>
    <w:p w14:paraId="44707B9E">
      <w:pPr>
        <w:autoSpaceDE w:val="0"/>
        <w:autoSpaceDN w:val="0"/>
        <w:adjustRightInd w:val="0"/>
        <w:spacing w:line="360" w:lineRule="auto"/>
        <w:ind w:left="357" w:leftChars="-100" w:hanging="567"/>
        <w:outlineLvl w:val="9"/>
        <w:rPr>
          <w:rFonts w:hint="eastAsia" w:ascii="宋体" w:hAnsi="宋体" w:eastAsia="宋体" w:cs="宋体"/>
          <w:b/>
          <w:bCs/>
          <w:color w:val="auto"/>
          <w:szCs w:val="21"/>
          <w:highlight w:val="none"/>
          <w:u w:val="single"/>
          <w:lang w:val="zh-CN"/>
        </w:rPr>
      </w:pPr>
      <w:r>
        <w:rPr>
          <w:rFonts w:hint="eastAsia" w:ascii="宋体" w:hAnsi="宋体" w:eastAsia="宋体" w:cs="宋体"/>
          <w:color w:val="auto"/>
          <w:szCs w:val="21"/>
          <w:highlight w:val="none"/>
          <w:lang w:val="zh-CN"/>
        </w:rPr>
        <w:t>18.2</w:t>
      </w:r>
      <w:r>
        <w:rPr>
          <w:rFonts w:hint="eastAsia" w:ascii="宋体" w:hAnsi="宋体" w:eastAsia="宋体" w:cs="宋体"/>
          <w:color w:val="auto"/>
          <w:szCs w:val="21"/>
          <w:highlight w:val="none"/>
          <w:lang w:val="zh-CN"/>
        </w:rPr>
        <w:tab/>
      </w:r>
      <w:r>
        <w:rPr>
          <w:rFonts w:hint="eastAsia" w:ascii="宋体" w:hAnsi="宋体" w:eastAsia="宋体" w:cs="宋体"/>
          <w:b/>
          <w:bCs/>
          <w:color w:val="auto"/>
          <w:szCs w:val="21"/>
          <w:highlight w:val="none"/>
          <w:lang w:val="zh-CN"/>
        </w:rPr>
        <w:t>唱标信封应单独密封，与18.1款的投标文件一同提交。</w:t>
      </w:r>
    </w:p>
    <w:p w14:paraId="023C98E0">
      <w:pPr>
        <w:autoSpaceDE w:val="0"/>
        <w:autoSpaceDN w:val="0"/>
        <w:adjustRightInd w:val="0"/>
        <w:spacing w:line="360" w:lineRule="auto"/>
        <w:ind w:left="357" w:leftChars="-100" w:right="15" w:rightChars="7"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18.3</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投标文件密封封装标记：</w:t>
      </w:r>
    </w:p>
    <w:p w14:paraId="583B443A">
      <w:pPr>
        <w:autoSpaceDE w:val="0"/>
        <w:autoSpaceDN w:val="0"/>
        <w:adjustRightInd w:val="0"/>
        <w:spacing w:line="360" w:lineRule="auto"/>
        <w:ind w:left="319" w:leftChars="-118" w:hanging="567" w:hangingChars="27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zh-CN"/>
        </w:rPr>
        <w:t>）外层密封封装表面应正确注明项目名称、招标编号、投标人单位名称、并注明投标文件递交截止时间之前不得开封（在封口位置的封条上标注注明），封口位置的封条上须加盖投标人法人公章；</w:t>
      </w:r>
    </w:p>
    <w:p w14:paraId="7B53EE60">
      <w:pPr>
        <w:autoSpaceDE w:val="0"/>
        <w:autoSpaceDN w:val="0"/>
        <w:adjustRightInd w:val="0"/>
        <w:spacing w:line="360" w:lineRule="auto"/>
        <w:ind w:left="319" w:leftChars="-118" w:hanging="567" w:hangingChars="27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）投标文件已密封但不按前述标志封包，由此而引起的提前开封或错放责任由投标人承担；</w:t>
      </w:r>
    </w:p>
    <w:p w14:paraId="230D9738">
      <w:pPr>
        <w:autoSpaceDE w:val="0"/>
        <w:autoSpaceDN w:val="0"/>
        <w:adjustRightInd w:val="0"/>
        <w:spacing w:line="360" w:lineRule="auto"/>
        <w:ind w:left="319" w:leftChars="-118" w:hanging="567" w:hangingChars="27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（3）不足以造成投标文件可以从外包装内散出而导致投标文件泄密的，不认定为投标文件未密封。</w:t>
      </w:r>
    </w:p>
    <w:p w14:paraId="6168B34B">
      <w:pPr>
        <w:tabs>
          <w:tab w:val="left" w:pos="567"/>
        </w:tabs>
        <w:autoSpaceDE w:val="0"/>
        <w:autoSpaceDN w:val="0"/>
        <w:adjustRightInd w:val="0"/>
        <w:spacing w:line="360" w:lineRule="auto"/>
        <w:ind w:left="357" w:leftChars="-100" w:right="15" w:rightChars="7" w:hanging="567"/>
        <w:outlineLvl w:val="9"/>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18.4</w:t>
      </w:r>
      <w:r>
        <w:rPr>
          <w:rFonts w:hint="eastAsia" w:ascii="宋体" w:hAnsi="宋体" w:eastAsia="宋体" w:cs="宋体"/>
          <w:b/>
          <w:color w:val="auto"/>
          <w:szCs w:val="21"/>
          <w:highlight w:val="none"/>
          <w:lang w:val="zh-CN"/>
        </w:rPr>
        <w:tab/>
      </w:r>
      <w:r>
        <w:rPr>
          <w:rFonts w:hint="eastAsia" w:ascii="宋体" w:hAnsi="宋体" w:eastAsia="宋体" w:cs="宋体"/>
          <w:b/>
          <w:color w:val="auto"/>
          <w:szCs w:val="21"/>
          <w:highlight w:val="none"/>
          <w:lang w:val="zh-CN"/>
        </w:rPr>
        <w:t>如果密封封装未按本款规定密封和标记，招标代理机构对投标文件的误投或提前拆封不负责任。对由此造成提前开封的投标文件，招标代理机构予以拒绝，并退回投标人。</w:t>
      </w:r>
    </w:p>
    <w:p w14:paraId="71FDBF64">
      <w:pPr>
        <w:autoSpaceDE w:val="0"/>
        <w:autoSpaceDN w:val="0"/>
        <w:adjustRightInd w:val="0"/>
        <w:spacing w:line="360" w:lineRule="auto"/>
        <w:ind w:left="355" w:leftChars="-101" w:right="15" w:rightChars="7" w:hanging="567" w:hangingChars="27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18.5 开标前，由投标人代表（第一位递交投标文件的投标人代表及主动自愿参与检查的投标人代表）和招标人代表</w:t>
      </w:r>
      <w:r>
        <w:rPr>
          <w:rFonts w:hint="eastAsia" w:ascii="宋体" w:hAnsi="宋体" w:eastAsia="宋体" w:cs="宋体"/>
          <w:color w:val="auto"/>
          <w:kern w:val="0"/>
          <w:szCs w:val="21"/>
          <w:highlight w:val="none"/>
          <w:lang w:val="zh-CN"/>
        </w:rPr>
        <w:t>将对所有的投标文件的密封性进行检查</w:t>
      </w:r>
      <w:r>
        <w:rPr>
          <w:rFonts w:hint="eastAsia" w:ascii="宋体" w:hAnsi="宋体" w:eastAsia="宋体" w:cs="宋体"/>
          <w:color w:val="auto"/>
          <w:szCs w:val="21"/>
          <w:highlight w:val="none"/>
          <w:lang w:val="zh-CN"/>
        </w:rPr>
        <w:t>，并签署进行确认。</w:t>
      </w:r>
    </w:p>
    <w:p w14:paraId="655DF408">
      <w:pPr>
        <w:tabs>
          <w:tab w:val="left" w:pos="567"/>
        </w:tabs>
        <w:autoSpaceDE w:val="0"/>
        <w:autoSpaceDN w:val="0"/>
        <w:adjustRightInd w:val="0"/>
        <w:spacing w:line="360" w:lineRule="auto"/>
        <w:ind w:right="15" w:rightChars="7" w:firstLine="525" w:firstLineChars="250"/>
        <w:outlineLvl w:val="9"/>
        <w:rPr>
          <w:rFonts w:hint="eastAsia" w:ascii="宋体" w:hAnsi="宋体" w:eastAsia="宋体" w:cs="宋体"/>
          <w:color w:val="auto"/>
          <w:szCs w:val="21"/>
          <w:highlight w:val="none"/>
          <w:lang w:val="zh-CN"/>
        </w:rPr>
      </w:pPr>
    </w:p>
    <w:p w14:paraId="35476132">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153" w:name="_Toc29665_WPSOffice_Level3"/>
      <w:bookmarkStart w:id="154" w:name="_Toc3384"/>
      <w:bookmarkStart w:id="155" w:name="_Toc450662869"/>
      <w:bookmarkStart w:id="156" w:name="_Toc486167684"/>
      <w:bookmarkStart w:id="157" w:name="_Toc142508334"/>
      <w:r>
        <w:rPr>
          <w:rFonts w:hint="eastAsia" w:ascii="宋体" w:hAnsi="宋体" w:eastAsia="宋体" w:cs="宋体"/>
          <w:color w:val="auto"/>
          <w:szCs w:val="21"/>
          <w:highlight w:val="none"/>
          <w:lang w:val="zh-CN"/>
        </w:rPr>
        <w:t>19 递交投标文件的截止日期</w:t>
      </w:r>
      <w:bookmarkEnd w:id="153"/>
      <w:bookmarkEnd w:id="154"/>
      <w:bookmarkEnd w:id="155"/>
      <w:bookmarkEnd w:id="156"/>
      <w:bookmarkEnd w:id="157"/>
    </w:p>
    <w:p w14:paraId="335C4DBE">
      <w:pPr>
        <w:tabs>
          <w:tab w:val="left" w:pos="567"/>
        </w:tabs>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19.1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招标代理机构收到投标文件的时间不得迟于第一篇“招标公告”中规定的截止时间。</w:t>
      </w:r>
    </w:p>
    <w:p w14:paraId="065B6CB0">
      <w:pPr>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19.2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招标代理机构可按照第7条的规定修改招标文件并酌情延长递交投标文件的截止时间，因此，已规定的招标代理机构和投标人的一切权利和义务将按延期后的递交投标文件截止时间履行。</w:t>
      </w:r>
    </w:p>
    <w:p w14:paraId="3C483D73">
      <w:pPr>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rPr>
      </w:pPr>
    </w:p>
    <w:p w14:paraId="364D9CCA">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color w:val="auto"/>
          <w:kern w:val="0"/>
          <w:sz w:val="24"/>
          <w:szCs w:val="24"/>
          <w:highlight w:val="none"/>
        </w:rPr>
      </w:pPr>
      <w:bookmarkStart w:id="158" w:name="_Toc142508335"/>
      <w:bookmarkStart w:id="159" w:name="_Toc486167685"/>
      <w:bookmarkStart w:id="160" w:name="_Toc450662870"/>
      <w:bookmarkStart w:id="161" w:name="_Toc6684"/>
      <w:bookmarkStart w:id="162" w:name="_Toc22431_WPSOffice_Level3"/>
      <w:r>
        <w:rPr>
          <w:rFonts w:hint="eastAsia" w:ascii="宋体" w:hAnsi="宋体" w:eastAsia="宋体" w:cs="宋体"/>
          <w:color w:val="auto"/>
          <w:szCs w:val="21"/>
          <w:highlight w:val="none"/>
          <w:lang w:val="zh-CN"/>
        </w:rPr>
        <w:t>20 迟交的投标文件</w:t>
      </w:r>
      <w:bookmarkEnd w:id="158"/>
      <w:bookmarkEnd w:id="159"/>
      <w:bookmarkEnd w:id="160"/>
      <w:bookmarkEnd w:id="161"/>
      <w:bookmarkEnd w:id="162"/>
    </w:p>
    <w:p w14:paraId="2996A969">
      <w:pPr>
        <w:autoSpaceDE w:val="0"/>
        <w:autoSpaceDN w:val="0"/>
        <w:adjustRightInd w:val="0"/>
        <w:spacing w:line="360" w:lineRule="auto"/>
        <w:ind w:firstLine="315" w:firstLineChars="150"/>
        <w:jc w:val="left"/>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根据第19条规定，招标代理机构将拒绝任何晚于递交投标文件的截止时间交到的投标文件。</w:t>
      </w:r>
    </w:p>
    <w:p w14:paraId="2153E272">
      <w:pPr>
        <w:autoSpaceDE w:val="0"/>
        <w:autoSpaceDN w:val="0"/>
        <w:adjustRightInd w:val="0"/>
        <w:spacing w:line="360" w:lineRule="auto"/>
        <w:jc w:val="left"/>
        <w:outlineLvl w:val="9"/>
        <w:rPr>
          <w:rFonts w:hint="eastAsia" w:ascii="宋体" w:hAnsi="宋体" w:eastAsia="宋体" w:cs="宋体"/>
          <w:color w:val="auto"/>
          <w:kern w:val="0"/>
          <w:sz w:val="24"/>
          <w:szCs w:val="24"/>
          <w:highlight w:val="none"/>
        </w:rPr>
      </w:pPr>
    </w:p>
    <w:p w14:paraId="5DAD20DE">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163" w:name="_Toc450662871"/>
      <w:bookmarkStart w:id="164" w:name="_Toc4883_WPSOffice_Level3"/>
      <w:bookmarkStart w:id="165" w:name="_Toc142508336"/>
      <w:bookmarkStart w:id="166" w:name="_Toc486167686"/>
      <w:bookmarkStart w:id="167" w:name="_Toc16964"/>
      <w:r>
        <w:rPr>
          <w:rFonts w:hint="eastAsia" w:ascii="宋体" w:hAnsi="宋体" w:eastAsia="宋体" w:cs="宋体"/>
          <w:color w:val="auto"/>
          <w:szCs w:val="21"/>
          <w:highlight w:val="none"/>
          <w:lang w:val="zh-CN"/>
        </w:rPr>
        <w:t>21 投标文件的修改和撤回</w:t>
      </w:r>
      <w:bookmarkEnd w:id="163"/>
      <w:bookmarkEnd w:id="164"/>
      <w:bookmarkEnd w:id="165"/>
      <w:bookmarkEnd w:id="166"/>
      <w:bookmarkEnd w:id="167"/>
    </w:p>
    <w:p w14:paraId="47A5F553">
      <w:pPr>
        <w:tabs>
          <w:tab w:val="left" w:pos="567"/>
        </w:tabs>
        <w:autoSpaceDE w:val="0"/>
        <w:autoSpaceDN w:val="0"/>
        <w:adjustRightInd w:val="0"/>
        <w:spacing w:line="360" w:lineRule="auto"/>
        <w:ind w:left="357" w:leftChars="-100" w:right="15" w:rightChars="7"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21.1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投标人在提交投标文件后可对其投标文件进行修改或撤回，但招标代理机构须在提交投标文件截止日期前收到该修改或撤回的书面通知。</w:t>
      </w:r>
    </w:p>
    <w:p w14:paraId="5C6BD608">
      <w:pPr>
        <w:autoSpaceDE w:val="0"/>
        <w:autoSpaceDN w:val="0"/>
        <w:adjustRightInd w:val="0"/>
        <w:spacing w:line="360" w:lineRule="auto"/>
        <w:ind w:left="357" w:leftChars="-100" w:right="15" w:rightChars="7"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21.2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投标人对投标文件的修改或撤回的通知应按第17条和第18条规定进行准备、密封、标注和递送。</w:t>
      </w:r>
    </w:p>
    <w:p w14:paraId="119369BB">
      <w:pPr>
        <w:autoSpaceDE w:val="0"/>
        <w:autoSpaceDN w:val="0"/>
        <w:adjustRightInd w:val="0"/>
        <w:spacing w:line="360" w:lineRule="auto"/>
        <w:ind w:left="357" w:leftChars="-100" w:right="15" w:rightChars="7"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21.3</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递交投标文件截止时间后不得修改投标文件。</w:t>
      </w:r>
    </w:p>
    <w:p w14:paraId="3276EF84">
      <w:pPr>
        <w:autoSpaceDE w:val="0"/>
        <w:autoSpaceDN w:val="0"/>
        <w:adjustRightInd w:val="0"/>
        <w:spacing w:line="360" w:lineRule="auto"/>
        <w:ind w:left="357" w:leftChars="-100" w:right="15" w:rightChars="7"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21.4</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投标人不得在递交投标文件截止时间起至第16条规定的投标文件有效期期满前撤销投标文件。</w:t>
      </w:r>
    </w:p>
    <w:p w14:paraId="57EC505B">
      <w:pPr>
        <w:autoSpaceDE w:val="0"/>
        <w:autoSpaceDN w:val="0"/>
        <w:adjustRightInd w:val="0"/>
        <w:spacing w:line="360" w:lineRule="auto"/>
        <w:ind w:left="357" w:leftChars="-100" w:right="15" w:rightChars="7" w:hanging="567"/>
        <w:outlineLvl w:val="9"/>
        <w:rPr>
          <w:rFonts w:hint="eastAsia" w:ascii="宋体" w:hAnsi="宋体" w:eastAsia="宋体" w:cs="宋体"/>
          <w:color w:val="auto"/>
          <w:szCs w:val="21"/>
          <w:highlight w:val="none"/>
          <w:lang w:val="zh-CN"/>
        </w:rPr>
      </w:pPr>
    </w:p>
    <w:p w14:paraId="0D940C13">
      <w:pPr>
        <w:keepNext/>
        <w:keepLines/>
        <w:tabs>
          <w:tab w:val="left" w:pos="509"/>
        </w:tabs>
        <w:autoSpaceDE w:val="0"/>
        <w:autoSpaceDN w:val="0"/>
        <w:adjustRightInd w:val="0"/>
        <w:spacing w:line="360" w:lineRule="auto"/>
        <w:jc w:val="left"/>
        <w:outlineLvl w:val="0"/>
        <w:rPr>
          <w:rFonts w:hint="eastAsia" w:ascii="宋体" w:hAnsi="宋体" w:eastAsia="宋体" w:cs="宋体"/>
          <w:b/>
          <w:bCs/>
          <w:color w:val="auto"/>
          <w:kern w:val="44"/>
          <w:szCs w:val="21"/>
          <w:highlight w:val="none"/>
          <w:lang w:val="zh-CN"/>
        </w:rPr>
      </w:pPr>
      <w:bookmarkStart w:id="168" w:name="_Toc27648"/>
      <w:bookmarkStart w:id="169" w:name="_Toc450662872"/>
      <w:bookmarkStart w:id="170" w:name="_Toc140596896"/>
      <w:bookmarkStart w:id="171" w:name="_Toc1049_WPSOffice_Level2"/>
      <w:bookmarkStart w:id="172" w:name="_Toc142508337"/>
      <w:bookmarkStart w:id="173" w:name="_Toc8686"/>
      <w:bookmarkStart w:id="174" w:name="_Toc486167687"/>
      <w:r>
        <w:rPr>
          <w:rFonts w:hint="eastAsia" w:ascii="宋体" w:hAnsi="宋体" w:eastAsia="宋体" w:cs="宋体"/>
          <w:b/>
          <w:bCs/>
          <w:color w:val="auto"/>
          <w:kern w:val="44"/>
          <w:szCs w:val="21"/>
          <w:highlight w:val="none"/>
          <w:lang w:val="zh-CN"/>
        </w:rPr>
        <w:t>五、开标与评标</w:t>
      </w:r>
      <w:bookmarkEnd w:id="168"/>
      <w:bookmarkEnd w:id="169"/>
      <w:bookmarkEnd w:id="170"/>
      <w:bookmarkEnd w:id="171"/>
      <w:bookmarkEnd w:id="172"/>
      <w:bookmarkEnd w:id="173"/>
      <w:bookmarkEnd w:id="174"/>
    </w:p>
    <w:p w14:paraId="1C305879">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175" w:name="_Toc144_WPSOffice_Level3"/>
      <w:bookmarkStart w:id="176" w:name="_Toc142508338"/>
      <w:bookmarkStart w:id="177" w:name="_Toc450662873"/>
      <w:bookmarkStart w:id="178" w:name="_Toc7200"/>
      <w:bookmarkStart w:id="179" w:name="_Toc486167688"/>
      <w:r>
        <w:rPr>
          <w:rFonts w:hint="eastAsia" w:ascii="宋体" w:hAnsi="宋体" w:eastAsia="宋体" w:cs="宋体"/>
          <w:color w:val="auto"/>
          <w:szCs w:val="21"/>
          <w:highlight w:val="none"/>
          <w:lang w:val="zh-CN"/>
        </w:rPr>
        <w:t>22 开标</w:t>
      </w:r>
      <w:bookmarkEnd w:id="175"/>
      <w:bookmarkEnd w:id="176"/>
      <w:bookmarkEnd w:id="177"/>
      <w:bookmarkEnd w:id="178"/>
      <w:bookmarkEnd w:id="179"/>
    </w:p>
    <w:p w14:paraId="1BEF6E59">
      <w:pPr>
        <w:tabs>
          <w:tab w:val="left" w:pos="567"/>
        </w:tabs>
        <w:autoSpaceDE w:val="0"/>
        <w:autoSpaceDN w:val="0"/>
        <w:adjustRightInd w:val="0"/>
        <w:spacing w:line="360" w:lineRule="auto"/>
        <w:ind w:left="357" w:leftChars="-100" w:right="15" w:rightChars="7"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22.1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招标代理机构在投标人代表自愿出席的情况下，在第一篇“招标公告”规定的地点和时间开标,出席代表需登记以示出席。</w:t>
      </w:r>
    </w:p>
    <w:p w14:paraId="6FC8F4CB">
      <w:pPr>
        <w:tabs>
          <w:tab w:val="left" w:pos="567"/>
        </w:tabs>
        <w:autoSpaceDE w:val="0"/>
        <w:autoSpaceDN w:val="0"/>
        <w:adjustRightInd w:val="0"/>
        <w:spacing w:line="360" w:lineRule="auto"/>
        <w:ind w:left="357" w:leftChars="-100" w:right="15" w:rightChars="7"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22.2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按照第21条规定，提交了可接受的“撤回”通知的投标文件将不予开封。</w:t>
      </w:r>
    </w:p>
    <w:p w14:paraId="417DA8B6">
      <w:pPr>
        <w:tabs>
          <w:tab w:val="left" w:pos="567"/>
        </w:tabs>
        <w:autoSpaceDE w:val="0"/>
        <w:autoSpaceDN w:val="0"/>
        <w:adjustRightInd w:val="0"/>
        <w:spacing w:line="360" w:lineRule="auto"/>
        <w:ind w:left="357" w:leftChars="-100" w:right="15" w:rightChars="7"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22.3 开标时，招标代理机构将当众宣读投标人名称、投标报价以及招标代理机构认为合适的其他内容。若招标代理机构宣读的结果与投标文件不符时，投标人有权在开标现场提出异议，经招标人采购活动的监督人员</w:t>
      </w:r>
      <w:r>
        <w:rPr>
          <w:rFonts w:hint="eastAsia" w:ascii="宋体" w:hAnsi="宋体" w:eastAsia="宋体" w:cs="宋体"/>
          <w:color w:val="auto"/>
          <w:szCs w:val="21"/>
          <w:highlight w:val="none"/>
        </w:rPr>
        <w:t>当</w:t>
      </w:r>
      <w:r>
        <w:rPr>
          <w:rFonts w:hint="eastAsia" w:ascii="宋体" w:hAnsi="宋体" w:eastAsia="宋体" w:cs="宋体"/>
          <w:color w:val="auto"/>
          <w:szCs w:val="21"/>
          <w:highlight w:val="none"/>
          <w:lang w:val="zh-CN"/>
        </w:rPr>
        <w:t>场核查确认之后，可重新宣读其投标文件</w:t>
      </w:r>
      <w:r>
        <w:rPr>
          <w:rFonts w:hint="eastAsia" w:ascii="宋体" w:hAnsi="宋体" w:eastAsia="宋体" w:cs="宋体"/>
          <w:color w:val="auto"/>
          <w:szCs w:val="21"/>
          <w:highlight w:val="none"/>
        </w:rPr>
        <w:t>相关内容</w:t>
      </w:r>
      <w:r>
        <w:rPr>
          <w:rFonts w:hint="eastAsia" w:ascii="宋体" w:hAnsi="宋体" w:eastAsia="宋体" w:cs="宋体"/>
          <w:color w:val="auto"/>
          <w:szCs w:val="21"/>
          <w:highlight w:val="none"/>
          <w:lang w:val="zh-CN"/>
        </w:rPr>
        <w:t>。若投标人现场未提出异议，则视为投标人确认宣读的结果。</w:t>
      </w:r>
    </w:p>
    <w:p w14:paraId="0515983A">
      <w:pPr>
        <w:tabs>
          <w:tab w:val="left" w:pos="567"/>
        </w:tabs>
        <w:autoSpaceDE w:val="0"/>
        <w:autoSpaceDN w:val="0"/>
        <w:adjustRightInd w:val="0"/>
        <w:spacing w:line="360" w:lineRule="auto"/>
        <w:ind w:left="357" w:leftChars="-100" w:right="15" w:rightChars="7"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22.4</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投标文件的投标报价大写金额和小写金额不一致的，以大写金额为准。对不同文字文本投标文件的解释发生异议的，以中文文本为准。</w:t>
      </w:r>
    </w:p>
    <w:p w14:paraId="40B2CDEB">
      <w:pPr>
        <w:tabs>
          <w:tab w:val="left" w:pos="567"/>
        </w:tabs>
        <w:autoSpaceDE w:val="0"/>
        <w:autoSpaceDN w:val="0"/>
        <w:adjustRightInd w:val="0"/>
        <w:spacing w:line="360" w:lineRule="auto"/>
        <w:ind w:left="357" w:leftChars="-100" w:right="15" w:rightChars="7"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22.5 投标人对开标有异议的，应当在开标现场提出，招标代理机构应当当场作出答复，并制作记录。投标人法定代表人（</w:t>
      </w:r>
      <w:r>
        <w:rPr>
          <w:rFonts w:hint="eastAsia" w:ascii="宋体" w:hAnsi="宋体" w:eastAsia="宋体" w:cs="宋体"/>
          <w:color w:val="auto"/>
          <w:szCs w:val="21"/>
          <w:highlight w:val="none"/>
          <w:lang w:val="en-US" w:eastAsia="zh-CN"/>
        </w:rPr>
        <w:t>法定负责人</w:t>
      </w:r>
      <w:r>
        <w:rPr>
          <w:rFonts w:hint="eastAsia" w:ascii="宋体" w:hAnsi="宋体" w:eastAsia="宋体" w:cs="宋体"/>
          <w:color w:val="auto"/>
          <w:szCs w:val="21"/>
          <w:highlight w:val="none"/>
          <w:lang w:val="zh-CN"/>
        </w:rPr>
        <w:t>）或其授权代表未出席的，视同认可开标结果。</w:t>
      </w:r>
    </w:p>
    <w:p w14:paraId="0FA060D4">
      <w:pPr>
        <w:tabs>
          <w:tab w:val="left" w:pos="567"/>
        </w:tabs>
        <w:autoSpaceDE w:val="0"/>
        <w:autoSpaceDN w:val="0"/>
        <w:adjustRightInd w:val="0"/>
        <w:spacing w:line="360" w:lineRule="auto"/>
        <w:ind w:left="357" w:leftChars="-100" w:right="15" w:rightChars="7"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22.6 招标代理机构将做开标记录，开标记录包括第22.5款发生的异议及答复、按第22.3款的规定在开标时宣读的全部内容。</w:t>
      </w:r>
    </w:p>
    <w:p w14:paraId="23E225EA">
      <w:pPr>
        <w:autoSpaceDE w:val="0"/>
        <w:autoSpaceDN w:val="0"/>
        <w:adjustRightInd w:val="0"/>
        <w:spacing w:line="360" w:lineRule="auto"/>
        <w:ind w:left="357" w:leftChars="-100" w:right="15" w:rightChars="7" w:hanging="567"/>
        <w:outlineLvl w:val="9"/>
        <w:rPr>
          <w:rFonts w:hint="eastAsia" w:ascii="宋体" w:hAnsi="宋体" w:eastAsia="宋体" w:cs="宋体"/>
          <w:color w:val="auto"/>
          <w:kern w:val="0"/>
          <w:szCs w:val="21"/>
          <w:highlight w:val="none"/>
        </w:rPr>
      </w:pPr>
    </w:p>
    <w:p w14:paraId="24AA0668">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180" w:name="_Toc486167689"/>
      <w:bookmarkStart w:id="181" w:name="_Toc142508339"/>
      <w:bookmarkStart w:id="182" w:name="_Toc2038"/>
      <w:bookmarkStart w:id="183" w:name="_Toc12165_WPSOffice_Level3"/>
      <w:bookmarkStart w:id="184" w:name="_Toc450662874"/>
      <w:r>
        <w:rPr>
          <w:rFonts w:hint="eastAsia" w:ascii="宋体" w:hAnsi="宋体" w:eastAsia="宋体" w:cs="宋体"/>
          <w:color w:val="auto"/>
          <w:szCs w:val="21"/>
          <w:highlight w:val="none"/>
          <w:lang w:val="zh-CN"/>
        </w:rPr>
        <w:t xml:space="preserve">23 </w:t>
      </w:r>
      <w:r>
        <w:rPr>
          <w:rFonts w:hint="eastAsia" w:ascii="宋体" w:hAnsi="宋体" w:eastAsia="宋体" w:cs="宋体"/>
          <w:color w:val="auto"/>
          <w:kern w:val="0"/>
          <w:szCs w:val="24"/>
          <w:highlight w:val="none"/>
        </w:rPr>
        <w:t>评标过程的保密性</w:t>
      </w:r>
      <w:bookmarkEnd w:id="180"/>
      <w:bookmarkEnd w:id="181"/>
      <w:bookmarkEnd w:id="182"/>
      <w:bookmarkEnd w:id="183"/>
      <w:bookmarkEnd w:id="184"/>
    </w:p>
    <w:p w14:paraId="1C64C60B">
      <w:pPr>
        <w:tabs>
          <w:tab w:val="left" w:pos="567"/>
        </w:tabs>
        <w:autoSpaceDE w:val="0"/>
        <w:autoSpaceDN w:val="0"/>
        <w:adjustRightInd w:val="0"/>
        <w:spacing w:line="360" w:lineRule="auto"/>
        <w:ind w:left="357" w:leftChars="-100" w:right="15" w:rightChars="7"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23.1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递交投标文件后，直至向中标人授予合同期间，凡与审查、澄清、评估和比较投标报价的有关资料以及意见等，均不得向投标人及与评审无关的其他人透露，否则追究有关当事人的法律责任。</w:t>
      </w:r>
    </w:p>
    <w:p w14:paraId="3DF439EC">
      <w:pPr>
        <w:tabs>
          <w:tab w:val="left" w:pos="567"/>
        </w:tabs>
        <w:autoSpaceDE w:val="0"/>
        <w:autoSpaceDN w:val="0"/>
        <w:adjustRightInd w:val="0"/>
        <w:spacing w:line="360" w:lineRule="auto"/>
        <w:ind w:left="357" w:leftChars="-100" w:right="15" w:rightChars="7"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23.2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在评标过程中，如果投标人试图在投标文件审查、澄清、比较及授予合同方面向招标代理机构和招标人施加任何影响，其投标文件将被拒绝。</w:t>
      </w:r>
    </w:p>
    <w:p w14:paraId="4517F37E">
      <w:pPr>
        <w:tabs>
          <w:tab w:val="left" w:pos="567"/>
        </w:tabs>
        <w:autoSpaceDE w:val="0"/>
        <w:autoSpaceDN w:val="0"/>
        <w:adjustRightInd w:val="0"/>
        <w:spacing w:line="360" w:lineRule="auto"/>
        <w:ind w:left="357" w:leftChars="-100" w:right="15" w:rightChars="7" w:hanging="567"/>
        <w:outlineLvl w:val="9"/>
        <w:rPr>
          <w:rFonts w:hint="eastAsia" w:ascii="宋体" w:hAnsi="宋体" w:eastAsia="宋体" w:cs="宋体"/>
          <w:color w:val="auto"/>
          <w:szCs w:val="21"/>
          <w:highlight w:val="none"/>
          <w:lang w:val="zh-CN"/>
        </w:rPr>
      </w:pPr>
    </w:p>
    <w:p w14:paraId="174C9151">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185" w:name="_Toc833"/>
      <w:bookmarkStart w:id="186" w:name="_Toc486167690"/>
      <w:bookmarkStart w:id="187" w:name="_Toc15565_WPSOffice_Level3"/>
      <w:bookmarkStart w:id="188" w:name="_Toc142508340"/>
      <w:bookmarkStart w:id="189" w:name="_Toc450662875"/>
      <w:r>
        <w:rPr>
          <w:rFonts w:hint="eastAsia" w:ascii="宋体" w:hAnsi="宋体" w:eastAsia="宋体" w:cs="宋体"/>
          <w:color w:val="auto"/>
          <w:szCs w:val="21"/>
          <w:highlight w:val="none"/>
          <w:lang w:val="zh-CN"/>
        </w:rPr>
        <w:t>24 评标委员会</w:t>
      </w:r>
      <w:bookmarkEnd w:id="185"/>
      <w:bookmarkEnd w:id="186"/>
      <w:bookmarkEnd w:id="187"/>
      <w:bookmarkEnd w:id="188"/>
      <w:bookmarkEnd w:id="189"/>
    </w:p>
    <w:p w14:paraId="3AA098D0">
      <w:pPr>
        <w:tabs>
          <w:tab w:val="left" w:pos="567"/>
        </w:tabs>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24.1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依法组建评标委员会。评标委员会的成员在评审过程中必须严格遵守国家及地方招标投标的有关规定。</w:t>
      </w:r>
    </w:p>
    <w:p w14:paraId="163DD006">
      <w:pPr>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24.2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评标委员会依法根据招标文件的规定，进行投标文件的评审、得出评审结果，并向招标人推荐中标候选人。</w:t>
      </w:r>
    </w:p>
    <w:p w14:paraId="69A35AEA">
      <w:pPr>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rPr>
      </w:pPr>
    </w:p>
    <w:p w14:paraId="26C6F095">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b/>
          <w:color w:val="auto"/>
          <w:szCs w:val="21"/>
          <w:highlight w:val="none"/>
          <w:lang w:val="zh-CN"/>
        </w:rPr>
      </w:pPr>
      <w:bookmarkStart w:id="190" w:name="_Toc31399"/>
      <w:bookmarkStart w:id="191" w:name="_Toc142508341"/>
      <w:bookmarkStart w:id="192" w:name="_Toc486167691"/>
      <w:bookmarkStart w:id="193" w:name="_Toc28910_WPSOffice_Level3"/>
      <w:bookmarkStart w:id="194" w:name="_Toc450662876"/>
      <w:r>
        <w:rPr>
          <w:rFonts w:hint="eastAsia" w:ascii="宋体" w:hAnsi="宋体" w:eastAsia="宋体" w:cs="宋体"/>
          <w:b/>
          <w:color w:val="auto"/>
          <w:szCs w:val="21"/>
          <w:highlight w:val="none"/>
          <w:lang w:val="zh-CN"/>
        </w:rPr>
        <w:t>25 投标文件的初审</w:t>
      </w:r>
      <w:bookmarkEnd w:id="190"/>
      <w:bookmarkEnd w:id="191"/>
      <w:bookmarkEnd w:id="192"/>
      <w:bookmarkEnd w:id="193"/>
      <w:bookmarkEnd w:id="194"/>
    </w:p>
    <w:p w14:paraId="01414357">
      <w:pPr>
        <w:autoSpaceDE w:val="0"/>
        <w:autoSpaceDN w:val="0"/>
        <w:adjustRightInd w:val="0"/>
        <w:spacing w:line="360" w:lineRule="auto"/>
        <w:ind w:left="357" w:leftChars="-100" w:hanging="567"/>
        <w:outlineLvl w:val="9"/>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zh-CN"/>
        </w:rPr>
        <w:t>25.1 资格性检查：依据法律法规和招标文件的规定，对投标文件中的资格证明等进行审查，以确定投标人是否具备投标资格。</w:t>
      </w:r>
    </w:p>
    <w:p w14:paraId="350EBC9D">
      <w:pPr>
        <w:autoSpaceDE w:val="0"/>
        <w:autoSpaceDN w:val="0"/>
        <w:adjustRightInd w:val="0"/>
        <w:spacing w:line="360" w:lineRule="auto"/>
        <w:ind w:left="330" w:leftChars="-100" w:hanging="540"/>
        <w:outlineLvl w:val="9"/>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25.2 符合性检查：依据招标文件的规定，从投标文件的有效性、完整性和对招标文件的响应程度进行审查，以确定是否对招标文件的实质性要求作出响应。</w:t>
      </w:r>
    </w:p>
    <w:p w14:paraId="51DDCDA2">
      <w:pPr>
        <w:autoSpaceDE w:val="0"/>
        <w:autoSpaceDN w:val="0"/>
        <w:adjustRightInd w:val="0"/>
        <w:spacing w:line="360" w:lineRule="auto"/>
        <w:ind w:left="330" w:leftChars="-100" w:hanging="540"/>
        <w:outlineLvl w:val="9"/>
        <w:rPr>
          <w:rFonts w:hint="eastAsia" w:ascii="宋体" w:hAnsi="宋体" w:eastAsia="宋体" w:cs="宋体"/>
          <w:b/>
          <w:color w:val="auto"/>
          <w:szCs w:val="21"/>
          <w:highlight w:val="none"/>
          <w:lang w:val="zh-CN"/>
        </w:rPr>
      </w:pPr>
    </w:p>
    <w:p w14:paraId="63F8F9DE">
      <w:pPr>
        <w:tabs>
          <w:tab w:val="left" w:pos="525"/>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195" w:name="_Toc486167692"/>
      <w:bookmarkStart w:id="196" w:name="_Toc450662877"/>
      <w:bookmarkStart w:id="197" w:name="_Toc10130"/>
      <w:bookmarkStart w:id="198" w:name="_Toc338_WPSOffice_Level3"/>
      <w:bookmarkStart w:id="199" w:name="_Toc142508342"/>
      <w:r>
        <w:rPr>
          <w:rFonts w:hint="eastAsia" w:ascii="宋体" w:hAnsi="宋体" w:eastAsia="宋体" w:cs="宋体"/>
          <w:color w:val="auto"/>
          <w:szCs w:val="21"/>
          <w:highlight w:val="none"/>
          <w:lang w:val="zh-CN"/>
        </w:rPr>
        <w:t>26 投标文件的澄清</w:t>
      </w:r>
      <w:bookmarkEnd w:id="195"/>
      <w:bookmarkEnd w:id="196"/>
      <w:bookmarkEnd w:id="197"/>
      <w:bookmarkEnd w:id="198"/>
      <w:bookmarkEnd w:id="199"/>
    </w:p>
    <w:p w14:paraId="1CC4C1A6">
      <w:pPr>
        <w:autoSpaceDE w:val="0"/>
        <w:autoSpaceDN w:val="0"/>
        <w:adjustRightInd w:val="0"/>
        <w:spacing w:line="360" w:lineRule="auto"/>
        <w:ind w:left="315" w:leftChars="-100" w:hanging="525" w:hangingChars="25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 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14:paraId="0F63A48E">
      <w:pPr>
        <w:autoSpaceDE w:val="0"/>
        <w:autoSpaceDN w:val="0"/>
        <w:adjustRightInd w:val="0"/>
        <w:spacing w:line="360" w:lineRule="auto"/>
        <w:ind w:left="330" w:leftChars="-100" w:right="15" w:rightChars="7" w:hanging="540"/>
        <w:outlineLvl w:val="9"/>
        <w:rPr>
          <w:rFonts w:hint="eastAsia" w:ascii="宋体" w:hAnsi="宋体" w:eastAsia="宋体" w:cs="宋体"/>
          <w:color w:val="auto"/>
          <w:szCs w:val="21"/>
          <w:highlight w:val="none"/>
          <w:lang w:val="zh-CN"/>
        </w:rPr>
      </w:pPr>
      <w:bookmarkStart w:id="200" w:name="_Toc450662879"/>
      <w:r>
        <w:rPr>
          <w:rFonts w:hint="eastAsia" w:ascii="宋体" w:hAnsi="宋体" w:eastAsia="宋体" w:cs="宋体"/>
          <w:color w:val="auto"/>
          <w:szCs w:val="21"/>
          <w:highlight w:val="none"/>
          <w:lang w:val="zh-CN"/>
        </w:rPr>
        <w:t xml:space="preserve">26.2 </w:t>
      </w:r>
      <w:r>
        <w:rPr>
          <w:rFonts w:hint="eastAsia" w:ascii="宋体" w:hAnsi="宋体" w:eastAsia="宋体" w:cs="宋体"/>
          <w:color w:val="auto"/>
          <w:szCs w:val="21"/>
          <w:highlight w:val="none"/>
        </w:rPr>
        <w:t>开标当天</w:t>
      </w:r>
      <w:r>
        <w:rPr>
          <w:rFonts w:hint="eastAsia" w:ascii="宋体" w:hAnsi="宋体" w:eastAsia="宋体" w:cs="宋体"/>
          <w:color w:val="auto"/>
          <w:szCs w:val="21"/>
          <w:highlight w:val="none"/>
          <w:lang w:val="zh-CN"/>
        </w:rPr>
        <w:t>，投标人法定代表人（</w:t>
      </w:r>
      <w:r>
        <w:rPr>
          <w:rFonts w:hint="eastAsia" w:ascii="宋体" w:hAnsi="宋体" w:eastAsia="宋体" w:cs="宋体"/>
          <w:color w:val="auto"/>
          <w:szCs w:val="21"/>
          <w:highlight w:val="none"/>
          <w:lang w:val="en-US" w:eastAsia="zh-CN"/>
        </w:rPr>
        <w:t>法定负责人</w:t>
      </w:r>
      <w:r>
        <w:rPr>
          <w:rFonts w:hint="eastAsia" w:ascii="宋体" w:hAnsi="宋体" w:eastAsia="宋体" w:cs="宋体"/>
          <w:color w:val="auto"/>
          <w:szCs w:val="21"/>
          <w:highlight w:val="none"/>
          <w:lang w:val="zh-CN"/>
        </w:rPr>
        <w:t>）或法定代表人（</w:t>
      </w:r>
      <w:r>
        <w:rPr>
          <w:rFonts w:hint="eastAsia" w:ascii="宋体" w:hAnsi="宋体" w:eastAsia="宋体" w:cs="宋体"/>
          <w:color w:val="auto"/>
          <w:szCs w:val="21"/>
          <w:highlight w:val="none"/>
          <w:lang w:val="en-US" w:eastAsia="zh-CN"/>
        </w:rPr>
        <w:t>法定负责人</w:t>
      </w:r>
      <w:r>
        <w:rPr>
          <w:rFonts w:hint="eastAsia" w:ascii="宋体" w:hAnsi="宋体" w:eastAsia="宋体" w:cs="宋体"/>
          <w:color w:val="auto"/>
          <w:szCs w:val="21"/>
          <w:highlight w:val="none"/>
          <w:lang w:val="zh-CN"/>
        </w:rPr>
        <w:t>）授权书列明的被授权人的联系电话应保持开机状态，以便在评标期间，评标委员会要求投标人对投标文件进行澄清时能够收到有关通知，否则视为投标人放弃澄清的权利，对评标委员会就该项内容的评审意见无异议。</w:t>
      </w:r>
    </w:p>
    <w:bookmarkEnd w:id="200"/>
    <w:p w14:paraId="17B41BA0">
      <w:pPr>
        <w:tabs>
          <w:tab w:val="left" w:pos="525"/>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201" w:name="_Toc522047355"/>
      <w:bookmarkStart w:id="202" w:name="_Toc521918096"/>
      <w:bookmarkStart w:id="203" w:name="_Toc142508343"/>
      <w:bookmarkStart w:id="204" w:name="_Toc18368_WPSOffice_Level3"/>
    </w:p>
    <w:p w14:paraId="46993119">
      <w:pPr>
        <w:tabs>
          <w:tab w:val="left" w:pos="525"/>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205" w:name="_Toc15022"/>
      <w:r>
        <w:rPr>
          <w:rFonts w:hint="eastAsia" w:ascii="宋体" w:hAnsi="宋体" w:eastAsia="宋体" w:cs="宋体"/>
          <w:color w:val="auto"/>
          <w:szCs w:val="21"/>
          <w:highlight w:val="none"/>
          <w:lang w:val="zh-CN"/>
        </w:rPr>
        <w:t>27 对投标文件的比较和评价</w:t>
      </w:r>
      <w:bookmarkEnd w:id="201"/>
      <w:bookmarkEnd w:id="202"/>
      <w:bookmarkEnd w:id="203"/>
      <w:bookmarkEnd w:id="204"/>
      <w:bookmarkEnd w:id="205"/>
    </w:p>
    <w:p w14:paraId="1287809F">
      <w:pPr>
        <w:tabs>
          <w:tab w:val="left" w:pos="540"/>
        </w:tabs>
        <w:autoSpaceDE w:val="0"/>
        <w:autoSpaceDN w:val="0"/>
        <w:adjustRightInd w:val="0"/>
        <w:spacing w:line="360" w:lineRule="auto"/>
        <w:ind w:left="330" w:leftChars="-100" w:right="15" w:rightChars="7" w:hanging="54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27.1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评标委员会将对资格性检查和符合性检查合格的投标文件进行比较和评价，包括商务、技术的详细评审。</w:t>
      </w:r>
    </w:p>
    <w:p w14:paraId="2FD37ED7">
      <w:pPr>
        <w:autoSpaceDE w:val="0"/>
        <w:autoSpaceDN w:val="0"/>
        <w:adjustRightInd w:val="0"/>
        <w:spacing w:line="360" w:lineRule="auto"/>
        <w:ind w:left="330" w:leftChars="-100" w:right="15" w:rightChars="7" w:hanging="54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27.2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对投标文件商务的评审详见评标工作大纲。</w:t>
      </w:r>
    </w:p>
    <w:p w14:paraId="2A4FB861">
      <w:pPr>
        <w:autoSpaceDE w:val="0"/>
        <w:autoSpaceDN w:val="0"/>
        <w:adjustRightInd w:val="0"/>
        <w:spacing w:line="360" w:lineRule="auto"/>
        <w:ind w:left="330" w:leftChars="-100" w:right="15" w:rightChars="7" w:hanging="54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27.3</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对投标文件技术的评审详见评标工作大纲。</w:t>
      </w:r>
    </w:p>
    <w:p w14:paraId="111FBB62">
      <w:pPr>
        <w:autoSpaceDE w:val="0"/>
        <w:autoSpaceDN w:val="0"/>
        <w:adjustRightInd w:val="0"/>
        <w:spacing w:line="360" w:lineRule="auto"/>
        <w:ind w:left="330" w:leftChars="-100" w:right="15" w:rightChars="7" w:hanging="54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27.5</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本次评标的评分权重详见评标工作大纲。</w:t>
      </w:r>
    </w:p>
    <w:p w14:paraId="2B950219">
      <w:pPr>
        <w:autoSpaceDE w:val="0"/>
        <w:autoSpaceDN w:val="0"/>
        <w:adjustRightInd w:val="0"/>
        <w:spacing w:line="360" w:lineRule="auto"/>
        <w:ind w:left="330" w:leftChars="-100" w:right="15" w:rightChars="7" w:hanging="54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27.6</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根据上述商务、技术综合评价的权重分配计算出各投标人的综合得分。</w:t>
      </w:r>
    </w:p>
    <w:p w14:paraId="1278F205">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206" w:name="_Toc522047356"/>
      <w:bookmarkStart w:id="207" w:name="_Toc521918097"/>
    </w:p>
    <w:p w14:paraId="779B22E2">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208" w:name="_Toc142508344"/>
      <w:bookmarkStart w:id="209" w:name="_Toc21460_WPSOffice_Level3"/>
      <w:bookmarkStart w:id="210" w:name="_Toc31279"/>
      <w:r>
        <w:rPr>
          <w:rFonts w:hint="eastAsia" w:ascii="宋体" w:hAnsi="宋体" w:eastAsia="宋体" w:cs="宋体"/>
          <w:color w:val="auto"/>
          <w:szCs w:val="21"/>
          <w:highlight w:val="none"/>
          <w:lang w:val="zh-CN"/>
        </w:rPr>
        <w:t>28 评标原则及方法</w:t>
      </w:r>
      <w:bookmarkEnd w:id="206"/>
      <w:bookmarkEnd w:id="207"/>
      <w:bookmarkEnd w:id="208"/>
      <w:bookmarkEnd w:id="209"/>
      <w:bookmarkEnd w:id="210"/>
    </w:p>
    <w:p w14:paraId="35B5E263">
      <w:pPr>
        <w:tabs>
          <w:tab w:val="left" w:pos="567"/>
        </w:tabs>
        <w:autoSpaceDE w:val="0"/>
        <w:autoSpaceDN w:val="0"/>
        <w:adjustRightInd w:val="0"/>
        <w:spacing w:line="360" w:lineRule="auto"/>
        <w:ind w:left="357" w:leftChars="-100" w:hanging="567"/>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28.1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对所有投标文件的评审，都采用相同的程序和标准。按步骤先进行初步评审，再进行商务、技术评审。</w:t>
      </w:r>
    </w:p>
    <w:p w14:paraId="7B0C1628">
      <w:pPr>
        <w:tabs>
          <w:tab w:val="left" w:pos="360"/>
        </w:tabs>
        <w:autoSpaceDE w:val="0"/>
        <w:autoSpaceDN w:val="0"/>
        <w:adjustRightInd w:val="0"/>
        <w:spacing w:line="360" w:lineRule="auto"/>
        <w:ind w:left="330" w:leftChars="-100" w:right="44" w:rightChars="21" w:hanging="54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28.2 评标严格按照招标文件的要求和条件进行。</w:t>
      </w:r>
    </w:p>
    <w:p w14:paraId="5F218832">
      <w:pPr>
        <w:tabs>
          <w:tab w:val="left" w:pos="360"/>
        </w:tabs>
        <w:autoSpaceDE w:val="0"/>
        <w:autoSpaceDN w:val="0"/>
        <w:adjustRightInd w:val="0"/>
        <w:spacing w:line="360" w:lineRule="auto"/>
        <w:ind w:left="330" w:leftChars="-100" w:right="44" w:rightChars="21" w:hanging="54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xml:space="preserve">     在评标时将根据第27条，采用综合评分法的评审方法，对所有实质响应性投标文件进行综合打分。</w:t>
      </w:r>
    </w:p>
    <w:p w14:paraId="3461CF47">
      <w:pPr>
        <w:autoSpaceDE w:val="0"/>
        <w:autoSpaceDN w:val="0"/>
        <w:adjustRightInd w:val="0"/>
        <w:spacing w:line="360" w:lineRule="auto"/>
        <w:ind w:left="441" w:leftChars="-60" w:hanging="567" w:hangingChars="27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xml:space="preserve">28.3 </w:t>
      </w:r>
      <w:r>
        <w:rPr>
          <w:rFonts w:hint="eastAsia" w:ascii="宋体" w:hAnsi="宋体" w:eastAsia="宋体" w:cs="宋体"/>
          <w:b/>
          <w:bCs/>
          <w:color w:val="auto"/>
          <w:szCs w:val="21"/>
          <w:highlight w:val="none"/>
          <w:lang w:val="zh-CN"/>
        </w:rPr>
        <w:t>若</w:t>
      </w:r>
      <w:r>
        <w:rPr>
          <w:rFonts w:hint="eastAsia" w:ascii="宋体" w:hAnsi="宋体" w:eastAsia="宋体" w:cs="宋体"/>
          <w:b/>
          <w:bCs/>
          <w:color w:val="auto"/>
          <w:szCs w:val="21"/>
          <w:highlight w:val="none"/>
        </w:rPr>
        <w:t>本次招标过程中有效投标人不足三个时，公开招标失败。</w:t>
      </w:r>
    </w:p>
    <w:p w14:paraId="3C6BE5C7">
      <w:pPr>
        <w:tabs>
          <w:tab w:val="left" w:pos="360"/>
        </w:tabs>
        <w:autoSpaceDE w:val="0"/>
        <w:autoSpaceDN w:val="0"/>
        <w:adjustRightInd w:val="0"/>
        <w:spacing w:line="360" w:lineRule="auto"/>
        <w:ind w:left="330" w:leftChars="-100" w:right="44" w:rightChars="21" w:hanging="540"/>
        <w:outlineLvl w:val="9"/>
        <w:rPr>
          <w:rFonts w:hint="eastAsia" w:ascii="宋体" w:hAnsi="宋体" w:eastAsia="宋体" w:cs="宋体"/>
          <w:color w:val="auto"/>
          <w:szCs w:val="21"/>
          <w:highlight w:val="none"/>
          <w:lang w:val="zh-CN"/>
        </w:rPr>
      </w:pPr>
    </w:p>
    <w:p w14:paraId="3119E1DA">
      <w:pPr>
        <w:tabs>
          <w:tab w:val="left" w:pos="525"/>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211" w:name="_Toc15841"/>
      <w:bookmarkStart w:id="212" w:name="_Toc466882017"/>
      <w:bookmarkStart w:id="213" w:name="_Toc486167694"/>
      <w:bookmarkStart w:id="214" w:name="_Toc142508345"/>
      <w:bookmarkStart w:id="215" w:name="_Toc32498_WPSOffice_Level3"/>
      <w:bookmarkStart w:id="216" w:name="_Toc465358969"/>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 xml:space="preserve">9 </w:t>
      </w:r>
      <w:r>
        <w:rPr>
          <w:rFonts w:hint="eastAsia" w:ascii="宋体" w:hAnsi="宋体" w:eastAsia="宋体" w:cs="宋体"/>
          <w:color w:val="auto"/>
          <w:szCs w:val="21"/>
          <w:highlight w:val="none"/>
          <w:lang w:val="zh-CN"/>
        </w:rPr>
        <w:t>评标结果公示及异议、投诉</w:t>
      </w:r>
      <w:bookmarkEnd w:id="211"/>
      <w:bookmarkEnd w:id="212"/>
      <w:bookmarkEnd w:id="213"/>
      <w:bookmarkEnd w:id="214"/>
      <w:bookmarkEnd w:id="215"/>
      <w:bookmarkEnd w:id="216"/>
    </w:p>
    <w:p w14:paraId="2E4FC1D2">
      <w:pPr>
        <w:tabs>
          <w:tab w:val="left" w:pos="360"/>
        </w:tabs>
        <w:autoSpaceDE w:val="0"/>
        <w:autoSpaceDN w:val="0"/>
        <w:adjustRightInd w:val="0"/>
        <w:spacing w:line="360" w:lineRule="auto"/>
        <w:ind w:left="330" w:leftChars="-100" w:right="44" w:rightChars="21" w:hanging="54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9</w:t>
      </w:r>
      <w:r>
        <w:rPr>
          <w:rFonts w:hint="eastAsia" w:ascii="宋体" w:hAnsi="宋体" w:eastAsia="宋体" w:cs="宋体"/>
          <w:color w:val="auto"/>
          <w:szCs w:val="21"/>
          <w:highlight w:val="none"/>
          <w:lang w:val="zh-CN"/>
        </w:rPr>
        <w:t>.1 招标代理机构在招标公告发布媒介公示中标候选人，公示期为3日。投标人或者其他利害关系人对评标结果有异议的，应当在</w:t>
      </w:r>
      <w:r>
        <w:rPr>
          <w:rFonts w:hint="eastAsia" w:ascii="宋体" w:hAnsi="宋体" w:eastAsia="宋体" w:cs="宋体"/>
          <w:color w:val="auto"/>
          <w:szCs w:val="21"/>
          <w:highlight w:val="none"/>
        </w:rPr>
        <w:t>评标结果</w:t>
      </w:r>
      <w:r>
        <w:rPr>
          <w:rFonts w:hint="eastAsia" w:ascii="宋体" w:hAnsi="宋体" w:eastAsia="宋体" w:cs="宋体"/>
          <w:color w:val="auto"/>
          <w:szCs w:val="21"/>
          <w:highlight w:val="none"/>
          <w:lang w:val="zh-CN"/>
        </w:rPr>
        <w:t>公示期间向招标代理机构以书面的形式提出，并将完整的异议书面材料原件送达招标代理机构，逾期则视为对评标结果无异议。超出提交异议截止时间而提出的任何疑问，招标代理机构可不予答复。</w:t>
      </w:r>
    </w:p>
    <w:p w14:paraId="13123D60">
      <w:pPr>
        <w:autoSpaceDE w:val="0"/>
        <w:autoSpaceDN w:val="0"/>
        <w:adjustRightInd w:val="0"/>
        <w:snapToGrid w:val="0"/>
        <w:spacing w:line="360" w:lineRule="auto"/>
        <w:ind w:left="210" w:leftChars="100" w:firstLine="525" w:firstLineChars="250"/>
        <w:jc w:val="left"/>
        <w:outlineLvl w:val="9"/>
        <w:rPr>
          <w:rFonts w:hint="eastAsia" w:ascii="宋体" w:hAnsi="宋体" w:eastAsia="宋体" w:cs="宋体"/>
          <w:color w:val="auto"/>
          <w:kern w:val="0"/>
          <w:szCs w:val="21"/>
          <w:highlight w:val="none"/>
          <w:lang w:val="zh-CN"/>
        </w:rPr>
      </w:pPr>
      <w:r>
        <w:rPr>
          <w:rFonts w:hint="eastAsia" w:ascii="宋体" w:hAnsi="宋体" w:eastAsia="宋体" w:cs="宋体"/>
          <w:color w:val="auto"/>
          <w:szCs w:val="21"/>
          <w:highlight w:val="none"/>
          <w:lang w:val="zh-CN"/>
        </w:rPr>
        <w:t>招标代理机构将拒收未能提供完整异议书面材料的异议，完整的异议书面材料必须同时包含：异议书（加盖法人公章，并注明联系人、联系电话、联系地址）、授权提交异议的法定代表人（</w:t>
      </w:r>
      <w:r>
        <w:rPr>
          <w:rFonts w:hint="eastAsia" w:ascii="宋体" w:hAnsi="宋体" w:eastAsia="宋体" w:cs="宋体"/>
          <w:color w:val="auto"/>
          <w:szCs w:val="21"/>
          <w:highlight w:val="none"/>
          <w:lang w:val="en-US" w:eastAsia="zh-CN"/>
        </w:rPr>
        <w:t>法定负责人</w:t>
      </w:r>
      <w:r>
        <w:rPr>
          <w:rFonts w:hint="eastAsia" w:ascii="宋体" w:hAnsi="宋体" w:eastAsia="宋体" w:cs="宋体"/>
          <w:color w:val="auto"/>
          <w:szCs w:val="21"/>
          <w:highlight w:val="none"/>
          <w:lang w:val="zh-CN"/>
        </w:rPr>
        <w:t>）授权书原件、反映异议人主体资格的营业执照复印件（加盖法人公章）、以及合法来源的证据证明材料</w:t>
      </w:r>
      <w:r>
        <w:rPr>
          <w:rFonts w:hint="eastAsia" w:ascii="宋体" w:hAnsi="宋体" w:eastAsia="宋体" w:cs="宋体"/>
          <w:color w:val="auto"/>
          <w:kern w:val="0"/>
          <w:szCs w:val="21"/>
          <w:highlight w:val="none"/>
          <w:lang w:val="zh-CN"/>
        </w:rPr>
        <w:t>。</w:t>
      </w:r>
    </w:p>
    <w:p w14:paraId="38F69213">
      <w:pPr>
        <w:autoSpaceDE w:val="0"/>
        <w:autoSpaceDN w:val="0"/>
        <w:adjustRightInd w:val="0"/>
        <w:spacing w:line="360" w:lineRule="auto"/>
        <w:ind w:left="284" w:hanging="568"/>
        <w:outlineLvl w:val="9"/>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rPr>
        <w:t xml:space="preserve">29.2 </w:t>
      </w:r>
      <w:r>
        <w:rPr>
          <w:rFonts w:hint="eastAsia" w:ascii="宋体" w:hAnsi="宋体" w:eastAsia="宋体" w:cs="宋体"/>
          <w:b/>
          <w:color w:val="auto"/>
          <w:szCs w:val="21"/>
          <w:highlight w:val="none"/>
          <w:lang w:val="zh-CN"/>
        </w:rPr>
        <w:t>结果公示后，招标人有权要求中标候选人在结果公示之日起3日内提交投标文件中所提供的资格证明文件、业绩证明文件、对招标文件实质性条款响应文件、履约能力证明文件的原件供招标人核查。招标人如有需要，中标候选人有义务提供投标文件外其他相关证明资料原件（包括但不限于业绩合同对应的发票等）供招标人核查。招标人如发现投标人提供虚假证明文件、虚假响应文件等弄虚作假行为骗取中标的，招标人将取消其中标资格，不予退还其投标保证金。涉嫌违法犯罪的，将移交司法机关处理。</w:t>
      </w:r>
    </w:p>
    <w:p w14:paraId="21D9B1DE">
      <w:pPr>
        <w:autoSpaceDE w:val="0"/>
        <w:autoSpaceDN w:val="0"/>
        <w:adjustRightInd w:val="0"/>
        <w:snapToGrid w:val="0"/>
        <w:spacing w:line="360" w:lineRule="auto"/>
        <w:ind w:left="246" w:leftChars="117" w:firstLine="422" w:firstLineChars="200"/>
        <w:jc w:val="left"/>
        <w:outlineLvl w:val="9"/>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当招标人（或其委托的招标代理机构）向中标候选人发出提供上述投标文件或投标文件外其他相关（包括但不限于业绩合同对应的发票等）的证明资料原件进行核查的书面通知后，</w:t>
      </w:r>
      <w:r>
        <w:rPr>
          <w:rFonts w:hint="eastAsia" w:ascii="宋体" w:hAnsi="宋体" w:eastAsia="宋体" w:cs="宋体"/>
          <w:b/>
          <w:color w:val="auto"/>
          <w:kern w:val="0"/>
          <w:szCs w:val="21"/>
          <w:highlight w:val="none"/>
        </w:rPr>
        <w:t>第一中标候选人未能在招标人（或其委托的招标代理机构) 书面要求的时间(一般不少于三个工作日) 内提供完整的材料原件进行核查的</w:t>
      </w:r>
      <w:r>
        <w:rPr>
          <w:rFonts w:hint="eastAsia" w:ascii="宋体" w:hAnsi="宋体" w:eastAsia="宋体" w:cs="宋体"/>
          <w:b/>
          <w:color w:val="auto"/>
          <w:szCs w:val="21"/>
          <w:highlight w:val="none"/>
          <w:lang w:val="zh-CN"/>
        </w:rPr>
        <w:t>，视为其无法提供真实的资料，招标人有权取消其中标候选人资格。</w:t>
      </w:r>
    </w:p>
    <w:p w14:paraId="4F87F4C5">
      <w:pPr>
        <w:autoSpaceDE w:val="0"/>
        <w:autoSpaceDN w:val="0"/>
        <w:adjustRightInd w:val="0"/>
        <w:snapToGrid w:val="0"/>
        <w:spacing w:line="360" w:lineRule="auto"/>
        <w:ind w:left="319" w:leftChars="-100" w:hanging="529" w:hangingChars="252"/>
        <w:jc w:val="left"/>
        <w:outlineLvl w:val="9"/>
        <w:rPr>
          <w:rFonts w:hint="eastAsia" w:ascii="宋体" w:hAnsi="宋体" w:eastAsia="宋体" w:cs="宋体"/>
          <w:color w:val="auto"/>
          <w:szCs w:val="21"/>
          <w:highlight w:val="none"/>
          <w:lang w:val="zh-CN" w:eastAsia="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9</w:t>
      </w:r>
      <w:r>
        <w:rPr>
          <w:rFonts w:hint="eastAsia" w:ascii="宋体" w:hAnsi="宋体" w:eastAsia="宋体" w:cs="宋体"/>
          <w:color w:val="auto"/>
          <w:szCs w:val="21"/>
          <w:highlight w:val="none"/>
          <w:lang w:val="zh-CN"/>
        </w:rPr>
        <w:t>.3 投标人或者其他利害关系人认为招标投标活动不符合法律、行政法规规定的，可以自知道或者应当知道之日起10日内，按程序向招标人采购活动的监督部门投诉。</w:t>
      </w:r>
      <w:bookmarkStart w:id="217" w:name="auto_fouce_6"/>
    </w:p>
    <w:bookmarkEnd w:id="217"/>
    <w:p w14:paraId="28998437">
      <w:pPr>
        <w:autoSpaceDE w:val="0"/>
        <w:autoSpaceDN w:val="0"/>
        <w:adjustRightInd w:val="0"/>
        <w:snapToGrid w:val="0"/>
        <w:spacing w:line="360" w:lineRule="auto"/>
        <w:ind w:left="319" w:leftChars="-100" w:hanging="529" w:hangingChars="252"/>
        <w:jc w:val="left"/>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投诉应当提供纸质投诉书及必要的证明材料。投诉书应当包括下列内容：</w:t>
      </w:r>
    </w:p>
    <w:p w14:paraId="0BBE55DF">
      <w:pPr>
        <w:autoSpaceDE w:val="0"/>
        <w:autoSpaceDN w:val="0"/>
        <w:adjustRightInd w:val="0"/>
        <w:snapToGrid w:val="0"/>
        <w:spacing w:line="360" w:lineRule="auto"/>
        <w:ind w:left="319" w:leftChars="-100" w:hanging="529" w:hangingChars="252"/>
        <w:jc w:val="left"/>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（一）投诉人和被投诉人的姓名或者名称、通讯地址、邮编、联系人及联系电话；</w:t>
      </w:r>
    </w:p>
    <w:p w14:paraId="247F6237">
      <w:pPr>
        <w:autoSpaceDE w:val="0"/>
        <w:autoSpaceDN w:val="0"/>
        <w:adjustRightInd w:val="0"/>
        <w:snapToGrid w:val="0"/>
        <w:spacing w:line="360" w:lineRule="auto"/>
        <w:ind w:left="319" w:leftChars="-100" w:hanging="529" w:hangingChars="252"/>
        <w:jc w:val="left"/>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（二）异议和异议答复情况说明及相关证明材料；</w:t>
      </w:r>
    </w:p>
    <w:p w14:paraId="2E57F90D">
      <w:pPr>
        <w:autoSpaceDE w:val="0"/>
        <w:autoSpaceDN w:val="0"/>
        <w:adjustRightInd w:val="0"/>
        <w:snapToGrid w:val="0"/>
        <w:spacing w:line="360" w:lineRule="auto"/>
        <w:ind w:left="319" w:leftChars="-100" w:hanging="529" w:hangingChars="252"/>
        <w:jc w:val="left"/>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（三）具体、明确的投诉事项和与投诉事项相关的投诉请求；</w:t>
      </w:r>
    </w:p>
    <w:p w14:paraId="4E92DA16">
      <w:pPr>
        <w:autoSpaceDE w:val="0"/>
        <w:autoSpaceDN w:val="0"/>
        <w:adjustRightInd w:val="0"/>
        <w:snapToGrid w:val="0"/>
        <w:spacing w:line="360" w:lineRule="auto"/>
        <w:ind w:left="319" w:leftChars="-100" w:hanging="529" w:hangingChars="252"/>
        <w:jc w:val="left"/>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（四）事实依据；</w:t>
      </w:r>
    </w:p>
    <w:p w14:paraId="3567F267">
      <w:pPr>
        <w:autoSpaceDE w:val="0"/>
        <w:autoSpaceDN w:val="0"/>
        <w:adjustRightInd w:val="0"/>
        <w:snapToGrid w:val="0"/>
        <w:spacing w:line="360" w:lineRule="auto"/>
        <w:ind w:left="319" w:leftChars="-100" w:hanging="529" w:hangingChars="252"/>
        <w:jc w:val="left"/>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（五）法律依据；</w:t>
      </w:r>
    </w:p>
    <w:p w14:paraId="0083D1BC">
      <w:pPr>
        <w:autoSpaceDE w:val="0"/>
        <w:autoSpaceDN w:val="0"/>
        <w:adjustRightInd w:val="0"/>
        <w:snapToGrid w:val="0"/>
        <w:spacing w:line="360" w:lineRule="auto"/>
        <w:ind w:left="319" w:leftChars="-100" w:hanging="529" w:hangingChars="252"/>
        <w:jc w:val="left"/>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（六）提起投诉的日期。</w:t>
      </w:r>
    </w:p>
    <w:p w14:paraId="5685CA2B">
      <w:pPr>
        <w:autoSpaceDE w:val="0"/>
        <w:autoSpaceDN w:val="0"/>
        <w:adjustRightInd w:val="0"/>
        <w:snapToGrid w:val="0"/>
        <w:spacing w:line="360" w:lineRule="auto"/>
        <w:ind w:left="319" w:leftChars="-100" w:hanging="529" w:hangingChars="252"/>
        <w:jc w:val="left"/>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xml:space="preserve">     投诉人为法人或者其他组织的，应当由法定代表人、主要负责人，或者其授权代表签字或者盖章，并加盖投标人公章。</w:t>
      </w:r>
    </w:p>
    <w:p w14:paraId="65CF10E7">
      <w:pPr>
        <w:autoSpaceDE w:val="0"/>
        <w:autoSpaceDN w:val="0"/>
        <w:adjustRightInd w:val="0"/>
        <w:snapToGrid w:val="0"/>
        <w:spacing w:line="360" w:lineRule="auto"/>
        <w:ind w:left="319" w:leftChars="-100" w:hanging="529" w:hangingChars="252"/>
        <w:jc w:val="left"/>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xml:space="preserve">     投诉人投诉的事项不得超出已异议事项的范围，但基于异议答复内容提出的投诉事项除外。</w:t>
      </w:r>
    </w:p>
    <w:p w14:paraId="64E9FD32">
      <w:pPr>
        <w:autoSpaceDE w:val="0"/>
        <w:autoSpaceDN w:val="0"/>
        <w:adjustRightInd w:val="0"/>
        <w:snapToGrid w:val="0"/>
        <w:spacing w:line="360" w:lineRule="auto"/>
        <w:ind w:left="296" w:leftChars="100" w:hanging="86" w:hangingChars="41"/>
        <w:jc w:val="left"/>
        <w:outlineLvl w:val="9"/>
        <w:rPr>
          <w:rFonts w:hint="eastAsia" w:ascii="宋体" w:hAnsi="宋体" w:eastAsia="宋体" w:cs="宋体"/>
          <w:color w:val="auto"/>
          <w:szCs w:val="21"/>
          <w:highlight w:val="none"/>
          <w:lang w:val="zh-CN"/>
        </w:rPr>
      </w:pPr>
    </w:p>
    <w:p w14:paraId="62CB3A93">
      <w:pPr>
        <w:tabs>
          <w:tab w:val="left" w:pos="567"/>
        </w:tabs>
        <w:autoSpaceDE w:val="0"/>
        <w:autoSpaceDN w:val="0"/>
        <w:adjustRightInd w:val="0"/>
        <w:spacing w:line="360" w:lineRule="auto"/>
        <w:ind w:left="288" w:leftChars="-100" w:hanging="498" w:hangingChars="236"/>
        <w:outlineLvl w:val="9"/>
        <w:rPr>
          <w:rFonts w:hint="eastAsia" w:ascii="宋体" w:hAnsi="宋体" w:eastAsia="宋体" w:cs="宋体"/>
          <w:b/>
          <w:color w:val="auto"/>
          <w:szCs w:val="21"/>
          <w:highlight w:val="none"/>
          <w:lang w:val="zh-CN"/>
        </w:rPr>
      </w:pPr>
      <w:bookmarkStart w:id="218" w:name="_Toc486167695"/>
      <w:bookmarkStart w:id="219" w:name="_Toc26138"/>
      <w:bookmarkStart w:id="220" w:name="_Toc1848_WPSOffice_Level3"/>
      <w:bookmarkStart w:id="221" w:name="_Toc466882018"/>
      <w:bookmarkStart w:id="222" w:name="_Toc465358970"/>
      <w:bookmarkStart w:id="223" w:name="_Toc142508346"/>
      <w:r>
        <w:rPr>
          <w:rFonts w:hint="eastAsia" w:ascii="宋体" w:hAnsi="宋体" w:eastAsia="宋体" w:cs="宋体"/>
          <w:b/>
          <w:color w:val="auto"/>
          <w:szCs w:val="21"/>
          <w:highlight w:val="none"/>
        </w:rPr>
        <w:t>30</w:t>
      </w:r>
      <w:r>
        <w:rPr>
          <w:rFonts w:hint="eastAsia" w:ascii="宋体" w:hAnsi="宋体" w:eastAsia="宋体" w:cs="宋体"/>
          <w:b/>
          <w:color w:val="auto"/>
          <w:szCs w:val="21"/>
          <w:highlight w:val="none"/>
          <w:lang w:val="zh-CN"/>
        </w:rPr>
        <w:t xml:space="preserve"> 真实性审查</w:t>
      </w:r>
      <w:bookmarkEnd w:id="218"/>
      <w:bookmarkEnd w:id="219"/>
      <w:bookmarkEnd w:id="220"/>
      <w:bookmarkEnd w:id="221"/>
      <w:bookmarkEnd w:id="222"/>
      <w:bookmarkEnd w:id="223"/>
    </w:p>
    <w:p w14:paraId="03B3B126">
      <w:pPr>
        <w:autoSpaceDE w:val="0"/>
        <w:autoSpaceDN w:val="0"/>
        <w:adjustRightInd w:val="0"/>
        <w:snapToGrid w:val="0"/>
        <w:spacing w:line="360" w:lineRule="auto"/>
        <w:ind w:left="321" w:leftChars="-100" w:hanging="531" w:hangingChars="252"/>
        <w:jc w:val="left"/>
        <w:outlineLvl w:val="9"/>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30.1 在</w:t>
      </w:r>
      <w:r>
        <w:rPr>
          <w:rFonts w:hint="eastAsia" w:ascii="宋体" w:hAnsi="宋体" w:eastAsia="宋体" w:cs="宋体"/>
          <w:b/>
          <w:color w:val="auto"/>
          <w:kern w:val="0"/>
          <w:szCs w:val="21"/>
          <w:highlight w:val="none"/>
        </w:rPr>
        <w:t>授予合同前，招标人（或其委托的招标代理机构）、或评标委员会有权组织对投标人的真实性审查。包括对投标人的资格证明文件、业绩证明文件、对招标文件实质性条款响应文件、履约能力证明文件的原件真实性进行核查。招标人</w:t>
      </w:r>
      <w:r>
        <w:rPr>
          <w:rFonts w:hint="eastAsia" w:ascii="宋体" w:hAnsi="宋体" w:eastAsia="宋体" w:cs="宋体"/>
          <w:b/>
          <w:color w:val="auto"/>
          <w:szCs w:val="21"/>
          <w:highlight w:val="none"/>
          <w:lang w:val="zh-CN"/>
        </w:rPr>
        <w:t>如有需要，投标人有义务提供投标文件外其他相关证明资料原件（包括但不限于业绩合同对应的发票等）供招标人核查。</w:t>
      </w:r>
      <w:r>
        <w:rPr>
          <w:rFonts w:hint="eastAsia" w:ascii="宋体" w:hAnsi="宋体" w:eastAsia="宋体" w:cs="宋体"/>
          <w:b/>
          <w:color w:val="auto"/>
          <w:kern w:val="0"/>
          <w:szCs w:val="21"/>
          <w:highlight w:val="none"/>
        </w:rPr>
        <w:t>若发现投标人提供虚假证明文件、虚假响应文件等弄虚作假行为的，或经审查确认其经营、财务状况发生较大变化（或者存在违法行为）导致无法按照投标文件的承诺履约的，或其明确表示不按照投标文件承诺履约的，等影响中标结果的行为，招标人有权按照评标委员会提出的中标候选人名单排序依次确定其他中标候选人为中标人或重新招标</w:t>
      </w:r>
      <w:r>
        <w:rPr>
          <w:rFonts w:hint="eastAsia" w:ascii="宋体" w:hAnsi="宋体" w:eastAsia="宋体" w:cs="宋体"/>
          <w:b/>
          <w:color w:val="auto"/>
          <w:szCs w:val="21"/>
          <w:highlight w:val="none"/>
        </w:rPr>
        <w:t>。</w:t>
      </w:r>
    </w:p>
    <w:p w14:paraId="5414E188">
      <w:pPr>
        <w:autoSpaceDE w:val="0"/>
        <w:autoSpaceDN w:val="0"/>
        <w:adjustRightInd w:val="0"/>
        <w:snapToGrid w:val="0"/>
        <w:spacing w:line="360" w:lineRule="auto"/>
        <w:ind w:left="321" w:leftChars="-100" w:hanging="531" w:hangingChars="252"/>
        <w:jc w:val="left"/>
        <w:outlineLvl w:val="9"/>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30.2 投标人</w:t>
      </w:r>
      <w:r>
        <w:rPr>
          <w:rFonts w:hint="eastAsia" w:ascii="宋体" w:hAnsi="宋体" w:eastAsia="宋体" w:cs="宋体"/>
          <w:b/>
          <w:color w:val="auto"/>
          <w:kern w:val="0"/>
          <w:szCs w:val="21"/>
          <w:highlight w:val="none"/>
        </w:rPr>
        <w:t>在招标人（或其委托的招标代理机构）、或评标委员会通知其提供</w:t>
      </w:r>
      <w:r>
        <w:rPr>
          <w:rFonts w:hint="eastAsia" w:ascii="宋体" w:hAnsi="宋体" w:eastAsia="宋体" w:cs="宋体"/>
          <w:b/>
          <w:color w:val="auto"/>
          <w:szCs w:val="21"/>
          <w:highlight w:val="none"/>
          <w:lang w:val="zh-CN"/>
        </w:rPr>
        <w:t>上述投标文件或投标文件外其他相关（包括但不限于业绩合同对应的发票等）的证明资料原件</w:t>
      </w:r>
      <w:r>
        <w:rPr>
          <w:rFonts w:hint="eastAsia" w:ascii="宋体" w:hAnsi="宋体" w:eastAsia="宋体" w:cs="宋体"/>
          <w:b/>
          <w:color w:val="auto"/>
          <w:kern w:val="0"/>
          <w:szCs w:val="21"/>
          <w:highlight w:val="none"/>
        </w:rPr>
        <w:t>进行核查的要求后，未能在约定的时间内提供原件进行核查的，视为投标人无法提供真实的资料，招标人有权按照评标委员会提出的中标候选人名单排序依次确定其他中标候选人为中标人或重新招标</w:t>
      </w:r>
      <w:r>
        <w:rPr>
          <w:rFonts w:hint="eastAsia" w:ascii="宋体" w:hAnsi="宋体" w:eastAsia="宋体" w:cs="宋体"/>
          <w:b/>
          <w:color w:val="auto"/>
          <w:szCs w:val="21"/>
          <w:highlight w:val="none"/>
        </w:rPr>
        <w:t>。</w:t>
      </w:r>
    </w:p>
    <w:p w14:paraId="7F1F99F6">
      <w:pPr>
        <w:autoSpaceDE w:val="0"/>
        <w:autoSpaceDN w:val="0"/>
        <w:adjustRightInd w:val="0"/>
        <w:snapToGrid w:val="0"/>
        <w:spacing w:line="360" w:lineRule="auto"/>
        <w:ind w:left="321" w:leftChars="-100" w:hanging="531" w:hangingChars="252"/>
        <w:jc w:val="left"/>
        <w:outlineLvl w:val="9"/>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30.3 若投标人在投标或履约过程中存在提供虚假材料、虚假响应招标文件要求等弄虚作假行为，或未能根据本须知29.2款约定按时提供原件进行核查的，或不按照投标文件承诺履约或撤回投标或放弃中标资格或不按要求与招标人签订合同等影响中标结果的行为，因此导致投标人无法参与</w:t>
      </w:r>
      <w:r>
        <w:rPr>
          <w:rFonts w:hint="eastAsia" w:ascii="宋体" w:hAnsi="宋体" w:eastAsia="宋体" w:cs="宋体"/>
          <w:b/>
          <w:color w:val="auto"/>
          <w:szCs w:val="21"/>
          <w:highlight w:val="none"/>
          <w:lang w:eastAsia="zh-CN"/>
        </w:rPr>
        <w:t>东莞数字城市科技有限公司</w:t>
      </w:r>
      <w:r>
        <w:rPr>
          <w:rFonts w:hint="eastAsia" w:ascii="宋体" w:hAnsi="宋体" w:eastAsia="宋体" w:cs="宋体"/>
          <w:b/>
          <w:color w:val="auto"/>
          <w:szCs w:val="21"/>
          <w:highlight w:val="none"/>
        </w:rPr>
        <w:t>相关招标采购等活动的，由投标人自行承担全部后果。</w:t>
      </w:r>
    </w:p>
    <w:p w14:paraId="6808CEB1">
      <w:pPr>
        <w:autoSpaceDE w:val="0"/>
        <w:autoSpaceDN w:val="0"/>
        <w:adjustRightInd w:val="0"/>
        <w:snapToGrid w:val="0"/>
        <w:spacing w:line="360" w:lineRule="auto"/>
        <w:jc w:val="left"/>
        <w:outlineLvl w:val="9"/>
        <w:rPr>
          <w:rFonts w:hint="eastAsia" w:ascii="宋体" w:hAnsi="宋体" w:eastAsia="宋体" w:cs="宋体"/>
          <w:color w:val="auto"/>
          <w:szCs w:val="21"/>
          <w:highlight w:val="none"/>
        </w:rPr>
      </w:pPr>
      <w:bookmarkStart w:id="224" w:name="_Toc466882019"/>
      <w:bookmarkStart w:id="225" w:name="_Toc465358971"/>
    </w:p>
    <w:p w14:paraId="0FB6CB40">
      <w:pPr>
        <w:tabs>
          <w:tab w:val="left" w:pos="567"/>
        </w:tabs>
        <w:autoSpaceDE w:val="0"/>
        <w:autoSpaceDN w:val="0"/>
        <w:adjustRightInd w:val="0"/>
        <w:spacing w:line="360" w:lineRule="auto"/>
        <w:ind w:left="16" w:leftChars="-59" w:hanging="140" w:hangingChars="67"/>
        <w:outlineLvl w:val="9"/>
        <w:rPr>
          <w:rFonts w:hint="eastAsia" w:ascii="宋体" w:hAnsi="宋体" w:eastAsia="宋体" w:cs="宋体"/>
          <w:color w:val="auto"/>
          <w:szCs w:val="21"/>
          <w:highlight w:val="none"/>
          <w:lang w:val="zh-CN"/>
        </w:rPr>
      </w:pPr>
      <w:bookmarkStart w:id="226" w:name="auto_fouce_7"/>
      <w:bookmarkStart w:id="227" w:name="_Toc10867_WPSOffice_Level3"/>
      <w:bookmarkStart w:id="228" w:name="_Toc26035"/>
      <w:bookmarkStart w:id="229" w:name="_Toc486167696"/>
      <w:bookmarkStart w:id="230" w:name="_Toc142508347"/>
      <w:r>
        <w:rPr>
          <w:rFonts w:hint="eastAsia" w:ascii="宋体" w:hAnsi="宋体" w:eastAsia="宋体" w:cs="宋体"/>
          <w:color w:val="auto"/>
          <w:szCs w:val="21"/>
          <w:highlight w:val="none"/>
        </w:rPr>
        <w:t>31</w:t>
      </w:r>
      <w:r>
        <w:rPr>
          <w:rFonts w:hint="eastAsia" w:ascii="宋体" w:hAnsi="宋体" w:eastAsia="宋体" w:cs="宋体"/>
          <w:color w:val="auto"/>
          <w:szCs w:val="21"/>
          <w:highlight w:val="none"/>
          <w:lang w:val="zh-CN"/>
        </w:rPr>
        <w:t xml:space="preserve"> 评标委员会和招标人接受或拒绝任何投标或所有投标的权利</w:t>
      </w:r>
      <w:bookmarkEnd w:id="224"/>
      <w:bookmarkEnd w:id="225"/>
      <w:bookmarkEnd w:id="226"/>
      <w:bookmarkEnd w:id="227"/>
      <w:bookmarkEnd w:id="228"/>
      <w:bookmarkEnd w:id="229"/>
      <w:bookmarkEnd w:id="230"/>
    </w:p>
    <w:p w14:paraId="3EAC5DD3">
      <w:pPr>
        <w:autoSpaceDE w:val="0"/>
        <w:autoSpaceDN w:val="0"/>
        <w:adjustRightInd w:val="0"/>
        <w:spacing w:line="360" w:lineRule="auto"/>
        <w:ind w:left="248" w:leftChars="118" w:firstLine="1"/>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在授予合同前的任何时候，招标人仍保留接受或拒绝任何投标，宣布招标程序无效或拒绝所有投标的权利，无需向受影响的投标人承担任何责任。</w:t>
      </w:r>
    </w:p>
    <w:p w14:paraId="0691F810">
      <w:pPr>
        <w:autoSpaceDE w:val="0"/>
        <w:autoSpaceDN w:val="0"/>
        <w:adjustRightInd w:val="0"/>
        <w:snapToGrid w:val="0"/>
        <w:spacing w:line="360" w:lineRule="auto"/>
        <w:ind w:left="436" w:leftChars="-158" w:hanging="768" w:hangingChars="320"/>
        <w:jc w:val="left"/>
        <w:outlineLvl w:val="9"/>
        <w:rPr>
          <w:rFonts w:hint="eastAsia" w:ascii="宋体" w:hAnsi="宋体" w:eastAsia="宋体" w:cs="宋体"/>
          <w:color w:val="auto"/>
          <w:kern w:val="44"/>
          <w:sz w:val="24"/>
          <w:szCs w:val="24"/>
          <w:highlight w:val="none"/>
          <w:lang w:val="zh-CN"/>
        </w:rPr>
      </w:pPr>
      <w:bookmarkStart w:id="231" w:name="_Toc450662880"/>
    </w:p>
    <w:bookmarkEnd w:id="231"/>
    <w:p w14:paraId="3466195D">
      <w:pPr>
        <w:keepNext/>
        <w:keepLines/>
        <w:autoSpaceDE w:val="0"/>
        <w:autoSpaceDN w:val="0"/>
        <w:adjustRightInd w:val="0"/>
        <w:spacing w:line="360" w:lineRule="auto"/>
        <w:jc w:val="left"/>
        <w:outlineLvl w:val="0"/>
        <w:rPr>
          <w:rFonts w:hint="eastAsia" w:ascii="宋体" w:hAnsi="宋体" w:eastAsia="宋体" w:cs="宋体"/>
          <w:b/>
          <w:bCs/>
          <w:color w:val="auto"/>
          <w:kern w:val="44"/>
          <w:szCs w:val="21"/>
          <w:highlight w:val="none"/>
          <w:lang w:val="zh-CN"/>
        </w:rPr>
      </w:pPr>
      <w:bookmarkStart w:id="232" w:name="_Toc486167697"/>
      <w:bookmarkStart w:id="233" w:name="_Toc16848_WPSOffice_Level2"/>
      <w:bookmarkStart w:id="234" w:name="_Toc3036"/>
      <w:bookmarkStart w:id="235" w:name="_Toc142508348"/>
      <w:bookmarkStart w:id="236" w:name="_Toc18316"/>
      <w:bookmarkStart w:id="237" w:name="_Toc140596907"/>
      <w:bookmarkStart w:id="238" w:name="_Toc450662891"/>
      <w:bookmarkStart w:id="239" w:name="_Toc27939_WPSOffice_Level1"/>
      <w:bookmarkStart w:id="240" w:name="_Toc28218"/>
      <w:bookmarkStart w:id="241" w:name="_Toc486167706"/>
      <w:bookmarkStart w:id="242" w:name="_Toc142508358"/>
      <w:r>
        <w:rPr>
          <w:rFonts w:hint="eastAsia" w:ascii="宋体" w:hAnsi="宋体" w:eastAsia="宋体" w:cs="宋体"/>
          <w:b/>
          <w:bCs/>
          <w:color w:val="auto"/>
          <w:kern w:val="44"/>
          <w:szCs w:val="21"/>
          <w:highlight w:val="none"/>
          <w:lang w:val="zh-CN"/>
        </w:rPr>
        <w:t>六、授予合同</w:t>
      </w:r>
      <w:bookmarkEnd w:id="232"/>
      <w:bookmarkEnd w:id="233"/>
      <w:bookmarkEnd w:id="234"/>
      <w:bookmarkEnd w:id="235"/>
      <w:bookmarkEnd w:id="236"/>
      <w:bookmarkEnd w:id="237"/>
    </w:p>
    <w:p w14:paraId="1E2BD326">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243" w:name="_Toc450662881"/>
      <w:bookmarkStart w:id="244" w:name="_Toc25540"/>
      <w:bookmarkStart w:id="245" w:name="_Toc142508349"/>
      <w:bookmarkStart w:id="246" w:name="_Toc6401_WPSOffice_Level3"/>
      <w:bookmarkStart w:id="247" w:name="_Toc486167698"/>
      <w:r>
        <w:rPr>
          <w:rFonts w:hint="eastAsia" w:ascii="宋体" w:hAnsi="宋体" w:eastAsia="宋体" w:cs="宋体"/>
          <w:color w:val="auto"/>
          <w:szCs w:val="21"/>
          <w:highlight w:val="none"/>
        </w:rPr>
        <w:t>32</w:t>
      </w:r>
      <w:r>
        <w:rPr>
          <w:rFonts w:hint="eastAsia" w:ascii="宋体" w:hAnsi="宋体" w:eastAsia="宋体" w:cs="宋体"/>
          <w:color w:val="auto"/>
          <w:szCs w:val="21"/>
          <w:highlight w:val="none"/>
          <w:lang w:val="zh-CN"/>
        </w:rPr>
        <w:t xml:space="preserve"> 授予合同的准则</w:t>
      </w:r>
      <w:bookmarkEnd w:id="243"/>
      <w:bookmarkEnd w:id="244"/>
      <w:bookmarkEnd w:id="245"/>
      <w:bookmarkEnd w:id="246"/>
      <w:bookmarkEnd w:id="247"/>
    </w:p>
    <w:p w14:paraId="598D0048">
      <w:pPr>
        <w:tabs>
          <w:tab w:val="left" w:pos="645"/>
        </w:tabs>
        <w:autoSpaceDE w:val="0"/>
        <w:autoSpaceDN w:val="0"/>
        <w:adjustRightInd w:val="0"/>
        <w:spacing w:line="360" w:lineRule="auto"/>
        <w:ind w:left="330" w:leftChars="-100" w:right="44" w:rightChars="21" w:hanging="54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32</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除第29条、30条</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Cs w:val="24"/>
          <w:highlight w:val="none"/>
        </w:rPr>
        <w:t>31</w:t>
      </w:r>
      <w:r>
        <w:rPr>
          <w:rFonts w:hint="eastAsia" w:ascii="宋体" w:hAnsi="宋体" w:eastAsia="宋体" w:cs="宋体"/>
          <w:color w:val="auto"/>
          <w:szCs w:val="21"/>
          <w:highlight w:val="none"/>
          <w:lang w:val="zh-CN"/>
        </w:rPr>
        <w:t>条规定外，招标人将合同授予其投标文件符合招标文件要求，并且能承诺履行合同，对招标人最为有利的投标人。</w:t>
      </w:r>
    </w:p>
    <w:p w14:paraId="1EC9DBE2">
      <w:pPr>
        <w:tabs>
          <w:tab w:val="left" w:pos="540"/>
        </w:tabs>
        <w:autoSpaceDE w:val="0"/>
        <w:autoSpaceDN w:val="0"/>
        <w:adjustRightInd w:val="0"/>
        <w:spacing w:line="360" w:lineRule="auto"/>
        <w:ind w:left="330" w:leftChars="-100" w:right="44" w:rightChars="21" w:hanging="54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32.2 招标人依法</w:t>
      </w:r>
      <w:r>
        <w:rPr>
          <w:rFonts w:hint="eastAsia" w:ascii="宋体" w:hAnsi="宋体" w:eastAsia="宋体" w:cs="宋体"/>
          <w:color w:val="auto"/>
          <w:kern w:val="0"/>
          <w:szCs w:val="21"/>
          <w:highlight w:val="none"/>
        </w:rPr>
        <w:t>按照评标报告中推荐的中标候选人顺序</w:t>
      </w:r>
      <w:r>
        <w:rPr>
          <w:rFonts w:hint="eastAsia" w:ascii="宋体" w:hAnsi="宋体" w:eastAsia="宋体" w:cs="宋体"/>
          <w:color w:val="auto"/>
          <w:szCs w:val="21"/>
          <w:highlight w:val="none"/>
          <w:lang w:val="zh-CN"/>
        </w:rPr>
        <w:t>确定中标人。</w:t>
      </w:r>
    </w:p>
    <w:p w14:paraId="22545D56">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b/>
          <w:color w:val="auto"/>
          <w:kern w:val="0"/>
          <w:szCs w:val="21"/>
          <w:highlight w:val="none"/>
        </w:rPr>
      </w:pPr>
      <w:r>
        <w:rPr>
          <w:rFonts w:hint="eastAsia" w:ascii="宋体" w:hAnsi="宋体" w:eastAsia="宋体" w:cs="宋体"/>
          <w:color w:val="auto"/>
          <w:szCs w:val="21"/>
          <w:highlight w:val="none"/>
          <w:lang w:val="zh-CN"/>
        </w:rPr>
        <w:t>32</w:t>
      </w:r>
      <w:r>
        <w:rPr>
          <w:rFonts w:hint="eastAsia" w:ascii="宋体" w:hAnsi="宋体" w:eastAsia="宋体" w:cs="宋体"/>
          <w:color w:val="auto"/>
          <w:kern w:val="0"/>
          <w:szCs w:val="21"/>
          <w:highlight w:val="none"/>
        </w:rPr>
        <w:t>.3 因不可抗力或自身原因不能履行合同的、不按要求与招标人签订合同、中标人放弃中标、中标资格被依法确认无效的，招标人可以按照评标委员会提出的中标候选人名单排序依次确定其他中标候选人为中标人或重新招标</w:t>
      </w:r>
      <w:r>
        <w:rPr>
          <w:rFonts w:hint="eastAsia" w:ascii="宋体" w:hAnsi="宋体" w:eastAsia="宋体" w:cs="宋体"/>
          <w:b/>
          <w:color w:val="auto"/>
          <w:kern w:val="0"/>
          <w:szCs w:val="21"/>
          <w:highlight w:val="none"/>
        </w:rPr>
        <w:t>。</w:t>
      </w:r>
    </w:p>
    <w:p w14:paraId="3E74EAA9">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color w:val="auto"/>
          <w:szCs w:val="21"/>
          <w:highlight w:val="none"/>
          <w:lang w:val="zh-CN"/>
        </w:rPr>
      </w:pPr>
      <w:bookmarkStart w:id="248" w:name="_Toc450662885"/>
    </w:p>
    <w:p w14:paraId="7D20F149">
      <w:pPr>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249" w:name="_Toc142508350"/>
      <w:bookmarkStart w:id="250" w:name="_Toc6726_WPSOffice_Level3"/>
      <w:bookmarkStart w:id="251" w:name="_Toc24266"/>
      <w:bookmarkStart w:id="252" w:name="_Toc486167699"/>
      <w:r>
        <w:rPr>
          <w:rFonts w:hint="eastAsia" w:ascii="宋体" w:hAnsi="宋体" w:eastAsia="宋体" w:cs="宋体"/>
          <w:color w:val="auto"/>
          <w:szCs w:val="21"/>
          <w:highlight w:val="none"/>
          <w:lang w:val="zh-CN"/>
        </w:rPr>
        <w:t>33 中标通知</w:t>
      </w:r>
      <w:bookmarkEnd w:id="248"/>
      <w:bookmarkEnd w:id="249"/>
      <w:bookmarkEnd w:id="250"/>
      <w:bookmarkEnd w:id="251"/>
      <w:bookmarkEnd w:id="252"/>
    </w:p>
    <w:p w14:paraId="1A3A5968">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color w:val="auto"/>
          <w:szCs w:val="21"/>
          <w:highlight w:val="none"/>
          <w:lang w:val="zh-CN"/>
        </w:rPr>
      </w:pPr>
      <w:bookmarkStart w:id="253" w:name="_Toc450662886"/>
      <w:r>
        <w:rPr>
          <w:rFonts w:hint="eastAsia" w:ascii="宋体" w:hAnsi="宋体" w:eastAsia="宋体" w:cs="宋体"/>
          <w:color w:val="auto"/>
          <w:szCs w:val="21"/>
          <w:highlight w:val="none"/>
          <w:lang w:val="zh-CN"/>
        </w:rPr>
        <w:t>33.1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招标代理机构向中标人发出书面通知，中标通知书是合同的一个组成部分。</w:t>
      </w:r>
    </w:p>
    <w:p w14:paraId="660B6371">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33.2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招标代理机构向中标人发出书面通知的同时，招标代理机构通知落选的投标人其投标文件未被接受而不提原因。</w:t>
      </w:r>
    </w:p>
    <w:p w14:paraId="37D16321">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color w:val="auto"/>
          <w:szCs w:val="21"/>
          <w:highlight w:val="none"/>
          <w:lang w:val="zh-CN"/>
        </w:rPr>
      </w:pPr>
    </w:p>
    <w:p w14:paraId="7DA70FB2">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254" w:name="_Toc32732"/>
      <w:bookmarkStart w:id="255" w:name="_Toc142508351"/>
      <w:bookmarkStart w:id="256" w:name="_Toc486167700"/>
      <w:bookmarkStart w:id="257" w:name="_Toc9694_WPSOffice_Level3"/>
      <w:r>
        <w:rPr>
          <w:rFonts w:hint="eastAsia" w:ascii="宋体" w:hAnsi="宋体" w:eastAsia="宋体" w:cs="宋体"/>
          <w:color w:val="auto"/>
          <w:szCs w:val="21"/>
          <w:highlight w:val="none"/>
        </w:rPr>
        <w:t>34</w:t>
      </w:r>
      <w:r>
        <w:rPr>
          <w:rFonts w:hint="eastAsia" w:ascii="宋体" w:hAnsi="宋体" w:eastAsia="宋体" w:cs="宋体"/>
          <w:color w:val="auto"/>
          <w:szCs w:val="21"/>
          <w:highlight w:val="none"/>
          <w:lang w:val="zh-CN"/>
        </w:rPr>
        <w:t xml:space="preserve"> 签署合同</w:t>
      </w:r>
      <w:bookmarkEnd w:id="253"/>
      <w:bookmarkEnd w:id="254"/>
      <w:bookmarkEnd w:id="255"/>
      <w:bookmarkEnd w:id="256"/>
      <w:bookmarkEnd w:id="257"/>
    </w:p>
    <w:p w14:paraId="0DB73071">
      <w:pPr>
        <w:tabs>
          <w:tab w:val="left" w:pos="540"/>
        </w:tabs>
        <w:autoSpaceDE w:val="0"/>
        <w:autoSpaceDN w:val="0"/>
        <w:adjustRightInd w:val="0"/>
        <w:spacing w:line="360" w:lineRule="auto"/>
        <w:ind w:left="330" w:leftChars="-100" w:right="15" w:rightChars="7" w:hanging="54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34</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lang w:val="zh-CN"/>
        </w:rPr>
        <w:tab/>
      </w:r>
      <w:r>
        <w:rPr>
          <w:rFonts w:hint="eastAsia" w:ascii="宋体" w:hAnsi="宋体" w:eastAsia="宋体" w:cs="宋体"/>
          <w:b/>
          <w:color w:val="auto"/>
          <w:szCs w:val="21"/>
          <w:highlight w:val="none"/>
          <w:u w:val="single"/>
          <w:lang w:val="zh-CN"/>
        </w:rPr>
        <w:t>中标人在自中标通知书发出之日起30日内，按照招标文件和中标人的投标文件的约定，与招标人签订书面合同，具体签订方式以招标人通知为准。否则招标人有权取消中标资格并按招标文件及法律、法规的规定进行处理</w:t>
      </w:r>
      <w:r>
        <w:rPr>
          <w:rFonts w:hint="eastAsia" w:ascii="宋体" w:hAnsi="宋体" w:eastAsia="宋体" w:cs="宋体"/>
          <w:color w:val="auto"/>
          <w:szCs w:val="21"/>
          <w:highlight w:val="none"/>
          <w:lang w:val="zh-CN"/>
        </w:rPr>
        <w:t>。</w:t>
      </w:r>
    </w:p>
    <w:p w14:paraId="152105DA">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34.2 在签署合同前，招标人可对中标人投标报价明细及附表内的算术性错误进行修正，修正原则为：</w:t>
      </w:r>
    </w:p>
    <w:p w14:paraId="29EE07C2">
      <w:pPr>
        <w:autoSpaceDE w:val="0"/>
        <w:autoSpaceDN w:val="0"/>
        <w:adjustRightInd w:val="0"/>
        <w:snapToGrid w:val="0"/>
        <w:spacing w:line="360" w:lineRule="auto"/>
        <w:ind w:left="315" w:leftChars="100" w:hanging="105" w:hangingChars="50"/>
        <w:jc w:val="left"/>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当以数字表示的金额与以文字表示的金额不一致时，以文字表示的金额为准；（2）当开标一览表(投标报价表)内总报价金额与按综合单价计算的总价不一致的，以综合单价计算结果为准，单项金额小数点有明显错位的，应以总价为准，并修正综合单价金额；（3）当分项明细报价表内累计与投标报价表内报价不符时，以投标报价表（开标一览表）为准，修正分项明细报价表内的各分项报价。按前述修正原则排序依次进行修正至唯一值后的报价表经双方确认后，作为合同文件的组成部分。</w:t>
      </w:r>
    </w:p>
    <w:p w14:paraId="759751C2">
      <w:pPr>
        <w:tabs>
          <w:tab w:val="left" w:pos="360"/>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rPr>
      </w:pPr>
      <w:bookmarkStart w:id="258" w:name="_Toc450662887"/>
      <w:bookmarkStart w:id="259" w:name="_Toc10513_WPSOffice_Level3"/>
      <w:bookmarkStart w:id="260" w:name="_Toc142508352"/>
      <w:bookmarkStart w:id="261" w:name="_Toc486167701"/>
    </w:p>
    <w:p w14:paraId="3D4A3639">
      <w:pPr>
        <w:tabs>
          <w:tab w:val="left" w:pos="360"/>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262" w:name="_Toc8873"/>
      <w:r>
        <w:rPr>
          <w:rFonts w:hint="eastAsia" w:ascii="宋体" w:hAnsi="宋体" w:eastAsia="宋体" w:cs="宋体"/>
          <w:color w:val="auto"/>
          <w:szCs w:val="21"/>
          <w:highlight w:val="none"/>
        </w:rPr>
        <w:t xml:space="preserve">35 </w:t>
      </w:r>
      <w:r>
        <w:rPr>
          <w:rFonts w:hint="eastAsia" w:ascii="宋体" w:hAnsi="宋体" w:eastAsia="宋体" w:cs="宋体"/>
          <w:color w:val="auto"/>
          <w:szCs w:val="21"/>
          <w:highlight w:val="none"/>
          <w:lang w:val="zh-CN"/>
        </w:rPr>
        <w:t>履约担保</w:t>
      </w:r>
      <w:bookmarkEnd w:id="258"/>
      <w:bookmarkEnd w:id="259"/>
      <w:bookmarkEnd w:id="260"/>
      <w:bookmarkEnd w:id="261"/>
      <w:bookmarkEnd w:id="262"/>
    </w:p>
    <w:p w14:paraId="369FEC23">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color w:val="auto"/>
          <w:szCs w:val="21"/>
          <w:highlight w:val="none"/>
        </w:rPr>
      </w:pPr>
      <w:bookmarkStart w:id="263" w:name="_Toc465358977"/>
      <w:bookmarkStart w:id="264" w:name="_Toc466882025"/>
      <w:r>
        <w:rPr>
          <w:rFonts w:hint="eastAsia" w:ascii="宋体" w:hAnsi="宋体" w:eastAsia="宋体" w:cs="宋体"/>
          <w:color w:val="auto"/>
          <w:szCs w:val="21"/>
          <w:highlight w:val="none"/>
          <w:lang w:val="en-US" w:eastAsia="zh-CN"/>
        </w:rPr>
        <w:t xml:space="preserve">35.1 </w:t>
      </w:r>
      <w:r>
        <w:rPr>
          <w:rFonts w:hint="eastAsia" w:ascii="宋体" w:hAnsi="宋体" w:eastAsia="宋体" w:cs="宋体"/>
          <w:color w:val="auto"/>
          <w:szCs w:val="21"/>
          <w:highlight w:val="none"/>
        </w:rPr>
        <w:t>本项目是否需要交纳履约保证金：</w:t>
      </w:r>
      <w:r>
        <w:rPr>
          <w:rFonts w:hint="eastAsia" w:ascii="宋体" w:hAnsi="宋体" w:eastAsia="宋体" w:cs="宋体"/>
          <w:color w:val="auto"/>
          <w:szCs w:val="21"/>
          <w:highlight w:val="none"/>
          <w:u w:val="single"/>
        </w:rPr>
        <w:t>是</w:t>
      </w:r>
      <w:r>
        <w:rPr>
          <w:rFonts w:hint="eastAsia" w:ascii="宋体" w:hAnsi="宋体" w:eastAsia="宋体" w:cs="宋体"/>
          <w:color w:val="auto"/>
          <w:szCs w:val="21"/>
          <w:highlight w:val="none"/>
        </w:rPr>
        <w:t>。</w:t>
      </w:r>
    </w:p>
    <w:p w14:paraId="24709487">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35.2 中标人在申请第一期合同款前须提交给招标人合同金额5%的项目履约保证金（以银行转账、电汇、银行履约保函、信用担保等形式提交）。</w:t>
      </w:r>
    </w:p>
    <w:p w14:paraId="77848AC7">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35.3 履约保证金采用电汇、银行汇票、支票方式等银行转账方式递交的，交至招标人履约保证金汇入账户。履约保证金汇入账户情况：</w:t>
      </w:r>
    </w:p>
    <w:p w14:paraId="23B52830">
      <w:pPr>
        <w:keepNext w:val="0"/>
        <w:keepLines w:val="0"/>
        <w:pageBreakBefore w:val="0"/>
        <w:widowControl w:val="0"/>
        <w:kinsoku/>
        <w:wordWrap/>
        <w:overflowPunct/>
        <w:topLinePunct w:val="0"/>
        <w:autoSpaceDE w:val="0"/>
        <w:autoSpaceDN w:val="0"/>
        <w:bidi w:val="0"/>
        <w:adjustRightInd w:val="0"/>
        <w:snapToGrid w:val="0"/>
        <w:spacing w:line="360" w:lineRule="auto"/>
        <w:ind w:left="-210" w:leftChars="-100" w:firstLine="632" w:firstLineChars="300"/>
        <w:jc w:val="left"/>
        <w:textAlignment w:val="auto"/>
        <w:outlineLvl w:val="9"/>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履约保证金账户名称：东莞数字城市科技有限公司</w:t>
      </w:r>
    </w:p>
    <w:p w14:paraId="1956E23C">
      <w:pPr>
        <w:keepNext w:val="0"/>
        <w:keepLines w:val="0"/>
        <w:pageBreakBefore w:val="0"/>
        <w:widowControl w:val="0"/>
        <w:kinsoku/>
        <w:wordWrap/>
        <w:overflowPunct/>
        <w:topLinePunct w:val="0"/>
        <w:autoSpaceDE w:val="0"/>
        <w:autoSpaceDN w:val="0"/>
        <w:bidi w:val="0"/>
        <w:adjustRightInd w:val="0"/>
        <w:snapToGrid w:val="0"/>
        <w:spacing w:line="360" w:lineRule="auto"/>
        <w:ind w:left="-210" w:leftChars="-100" w:firstLine="632" w:firstLineChars="300"/>
        <w:jc w:val="left"/>
        <w:textAlignment w:val="auto"/>
        <w:outlineLvl w:val="9"/>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履约保证金账户账号：500000101005041</w:t>
      </w:r>
    </w:p>
    <w:p w14:paraId="704FF94C">
      <w:pPr>
        <w:keepNext w:val="0"/>
        <w:keepLines w:val="0"/>
        <w:pageBreakBefore w:val="0"/>
        <w:widowControl w:val="0"/>
        <w:kinsoku/>
        <w:wordWrap/>
        <w:overflowPunct/>
        <w:topLinePunct w:val="0"/>
        <w:autoSpaceDE w:val="0"/>
        <w:autoSpaceDN w:val="0"/>
        <w:bidi w:val="0"/>
        <w:adjustRightInd w:val="0"/>
        <w:snapToGrid w:val="0"/>
        <w:spacing w:line="360" w:lineRule="auto"/>
        <w:ind w:left="-210" w:leftChars="-100" w:firstLine="632" w:firstLineChars="300"/>
        <w:jc w:val="left"/>
        <w:textAlignment w:val="auto"/>
        <w:outlineLvl w:val="9"/>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履约保证金账户支行：东莞银行股份有限公司中心区支行</w:t>
      </w:r>
    </w:p>
    <w:p w14:paraId="4716C229">
      <w:pPr>
        <w:keepNext w:val="0"/>
        <w:keepLines w:val="0"/>
        <w:pageBreakBefore w:val="0"/>
        <w:widowControl w:val="0"/>
        <w:kinsoku/>
        <w:wordWrap/>
        <w:overflowPunct/>
        <w:topLinePunct w:val="0"/>
        <w:autoSpaceDE w:val="0"/>
        <w:autoSpaceDN w:val="0"/>
        <w:bidi w:val="0"/>
        <w:adjustRightInd w:val="0"/>
        <w:snapToGrid w:val="0"/>
        <w:spacing w:line="360" w:lineRule="auto"/>
        <w:ind w:left="-210" w:leftChars="-100" w:firstLine="632" w:firstLineChars="300"/>
        <w:jc w:val="left"/>
        <w:textAlignment w:val="auto"/>
        <w:outlineLvl w:val="9"/>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中标人应在汇入履约保证金时在汇款单备注中注明：项目编号+履约保证金。</w:t>
      </w:r>
    </w:p>
    <w:p w14:paraId="252822BB">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35.4 履约保证金采用电汇、银行汇票、支票方式等银行转账方式递交的，验收合格后中标人无违约的情形发生，中标人可向招标人提交退回履约保证金的申请。招标人收到中标人的退回履约保证金申请材料并经审核无误后，将履约保证金无息退还。</w:t>
      </w:r>
    </w:p>
    <w:p w14:paraId="161740EE">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35.5 履约保证金采用保函方式递交的，履约保函应是合法经营的金融机构或担保机构出具的履约保函。履约担保期限须包含整个合同履行期限，若项目未能按期完成，中标人必须办理相应的保函延期，将担保期限延长至服务期结束或项目验收合格预计期间，并承担其相关费用。</w:t>
      </w:r>
    </w:p>
    <w:p w14:paraId="77FF6044">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35.6 中标人在履行合同期间，违反有关法律法规的规定及合同约定的条款，损害了招标人的利益，招标人可依法没收其履约保证金。</w:t>
      </w:r>
    </w:p>
    <w:p w14:paraId="4F5FCC8B">
      <w:pPr>
        <w:tabs>
          <w:tab w:val="left" w:pos="360"/>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265" w:name="_Toc486167702"/>
      <w:bookmarkStart w:id="266" w:name="_Toc13033"/>
      <w:bookmarkStart w:id="267" w:name="_Toc142508353"/>
      <w:r>
        <w:rPr>
          <w:rFonts w:hint="eastAsia" w:ascii="宋体" w:hAnsi="宋体" w:eastAsia="宋体" w:cs="宋体"/>
          <w:color w:val="auto"/>
          <w:szCs w:val="21"/>
          <w:highlight w:val="none"/>
        </w:rPr>
        <w:t>36</w:t>
      </w:r>
      <w:r>
        <w:rPr>
          <w:rFonts w:hint="eastAsia" w:ascii="宋体" w:hAnsi="宋体" w:eastAsia="宋体" w:cs="宋体"/>
          <w:color w:val="auto"/>
          <w:szCs w:val="21"/>
          <w:highlight w:val="none"/>
          <w:lang w:val="zh-CN"/>
        </w:rPr>
        <w:t xml:space="preserve"> 在合同履行中变更采购范围的权利</w:t>
      </w:r>
      <w:bookmarkEnd w:id="263"/>
      <w:bookmarkEnd w:id="264"/>
      <w:bookmarkEnd w:id="265"/>
      <w:bookmarkEnd w:id="266"/>
      <w:bookmarkEnd w:id="267"/>
    </w:p>
    <w:p w14:paraId="7017F71D">
      <w:pPr>
        <w:autoSpaceDE w:val="0"/>
        <w:autoSpaceDN w:val="0"/>
        <w:adjustRightInd w:val="0"/>
        <w:spacing w:line="360" w:lineRule="auto"/>
        <w:ind w:left="328" w:leftChars="-114"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36.1 合同履行中，招标人在合同约定的范围内，招标人有权根据项目实际情况及有关法律法规、政策的规定对采购范围进行变更调整，变更采购范围后，投标人应遵照执行。</w:t>
      </w:r>
    </w:p>
    <w:p w14:paraId="4F715D0B">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color w:val="auto"/>
          <w:szCs w:val="21"/>
          <w:highlight w:val="none"/>
          <w:lang w:val="zh-CN"/>
        </w:rPr>
      </w:pPr>
      <w:bookmarkStart w:id="268" w:name="_Toc450662888"/>
    </w:p>
    <w:p w14:paraId="62364BB4">
      <w:pPr>
        <w:tabs>
          <w:tab w:val="left" w:pos="465"/>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269" w:name="_Toc142508354"/>
      <w:bookmarkStart w:id="270" w:name="_Toc486167703"/>
      <w:bookmarkStart w:id="271" w:name="_Toc14372"/>
      <w:bookmarkStart w:id="272" w:name="_Toc28921_WPSOffice_Level3"/>
      <w:r>
        <w:rPr>
          <w:rFonts w:hint="eastAsia" w:ascii="宋体" w:hAnsi="宋体" w:eastAsia="宋体" w:cs="宋体"/>
          <w:color w:val="auto"/>
          <w:szCs w:val="21"/>
          <w:highlight w:val="none"/>
        </w:rPr>
        <w:t>37</w:t>
      </w:r>
      <w:r>
        <w:rPr>
          <w:rFonts w:hint="eastAsia" w:ascii="宋体" w:hAnsi="宋体" w:eastAsia="宋体" w:cs="宋体"/>
          <w:color w:val="auto"/>
          <w:szCs w:val="21"/>
          <w:highlight w:val="none"/>
          <w:lang w:val="zh-CN"/>
        </w:rPr>
        <w:t xml:space="preserve"> 中标服务费</w:t>
      </w:r>
      <w:bookmarkEnd w:id="268"/>
      <w:bookmarkEnd w:id="269"/>
      <w:bookmarkEnd w:id="270"/>
      <w:bookmarkEnd w:id="271"/>
      <w:bookmarkEnd w:id="272"/>
    </w:p>
    <w:p w14:paraId="61124C42">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37.1 </w:t>
      </w:r>
      <w:bookmarkStart w:id="273" w:name="auto_fouce_8"/>
      <w:bookmarkStart w:id="274" w:name="_Hlk159948899"/>
      <w:r>
        <w:rPr>
          <w:rFonts w:hint="eastAsia" w:ascii="宋体" w:hAnsi="宋体" w:eastAsia="宋体" w:cs="宋体"/>
          <w:color w:val="auto"/>
          <w:szCs w:val="21"/>
          <w:highlight w:val="none"/>
        </w:rPr>
        <w:t>中标人应在领取《中标通知书》原件时向招标代理机构一次性支付招标代理服务费(参照国家计委《关于印发〈招标代理服务收费管理暂行办法〉的通知》（计价格〔2002〕1980号）及《国家发展改革委关于降低部分建设项目收费标准规范收费行为等有关问题的通知》（发改价格〔2011〕534号）等标准的80%计取招标代理费（以中标合同价为基数）)。</w:t>
      </w:r>
    </w:p>
    <w:bookmarkEnd w:id="273"/>
    <w:p w14:paraId="10F3FD30">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b/>
          <w:color w:val="auto"/>
          <w:szCs w:val="21"/>
          <w:highlight w:val="none"/>
          <w:u w:val="single"/>
        </w:rPr>
      </w:pPr>
      <w:r>
        <w:rPr>
          <w:rFonts w:hint="eastAsia" w:ascii="宋体" w:hAnsi="宋体" w:eastAsia="宋体" w:cs="宋体"/>
          <w:color w:val="auto"/>
          <w:szCs w:val="21"/>
          <w:highlight w:val="none"/>
        </w:rPr>
        <w:t xml:space="preserve">37.2 </w:t>
      </w:r>
      <w:r>
        <w:rPr>
          <w:rFonts w:hint="eastAsia" w:ascii="宋体" w:hAnsi="宋体" w:eastAsia="宋体" w:cs="宋体"/>
          <w:bCs/>
          <w:color w:val="auto"/>
          <w:szCs w:val="21"/>
          <w:highlight w:val="none"/>
        </w:rPr>
        <w:t>本项目类型为</w:t>
      </w:r>
      <w:r>
        <w:rPr>
          <w:rFonts w:hint="eastAsia" w:ascii="宋体" w:hAnsi="宋体" w:eastAsia="宋体" w:cs="宋体"/>
          <w:b/>
          <w:color w:val="auto"/>
          <w:szCs w:val="21"/>
          <w:highlight w:val="none"/>
          <w:u w:val="single"/>
        </w:rPr>
        <w:t xml:space="preserve"> </w:t>
      </w:r>
      <w:r>
        <w:rPr>
          <w:rFonts w:hint="eastAsia" w:ascii="宋体" w:hAnsi="宋体" w:eastAsia="宋体" w:cs="宋体"/>
          <w:b/>
          <w:color w:val="auto"/>
          <w:szCs w:val="21"/>
          <w:highlight w:val="none"/>
          <w:u w:val="single"/>
          <w:lang w:val="en-US" w:eastAsia="zh-CN"/>
        </w:rPr>
        <w:t>服务</w:t>
      </w:r>
      <w:r>
        <w:rPr>
          <w:rFonts w:hint="eastAsia" w:ascii="宋体" w:hAnsi="宋体" w:eastAsia="宋体" w:cs="宋体"/>
          <w:b/>
          <w:color w:val="auto"/>
          <w:szCs w:val="21"/>
          <w:highlight w:val="none"/>
          <w:u w:val="single"/>
        </w:rPr>
        <w:t>类 。</w:t>
      </w:r>
    </w:p>
    <w:p w14:paraId="2973DA18">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37.</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 xml:space="preserve"> 中标服务收费标准：</w:t>
      </w:r>
    </w:p>
    <w:tbl>
      <w:tblPr>
        <w:tblStyle w:val="41"/>
        <w:tblW w:w="10370"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2895"/>
        <w:gridCol w:w="2410"/>
        <w:gridCol w:w="2586"/>
        <w:gridCol w:w="2479"/>
      </w:tblGrid>
      <w:tr w14:paraId="5F9551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4" w:hRule="atLeast"/>
          <w:jc w:val="center"/>
        </w:trPr>
        <w:tc>
          <w:tcPr>
            <w:tcW w:w="2895" w:type="dxa"/>
            <w:tcBorders>
              <w:tl2br w:val="single" w:color="000000" w:sz="8" w:space="0"/>
            </w:tcBorders>
          </w:tcPr>
          <w:p w14:paraId="56D4ED80">
            <w:pPr>
              <w:spacing w:line="360" w:lineRule="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费率</w:t>
            </w:r>
          </w:p>
          <w:p w14:paraId="48FEB197">
            <w:pPr>
              <w:spacing w:line="360" w:lineRule="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中标金额</w:t>
            </w:r>
          </w:p>
        </w:tc>
        <w:tc>
          <w:tcPr>
            <w:tcW w:w="2410" w:type="dxa"/>
            <w:vAlign w:val="center"/>
          </w:tcPr>
          <w:p w14:paraId="694AEACA">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货物招标</w:t>
            </w:r>
          </w:p>
        </w:tc>
        <w:tc>
          <w:tcPr>
            <w:tcW w:w="2586" w:type="dxa"/>
            <w:vAlign w:val="center"/>
          </w:tcPr>
          <w:p w14:paraId="361B9581">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服务招标</w:t>
            </w:r>
          </w:p>
        </w:tc>
        <w:tc>
          <w:tcPr>
            <w:tcW w:w="2479" w:type="dxa"/>
            <w:vAlign w:val="center"/>
          </w:tcPr>
          <w:p w14:paraId="58AB75BE">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工程招标</w:t>
            </w:r>
          </w:p>
        </w:tc>
      </w:tr>
      <w:tr w14:paraId="0A4B47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30" w:hRule="atLeast"/>
          <w:jc w:val="center"/>
        </w:trPr>
        <w:tc>
          <w:tcPr>
            <w:tcW w:w="2895" w:type="dxa"/>
            <w:vAlign w:val="center"/>
          </w:tcPr>
          <w:p w14:paraId="1FB77C76">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100万元以下</w:t>
            </w:r>
          </w:p>
        </w:tc>
        <w:tc>
          <w:tcPr>
            <w:tcW w:w="2410" w:type="dxa"/>
            <w:vAlign w:val="center"/>
          </w:tcPr>
          <w:p w14:paraId="29CF21C4">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1.5%</w:t>
            </w:r>
          </w:p>
        </w:tc>
        <w:tc>
          <w:tcPr>
            <w:tcW w:w="2586" w:type="dxa"/>
            <w:vAlign w:val="center"/>
          </w:tcPr>
          <w:p w14:paraId="2510A81B">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1.5%</w:t>
            </w:r>
          </w:p>
        </w:tc>
        <w:tc>
          <w:tcPr>
            <w:tcW w:w="2479" w:type="dxa"/>
            <w:vAlign w:val="center"/>
          </w:tcPr>
          <w:p w14:paraId="25F68299">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1.0%</w:t>
            </w:r>
          </w:p>
        </w:tc>
      </w:tr>
      <w:tr w14:paraId="39D8AC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8" w:hRule="atLeast"/>
          <w:jc w:val="center"/>
        </w:trPr>
        <w:tc>
          <w:tcPr>
            <w:tcW w:w="2895" w:type="dxa"/>
            <w:vAlign w:val="center"/>
          </w:tcPr>
          <w:p w14:paraId="1371D822">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100-500万元</w:t>
            </w:r>
          </w:p>
        </w:tc>
        <w:tc>
          <w:tcPr>
            <w:tcW w:w="2410" w:type="dxa"/>
            <w:vAlign w:val="center"/>
          </w:tcPr>
          <w:p w14:paraId="60F33D1C">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1.1%</w:t>
            </w:r>
          </w:p>
        </w:tc>
        <w:tc>
          <w:tcPr>
            <w:tcW w:w="2586" w:type="dxa"/>
            <w:vAlign w:val="center"/>
          </w:tcPr>
          <w:p w14:paraId="1D4FFF70">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0.8%</w:t>
            </w:r>
          </w:p>
        </w:tc>
        <w:tc>
          <w:tcPr>
            <w:tcW w:w="2479" w:type="dxa"/>
            <w:vAlign w:val="center"/>
          </w:tcPr>
          <w:p w14:paraId="2F22CAD0">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0.7%</w:t>
            </w:r>
          </w:p>
        </w:tc>
      </w:tr>
      <w:tr w14:paraId="62AE55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1" w:hRule="atLeast"/>
          <w:jc w:val="center"/>
        </w:trPr>
        <w:tc>
          <w:tcPr>
            <w:tcW w:w="2895" w:type="dxa"/>
            <w:vAlign w:val="center"/>
          </w:tcPr>
          <w:p w14:paraId="0AD50F10">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500-1000万元</w:t>
            </w:r>
          </w:p>
        </w:tc>
        <w:tc>
          <w:tcPr>
            <w:tcW w:w="2410" w:type="dxa"/>
            <w:vAlign w:val="center"/>
          </w:tcPr>
          <w:p w14:paraId="148F72FB">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0.8%</w:t>
            </w:r>
          </w:p>
        </w:tc>
        <w:tc>
          <w:tcPr>
            <w:tcW w:w="2586" w:type="dxa"/>
            <w:vAlign w:val="center"/>
          </w:tcPr>
          <w:p w14:paraId="7B323E86">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0.45%</w:t>
            </w:r>
          </w:p>
        </w:tc>
        <w:tc>
          <w:tcPr>
            <w:tcW w:w="2479" w:type="dxa"/>
            <w:vAlign w:val="center"/>
          </w:tcPr>
          <w:p w14:paraId="1BD8F06B">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0.55%</w:t>
            </w:r>
          </w:p>
        </w:tc>
      </w:tr>
      <w:tr w14:paraId="1C9918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7" w:hRule="atLeast"/>
          <w:jc w:val="center"/>
        </w:trPr>
        <w:tc>
          <w:tcPr>
            <w:tcW w:w="2895" w:type="dxa"/>
            <w:vAlign w:val="center"/>
          </w:tcPr>
          <w:p w14:paraId="18836660">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1000-5000万元</w:t>
            </w:r>
          </w:p>
        </w:tc>
        <w:tc>
          <w:tcPr>
            <w:tcW w:w="2410" w:type="dxa"/>
            <w:vAlign w:val="center"/>
          </w:tcPr>
          <w:p w14:paraId="6A7AAF82">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0.5%                </w:t>
            </w:r>
          </w:p>
        </w:tc>
        <w:tc>
          <w:tcPr>
            <w:tcW w:w="2586" w:type="dxa"/>
            <w:vAlign w:val="center"/>
          </w:tcPr>
          <w:p w14:paraId="590A2F61">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0.25%</w:t>
            </w:r>
          </w:p>
        </w:tc>
        <w:tc>
          <w:tcPr>
            <w:tcW w:w="2479" w:type="dxa"/>
            <w:vAlign w:val="center"/>
          </w:tcPr>
          <w:p w14:paraId="49985FD2">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0.35%</w:t>
            </w:r>
          </w:p>
        </w:tc>
      </w:tr>
      <w:tr w14:paraId="004780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98" w:hRule="atLeast"/>
          <w:jc w:val="center"/>
        </w:trPr>
        <w:tc>
          <w:tcPr>
            <w:tcW w:w="2895" w:type="dxa"/>
            <w:vAlign w:val="center"/>
          </w:tcPr>
          <w:p w14:paraId="09D4F30E">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5000万元-1亿元</w:t>
            </w:r>
          </w:p>
        </w:tc>
        <w:tc>
          <w:tcPr>
            <w:tcW w:w="2410" w:type="dxa"/>
            <w:vAlign w:val="center"/>
          </w:tcPr>
          <w:p w14:paraId="6735FAC0">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0.25%                 </w:t>
            </w:r>
          </w:p>
        </w:tc>
        <w:tc>
          <w:tcPr>
            <w:tcW w:w="2586" w:type="dxa"/>
            <w:vAlign w:val="center"/>
          </w:tcPr>
          <w:p w14:paraId="611C2260">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0.1%</w:t>
            </w:r>
          </w:p>
        </w:tc>
        <w:tc>
          <w:tcPr>
            <w:tcW w:w="2479" w:type="dxa"/>
            <w:vAlign w:val="center"/>
          </w:tcPr>
          <w:p w14:paraId="05C2E725">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0.2%</w:t>
            </w:r>
          </w:p>
        </w:tc>
      </w:tr>
      <w:tr w14:paraId="095B99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4" w:hRule="atLeast"/>
          <w:jc w:val="center"/>
        </w:trPr>
        <w:tc>
          <w:tcPr>
            <w:tcW w:w="2895" w:type="dxa"/>
            <w:vAlign w:val="center"/>
          </w:tcPr>
          <w:p w14:paraId="73481F5C">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1-5亿元</w:t>
            </w:r>
          </w:p>
        </w:tc>
        <w:tc>
          <w:tcPr>
            <w:tcW w:w="2410" w:type="dxa"/>
            <w:vAlign w:val="center"/>
          </w:tcPr>
          <w:p w14:paraId="18361684">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0.05%</w:t>
            </w:r>
          </w:p>
        </w:tc>
        <w:tc>
          <w:tcPr>
            <w:tcW w:w="2586" w:type="dxa"/>
            <w:vAlign w:val="center"/>
          </w:tcPr>
          <w:p w14:paraId="214A8DAB">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0.05%</w:t>
            </w:r>
          </w:p>
        </w:tc>
        <w:tc>
          <w:tcPr>
            <w:tcW w:w="2479" w:type="dxa"/>
            <w:vAlign w:val="center"/>
          </w:tcPr>
          <w:p w14:paraId="7B289A3D">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0.05%</w:t>
            </w:r>
          </w:p>
        </w:tc>
      </w:tr>
      <w:tr w14:paraId="0C0C2B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11" w:hRule="atLeast"/>
          <w:jc w:val="center"/>
        </w:trPr>
        <w:tc>
          <w:tcPr>
            <w:tcW w:w="2895" w:type="dxa"/>
            <w:vAlign w:val="center"/>
          </w:tcPr>
          <w:p w14:paraId="1A811536">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5-10亿元</w:t>
            </w:r>
          </w:p>
        </w:tc>
        <w:tc>
          <w:tcPr>
            <w:tcW w:w="2410" w:type="dxa"/>
            <w:vAlign w:val="center"/>
          </w:tcPr>
          <w:p w14:paraId="131F1967">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0.035%</w:t>
            </w:r>
          </w:p>
        </w:tc>
        <w:tc>
          <w:tcPr>
            <w:tcW w:w="2586" w:type="dxa"/>
            <w:vAlign w:val="center"/>
          </w:tcPr>
          <w:p w14:paraId="5C14CC76">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0.035%</w:t>
            </w:r>
          </w:p>
        </w:tc>
        <w:tc>
          <w:tcPr>
            <w:tcW w:w="2479" w:type="dxa"/>
            <w:vAlign w:val="center"/>
          </w:tcPr>
          <w:p w14:paraId="623AF86E">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0.035%</w:t>
            </w:r>
          </w:p>
        </w:tc>
      </w:tr>
      <w:tr w14:paraId="29B4A9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3" w:hRule="atLeast"/>
          <w:jc w:val="center"/>
        </w:trPr>
        <w:tc>
          <w:tcPr>
            <w:tcW w:w="2895" w:type="dxa"/>
            <w:vAlign w:val="center"/>
          </w:tcPr>
          <w:p w14:paraId="3FD3F911">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10-50亿元</w:t>
            </w:r>
          </w:p>
        </w:tc>
        <w:tc>
          <w:tcPr>
            <w:tcW w:w="2410" w:type="dxa"/>
            <w:vAlign w:val="center"/>
          </w:tcPr>
          <w:p w14:paraId="4E861EF6">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0.008%</w:t>
            </w:r>
          </w:p>
        </w:tc>
        <w:tc>
          <w:tcPr>
            <w:tcW w:w="2586" w:type="dxa"/>
            <w:vAlign w:val="center"/>
          </w:tcPr>
          <w:p w14:paraId="6C572CB0">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0.008%</w:t>
            </w:r>
          </w:p>
        </w:tc>
        <w:tc>
          <w:tcPr>
            <w:tcW w:w="2479" w:type="dxa"/>
            <w:vAlign w:val="center"/>
          </w:tcPr>
          <w:p w14:paraId="2789660A">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0.008%</w:t>
            </w:r>
          </w:p>
        </w:tc>
      </w:tr>
      <w:tr w14:paraId="682DC5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8" w:hRule="atLeast"/>
          <w:jc w:val="center"/>
        </w:trPr>
        <w:tc>
          <w:tcPr>
            <w:tcW w:w="2895" w:type="dxa"/>
            <w:vAlign w:val="center"/>
          </w:tcPr>
          <w:p w14:paraId="1887F44A">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50-100亿元</w:t>
            </w:r>
          </w:p>
        </w:tc>
        <w:tc>
          <w:tcPr>
            <w:tcW w:w="2410" w:type="dxa"/>
            <w:vAlign w:val="center"/>
          </w:tcPr>
          <w:p w14:paraId="2CC815B7">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0.006%</w:t>
            </w:r>
          </w:p>
        </w:tc>
        <w:tc>
          <w:tcPr>
            <w:tcW w:w="2586" w:type="dxa"/>
            <w:vAlign w:val="center"/>
          </w:tcPr>
          <w:p w14:paraId="6DF98DA6">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0.006%</w:t>
            </w:r>
          </w:p>
        </w:tc>
        <w:tc>
          <w:tcPr>
            <w:tcW w:w="2479" w:type="dxa"/>
            <w:vAlign w:val="center"/>
          </w:tcPr>
          <w:p w14:paraId="152E4FE2">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0.006%</w:t>
            </w:r>
          </w:p>
        </w:tc>
      </w:tr>
      <w:tr w14:paraId="12CFED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05" w:hRule="atLeast"/>
          <w:jc w:val="center"/>
        </w:trPr>
        <w:tc>
          <w:tcPr>
            <w:tcW w:w="2895" w:type="dxa"/>
            <w:vAlign w:val="center"/>
          </w:tcPr>
          <w:p w14:paraId="2FA76211">
            <w:pPr>
              <w:spacing w:line="360" w:lineRule="auto"/>
              <w:jc w:val="center"/>
              <w:outlineLvl w:val="9"/>
              <w:rPr>
                <w:rFonts w:hint="eastAsia" w:ascii="宋体" w:hAnsi="宋体" w:eastAsia="宋体" w:cs="宋体"/>
                <w:color w:val="auto"/>
                <w:highlight w:val="none"/>
              </w:rPr>
            </w:pPr>
            <w:r>
              <w:rPr>
                <w:rFonts w:hint="eastAsia" w:ascii="宋体" w:hAnsi="宋体" w:eastAsia="宋体" w:cs="宋体"/>
                <w:color w:val="auto"/>
                <w:highlight w:val="none"/>
              </w:rPr>
              <w:t>100亿以上</w:t>
            </w:r>
          </w:p>
        </w:tc>
        <w:tc>
          <w:tcPr>
            <w:tcW w:w="2410" w:type="dxa"/>
            <w:vAlign w:val="center"/>
          </w:tcPr>
          <w:p w14:paraId="15E94062">
            <w:pPr>
              <w:spacing w:line="360" w:lineRule="auto"/>
              <w:jc w:val="center"/>
              <w:outlineLvl w:val="9"/>
              <w:rPr>
                <w:rFonts w:hint="eastAsia" w:ascii="宋体" w:hAnsi="宋体" w:eastAsia="宋体" w:cs="宋体"/>
                <w:color w:val="auto"/>
                <w:highlight w:val="none"/>
              </w:rPr>
            </w:pPr>
            <w:r>
              <w:rPr>
                <w:rFonts w:hint="eastAsia" w:ascii="宋体" w:hAnsi="宋体" w:eastAsia="宋体" w:cs="宋体"/>
                <w:color w:val="auto"/>
                <w:highlight w:val="none"/>
              </w:rPr>
              <w:t>0.004%</w:t>
            </w:r>
          </w:p>
        </w:tc>
        <w:tc>
          <w:tcPr>
            <w:tcW w:w="2586" w:type="dxa"/>
            <w:vAlign w:val="center"/>
          </w:tcPr>
          <w:p w14:paraId="00ED4607">
            <w:pPr>
              <w:spacing w:line="360" w:lineRule="auto"/>
              <w:jc w:val="center"/>
              <w:outlineLvl w:val="9"/>
              <w:rPr>
                <w:rFonts w:hint="eastAsia" w:ascii="宋体" w:hAnsi="宋体" w:eastAsia="宋体" w:cs="宋体"/>
                <w:color w:val="auto"/>
                <w:highlight w:val="none"/>
              </w:rPr>
            </w:pPr>
            <w:r>
              <w:rPr>
                <w:rFonts w:hint="eastAsia" w:ascii="宋体" w:hAnsi="宋体" w:eastAsia="宋体" w:cs="宋体"/>
                <w:color w:val="auto"/>
                <w:highlight w:val="none"/>
              </w:rPr>
              <w:t>0.004%</w:t>
            </w:r>
          </w:p>
        </w:tc>
        <w:tc>
          <w:tcPr>
            <w:tcW w:w="2479" w:type="dxa"/>
            <w:vAlign w:val="center"/>
          </w:tcPr>
          <w:p w14:paraId="5659DC19">
            <w:pPr>
              <w:spacing w:line="360" w:lineRule="auto"/>
              <w:jc w:val="center"/>
              <w:outlineLvl w:val="9"/>
              <w:rPr>
                <w:rFonts w:hint="eastAsia" w:ascii="宋体" w:hAnsi="宋体" w:eastAsia="宋体" w:cs="宋体"/>
                <w:color w:val="auto"/>
                <w:highlight w:val="none"/>
              </w:rPr>
            </w:pPr>
            <w:r>
              <w:rPr>
                <w:rFonts w:hint="eastAsia" w:ascii="宋体" w:hAnsi="宋体" w:eastAsia="宋体" w:cs="宋体"/>
                <w:color w:val="auto"/>
                <w:highlight w:val="none"/>
              </w:rPr>
              <w:t>0.004%</w:t>
            </w:r>
          </w:p>
        </w:tc>
      </w:tr>
    </w:tbl>
    <w:p w14:paraId="3C8C73F7">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 xml:space="preserve">37.4 </w:t>
      </w:r>
      <w:r>
        <w:rPr>
          <w:rFonts w:hint="eastAsia" w:ascii="宋体" w:hAnsi="宋体" w:eastAsia="宋体" w:cs="宋体"/>
          <w:color w:val="auto"/>
          <w:szCs w:val="21"/>
          <w:highlight w:val="none"/>
        </w:rPr>
        <w:t>招标代理服务费按差额定率累进法计算。</w:t>
      </w:r>
    </w:p>
    <w:p w14:paraId="5829D315">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 xml:space="preserve">37.5 </w:t>
      </w:r>
      <w:r>
        <w:rPr>
          <w:rFonts w:hint="eastAsia" w:ascii="宋体" w:hAnsi="宋体" w:eastAsia="宋体" w:cs="宋体"/>
          <w:color w:val="auto"/>
          <w:szCs w:val="21"/>
          <w:highlight w:val="none"/>
        </w:rPr>
        <w:t>招标代理服务费币种为人民币。</w:t>
      </w:r>
    </w:p>
    <w:p w14:paraId="4B96CCFE">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37.</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 xml:space="preserve"> 招标代理服务费只收现金、银行转账或电汇。</w:t>
      </w:r>
    </w:p>
    <w:p w14:paraId="43563413">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37.</w:t>
      </w: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 xml:space="preserve"> 招标代理服务费收取账户：</w:t>
      </w:r>
    </w:p>
    <w:p w14:paraId="290B066B">
      <w:pPr>
        <w:pStyle w:val="51"/>
        <w:spacing w:line="360" w:lineRule="auto"/>
        <w:outlineLvl w:val="9"/>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收款单位名称：广东有德招标采购有限公司东莞分公司</w:t>
      </w:r>
    </w:p>
    <w:p w14:paraId="6B86DDBE">
      <w:pPr>
        <w:pStyle w:val="51"/>
        <w:spacing w:line="360" w:lineRule="auto"/>
        <w:outlineLvl w:val="9"/>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开户银行：中国建设银行股份有限公司东莞南城支行</w:t>
      </w:r>
    </w:p>
    <w:p w14:paraId="4713B36D">
      <w:pPr>
        <w:pStyle w:val="51"/>
        <w:spacing w:line="360" w:lineRule="auto"/>
        <w:outlineLvl w:val="9"/>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收款账号：44001776040053011261</w:t>
      </w:r>
      <w:bookmarkEnd w:id="274"/>
    </w:p>
    <w:p w14:paraId="76419D04">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color w:val="auto"/>
          <w:szCs w:val="21"/>
          <w:highlight w:val="none"/>
          <w:lang w:val="zh-CN"/>
        </w:rPr>
      </w:pPr>
      <w:bookmarkStart w:id="275" w:name="_Toc450662889"/>
    </w:p>
    <w:p w14:paraId="0B7AFB86">
      <w:pPr>
        <w:tabs>
          <w:tab w:val="left" w:pos="360"/>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val="zh-CN"/>
        </w:rPr>
      </w:pPr>
      <w:bookmarkStart w:id="276" w:name="_Toc142508355"/>
      <w:bookmarkStart w:id="277" w:name="_Toc26292"/>
      <w:bookmarkStart w:id="278" w:name="_Toc6764_WPSOffice_Level3"/>
      <w:bookmarkStart w:id="279" w:name="_Toc486167704"/>
      <w:r>
        <w:rPr>
          <w:rFonts w:hint="eastAsia" w:ascii="宋体" w:hAnsi="宋体" w:eastAsia="宋体" w:cs="宋体"/>
          <w:color w:val="auto"/>
          <w:szCs w:val="21"/>
          <w:highlight w:val="none"/>
        </w:rPr>
        <w:t>38</w:t>
      </w:r>
      <w:r>
        <w:rPr>
          <w:rFonts w:hint="eastAsia" w:ascii="宋体" w:hAnsi="宋体" w:eastAsia="宋体" w:cs="宋体"/>
          <w:color w:val="auto"/>
          <w:szCs w:val="21"/>
          <w:highlight w:val="none"/>
          <w:lang w:val="zh-CN"/>
        </w:rPr>
        <w:t xml:space="preserve"> 发票</w:t>
      </w:r>
      <w:bookmarkEnd w:id="275"/>
      <w:bookmarkEnd w:id="276"/>
      <w:bookmarkEnd w:id="277"/>
      <w:bookmarkEnd w:id="278"/>
      <w:bookmarkEnd w:id="279"/>
    </w:p>
    <w:p w14:paraId="797E5302">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bCs/>
          <w:color w:val="auto"/>
          <w:spacing w:val="-2"/>
          <w:szCs w:val="21"/>
          <w:highlight w:val="none"/>
          <w:lang w:eastAsia="zh-CN"/>
        </w:rPr>
      </w:pPr>
      <w:r>
        <w:rPr>
          <w:rFonts w:hint="eastAsia" w:ascii="宋体" w:hAnsi="宋体" w:eastAsia="宋体" w:cs="宋体"/>
          <w:color w:val="auto"/>
          <w:szCs w:val="21"/>
          <w:highlight w:val="none"/>
        </w:rPr>
        <w:t>38</w:t>
      </w:r>
      <w:r>
        <w:rPr>
          <w:rFonts w:hint="eastAsia" w:ascii="宋体" w:hAnsi="宋体" w:eastAsia="宋体" w:cs="宋体"/>
          <w:color w:val="auto"/>
          <w:szCs w:val="21"/>
          <w:highlight w:val="none"/>
          <w:lang w:val="zh-CN"/>
        </w:rPr>
        <w:t>.1</w:t>
      </w:r>
      <w:bookmarkStart w:id="280" w:name="_Toc486167705"/>
      <w:bookmarkStart w:id="281" w:name="_Toc31106_WPSOffice_Level3"/>
      <w:r>
        <w:rPr>
          <w:rFonts w:hint="eastAsia" w:ascii="宋体" w:hAnsi="宋体" w:eastAsia="宋体" w:cs="宋体"/>
          <w:color w:val="auto"/>
          <w:szCs w:val="21"/>
          <w:highlight w:val="none"/>
          <w:lang w:val="zh-CN"/>
        </w:rPr>
        <w:t xml:space="preserve"> </w:t>
      </w:r>
      <w:r>
        <w:rPr>
          <w:rFonts w:hint="eastAsia" w:ascii="宋体" w:hAnsi="宋体" w:eastAsia="宋体" w:cs="宋体"/>
          <w:bCs/>
          <w:color w:val="auto"/>
          <w:spacing w:val="-2"/>
          <w:szCs w:val="21"/>
          <w:highlight w:val="none"/>
        </w:rPr>
        <w:t>中标人与招标人签署合同后，开具发票时，开发票的单位名称必须与中标人的名称一致。</w:t>
      </w:r>
      <w:bookmarkStart w:id="282" w:name="auto_fouce_10"/>
    </w:p>
    <w:bookmarkEnd w:id="282"/>
    <w:p w14:paraId="5896D52D">
      <w:pPr>
        <w:pStyle w:val="6"/>
        <w:rPr>
          <w:rFonts w:hint="eastAsia" w:ascii="宋体" w:hAnsi="宋体" w:eastAsia="宋体" w:cs="宋体"/>
          <w:color w:val="auto"/>
          <w:highlight w:val="none"/>
          <w:lang w:val="zh-CN" w:eastAsia="zh-CN"/>
        </w:rPr>
      </w:pPr>
    </w:p>
    <w:p w14:paraId="36CC9217">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color w:val="auto"/>
          <w:szCs w:val="21"/>
          <w:highlight w:val="none"/>
        </w:rPr>
      </w:pPr>
    </w:p>
    <w:p w14:paraId="21A2EF12">
      <w:pPr>
        <w:tabs>
          <w:tab w:val="left" w:pos="360"/>
        </w:tabs>
        <w:autoSpaceDE w:val="0"/>
        <w:autoSpaceDN w:val="0"/>
        <w:adjustRightInd w:val="0"/>
        <w:spacing w:line="360" w:lineRule="auto"/>
        <w:ind w:left="357" w:leftChars="-100" w:hanging="567"/>
        <w:jc w:val="left"/>
        <w:outlineLvl w:val="9"/>
        <w:rPr>
          <w:rFonts w:hint="eastAsia" w:ascii="宋体" w:hAnsi="宋体" w:eastAsia="宋体" w:cs="宋体"/>
          <w:b/>
          <w:color w:val="auto"/>
          <w:szCs w:val="21"/>
          <w:highlight w:val="none"/>
        </w:rPr>
      </w:pPr>
      <w:bookmarkStart w:id="283" w:name="_Toc16304"/>
      <w:bookmarkStart w:id="284" w:name="_Toc142508356"/>
      <w:r>
        <w:rPr>
          <w:rFonts w:hint="eastAsia" w:ascii="宋体" w:hAnsi="宋体" w:eastAsia="宋体" w:cs="宋体"/>
          <w:b/>
          <w:color w:val="auto"/>
          <w:szCs w:val="21"/>
          <w:highlight w:val="none"/>
        </w:rPr>
        <w:t>39 招标相关补充约定</w:t>
      </w:r>
      <w:bookmarkEnd w:id="283"/>
      <w:bookmarkEnd w:id="284"/>
    </w:p>
    <w:p w14:paraId="46A1600E">
      <w:pPr>
        <w:autoSpaceDE w:val="0"/>
        <w:autoSpaceDN w:val="0"/>
        <w:adjustRightInd w:val="0"/>
        <w:snapToGrid w:val="0"/>
        <w:spacing w:line="360" w:lineRule="auto"/>
        <w:ind w:left="317" w:leftChars="-100" w:hanging="527" w:hangingChars="250"/>
        <w:jc w:val="left"/>
        <w:outlineLvl w:val="9"/>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39.1</w:t>
      </w:r>
      <w:r>
        <w:rPr>
          <w:rFonts w:hint="eastAsia" w:ascii="宋体" w:hAnsi="宋体" w:eastAsia="宋体" w:cs="宋体"/>
          <w:b/>
          <w:color w:val="auto"/>
          <w:szCs w:val="21"/>
          <w:highlight w:val="none"/>
        </w:rPr>
        <w:tab/>
      </w:r>
      <w:r>
        <w:rPr>
          <w:rFonts w:hint="eastAsia" w:ascii="宋体" w:hAnsi="宋体" w:eastAsia="宋体" w:cs="宋体"/>
          <w:b/>
          <w:color w:val="auto"/>
          <w:szCs w:val="21"/>
          <w:highlight w:val="none"/>
        </w:rPr>
        <w:t>本项目投标人须知第2条所述行政处罚信息，以开标当天在“信用中国”网站（www.creditchina.gov.cn）查询结果为准，或以司法、仲裁机构等出具的生效文件予以认定,时间以认定文件的落款时间为准。开标结束后，有关投标单位的行政处罚信息，以开标当天查询结果为准；结果公示期间，如投标人对有关投标单位的行政处罚信息存在异议，但不涉及第一中标候选人的，视为对中标结果没有造成实质影响。</w:t>
      </w:r>
    </w:p>
    <w:p w14:paraId="3FE9F917">
      <w:pPr>
        <w:autoSpaceDE w:val="0"/>
        <w:autoSpaceDN w:val="0"/>
        <w:adjustRightInd w:val="0"/>
        <w:snapToGrid w:val="0"/>
        <w:spacing w:line="360" w:lineRule="auto"/>
        <w:ind w:left="315" w:leftChars="-100" w:hanging="525" w:hangingChars="250"/>
        <w:jc w:val="left"/>
        <w:outlineLvl w:val="9"/>
        <w:rPr>
          <w:rFonts w:hint="eastAsia" w:ascii="宋体" w:hAnsi="宋体" w:eastAsia="宋体" w:cs="宋体"/>
          <w:color w:val="auto"/>
          <w:szCs w:val="21"/>
          <w:highlight w:val="none"/>
        </w:rPr>
      </w:pPr>
    </w:p>
    <w:p w14:paraId="011AEACF">
      <w:pPr>
        <w:tabs>
          <w:tab w:val="left" w:pos="360"/>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lang w:eastAsia="zh-CN"/>
        </w:rPr>
      </w:pPr>
      <w:bookmarkStart w:id="285" w:name="_Toc142508357"/>
      <w:bookmarkStart w:id="286" w:name="_Toc26725"/>
      <w:r>
        <w:rPr>
          <w:rFonts w:hint="eastAsia" w:ascii="宋体" w:hAnsi="宋体" w:eastAsia="宋体" w:cs="宋体"/>
          <w:color w:val="auto"/>
          <w:szCs w:val="21"/>
          <w:highlight w:val="none"/>
        </w:rPr>
        <w:t>40 本次招标活动的最终解释权归招标代理机构及招标人所有。</w:t>
      </w:r>
      <w:bookmarkEnd w:id="280"/>
      <w:bookmarkEnd w:id="281"/>
      <w:bookmarkEnd w:id="285"/>
      <w:bookmarkEnd w:id="286"/>
      <w:bookmarkStart w:id="287" w:name="auto_fouce_12"/>
    </w:p>
    <w:bookmarkEnd w:id="287"/>
    <w:p w14:paraId="3B9F0375">
      <w:pPr>
        <w:pStyle w:val="6"/>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 xml:space="preserve"> </w:t>
      </w:r>
      <w:bookmarkStart w:id="288" w:name="auto_fouce_11"/>
    </w:p>
    <w:bookmarkEnd w:id="288"/>
    <w:p w14:paraId="50E9AA40">
      <w:pPr>
        <w:rPr>
          <w:rFonts w:hint="eastAsia" w:ascii="宋体" w:hAnsi="宋体" w:eastAsia="宋体" w:cs="宋体"/>
          <w:color w:val="auto"/>
          <w:highlight w:val="none"/>
          <w:lang w:eastAsia="zh-CN"/>
        </w:rPr>
      </w:pPr>
    </w:p>
    <w:p w14:paraId="2A303913">
      <w:pPr>
        <w:pageBreakBefore/>
        <w:tabs>
          <w:tab w:val="left" w:pos="1080"/>
        </w:tabs>
        <w:autoSpaceDE w:val="0"/>
        <w:autoSpaceDN w:val="0"/>
        <w:adjustRightInd w:val="0"/>
        <w:spacing w:line="360" w:lineRule="auto"/>
        <w:ind w:left="357" w:leftChars="-100" w:hanging="567"/>
        <w:jc w:val="center"/>
        <w:outlineLvl w:val="1"/>
        <w:rPr>
          <w:rFonts w:hint="eastAsia" w:ascii="宋体" w:hAnsi="宋体" w:eastAsia="宋体" w:cs="宋体"/>
          <w:b/>
          <w:bCs/>
          <w:color w:val="auto"/>
          <w:kern w:val="44"/>
          <w:sz w:val="32"/>
          <w:szCs w:val="32"/>
          <w:highlight w:val="none"/>
          <w:lang w:val="zh-CN"/>
        </w:rPr>
      </w:pPr>
      <w:bookmarkStart w:id="289" w:name="_Toc32611"/>
      <w:r>
        <w:rPr>
          <w:rFonts w:hint="eastAsia" w:ascii="宋体" w:hAnsi="宋体" w:eastAsia="宋体" w:cs="宋体"/>
          <w:b/>
          <w:bCs/>
          <w:color w:val="auto"/>
          <w:kern w:val="44"/>
          <w:sz w:val="32"/>
          <w:szCs w:val="32"/>
          <w:highlight w:val="none"/>
          <w:lang w:val="zh-CN"/>
        </w:rPr>
        <w:t>第三篇 用户需求书</w:t>
      </w:r>
      <w:bookmarkEnd w:id="238"/>
      <w:bookmarkEnd w:id="239"/>
      <w:bookmarkEnd w:id="240"/>
      <w:bookmarkEnd w:id="241"/>
      <w:bookmarkEnd w:id="242"/>
      <w:bookmarkEnd w:id="289"/>
    </w:p>
    <w:p w14:paraId="37D93FFB">
      <w:pPr>
        <w:spacing w:line="360" w:lineRule="auto"/>
        <w:contextualSpacing/>
        <w:rPr>
          <w:rFonts w:hint="eastAsia" w:ascii="宋体" w:hAnsi="宋体" w:eastAsia="宋体" w:cs="宋体"/>
          <w:b/>
          <w:color w:val="auto"/>
          <w:sz w:val="21"/>
          <w:szCs w:val="21"/>
          <w:highlight w:val="none"/>
        </w:rPr>
      </w:pPr>
      <w:bookmarkStart w:id="290" w:name="_Hlk90919605"/>
      <w:bookmarkStart w:id="291" w:name="_Toc142508359"/>
      <w:bookmarkStart w:id="292" w:name="_Toc19477"/>
      <w:bookmarkStart w:id="293" w:name="_Toc11281_WPSOffice_Level1"/>
      <w:bookmarkStart w:id="294" w:name="_Toc486167707"/>
      <w:bookmarkStart w:id="295" w:name="_Toc450662892"/>
      <w:bookmarkStart w:id="296" w:name="_Toc6025"/>
      <w:r>
        <w:rPr>
          <w:rFonts w:hint="eastAsia" w:ascii="宋体" w:hAnsi="宋体" w:eastAsia="宋体" w:cs="宋体"/>
          <w:b/>
          <w:color w:val="auto"/>
          <w:sz w:val="21"/>
          <w:szCs w:val="21"/>
          <w:highlight w:val="none"/>
        </w:rPr>
        <w:t>说明：</w:t>
      </w:r>
    </w:p>
    <w:p w14:paraId="18308520">
      <w:pPr>
        <w:pStyle w:val="222"/>
        <w:numPr>
          <w:ilvl w:val="0"/>
          <w:numId w:val="2"/>
        </w:numPr>
        <w:spacing w:line="360" w:lineRule="auto"/>
        <w:ind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但凡标有“★”的地方均被视为重要的技术指标要求或性能要求，投标人要特别加以注意，必须对此回答并完全满足这些要求，否则若有一项带“★”的指标未响应或不满足，将按无效投标文件处理。</w:t>
      </w:r>
    </w:p>
    <w:p w14:paraId="7141213B">
      <w:pPr>
        <w:pStyle w:val="222"/>
        <w:numPr>
          <w:ilvl w:val="0"/>
          <w:numId w:val="2"/>
        </w:numPr>
        <w:spacing w:line="360" w:lineRule="auto"/>
        <w:ind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带“▲”符号的内容为采购需求重点技术参数，若未能响应，则在评标过程中根据评审内容作扣分处理。</w:t>
      </w:r>
    </w:p>
    <w:p w14:paraId="4662179C">
      <w:pPr>
        <w:pStyle w:val="222"/>
        <w:numPr>
          <w:ilvl w:val="0"/>
          <w:numId w:val="2"/>
        </w:numPr>
        <w:spacing w:line="360" w:lineRule="auto"/>
        <w:ind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投标报价中不得包含招标文件要求以外的内容，否则，在评标时不予核减。若投标报价有缺漏项的，缺漏项部分的价格视为已包含在投标报价中，中标后不作任何调整。</w:t>
      </w:r>
    </w:p>
    <w:p w14:paraId="260B1B83">
      <w:pPr>
        <w:spacing w:line="360" w:lineRule="auto"/>
        <w:contextualSpacing/>
        <w:rPr>
          <w:rFonts w:hint="eastAsia" w:ascii="宋体" w:hAnsi="宋体" w:eastAsia="宋体" w:cs="宋体"/>
          <w:b/>
          <w:color w:val="auto"/>
          <w:sz w:val="21"/>
          <w:szCs w:val="21"/>
          <w:highlight w:val="none"/>
        </w:rPr>
      </w:pPr>
    </w:p>
    <w:p w14:paraId="2DB03CB3">
      <w:pPr>
        <w:pStyle w:val="222"/>
        <w:numPr>
          <w:ilvl w:val="0"/>
          <w:numId w:val="3"/>
        </w:numPr>
        <w:spacing w:line="360" w:lineRule="auto"/>
        <w:ind w:firstLineChars="0"/>
        <w:contextualSpacing/>
        <w:rPr>
          <w:rFonts w:hint="eastAsia" w:ascii="宋体" w:hAnsi="宋体" w:eastAsia="宋体" w:cs="宋体"/>
          <w:b/>
          <w:color w:val="auto"/>
          <w:sz w:val="21"/>
          <w:szCs w:val="21"/>
          <w:highlight w:val="none"/>
        </w:rPr>
      </w:pPr>
      <w:r>
        <w:rPr>
          <w:rFonts w:hint="eastAsia" w:ascii="宋体" w:hAnsi="宋体" w:eastAsia="宋体" w:cs="宋体"/>
          <w:b/>
          <w:color w:val="auto"/>
          <w:szCs w:val="21"/>
          <w:highlight w:val="none"/>
        </w:rPr>
        <w:t>项目概况</w:t>
      </w:r>
    </w:p>
    <w:p w14:paraId="479E58C9">
      <w:pPr>
        <w:pStyle w:val="2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200"/>
        <w:contextualSpacing/>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2025年前端设备运维服务项目要求提供不少于9人驻场，对各类前端设备提供日常巡检、问题处理等维护保障服务，根据要求采购相对应的备品备件，提供用电服务及取电迁移服务，保证信息系统软硬件正常使用。</w:t>
      </w:r>
    </w:p>
    <w:p w14:paraId="6A3D70F0">
      <w:pPr>
        <w:pStyle w:val="222"/>
        <w:numPr>
          <w:ilvl w:val="0"/>
          <w:numId w:val="3"/>
        </w:numPr>
        <w:spacing w:before="240" w:beforeLines="100" w:line="360" w:lineRule="auto"/>
        <w:ind w:left="499" w:hanging="499" w:firstLineChars="0"/>
        <w:contextualSpacing/>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val="en-US" w:eastAsia="zh-CN"/>
        </w:rPr>
        <w:t>主要</w:t>
      </w:r>
      <w:r>
        <w:rPr>
          <w:rFonts w:hint="eastAsia" w:ascii="宋体" w:hAnsi="宋体" w:eastAsia="宋体" w:cs="宋体"/>
          <w:b/>
          <w:color w:val="auto"/>
          <w:sz w:val="21"/>
          <w:szCs w:val="21"/>
          <w:highlight w:val="none"/>
        </w:rPr>
        <w:t>商务要求</w:t>
      </w:r>
    </w:p>
    <w:tbl>
      <w:tblPr>
        <w:tblStyle w:val="41"/>
        <w:tblW w:w="4999"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184"/>
        <w:gridCol w:w="8184"/>
      </w:tblGrid>
      <w:tr w14:paraId="72C255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6" w:hRule="atLeast"/>
        </w:trPr>
        <w:tc>
          <w:tcPr>
            <w:tcW w:w="1053" w:type="pct"/>
            <w:vAlign w:val="center"/>
          </w:tcPr>
          <w:p w14:paraId="5FC771D0">
            <w:pPr>
              <w:keepNext w:val="0"/>
              <w:keepLines w:val="0"/>
              <w:pageBreakBefore w:val="0"/>
              <w:kinsoku/>
              <w:wordWrap/>
              <w:overflowPunct/>
              <w:topLinePunct w:val="0"/>
              <w:autoSpaceDE/>
              <w:autoSpaceDN/>
              <w:bidi w:val="0"/>
              <w:adjustRightInd/>
              <w:snapToGrid/>
              <w:spacing w:line="400" w:lineRule="exact"/>
              <w:ind w:lef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标的提供的时间</w:t>
            </w:r>
          </w:p>
        </w:tc>
        <w:tc>
          <w:tcPr>
            <w:tcW w:w="3946" w:type="pct"/>
            <w:vAlign w:val="center"/>
          </w:tcPr>
          <w:p w14:paraId="02F06BDD">
            <w:pPr>
              <w:keepNext w:val="0"/>
              <w:keepLines w:val="0"/>
              <w:pageBreakBefore w:val="0"/>
              <w:kinsoku/>
              <w:wordWrap/>
              <w:overflowPunct/>
              <w:topLinePunct w:val="0"/>
              <w:autoSpaceDE/>
              <w:autoSpaceDN/>
              <w:bidi w:val="0"/>
              <w:adjustRightInd/>
              <w:snapToGrid/>
              <w:spacing w:line="400" w:lineRule="exact"/>
              <w:ind w:left="0" w:firstLine="0" w:firstLineChars="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自</w:t>
            </w:r>
            <w:r>
              <w:rPr>
                <w:rFonts w:hint="eastAsia" w:ascii="宋体" w:hAnsi="宋体" w:eastAsia="宋体" w:cs="宋体"/>
                <w:color w:val="auto"/>
                <w:sz w:val="21"/>
                <w:szCs w:val="21"/>
                <w:highlight w:val="none"/>
                <w:lang w:val="en-US" w:eastAsia="zh-CN"/>
              </w:rPr>
              <w:t>中标通知书发出之日起至2026年9月30日</w:t>
            </w:r>
          </w:p>
        </w:tc>
      </w:tr>
      <w:tr w14:paraId="10E2AC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6" w:hRule="atLeast"/>
        </w:trPr>
        <w:tc>
          <w:tcPr>
            <w:tcW w:w="1053" w:type="pct"/>
            <w:vAlign w:val="center"/>
          </w:tcPr>
          <w:p w14:paraId="1A0CDB8C">
            <w:pPr>
              <w:keepNext w:val="0"/>
              <w:keepLines w:val="0"/>
              <w:pageBreakBefore w:val="0"/>
              <w:kinsoku/>
              <w:wordWrap/>
              <w:overflowPunct/>
              <w:topLinePunct w:val="0"/>
              <w:autoSpaceDE/>
              <w:autoSpaceDN/>
              <w:bidi w:val="0"/>
              <w:adjustRightInd/>
              <w:snapToGrid/>
              <w:spacing w:line="400" w:lineRule="exact"/>
              <w:ind w:lef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标的提供的地点</w:t>
            </w:r>
          </w:p>
        </w:tc>
        <w:tc>
          <w:tcPr>
            <w:tcW w:w="3946" w:type="pct"/>
            <w:vAlign w:val="center"/>
          </w:tcPr>
          <w:p w14:paraId="2D75D68F">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招标</w:t>
            </w:r>
            <w:r>
              <w:rPr>
                <w:rFonts w:hint="eastAsia" w:ascii="宋体" w:hAnsi="宋体" w:eastAsia="宋体" w:cs="宋体"/>
                <w:color w:val="auto"/>
                <w:sz w:val="21"/>
                <w:szCs w:val="21"/>
                <w:highlight w:val="none"/>
              </w:rPr>
              <w:t>人指定地点</w:t>
            </w:r>
          </w:p>
        </w:tc>
      </w:tr>
      <w:tr w14:paraId="7F3A96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45" w:hRule="atLeast"/>
        </w:trPr>
        <w:tc>
          <w:tcPr>
            <w:tcW w:w="1053" w:type="pct"/>
            <w:vAlign w:val="center"/>
          </w:tcPr>
          <w:p w14:paraId="10BE2F6D">
            <w:pPr>
              <w:pStyle w:val="2"/>
              <w:keepNext w:val="0"/>
              <w:keepLines w:val="0"/>
              <w:pageBreakBefore w:val="0"/>
              <w:kinsoku/>
              <w:wordWrap/>
              <w:overflowPunct/>
              <w:topLinePunct w:val="0"/>
              <w:autoSpaceDE/>
              <w:autoSpaceDN/>
              <w:bidi w:val="0"/>
              <w:adjustRightInd/>
              <w:snapToGrid/>
              <w:spacing w:line="400" w:lineRule="exact"/>
              <w:ind w:lef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3946" w:type="pct"/>
            <w:vAlign w:val="center"/>
          </w:tcPr>
          <w:p w14:paraId="6684235D">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从提交投标（响应）文件的截止之日起90日历天</w:t>
            </w:r>
          </w:p>
        </w:tc>
      </w:tr>
      <w:tr w14:paraId="060E81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014" w:hRule="atLeast"/>
        </w:trPr>
        <w:tc>
          <w:tcPr>
            <w:tcW w:w="1053" w:type="pct"/>
            <w:vAlign w:val="center"/>
          </w:tcPr>
          <w:p w14:paraId="42310664">
            <w:pPr>
              <w:keepNext w:val="0"/>
              <w:keepLines w:val="0"/>
              <w:pageBreakBefore w:val="0"/>
              <w:kinsoku/>
              <w:wordWrap/>
              <w:overflowPunct/>
              <w:topLinePunct w:val="0"/>
              <w:autoSpaceDE/>
              <w:autoSpaceDN/>
              <w:bidi w:val="0"/>
              <w:adjustRightInd/>
              <w:snapToGrid/>
              <w:spacing w:line="400" w:lineRule="exact"/>
              <w:ind w:lef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w:t>
            </w:r>
          </w:p>
        </w:tc>
        <w:tc>
          <w:tcPr>
            <w:tcW w:w="3946" w:type="pct"/>
            <w:vAlign w:val="center"/>
          </w:tcPr>
          <w:p w14:paraId="48A5F392">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分期付款，共四期：</w:t>
            </w:r>
          </w:p>
          <w:p w14:paraId="3B66EE7B">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1期：支付比例1</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签订合同且驻场人员全部到岗后，</w:t>
            </w:r>
            <w:r>
              <w:rPr>
                <w:rFonts w:hint="eastAsia" w:ascii="宋体" w:hAnsi="宋体" w:eastAsia="宋体" w:cs="宋体"/>
                <w:color w:val="auto"/>
                <w:sz w:val="21"/>
                <w:szCs w:val="21"/>
                <w:highlight w:val="none"/>
                <w:lang w:val="en-US" w:eastAsia="zh-CN"/>
              </w:rPr>
              <w:t>招标</w:t>
            </w:r>
            <w:r>
              <w:rPr>
                <w:rFonts w:hint="eastAsia" w:ascii="宋体" w:hAnsi="宋体" w:eastAsia="宋体" w:cs="宋体"/>
                <w:color w:val="auto"/>
                <w:sz w:val="21"/>
                <w:szCs w:val="21"/>
                <w:highlight w:val="none"/>
              </w:rPr>
              <w:t>人确认中标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提供资料齐全的，在10个工作日内</w:t>
            </w:r>
            <w:r>
              <w:rPr>
                <w:rFonts w:hint="eastAsia" w:ascii="宋体" w:hAnsi="宋体" w:eastAsia="宋体" w:cs="宋体"/>
                <w:color w:val="auto"/>
                <w:sz w:val="21"/>
                <w:szCs w:val="21"/>
                <w:highlight w:val="none"/>
                <w:lang w:val="en-US" w:eastAsia="zh-CN"/>
              </w:rPr>
              <w:t>向中标人</w:t>
            </w:r>
            <w:r>
              <w:rPr>
                <w:rFonts w:hint="eastAsia" w:ascii="宋体" w:hAnsi="宋体" w:eastAsia="宋体" w:cs="宋体"/>
                <w:color w:val="auto"/>
                <w:sz w:val="21"/>
                <w:szCs w:val="21"/>
                <w:highlight w:val="none"/>
              </w:rPr>
              <w:t>支付合同总价的1</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w:t>
            </w:r>
          </w:p>
          <w:p w14:paraId="12D9C4EA">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2期：支付比例40%</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备品备件全部到货</w:t>
            </w:r>
            <w:r>
              <w:rPr>
                <w:rFonts w:hint="eastAsia" w:ascii="宋体" w:hAnsi="宋体" w:eastAsia="宋体" w:cs="宋体"/>
                <w:color w:val="auto"/>
                <w:sz w:val="21"/>
                <w:szCs w:val="21"/>
                <w:highlight w:val="none"/>
                <w:lang w:val="en-US" w:eastAsia="zh-CN"/>
              </w:rPr>
              <w:t>且验收合格，同时</w:t>
            </w:r>
            <w:r>
              <w:rPr>
                <w:rFonts w:hint="eastAsia" w:ascii="宋体" w:hAnsi="宋体" w:eastAsia="宋体" w:cs="宋体"/>
                <w:color w:val="auto"/>
                <w:sz w:val="21"/>
                <w:szCs w:val="21"/>
                <w:highlight w:val="none"/>
              </w:rPr>
              <w:t>运维服务期满</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个月，中标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通过</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组织的阶段性运维考核</w:t>
            </w:r>
            <w:r>
              <w:rPr>
                <w:rFonts w:hint="eastAsia" w:ascii="宋体" w:hAnsi="宋体" w:eastAsia="宋体" w:cs="宋体"/>
                <w:color w:val="auto"/>
                <w:sz w:val="21"/>
                <w:szCs w:val="21"/>
                <w:highlight w:val="none"/>
                <w:lang w:val="en-US" w:eastAsia="zh-CN"/>
              </w:rPr>
              <w:t>后</w:t>
            </w:r>
            <w:r>
              <w:rPr>
                <w:rFonts w:hint="eastAsia" w:ascii="宋体" w:hAnsi="宋体" w:eastAsia="宋体" w:cs="宋体"/>
                <w:color w:val="auto"/>
                <w:sz w:val="21"/>
                <w:szCs w:val="21"/>
                <w:highlight w:val="none"/>
              </w:rPr>
              <w:t>10个工作日内</w:t>
            </w:r>
            <w:r>
              <w:rPr>
                <w:rFonts w:hint="eastAsia" w:ascii="宋体" w:hAnsi="宋体" w:eastAsia="宋体" w:cs="宋体"/>
                <w:color w:val="auto"/>
                <w:sz w:val="21"/>
                <w:szCs w:val="21"/>
                <w:highlight w:val="none"/>
                <w:lang w:val="en-US" w:eastAsia="zh-CN"/>
              </w:rPr>
              <w:t>，招标人向中标人</w:t>
            </w:r>
            <w:r>
              <w:rPr>
                <w:rFonts w:hint="eastAsia" w:ascii="宋体" w:hAnsi="宋体" w:eastAsia="宋体" w:cs="宋体"/>
                <w:color w:val="auto"/>
                <w:sz w:val="21"/>
                <w:szCs w:val="21"/>
                <w:highlight w:val="none"/>
              </w:rPr>
              <w:t>支付合同总价的40%；</w:t>
            </w:r>
          </w:p>
          <w:p w14:paraId="1F299757">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3期：支付比例3</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运维服务期满</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个月，中标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通过</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组织的阶段性运维考核</w:t>
            </w:r>
            <w:r>
              <w:rPr>
                <w:rFonts w:hint="eastAsia" w:ascii="宋体" w:hAnsi="宋体" w:eastAsia="宋体" w:cs="宋体"/>
                <w:color w:val="auto"/>
                <w:sz w:val="21"/>
                <w:szCs w:val="21"/>
                <w:highlight w:val="none"/>
                <w:lang w:val="en-US" w:eastAsia="zh-CN"/>
              </w:rPr>
              <w:t>后</w:t>
            </w:r>
            <w:r>
              <w:rPr>
                <w:rFonts w:hint="eastAsia" w:ascii="宋体" w:hAnsi="宋体" w:eastAsia="宋体" w:cs="宋体"/>
                <w:color w:val="auto"/>
                <w:sz w:val="21"/>
                <w:szCs w:val="21"/>
                <w:highlight w:val="none"/>
              </w:rPr>
              <w:t>10个工作日内</w:t>
            </w:r>
            <w:r>
              <w:rPr>
                <w:rFonts w:hint="eastAsia" w:ascii="宋体" w:hAnsi="宋体" w:eastAsia="宋体" w:cs="宋体"/>
                <w:color w:val="auto"/>
                <w:sz w:val="21"/>
                <w:szCs w:val="21"/>
                <w:highlight w:val="none"/>
                <w:lang w:val="en-US" w:eastAsia="zh-CN"/>
              </w:rPr>
              <w:t>，招标人向中标人</w:t>
            </w:r>
            <w:r>
              <w:rPr>
                <w:rFonts w:hint="eastAsia" w:ascii="宋体" w:hAnsi="宋体" w:eastAsia="宋体" w:cs="宋体"/>
                <w:color w:val="auto"/>
                <w:sz w:val="21"/>
                <w:szCs w:val="21"/>
                <w:highlight w:val="none"/>
              </w:rPr>
              <w:t>支付合同总价的</w:t>
            </w:r>
            <w:r>
              <w:rPr>
                <w:rFonts w:hint="eastAsia" w:ascii="宋体" w:hAnsi="宋体" w:eastAsia="宋体" w:cs="宋体"/>
                <w:color w:val="auto"/>
                <w:sz w:val="21"/>
                <w:szCs w:val="21"/>
                <w:highlight w:val="none"/>
                <w:lang w:val="en-US" w:eastAsia="zh-CN"/>
              </w:rPr>
              <w:t>35</w:t>
            </w:r>
            <w:r>
              <w:rPr>
                <w:rFonts w:hint="eastAsia" w:ascii="宋体" w:hAnsi="宋体" w:eastAsia="宋体" w:cs="宋体"/>
                <w:color w:val="auto"/>
                <w:sz w:val="21"/>
                <w:szCs w:val="21"/>
                <w:highlight w:val="none"/>
              </w:rPr>
              <w:t>%；</w:t>
            </w:r>
          </w:p>
          <w:p w14:paraId="5960F6AE">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4期：支付比例1</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运维服务</w:t>
            </w:r>
            <w:r>
              <w:rPr>
                <w:rFonts w:hint="eastAsia" w:ascii="宋体" w:hAnsi="宋体" w:eastAsia="宋体" w:cs="宋体"/>
                <w:color w:val="auto"/>
                <w:sz w:val="21"/>
                <w:szCs w:val="21"/>
                <w:highlight w:val="none"/>
              </w:rPr>
              <w:t>期限届满，且达到验收条件后，</w:t>
            </w:r>
            <w:r>
              <w:rPr>
                <w:rFonts w:hint="eastAsia" w:ascii="宋体" w:hAnsi="宋体" w:eastAsia="宋体" w:cs="宋体"/>
                <w:color w:val="auto"/>
                <w:sz w:val="21"/>
                <w:szCs w:val="21"/>
                <w:highlight w:val="none"/>
                <w:lang w:eastAsia="zh-CN"/>
              </w:rPr>
              <w:t>中标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向</w:t>
            </w:r>
            <w:r>
              <w:rPr>
                <w:rFonts w:hint="eastAsia" w:ascii="宋体" w:hAnsi="宋体" w:eastAsia="宋体" w:cs="宋体"/>
                <w:color w:val="auto"/>
                <w:sz w:val="21"/>
                <w:szCs w:val="21"/>
                <w:highlight w:val="none"/>
                <w:lang w:val="en-US" w:eastAsia="zh-CN"/>
              </w:rPr>
              <w:t>招标</w:t>
            </w:r>
            <w:r>
              <w:rPr>
                <w:rFonts w:hint="eastAsia" w:ascii="宋体" w:hAnsi="宋体" w:eastAsia="宋体" w:cs="宋体"/>
                <w:color w:val="auto"/>
                <w:sz w:val="21"/>
                <w:szCs w:val="21"/>
                <w:highlight w:val="none"/>
              </w:rPr>
              <w:t>人提出验收申请，验收通过后10个工作日内，</w:t>
            </w:r>
            <w:r>
              <w:rPr>
                <w:rFonts w:hint="eastAsia" w:ascii="宋体" w:hAnsi="宋体" w:eastAsia="宋体" w:cs="宋体"/>
                <w:color w:val="auto"/>
                <w:sz w:val="21"/>
                <w:szCs w:val="21"/>
                <w:highlight w:val="none"/>
                <w:lang w:val="en-US" w:eastAsia="zh-CN"/>
              </w:rPr>
              <w:t>招标</w:t>
            </w:r>
            <w:r>
              <w:rPr>
                <w:rFonts w:hint="eastAsia" w:ascii="宋体" w:hAnsi="宋体" w:eastAsia="宋体" w:cs="宋体"/>
                <w:color w:val="auto"/>
                <w:sz w:val="21"/>
                <w:szCs w:val="21"/>
                <w:highlight w:val="none"/>
              </w:rPr>
              <w:t>人向中标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支付合同价的1</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w:t>
            </w:r>
          </w:p>
          <w:p w14:paraId="4C863F41">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注：①中标人应在招标人支付合同款前，将符合国家及地方财政规定的发票以及招标人所要求资料送至招标人单位。发票抬头名称与招标人单位名称一致。付款时间以付款款项划出之日为准。</w:t>
            </w:r>
            <w:r>
              <w:rPr>
                <w:rStyle w:val="48"/>
                <w:rFonts w:hint="eastAsia" w:ascii="宋体" w:hAnsi="宋体" w:eastAsia="宋体" w:cs="宋体"/>
                <w:color w:val="auto"/>
                <w:highlight w:val="none"/>
              </w:rPr>
              <w:t>②</w:t>
            </w:r>
            <w:r>
              <w:rPr>
                <w:rFonts w:hint="eastAsia" w:ascii="宋体" w:hAnsi="宋体" w:eastAsia="宋体" w:cs="宋体"/>
                <w:color w:val="auto"/>
                <w:szCs w:val="21"/>
                <w:highlight w:val="none"/>
              </w:rPr>
              <w:t>因中标人未按要求向招标人提供资料的，导致招标人延期付款的，由此产生的法律责任，由中标人自行承担。</w:t>
            </w:r>
          </w:p>
        </w:tc>
      </w:tr>
      <w:tr w14:paraId="47BB16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6" w:hRule="atLeast"/>
        </w:trPr>
        <w:tc>
          <w:tcPr>
            <w:tcW w:w="1053" w:type="pct"/>
            <w:vAlign w:val="center"/>
          </w:tcPr>
          <w:p w14:paraId="04F9B538">
            <w:pPr>
              <w:keepNext w:val="0"/>
              <w:keepLines w:val="0"/>
              <w:pageBreakBefore w:val="0"/>
              <w:kinsoku/>
              <w:wordWrap/>
              <w:overflowPunct/>
              <w:topLinePunct w:val="0"/>
              <w:autoSpaceDE/>
              <w:autoSpaceDN/>
              <w:bidi w:val="0"/>
              <w:adjustRightInd/>
              <w:snapToGrid/>
              <w:spacing w:line="400" w:lineRule="exact"/>
              <w:ind w:lef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验收要求</w:t>
            </w:r>
          </w:p>
        </w:tc>
        <w:tc>
          <w:tcPr>
            <w:tcW w:w="3946" w:type="pct"/>
            <w:vAlign w:val="center"/>
          </w:tcPr>
          <w:p w14:paraId="0BECE39D">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依据招标文件及合同的有关规定，以及投标文件制定的技术方案进行验收，并按国家有关规定、规范进行。</w:t>
            </w:r>
          </w:p>
          <w:p w14:paraId="11368BF2">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服务期届满，达到验收条件，</w:t>
            </w:r>
            <w:r>
              <w:rPr>
                <w:rFonts w:hint="eastAsia" w:ascii="宋体" w:hAnsi="宋体" w:eastAsia="宋体" w:cs="宋体"/>
                <w:color w:val="auto"/>
                <w:sz w:val="21"/>
                <w:szCs w:val="21"/>
                <w:highlight w:val="none"/>
                <w:lang w:eastAsia="zh-CN"/>
              </w:rPr>
              <w:t>中标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向</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提出验收申请，验收应在双方共同参加下进行，依据合同约定的服务要求、考核标准，相关政策文件项目验收指南进行验收，并按国家、行业有关规定、规范进行。</w:t>
            </w:r>
          </w:p>
          <w:p w14:paraId="3CD17CB3">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（3）招标人</w:t>
            </w:r>
            <w:r>
              <w:rPr>
                <w:rFonts w:hint="eastAsia" w:ascii="宋体" w:hAnsi="宋体" w:eastAsia="宋体" w:cs="宋体"/>
                <w:color w:val="auto"/>
                <w:sz w:val="21"/>
                <w:szCs w:val="21"/>
                <w:highlight w:val="none"/>
              </w:rPr>
              <w:t>组织项目验收小组按国家有关规定、规范进行验收，必要时邀请相关专业人员或机构参与验收。</w:t>
            </w:r>
          </w:p>
          <w:p w14:paraId="28D55ED2">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对验收不合格的部分，</w:t>
            </w:r>
            <w:r>
              <w:rPr>
                <w:rFonts w:hint="eastAsia" w:ascii="宋体" w:hAnsi="宋体" w:eastAsia="宋体" w:cs="宋体"/>
                <w:color w:val="auto"/>
                <w:sz w:val="21"/>
                <w:szCs w:val="21"/>
                <w:highlight w:val="none"/>
                <w:lang w:eastAsia="zh-CN"/>
              </w:rPr>
              <w:t>中标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应在</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规定时间内及时整改完善直至合格，否则视为</w:t>
            </w:r>
            <w:r>
              <w:rPr>
                <w:rFonts w:hint="eastAsia" w:ascii="宋体" w:hAnsi="宋体" w:eastAsia="宋体" w:cs="宋体"/>
                <w:color w:val="auto"/>
                <w:sz w:val="21"/>
                <w:szCs w:val="21"/>
                <w:highlight w:val="none"/>
                <w:lang w:eastAsia="zh-CN"/>
              </w:rPr>
              <w:t>中标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违约，</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有权根据合同约定要求</w:t>
            </w:r>
            <w:r>
              <w:rPr>
                <w:rFonts w:hint="eastAsia" w:ascii="宋体" w:hAnsi="宋体" w:eastAsia="宋体" w:cs="宋体"/>
                <w:color w:val="auto"/>
                <w:sz w:val="21"/>
                <w:szCs w:val="21"/>
                <w:highlight w:val="none"/>
                <w:lang w:eastAsia="zh-CN"/>
              </w:rPr>
              <w:t>中标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承担违约责任，且有权终止本合同，同时，因验收不合格所产生的一切费用均由</w:t>
            </w:r>
            <w:r>
              <w:rPr>
                <w:rFonts w:hint="eastAsia" w:ascii="宋体" w:hAnsi="宋体" w:eastAsia="宋体" w:cs="宋体"/>
                <w:color w:val="auto"/>
                <w:sz w:val="21"/>
                <w:szCs w:val="21"/>
                <w:highlight w:val="none"/>
                <w:lang w:eastAsia="zh-CN"/>
              </w:rPr>
              <w:t>中标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自行承担。</w:t>
            </w:r>
          </w:p>
          <w:p w14:paraId="6D3FBED6">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验收工作由</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（或</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指定的单位）和</w:t>
            </w:r>
            <w:r>
              <w:rPr>
                <w:rFonts w:hint="eastAsia" w:ascii="宋体" w:hAnsi="宋体" w:eastAsia="宋体" w:cs="宋体"/>
                <w:color w:val="auto"/>
                <w:sz w:val="21"/>
                <w:szCs w:val="21"/>
                <w:highlight w:val="none"/>
                <w:lang w:eastAsia="zh-CN"/>
              </w:rPr>
              <w:t>中标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共同进行，必要时，</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可邀请相关专业人员或机构参与验收，由于验收产生的差旅费、人工费、专家费、评审费、打印费等相关费用由</w:t>
            </w:r>
            <w:r>
              <w:rPr>
                <w:rFonts w:hint="eastAsia" w:ascii="宋体" w:hAnsi="宋体" w:eastAsia="宋体" w:cs="宋体"/>
                <w:color w:val="auto"/>
                <w:sz w:val="21"/>
                <w:szCs w:val="21"/>
                <w:highlight w:val="none"/>
                <w:lang w:eastAsia="zh-CN"/>
              </w:rPr>
              <w:t>中标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承担；在验收时，</w:t>
            </w:r>
            <w:r>
              <w:rPr>
                <w:rFonts w:hint="eastAsia" w:ascii="宋体" w:hAnsi="宋体" w:eastAsia="宋体" w:cs="宋体"/>
                <w:color w:val="auto"/>
                <w:sz w:val="21"/>
                <w:szCs w:val="21"/>
                <w:highlight w:val="none"/>
                <w:lang w:eastAsia="zh-CN"/>
              </w:rPr>
              <w:t>中标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应向</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提供服务的相关资料，按</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提出的方式验收；由</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对服务的质量和数量及其他进行检验。如发现质量和数量等任何一项与采购要求规定不符，</w:t>
            </w:r>
            <w:r>
              <w:rPr>
                <w:rFonts w:hint="eastAsia" w:ascii="宋体" w:hAnsi="宋体" w:eastAsia="宋体" w:cs="宋体"/>
                <w:color w:val="auto"/>
                <w:sz w:val="21"/>
                <w:szCs w:val="21"/>
                <w:highlight w:val="none"/>
                <w:lang w:eastAsia="zh-CN"/>
              </w:rPr>
              <w:t>中标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应在规定时间内及时整改直至合格。</w:t>
            </w:r>
          </w:p>
        </w:tc>
      </w:tr>
      <w:tr w14:paraId="53FBA8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6" w:hRule="atLeast"/>
        </w:trPr>
        <w:tc>
          <w:tcPr>
            <w:tcW w:w="1053" w:type="pct"/>
            <w:vAlign w:val="center"/>
          </w:tcPr>
          <w:p w14:paraId="0618F12F">
            <w:pPr>
              <w:keepNext w:val="0"/>
              <w:keepLines w:val="0"/>
              <w:pageBreakBefore w:val="0"/>
              <w:kinsoku/>
              <w:wordWrap/>
              <w:overflowPunct/>
              <w:topLinePunct w:val="0"/>
              <w:autoSpaceDE/>
              <w:autoSpaceDN/>
              <w:bidi w:val="0"/>
              <w:adjustRightInd/>
              <w:snapToGrid/>
              <w:spacing w:line="400" w:lineRule="exact"/>
              <w:ind w:lef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最高限价</w:t>
            </w:r>
          </w:p>
        </w:tc>
        <w:tc>
          <w:tcPr>
            <w:tcW w:w="3946" w:type="pct"/>
            <w:vAlign w:val="center"/>
          </w:tcPr>
          <w:p w14:paraId="324F9480">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9,562,400.00元</w:t>
            </w:r>
          </w:p>
        </w:tc>
      </w:tr>
      <w:tr w14:paraId="7DD18C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6" w:hRule="atLeast"/>
        </w:trPr>
        <w:tc>
          <w:tcPr>
            <w:tcW w:w="1053" w:type="pct"/>
            <w:vAlign w:val="center"/>
          </w:tcPr>
          <w:p w14:paraId="17EC390D">
            <w:pPr>
              <w:keepNext w:val="0"/>
              <w:keepLines w:val="0"/>
              <w:pageBreakBefore w:val="0"/>
              <w:kinsoku/>
              <w:wordWrap/>
              <w:overflowPunct/>
              <w:topLinePunct w:val="0"/>
              <w:autoSpaceDE/>
              <w:autoSpaceDN/>
              <w:bidi w:val="0"/>
              <w:adjustRightInd/>
              <w:snapToGrid/>
              <w:spacing w:line="400" w:lineRule="exact"/>
              <w:ind w:lef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履约保证金</w:t>
            </w:r>
          </w:p>
        </w:tc>
        <w:tc>
          <w:tcPr>
            <w:tcW w:w="3946" w:type="pct"/>
            <w:vAlign w:val="center"/>
          </w:tcPr>
          <w:p w14:paraId="25176AC3">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本项目是否需要交纳履约保证金：是。</w:t>
            </w:r>
          </w:p>
          <w:p w14:paraId="24CECAA2">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）中标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在</w:t>
            </w:r>
            <w:r>
              <w:rPr>
                <w:rFonts w:hint="eastAsia" w:ascii="宋体" w:hAnsi="宋体" w:eastAsia="宋体" w:cs="宋体"/>
                <w:color w:val="auto"/>
                <w:sz w:val="21"/>
                <w:szCs w:val="21"/>
                <w:highlight w:val="none"/>
                <w:lang w:val="en-US" w:eastAsia="zh-CN"/>
              </w:rPr>
              <w:t>申请第一期合同款</w:t>
            </w:r>
            <w:r>
              <w:rPr>
                <w:rFonts w:hint="eastAsia" w:ascii="宋体" w:hAnsi="宋体" w:eastAsia="宋体" w:cs="宋体"/>
                <w:color w:val="auto"/>
                <w:sz w:val="21"/>
                <w:szCs w:val="21"/>
                <w:highlight w:val="none"/>
              </w:rPr>
              <w:t>前须提交</w:t>
            </w:r>
            <w:r>
              <w:rPr>
                <w:rFonts w:hint="eastAsia" w:ascii="宋体" w:hAnsi="宋体" w:eastAsia="宋体" w:cs="宋体"/>
                <w:color w:val="auto"/>
                <w:sz w:val="21"/>
                <w:szCs w:val="21"/>
                <w:highlight w:val="none"/>
                <w:lang w:val="en-US" w:eastAsia="zh-CN"/>
              </w:rPr>
              <w:t>给招标人</w:t>
            </w:r>
            <w:r>
              <w:rPr>
                <w:rFonts w:hint="eastAsia" w:ascii="宋体" w:hAnsi="宋体" w:eastAsia="宋体" w:cs="宋体"/>
                <w:color w:val="auto"/>
                <w:sz w:val="21"/>
                <w:szCs w:val="21"/>
                <w:highlight w:val="none"/>
              </w:rPr>
              <w:t>合同金额5%</w:t>
            </w:r>
            <w:r>
              <w:rPr>
                <w:rFonts w:hint="eastAsia" w:ascii="宋体" w:hAnsi="宋体" w:eastAsia="宋体" w:cs="宋体"/>
                <w:color w:val="auto"/>
                <w:sz w:val="21"/>
                <w:szCs w:val="21"/>
                <w:highlight w:val="none"/>
                <w:lang w:val="en-US" w:eastAsia="zh-CN"/>
              </w:rPr>
              <w:t>的</w:t>
            </w:r>
            <w:r>
              <w:rPr>
                <w:rFonts w:hint="eastAsia" w:ascii="宋体" w:hAnsi="宋体" w:eastAsia="宋体" w:cs="宋体"/>
                <w:color w:val="auto"/>
                <w:sz w:val="21"/>
                <w:szCs w:val="21"/>
                <w:highlight w:val="none"/>
              </w:rPr>
              <w:t>项目履约保证金（以银行转账、电汇、银行履约保函、信用担保等形式提交）。</w:t>
            </w:r>
          </w:p>
          <w:p w14:paraId="56080B26">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履约保证金采用电汇、银行汇票、支票方式等银行转账方式递交的，交至</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履约保证金汇入账户。履约保证金汇入账户情况：</w:t>
            </w:r>
          </w:p>
          <w:p w14:paraId="5702D28D">
            <w:pPr>
              <w:pStyle w:val="223"/>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履约保证金账户名称：东莞数字城市科技有限公司</w:t>
            </w:r>
          </w:p>
          <w:p w14:paraId="5CC4B4D8">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履约保证金账户账号：500000101005041</w:t>
            </w:r>
          </w:p>
          <w:p w14:paraId="71C6A5C4">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履约保证金账户支行：东莞银行股份有限公司中心区支行</w:t>
            </w:r>
          </w:p>
          <w:p w14:paraId="0D07E22F">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中标人应在汇入履约保证金时在汇款单备注中注明：项目编号+履约保证金。</w:t>
            </w:r>
          </w:p>
          <w:p w14:paraId="688AF726">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履约保证金采用电汇、银行汇票、支票方式等银行转账方式递交的，验收合格后</w:t>
            </w:r>
            <w:r>
              <w:rPr>
                <w:rFonts w:hint="eastAsia" w:ascii="宋体" w:hAnsi="宋体" w:eastAsia="宋体" w:cs="宋体"/>
                <w:color w:val="auto"/>
                <w:sz w:val="21"/>
                <w:szCs w:val="21"/>
                <w:highlight w:val="none"/>
                <w:lang w:eastAsia="zh-CN"/>
              </w:rPr>
              <w:t>中标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无违约的情形发生，</w:t>
            </w:r>
            <w:r>
              <w:rPr>
                <w:rFonts w:hint="eastAsia" w:ascii="宋体" w:hAnsi="宋体" w:eastAsia="宋体" w:cs="宋体"/>
                <w:color w:val="auto"/>
                <w:sz w:val="21"/>
                <w:szCs w:val="21"/>
                <w:highlight w:val="none"/>
                <w:lang w:eastAsia="zh-CN"/>
              </w:rPr>
              <w:t>中标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可向</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提交退回履约保证金的申请。</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收到</w:t>
            </w:r>
            <w:r>
              <w:rPr>
                <w:rFonts w:hint="eastAsia" w:ascii="宋体" w:hAnsi="宋体" w:eastAsia="宋体" w:cs="宋体"/>
                <w:color w:val="auto"/>
                <w:sz w:val="21"/>
                <w:szCs w:val="21"/>
                <w:highlight w:val="none"/>
                <w:lang w:eastAsia="zh-CN"/>
              </w:rPr>
              <w:t>中标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的退回履约保证金申请材料并经审核无误后，将履约保证金无息退还。</w:t>
            </w:r>
          </w:p>
          <w:p w14:paraId="68C84E2C">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履约保证金采用保函方式递交的，履约保函应是合法经营的金融机构或担保机构出具的履约保函。履约担保期限须包含整个合同履行期限，若项目未能按期完成，</w:t>
            </w:r>
            <w:r>
              <w:rPr>
                <w:rFonts w:hint="eastAsia" w:ascii="宋体" w:hAnsi="宋体" w:eastAsia="宋体" w:cs="宋体"/>
                <w:color w:val="auto"/>
                <w:sz w:val="21"/>
                <w:szCs w:val="21"/>
                <w:highlight w:val="none"/>
                <w:lang w:eastAsia="zh-CN"/>
              </w:rPr>
              <w:t>中标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必须办理相应的保函延期，将担保期限延长至服务期结束或项目验收合格预计期间，并承担其相关费用。</w:t>
            </w:r>
          </w:p>
          <w:p w14:paraId="44E0D0F2">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lang w:eastAsia="zh-CN"/>
              </w:rPr>
              <w:t>）中标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在履行合同期间，违反有关法律法规的规定及合同约定的条款，损害了</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的利益，</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可依法没收其履约保证金。</w:t>
            </w:r>
          </w:p>
        </w:tc>
      </w:tr>
      <w:tr w14:paraId="0DC629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7" w:hRule="atLeast"/>
        </w:trPr>
        <w:tc>
          <w:tcPr>
            <w:tcW w:w="1053" w:type="pct"/>
            <w:vAlign w:val="center"/>
          </w:tcPr>
          <w:p w14:paraId="0BCC9A18">
            <w:pPr>
              <w:keepNext w:val="0"/>
              <w:keepLines w:val="0"/>
              <w:pageBreakBefore w:val="0"/>
              <w:kinsoku/>
              <w:wordWrap/>
              <w:overflowPunct/>
              <w:topLinePunct w:val="0"/>
              <w:autoSpaceDE/>
              <w:autoSpaceDN/>
              <w:bidi w:val="0"/>
              <w:adjustRightInd/>
              <w:snapToGrid/>
              <w:spacing w:line="400" w:lineRule="exact"/>
              <w:ind w:lef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其他</w:t>
            </w:r>
          </w:p>
        </w:tc>
        <w:tc>
          <w:tcPr>
            <w:tcW w:w="3946" w:type="pct"/>
            <w:vAlign w:val="center"/>
          </w:tcPr>
          <w:p w14:paraId="3770C641">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投标人</w:t>
            </w:r>
            <w:r>
              <w:rPr>
                <w:rFonts w:hint="eastAsia" w:ascii="宋体" w:hAnsi="宋体" w:eastAsia="宋体" w:cs="宋体"/>
                <w:color w:val="auto"/>
                <w:sz w:val="21"/>
                <w:szCs w:val="21"/>
                <w:highlight w:val="none"/>
              </w:rPr>
              <w:t>应充分结合本招标文件上下文了解项目招标需求、</w:t>
            </w:r>
            <w:r>
              <w:rPr>
                <w:rFonts w:hint="eastAsia" w:ascii="宋体" w:hAnsi="宋体" w:eastAsia="宋体" w:cs="宋体"/>
                <w:color w:val="auto"/>
                <w:sz w:val="21"/>
                <w:szCs w:val="21"/>
                <w:highlight w:val="none"/>
                <w:lang w:val="en-US" w:eastAsia="zh-CN"/>
              </w:rPr>
              <w:t>招标</w:t>
            </w:r>
            <w:r>
              <w:rPr>
                <w:rFonts w:hint="eastAsia" w:ascii="宋体" w:hAnsi="宋体" w:eastAsia="宋体" w:cs="宋体"/>
                <w:color w:val="auto"/>
                <w:sz w:val="21"/>
                <w:szCs w:val="21"/>
                <w:highlight w:val="none"/>
              </w:rPr>
              <w:t>文件未尽事宜，将在合同签订或项目执行过程中双方协商确定，</w:t>
            </w:r>
            <w:r>
              <w:rPr>
                <w:rFonts w:hint="eastAsia" w:ascii="宋体" w:hAnsi="宋体" w:eastAsia="宋体" w:cs="宋体"/>
                <w:color w:val="auto"/>
                <w:sz w:val="21"/>
                <w:szCs w:val="21"/>
                <w:highlight w:val="none"/>
                <w:lang w:val="en-US" w:eastAsia="zh-CN"/>
              </w:rPr>
              <w:t>投标人</w:t>
            </w:r>
            <w:r>
              <w:rPr>
                <w:rFonts w:hint="eastAsia" w:ascii="宋体" w:hAnsi="宋体" w:eastAsia="宋体" w:cs="宋体"/>
                <w:color w:val="auto"/>
                <w:sz w:val="21"/>
                <w:szCs w:val="21"/>
                <w:highlight w:val="none"/>
              </w:rPr>
              <w:t>须无条件满足</w:t>
            </w:r>
            <w:r>
              <w:rPr>
                <w:rFonts w:hint="eastAsia" w:ascii="宋体" w:hAnsi="宋体" w:eastAsia="宋体" w:cs="宋体"/>
                <w:color w:val="auto"/>
                <w:sz w:val="21"/>
                <w:szCs w:val="21"/>
                <w:highlight w:val="none"/>
                <w:lang w:val="en-US" w:eastAsia="zh-CN"/>
              </w:rPr>
              <w:t>招标</w:t>
            </w:r>
            <w:r>
              <w:rPr>
                <w:rFonts w:hint="eastAsia" w:ascii="宋体" w:hAnsi="宋体" w:eastAsia="宋体" w:cs="宋体"/>
                <w:color w:val="auto"/>
                <w:sz w:val="21"/>
                <w:szCs w:val="21"/>
                <w:highlight w:val="none"/>
              </w:rPr>
              <w:t>单位的合理要求。</w:t>
            </w:r>
          </w:p>
        </w:tc>
      </w:tr>
      <w:tr w14:paraId="561FA7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12" w:hRule="atLeast"/>
        </w:trPr>
        <w:tc>
          <w:tcPr>
            <w:tcW w:w="1053" w:type="pct"/>
            <w:vAlign w:val="center"/>
          </w:tcPr>
          <w:p w14:paraId="5403F363">
            <w:pPr>
              <w:keepNext w:val="0"/>
              <w:keepLines w:val="0"/>
              <w:pageBreakBefore w:val="0"/>
              <w:kinsoku/>
              <w:wordWrap/>
              <w:overflowPunct/>
              <w:topLinePunct w:val="0"/>
              <w:autoSpaceDE/>
              <w:autoSpaceDN/>
              <w:bidi w:val="0"/>
              <w:adjustRightInd/>
              <w:snapToGrid/>
              <w:spacing w:line="400" w:lineRule="exact"/>
              <w:ind w:lef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报价要求</w:t>
            </w:r>
          </w:p>
        </w:tc>
        <w:tc>
          <w:tcPr>
            <w:tcW w:w="3946" w:type="pct"/>
            <w:vAlign w:val="center"/>
          </w:tcPr>
          <w:p w14:paraId="0DCB65C5">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投标报价采用总价包干的方式，投标报价包括材料、工具、人工、管理费、利润、税金、风险等本项目所有产生的费用，</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不另行支付其他费用。</w:t>
            </w:r>
          </w:p>
          <w:p w14:paraId="44E77DEB">
            <w:pPr>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投标人需针对运维服务、电费（据实结算，最高限价42.3812万元，超出部分包干）、迁移费用（据实结算，最高限价61.36万元，超出部分包干）、备品备件（最高限价123.972万元）分项报价。</w:t>
            </w:r>
          </w:p>
        </w:tc>
      </w:tr>
    </w:tbl>
    <w:p w14:paraId="26FFC64D">
      <w:pPr>
        <w:pStyle w:val="222"/>
        <w:keepNext w:val="0"/>
        <w:keepLines w:val="0"/>
        <w:pageBreakBefore w:val="0"/>
        <w:widowControl w:val="0"/>
        <w:numPr>
          <w:ilvl w:val="0"/>
          <w:numId w:val="3"/>
        </w:numPr>
        <w:kinsoku/>
        <w:wordWrap/>
        <w:overflowPunct/>
        <w:topLinePunct w:val="0"/>
        <w:autoSpaceDE/>
        <w:autoSpaceDN/>
        <w:bidi w:val="0"/>
        <w:adjustRightInd/>
        <w:snapToGrid/>
        <w:spacing w:before="240" w:beforeLines="100" w:line="360" w:lineRule="auto"/>
        <w:ind w:left="499" w:hanging="499" w:firstLine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技术标准与要求</w:t>
      </w:r>
    </w:p>
    <w:p w14:paraId="0A9F278B">
      <w:pPr>
        <w:pStyle w:val="222"/>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Chars="0"/>
        <w:contextualSpacing/>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服务内容及要求</w:t>
      </w:r>
    </w:p>
    <w:p w14:paraId="588E6607">
      <w:pPr>
        <w:pStyle w:val="222"/>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Chars="0"/>
        <w:contextualSpacing/>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前端设备运维</w:t>
      </w:r>
    </w:p>
    <w:p w14:paraId="05933913">
      <w:pPr>
        <w:pStyle w:val="222"/>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运维范围</w:t>
      </w:r>
    </w:p>
    <w:p w14:paraId="5761A706">
      <w:pPr>
        <w:pStyle w:val="2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设备和供电运维服务包含以下内容：</w:t>
      </w:r>
    </w:p>
    <w:p w14:paraId="173BDD54">
      <w:pPr>
        <w:pStyle w:val="222"/>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32台管理交换机及对应的光模块，1台核心交换机。</w:t>
      </w:r>
    </w:p>
    <w:p w14:paraId="301A892B">
      <w:pPr>
        <w:pStyle w:val="222"/>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车辆卡口共计450个方向（617路）卡口抓拍单元，后端机房部署的4台接入及转发承载设备、1台存储设备和1台核心交换机及配置光模块设备。</w:t>
      </w:r>
    </w:p>
    <w:p w14:paraId="08E3B653">
      <w:pPr>
        <w:pStyle w:val="222"/>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图片识别单元，共计2200路。</w:t>
      </w:r>
    </w:p>
    <w:p w14:paraId="747249D1">
      <w:pPr>
        <w:pStyle w:val="222"/>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实际设备情况提供用电服务，提供本期项目运维所有前端设备的供电服务，以上一个运维周期的最后一次抄写的电表数据作为本期项目的起始数据。电费支付范围包括：卡口前端摄像机、补光灯、路由器等设备供电，共933项。</w:t>
      </w:r>
    </w:p>
    <w:p w14:paraId="26036D1E">
      <w:pPr>
        <w:pStyle w:val="2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200" w:firstLine="0"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运维期内，新增需支付电费的点位，根据实际用电量结算，但实际支付总电费不得高于（42.3812万元，参考过往电费进行评估测算），超出部分由供应商承担。如本期运维结束后，第三方追溯本运维期内电费的，由供应商承担。</w:t>
      </w:r>
    </w:p>
    <w:p w14:paraId="51DC3FE3">
      <w:pPr>
        <w:pStyle w:val="2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200" w:firstLine="0"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结算依据：以符合国家标准电表计量的用电量为准。不能提供电表用电量的，不予支付电费。</w:t>
      </w:r>
    </w:p>
    <w:p w14:paraId="256ECE8A">
      <w:pPr>
        <w:pStyle w:val="222"/>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按实际设备情况提供取电迁移服务：（超出部分包干）</w:t>
      </w:r>
    </w:p>
    <w:p w14:paraId="74F4CB62">
      <w:pPr>
        <w:pStyle w:val="2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服务期迁移数量及要求如下：</w:t>
      </w:r>
    </w:p>
    <w:tbl>
      <w:tblPr>
        <w:tblStyle w:val="41"/>
        <w:tblW w:w="4998"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659"/>
        <w:gridCol w:w="1905"/>
        <w:gridCol w:w="1397"/>
        <w:gridCol w:w="3099"/>
        <w:gridCol w:w="908"/>
        <w:gridCol w:w="944"/>
        <w:gridCol w:w="1448"/>
      </w:tblGrid>
      <w:tr w14:paraId="6B16CD0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318" w:type="pct"/>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center"/>
          </w:tcPr>
          <w:p w14:paraId="1B74CC7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序号</w:t>
            </w:r>
          </w:p>
        </w:tc>
        <w:tc>
          <w:tcPr>
            <w:tcW w:w="919" w:type="pct"/>
            <w:tcBorders>
              <w:top w:val="single" w:color="000000" w:sz="4" w:space="0"/>
              <w:left w:val="nil"/>
              <w:bottom w:val="single" w:color="000000" w:sz="4" w:space="0"/>
              <w:right w:val="single" w:color="000000" w:sz="4" w:space="0"/>
            </w:tcBorders>
            <w:tcMar>
              <w:top w:w="0" w:type="dxa"/>
              <w:left w:w="105" w:type="dxa"/>
              <w:bottom w:w="0" w:type="dxa"/>
              <w:right w:w="105" w:type="dxa"/>
            </w:tcMar>
            <w:vAlign w:val="center"/>
          </w:tcPr>
          <w:p w14:paraId="395C6A0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类别</w:t>
            </w:r>
          </w:p>
        </w:tc>
        <w:tc>
          <w:tcPr>
            <w:tcW w:w="674" w:type="pct"/>
            <w:tcBorders>
              <w:top w:val="single" w:color="000000" w:sz="4" w:space="0"/>
              <w:left w:val="nil"/>
              <w:bottom w:val="single" w:color="000000" w:sz="4" w:space="0"/>
              <w:right w:val="single" w:color="000000" w:sz="4" w:space="0"/>
            </w:tcBorders>
            <w:tcMar>
              <w:top w:w="0" w:type="dxa"/>
              <w:left w:w="105" w:type="dxa"/>
              <w:bottom w:w="0" w:type="dxa"/>
              <w:right w:w="105" w:type="dxa"/>
            </w:tcMar>
            <w:vAlign w:val="center"/>
          </w:tcPr>
          <w:p w14:paraId="2819BAD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迁移类型</w:t>
            </w:r>
          </w:p>
        </w:tc>
        <w:tc>
          <w:tcPr>
            <w:tcW w:w="1495" w:type="pct"/>
            <w:tcBorders>
              <w:top w:val="single" w:color="000000" w:sz="4" w:space="0"/>
              <w:left w:val="nil"/>
              <w:bottom w:val="single" w:color="000000" w:sz="4" w:space="0"/>
              <w:right w:val="single" w:color="000000" w:sz="4" w:space="0"/>
            </w:tcBorders>
            <w:tcMar>
              <w:top w:w="0" w:type="dxa"/>
              <w:left w:w="105" w:type="dxa"/>
              <w:bottom w:w="0" w:type="dxa"/>
              <w:right w:w="105" w:type="dxa"/>
            </w:tcMar>
            <w:vAlign w:val="center"/>
          </w:tcPr>
          <w:p w14:paraId="76B09C1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迁移要求</w:t>
            </w:r>
          </w:p>
        </w:tc>
        <w:tc>
          <w:tcPr>
            <w:tcW w:w="438" w:type="pct"/>
            <w:tcBorders>
              <w:top w:val="single" w:color="000000" w:sz="4" w:space="0"/>
              <w:left w:val="nil"/>
              <w:bottom w:val="single" w:color="000000" w:sz="4" w:space="0"/>
              <w:right w:val="single" w:color="000000" w:sz="4" w:space="0"/>
            </w:tcBorders>
            <w:tcMar>
              <w:top w:w="0" w:type="dxa"/>
              <w:left w:w="105" w:type="dxa"/>
              <w:bottom w:w="0" w:type="dxa"/>
              <w:right w:w="105" w:type="dxa"/>
            </w:tcMar>
            <w:vAlign w:val="center"/>
          </w:tcPr>
          <w:p w14:paraId="7B746F5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单位</w:t>
            </w:r>
          </w:p>
        </w:tc>
        <w:tc>
          <w:tcPr>
            <w:tcW w:w="455" w:type="pct"/>
            <w:tcBorders>
              <w:top w:val="single" w:color="000000" w:sz="4" w:space="0"/>
              <w:left w:val="nil"/>
              <w:bottom w:val="single" w:color="000000" w:sz="4" w:space="0"/>
              <w:right w:val="single" w:color="000000" w:sz="4" w:space="0"/>
            </w:tcBorders>
            <w:tcMar>
              <w:top w:w="0" w:type="dxa"/>
              <w:left w:w="105" w:type="dxa"/>
              <w:bottom w:w="0" w:type="dxa"/>
              <w:right w:w="105" w:type="dxa"/>
            </w:tcMar>
            <w:vAlign w:val="center"/>
          </w:tcPr>
          <w:p w14:paraId="65CB52C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数量</w:t>
            </w:r>
          </w:p>
        </w:tc>
        <w:tc>
          <w:tcPr>
            <w:tcW w:w="698" w:type="pct"/>
            <w:tcBorders>
              <w:top w:val="single" w:color="000000" w:sz="4" w:space="0"/>
              <w:left w:val="nil"/>
              <w:bottom w:val="single" w:color="000000" w:sz="4" w:space="0"/>
              <w:right w:val="single" w:color="000000" w:sz="4" w:space="0"/>
            </w:tcBorders>
            <w:tcMar>
              <w:top w:w="0" w:type="dxa"/>
              <w:left w:w="105" w:type="dxa"/>
              <w:bottom w:w="0" w:type="dxa"/>
              <w:right w:w="105" w:type="dxa"/>
            </w:tcMar>
            <w:vAlign w:val="center"/>
          </w:tcPr>
          <w:p w14:paraId="4B0204E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每路最高限价(万元)</w:t>
            </w:r>
          </w:p>
        </w:tc>
      </w:tr>
      <w:tr w14:paraId="4FB077E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18"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006F770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919"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5A3BBE2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图片识别单元点位迁移（客观原因更换点位）</w:t>
            </w:r>
          </w:p>
        </w:tc>
        <w:tc>
          <w:tcPr>
            <w:tcW w:w="674"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BCCDA1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立杆点位迁移</w:t>
            </w:r>
          </w:p>
        </w:tc>
        <w:tc>
          <w:tcPr>
            <w:tcW w:w="1495"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D803F1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1、原立杆、控制箱和其他设备拆除费用；2、电源线、网线、PVC管等材料费用；3、开挖水泥路面及恢复费用；4、控制箱、摄像头、立杆制作及安装费用。</w:t>
            </w:r>
          </w:p>
        </w:tc>
        <w:tc>
          <w:tcPr>
            <w:tcW w:w="438"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C4FFE0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点位</w:t>
            </w:r>
          </w:p>
        </w:tc>
        <w:tc>
          <w:tcPr>
            <w:tcW w:w="455"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689AA3D">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26</w:t>
            </w:r>
          </w:p>
        </w:tc>
        <w:tc>
          <w:tcPr>
            <w:tcW w:w="698"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60AFC5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0.99</w:t>
            </w:r>
          </w:p>
        </w:tc>
      </w:tr>
      <w:tr w14:paraId="7F809A5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18"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5783882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919" w:type="pct"/>
            <w:vMerge w:val="continue"/>
            <w:tcBorders>
              <w:top w:val="nil"/>
              <w:left w:val="nil"/>
              <w:bottom w:val="single" w:color="000000" w:sz="4" w:space="0"/>
              <w:right w:val="single" w:color="000000" w:sz="4" w:space="0"/>
            </w:tcBorders>
            <w:vAlign w:val="center"/>
          </w:tcPr>
          <w:p w14:paraId="1EC6167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p>
        </w:tc>
        <w:tc>
          <w:tcPr>
            <w:tcW w:w="674"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6991FD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横臂点位迁移（以迁移结果为准）</w:t>
            </w:r>
          </w:p>
        </w:tc>
        <w:tc>
          <w:tcPr>
            <w:tcW w:w="1495"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7DB1C1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1、控制箱和其他设备拆除费用；2、电源线、网线、PVC管等材料及人工费用；3、开挖水泥路面及恢复费用；4、控制箱、摄像头及横臂安装费用。</w:t>
            </w:r>
          </w:p>
        </w:tc>
        <w:tc>
          <w:tcPr>
            <w:tcW w:w="438"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1B204A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点位</w:t>
            </w:r>
          </w:p>
        </w:tc>
        <w:tc>
          <w:tcPr>
            <w:tcW w:w="455"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1150A3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53</w:t>
            </w:r>
          </w:p>
        </w:tc>
        <w:tc>
          <w:tcPr>
            <w:tcW w:w="698"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16BF08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0.54</w:t>
            </w:r>
          </w:p>
        </w:tc>
      </w:tr>
      <w:tr w14:paraId="4B8CA99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18"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5E842CA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919"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77E6176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卡口采集抓拍单元更换点位（客观原因更换点位）</w:t>
            </w:r>
          </w:p>
        </w:tc>
        <w:tc>
          <w:tcPr>
            <w:tcW w:w="674"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4172C7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立杆点位迁移</w:t>
            </w:r>
          </w:p>
        </w:tc>
        <w:tc>
          <w:tcPr>
            <w:tcW w:w="1495"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BAD594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1、立杆点位迁移，包含杆体及设备、电源线路整体迁移工作。</w:t>
            </w:r>
          </w:p>
        </w:tc>
        <w:tc>
          <w:tcPr>
            <w:tcW w:w="438"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60085B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点位</w:t>
            </w:r>
          </w:p>
        </w:tc>
        <w:tc>
          <w:tcPr>
            <w:tcW w:w="455"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6B939F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698"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5C7700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3.5</w:t>
            </w:r>
          </w:p>
        </w:tc>
      </w:tr>
      <w:tr w14:paraId="3687A28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18"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50E9D6C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919" w:type="pct"/>
            <w:vMerge w:val="continue"/>
            <w:tcBorders>
              <w:top w:val="nil"/>
              <w:left w:val="nil"/>
              <w:bottom w:val="single" w:color="000000" w:sz="4" w:space="0"/>
              <w:right w:val="single" w:color="000000" w:sz="4" w:space="0"/>
            </w:tcBorders>
            <w:vAlign w:val="center"/>
          </w:tcPr>
          <w:p w14:paraId="712DF4C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p>
        </w:tc>
        <w:tc>
          <w:tcPr>
            <w:tcW w:w="674"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EE4512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非立杆点位迁移</w:t>
            </w:r>
          </w:p>
        </w:tc>
        <w:tc>
          <w:tcPr>
            <w:tcW w:w="1495"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74D4CA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1、非立杆点位迁移，包含设备、电源线路整体迁移工作。不涉及基础开挖。</w:t>
            </w:r>
          </w:p>
        </w:tc>
        <w:tc>
          <w:tcPr>
            <w:tcW w:w="438"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9CF6F3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点位</w:t>
            </w:r>
          </w:p>
        </w:tc>
        <w:tc>
          <w:tcPr>
            <w:tcW w:w="455"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2605F6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698"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8FB9D3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1.75</w:t>
            </w:r>
          </w:p>
        </w:tc>
      </w:tr>
    </w:tbl>
    <w:p w14:paraId="294BAC26">
      <w:pPr>
        <w:pStyle w:val="2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实际迁移数量支付，超出部分由供应商包干。点位迁移：一是因客观原因（如市政施工、场所变迁、自然灾害等），设备或取电在短期内无法恢复，需要迁移的情况。二是根据业务需求，用户主动要求迁移的情况。迁移时，应同步通知链路运营商，提供《迁移链路联系单》（供应商的前端设备运维负责人签名，盖公司授权章）。</w:t>
      </w:r>
    </w:p>
    <w:p w14:paraId="10AA8059">
      <w:pPr>
        <w:pStyle w:val="222"/>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包干配件、辅材</w:t>
      </w:r>
    </w:p>
    <w:p w14:paraId="6DA333D2">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配件不足时，供应商包干配件，如摄像机、硬盘、立杆、设备箱、前端交换机、电源等；包干辅材，如电线、网线等，且辅材质量不得低于原建设项目的质量要求。</w:t>
      </w:r>
    </w:p>
    <w:p w14:paraId="09D3D03A">
      <w:pPr>
        <w:pStyle w:val="222"/>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本期项目费用说明</w:t>
      </w:r>
    </w:p>
    <w:p w14:paraId="1D8468C2">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本项目费用已包含确保所有设备稳定运行的一切费用（包括但不限于电费、用电服务费、迁移费、接入费、场地费、协调费、人力服务费、车马费、材料费、软件升级费及不可预知的一切费用）。</w:t>
      </w:r>
    </w:p>
    <w:p w14:paraId="70451372">
      <w:pPr>
        <w:pStyle w:val="222"/>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en-US" w:eastAsia="zh-CN"/>
        </w:rPr>
        <w:t>服务要求</w:t>
      </w:r>
    </w:p>
    <w:p w14:paraId="5A141DDA">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整体内容包括：卡口采集抓拍单元、图片识别单元、网络管理交换机、供电服务及前端相关配套设备，完成故障检测、维修处理及日常运维工作，前端供电服务。进行7×24小时不间断的主动式的、预防式的安全管理服务。</w:t>
      </w:r>
    </w:p>
    <w:p w14:paraId="593580AE">
      <w:pPr>
        <w:pStyle w:val="222"/>
        <w:keepNext w:val="0"/>
        <w:keepLines w:val="0"/>
        <w:pageBreakBefore w:val="0"/>
        <w:widowControl w:val="0"/>
        <w:numPr>
          <w:ilvl w:val="0"/>
          <w:numId w:val="8"/>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主动巡检。运维人员应做好日常巡检工作，前端在线情况需每天巡检2轮；前端数据质量每月巡检1轮；外场设备设施，每季度需现场巡检1轮。做好相关巡检记录并及时安排运维人员处理。数据质量巡检包括但不限于：画面质量不佳（如模糊、被遮挡、出现雪花、黑白点等）；</w:t>
      </w:r>
    </w:p>
    <w:p w14:paraId="024EDF4D">
      <w:pPr>
        <w:pStyle w:val="222"/>
        <w:keepNext w:val="0"/>
        <w:keepLines w:val="0"/>
        <w:pageBreakBefore w:val="0"/>
        <w:widowControl w:val="0"/>
        <w:numPr>
          <w:ilvl w:val="0"/>
          <w:numId w:val="8"/>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在线率高于95%。在运维服务期内，保证本工程所涉及所有前端设备在线（以数据上传至后台为准）比例不小于95%，每周统计前端在线情况，每季度计算平均值。</w:t>
      </w:r>
    </w:p>
    <w:p w14:paraId="412BFDD5">
      <w:pPr>
        <w:pStyle w:val="222"/>
        <w:keepNext w:val="0"/>
        <w:keepLines w:val="0"/>
        <w:pageBreakBefore w:val="0"/>
        <w:widowControl w:val="0"/>
        <w:numPr>
          <w:ilvl w:val="0"/>
          <w:numId w:val="8"/>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报障修复要求。提供固定报障电话，提供7×24小时系统任何故障响应服务，收到报障必须要半小时内响应，2小时内赶到现场，到达现场后需拍照取证。如遇不可抗拒的原因无法按时到达现场的，提供书面详细情况说明原因。故障修复时间要求如下：</w:t>
      </w:r>
    </w:p>
    <w:p w14:paraId="6268816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70" w:leftChars="0" w:firstLine="210" w:firstLineChars="1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①遇紧急安全情况（交通事故损坏、设备掉落、井盖破损、起火等造成现场存在其他安全隐患的情况），运维人员接电话通知后，必须1小时内到达现场处置，3小时内消除安全隐患。</w:t>
      </w:r>
    </w:p>
    <w:p w14:paraId="0A97222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70" w:left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②常规故障：采用更换零配件的方式维修后可保证现场设备正常运行的，24小时内修复现场故障；若主要设备的故障在24小时内仍未处理完毕，须提供性能参数不低于故障设备的设备临时使用或采取应急措施解决，不得影响用户的正常工作业务。</w:t>
      </w:r>
    </w:p>
    <w:p w14:paraId="0EA709B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70" w:left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③线路（取电路由）故障的：经抢修人员电话或邮件与用户确认后，需在5天内修复故障；链路故障时，供应商应主动通知链路运维单位，协助用户督促链路运维单位在5天内完成修复。</w:t>
      </w:r>
    </w:p>
    <w:p w14:paraId="007FAA6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70" w:left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④经数据质量巡检发现画面质量不佳的：如模糊、被遮挡、出现雪花、黑白点等，供应商需在5天内完成修复</w:t>
      </w:r>
    </w:p>
    <w:p w14:paraId="14FBCD2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70" w:left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⑤涉及基础施工（如基础水泥浇灌、地下管线施工）等的故障，需在15日内修复故障。</w:t>
      </w:r>
    </w:p>
    <w:p w14:paraId="77F0CC1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70" w:left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⑥客观原因（如市政施工、场所变迁、自然不可抗力、场所入场审批等）经招标人确认后，可以根据具体情况延长修复时间，但每周必须提供施工的进度报告说明情况。同步通知链路运维单位，并提供《暂停/恢复链路联系单》（供应商项目负责人签名，盖公司授权章）。</w:t>
      </w:r>
    </w:p>
    <w:p w14:paraId="6D5642A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70" w:left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⑦因客观原因收到用户书面迁移通知后，应在30日内迁移至新点位并恢复设备运行。</w:t>
      </w:r>
    </w:p>
    <w:p w14:paraId="63BCAF3E">
      <w:pPr>
        <w:pStyle w:val="222"/>
        <w:keepNext w:val="0"/>
        <w:keepLines w:val="0"/>
        <w:pageBreakBefore w:val="0"/>
        <w:widowControl w:val="0"/>
        <w:numPr>
          <w:ilvl w:val="0"/>
          <w:numId w:val="8"/>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运维期结束前，需对设备清点，如有缺失或损坏，按设备价值赔偿。</w:t>
      </w:r>
    </w:p>
    <w:p w14:paraId="3F7C0255">
      <w:pPr>
        <w:pStyle w:val="222"/>
        <w:keepNext w:val="0"/>
        <w:keepLines w:val="0"/>
        <w:pageBreakBefore w:val="0"/>
        <w:widowControl w:val="0"/>
        <w:numPr>
          <w:ilvl w:val="0"/>
          <w:numId w:val="8"/>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对设备维护（包括但不限于设备自然损坏、人为损坏、交通事故、偷盗破坏、道路施工等造成损坏的维护）、保养、保管等行为所产生的人工费、材料费、施工费、交通费、通讯费等其他相关费用均由供应商负责。（设备由第三方损坏的，供应商应先行修复，再自行追偿）。</w:t>
      </w:r>
    </w:p>
    <w:p w14:paraId="27643082">
      <w:pPr>
        <w:pStyle w:val="222"/>
        <w:keepNext w:val="0"/>
        <w:keepLines w:val="0"/>
        <w:pageBreakBefore w:val="0"/>
        <w:widowControl w:val="0"/>
        <w:numPr>
          <w:ilvl w:val="0"/>
          <w:numId w:val="8"/>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节假日应安排人员值班；重大活动或重要工作期间，应安排人员现场实施保障服务。</w:t>
      </w:r>
    </w:p>
    <w:p w14:paraId="0DEDF519">
      <w:pPr>
        <w:pStyle w:val="222"/>
        <w:keepNext w:val="0"/>
        <w:keepLines w:val="0"/>
        <w:pageBreakBefore w:val="0"/>
        <w:widowControl w:val="0"/>
        <w:numPr>
          <w:ilvl w:val="0"/>
          <w:numId w:val="8"/>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程序补丁和文档更新，提供升级设备硬件固件程序、软件版本或更新补丁服务。提供的应用软件系统进行检查及定期维护，对已有的版本模块进行升级，并对升级后的应用软件进行测试，保证系统能正常工作。</w:t>
      </w:r>
    </w:p>
    <w:p w14:paraId="0DEBDC58">
      <w:pPr>
        <w:pStyle w:val="222"/>
        <w:keepNext w:val="0"/>
        <w:keepLines w:val="0"/>
        <w:pageBreakBefore w:val="0"/>
        <w:widowControl w:val="0"/>
        <w:numPr>
          <w:ilvl w:val="0"/>
          <w:numId w:val="8"/>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其他运维相关工作（包括前端设备建档信息维护、项目文档资料整理及用户安排的其他临时工作等）。</w:t>
      </w:r>
    </w:p>
    <w:p w14:paraId="2C775264">
      <w:pPr>
        <w:pStyle w:val="222"/>
        <w:keepNext w:val="0"/>
        <w:keepLines w:val="0"/>
        <w:pageBreakBefore w:val="0"/>
        <w:widowControl w:val="0"/>
        <w:numPr>
          <w:ilvl w:val="0"/>
          <w:numId w:val="8"/>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咨询顾问服务，在设备、平台运行过程中，能够根据招标人要求，对设备运行状态、扩容建议、与周边系统对接等问题进行顾问咨询。供应商在服务要求内无法完成工作内容的，招标人可聘请第三方厂家完成，费用由供应商承担。</w:t>
      </w:r>
    </w:p>
    <w:p w14:paraId="52F82305">
      <w:pPr>
        <w:pStyle w:val="222"/>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人员要求</w:t>
      </w:r>
    </w:p>
    <w:p w14:paraId="725AA53B">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提供4名具有前端设备运维经验的工程师进行驻场运维。</w:t>
      </w:r>
    </w:p>
    <w:p w14:paraId="5DE04B4F">
      <w:pPr>
        <w:pStyle w:val="222"/>
        <w:keepNext w:val="0"/>
        <w:keepLines w:val="0"/>
        <w:pageBreakBefore w:val="0"/>
        <w:widowControl w:val="0"/>
        <w:numPr>
          <w:ilvl w:val="0"/>
          <w:numId w:val="9"/>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组长1人，具有大专及以上学历（计算机、网络、软件工程、电子、通信、机电等相关专业），至少3年及以上相关工作经验，具备项目管理经验，熟悉Excel等办公软件操作，能够快速掌握每个设备情况，具备及时发现并修复故障的能力，具有良好的沟通表达能力。</w:t>
      </w:r>
    </w:p>
    <w:p w14:paraId="3E1667BC">
      <w:pPr>
        <w:pStyle w:val="222"/>
        <w:keepNext w:val="0"/>
        <w:keepLines w:val="0"/>
        <w:pageBreakBefore w:val="0"/>
        <w:widowControl w:val="0"/>
        <w:numPr>
          <w:ilvl w:val="0"/>
          <w:numId w:val="9"/>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组员3人，具有大专及以上学历（计算机、网络、软件工程、电子、通信、机电等相关专业），或至少2年及以上相关工作经验，熟悉Excel等办公软件操作，能够快速掌握每个设备情况，具备及时发现并修复故障的能力，具有良好的沟通表达能力。</w:t>
      </w:r>
    </w:p>
    <w:p w14:paraId="206CDFE7">
      <w:pPr>
        <w:pStyle w:val="222"/>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en-US" w:eastAsia="zh-CN"/>
        </w:rPr>
        <w:t>道路交通设施日常维护</w:t>
      </w:r>
    </w:p>
    <w:p w14:paraId="6F17D38C">
      <w:pPr>
        <w:pStyle w:val="222"/>
        <w:keepNext w:val="0"/>
        <w:keepLines w:val="0"/>
        <w:pageBreakBefore w:val="0"/>
        <w:widowControl w:val="0"/>
        <w:numPr>
          <w:ilvl w:val="0"/>
          <w:numId w:val="10"/>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en-US" w:eastAsia="zh-CN"/>
        </w:rPr>
        <w:t>运维范围</w:t>
      </w:r>
    </w:p>
    <w:p w14:paraId="0D88ECA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对</w:t>
      </w:r>
      <w:r>
        <w:rPr>
          <w:rFonts w:hint="eastAsia" w:ascii="宋体" w:hAnsi="宋体" w:eastAsia="宋体" w:cs="宋体"/>
          <w:bCs/>
          <w:color w:val="auto"/>
          <w:sz w:val="21"/>
          <w:szCs w:val="21"/>
          <w:highlight w:val="none"/>
        </w:rPr>
        <w:t>大约287套</w:t>
      </w:r>
      <w:r>
        <w:rPr>
          <w:rFonts w:hint="eastAsia" w:ascii="宋体" w:hAnsi="宋体" w:eastAsia="宋体" w:cs="宋体"/>
          <w:color w:val="auto"/>
          <w:kern w:val="0"/>
          <w:sz w:val="21"/>
          <w:szCs w:val="21"/>
          <w:highlight w:val="none"/>
          <w:lang w:val="en-US" w:eastAsia="zh-CN"/>
        </w:rPr>
        <w:t>（路口）信号灯灯组、灯杆、地下管道、线路、沙井、防雷、莱斯控制机、借道左转、潮汐车道、视频流量检测器、雷达流量检测器、倒计时等设备的维护抢修保养优化。</w:t>
      </w:r>
    </w:p>
    <w:p w14:paraId="25A29AAB">
      <w:pPr>
        <w:pStyle w:val="222"/>
        <w:keepNext w:val="0"/>
        <w:keepLines w:val="0"/>
        <w:pageBreakBefore w:val="0"/>
        <w:widowControl w:val="0"/>
        <w:numPr>
          <w:ilvl w:val="0"/>
          <w:numId w:val="10"/>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en-US" w:eastAsia="zh-CN"/>
        </w:rPr>
        <w:t>服务要求</w:t>
      </w:r>
    </w:p>
    <w:p w14:paraId="206828C4">
      <w:pPr>
        <w:pStyle w:val="222"/>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外场设备保障性巡检</w:t>
      </w:r>
    </w:p>
    <w:p w14:paraId="19632C05">
      <w:pPr>
        <w:pStyle w:val="223"/>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每两个月对设备巡检1次，对信号落地机柜内检查设备是否缺失、损坏，针对信号机柜内设备灰尘进行除尘工作，排查主电源电压是否符合设备运行范围，检查灯盘是否损坏，井盖是否损坏，地下管线是否损坏，机柜是否进入虫、鼠对设备、线路进行破坏。各个方向信号配时是否一致，设备数量检查、杆件上的设备数量检查，机箱箱内主电源电压检查和网络检查。</w:t>
      </w:r>
    </w:p>
    <w:p w14:paraId="5FD7DD07">
      <w:pPr>
        <w:pStyle w:val="222"/>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硬件维护及故障处理</w:t>
      </w:r>
    </w:p>
    <w:p w14:paraId="3F9B59BC">
      <w:pPr>
        <w:pStyle w:val="223"/>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对设备提供硬件维护及故障处理服务。</w:t>
      </w:r>
    </w:p>
    <w:p w14:paraId="6008CA53">
      <w:pPr>
        <w:pStyle w:val="223"/>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故障响应要求：提供7×24小时系统任何故障30分钟内响应服务，收到报障后大城区范围内1小时内赶到现场，大城区范围外2小时内赶到现场，如遇不可抗拒的原因无法按时到达现场的，需提供书面详细情况说明原因。发布故障后，须在报障2小时内反馈故障现场情况。</w:t>
      </w:r>
    </w:p>
    <w:p w14:paraId="69A47647">
      <w:pPr>
        <w:pStyle w:val="223"/>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故障修复时间要求如下：</w:t>
      </w:r>
    </w:p>
    <w:p w14:paraId="53F71FCE">
      <w:pPr>
        <w:pStyle w:val="223"/>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第一级：常规故障。采用更换零配件的方式维修后可保证现场设备正常运行的，3小时内修复故障；</w:t>
      </w:r>
    </w:p>
    <w:p w14:paraId="3847D868">
      <w:pPr>
        <w:pStyle w:val="223"/>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第二级：线路、取电等涉及线路故障的，经抢修人员与报障人员确认后，需在48小时内修复故障；</w:t>
      </w:r>
    </w:p>
    <w:p w14:paraId="5417FFBF">
      <w:pPr>
        <w:pStyle w:val="223"/>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第三级：基础、地下管道施工等需要报批施工的故障，经抢修人员与报障人员确认，具备恢复条件并取得审批许可后，在7个自然日内修复故障，如果修复涉及必须消耗的施工时间（如倒基础必须等水泥干后才能进行下一步的施工等），可以根据具体情况延长修复时间，但供应商必须提供施工的进度报告说明情况。</w:t>
      </w:r>
    </w:p>
    <w:p w14:paraId="14E95438">
      <w:pPr>
        <w:pStyle w:val="223"/>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第四级：信号灯指挥系统瘫痪、服务器故障、断电供应，失去区域性（同一时间出现5个及以上）的信号灯的有效正常控制。收到报障后30分钟内赶到现场，2小时内修复系统故障并使莱斯系统能正常控制各联网路口信号灯正常运作。如果修复涉及必须消耗的时间（如系统厂家也未能解决的系统性问题或需获取厂家系统权限等），经抢修人员与报障人员确认后，需在3小时内修复故障。</w:t>
      </w:r>
    </w:p>
    <w:p w14:paraId="5F1E7013">
      <w:pPr>
        <w:pStyle w:val="222"/>
        <w:keepNext w:val="0"/>
        <w:keepLines w:val="0"/>
        <w:pageBreakBefore w:val="0"/>
        <w:widowControl w:val="0"/>
        <w:numPr>
          <w:ilvl w:val="0"/>
          <w:numId w:val="10"/>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人员要求</w:t>
      </w:r>
    </w:p>
    <w:p w14:paraId="0DA151A4">
      <w:pPr>
        <w:pStyle w:val="223"/>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提供</w:t>
      </w:r>
      <w:r>
        <w:rPr>
          <w:rFonts w:hint="eastAsia" w:ascii="宋体" w:hAnsi="宋体" w:eastAsia="宋体" w:cs="宋体"/>
          <w:color w:val="auto"/>
          <w:sz w:val="21"/>
          <w:szCs w:val="21"/>
          <w:highlight w:val="none"/>
          <w:lang w:val="en-US" w:eastAsia="zh-CN"/>
        </w:rPr>
        <w:t>驻点运维人员2人，具有大专及以上学历（计算机、软件工程、通信、电子等相关专业），或至少2年及以上相关工作经验，熟悉Excel等办公软件操作，能够快速掌握每个设备情况，具备及时发现并修复故障的能力，具有良好的沟通表达能力。</w:t>
      </w:r>
    </w:p>
    <w:p w14:paraId="1EEC7C21">
      <w:pPr>
        <w:pStyle w:val="222"/>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Chars="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color w:val="auto"/>
          <w:kern w:val="2"/>
          <w:sz w:val="21"/>
          <w:szCs w:val="21"/>
          <w:highlight w:val="none"/>
          <w:lang w:val="en-US" w:eastAsia="zh-CN" w:bidi="ar-SA"/>
        </w:rPr>
        <w:t>电子警察硬件维护</w:t>
      </w:r>
    </w:p>
    <w:p w14:paraId="0380D74E">
      <w:pPr>
        <w:pStyle w:val="222"/>
        <w:keepNext w:val="0"/>
        <w:keepLines w:val="0"/>
        <w:pageBreakBefore w:val="0"/>
        <w:widowControl w:val="0"/>
        <w:numPr>
          <w:ilvl w:val="0"/>
          <w:numId w:val="12"/>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运维范围</w:t>
      </w:r>
    </w:p>
    <w:p w14:paraId="70C81FCB">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对前端约672个方向的电子警察前端系统设备、105套太阳能违停球等配套设施常规维护抢修保养巡检。</w:t>
      </w:r>
    </w:p>
    <w:p w14:paraId="4BF39BA6">
      <w:pPr>
        <w:pStyle w:val="222"/>
        <w:keepNext w:val="0"/>
        <w:keepLines w:val="0"/>
        <w:pageBreakBefore w:val="0"/>
        <w:widowControl w:val="0"/>
        <w:numPr>
          <w:ilvl w:val="0"/>
          <w:numId w:val="12"/>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b/>
          <w:bCs/>
          <w:color w:val="auto"/>
          <w:sz w:val="21"/>
          <w:szCs w:val="21"/>
          <w:highlight w:val="none"/>
          <w:lang w:val="en-US" w:eastAsia="zh-CN"/>
        </w:rPr>
        <w:t>服务要求</w:t>
      </w:r>
    </w:p>
    <w:p w14:paraId="78642880">
      <w:pPr>
        <w:pStyle w:val="222"/>
        <w:keepNext w:val="0"/>
        <w:keepLines w:val="0"/>
        <w:pageBreakBefore w:val="0"/>
        <w:widowControl w:val="0"/>
        <w:numPr>
          <w:ilvl w:val="0"/>
          <w:numId w:val="13"/>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外场设备保障性巡检</w:t>
      </w:r>
    </w:p>
    <w:p w14:paraId="4E9BB04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每两个月对电子警察前端系统设备、太阳能违停球巡检1次，对设备自然损坏、人为损坏、交通事故、偷盗破坏、道路施工等造成损坏的维护，对落地机柜内检查设备是否缺失、损坏，针对机柜内灰尘较多的机柜进行除尘工作，排查主电源电压是否符合设备运行范围，检查终端硬盘情况是否损坏，机柜是否进入虫、鼠对设备、线路进行破坏。各个方向电警标牌、标线是否缺少，标牌与标牌是否一致，对杆件的抱杆箱内设备进行除尘，设备数量检查、杆件上的设备数量检查，抱杆箱内主电源电压检查。</w:t>
      </w:r>
    </w:p>
    <w:p w14:paraId="05ECC34C">
      <w:pPr>
        <w:pStyle w:val="222"/>
        <w:keepNext w:val="0"/>
        <w:keepLines w:val="0"/>
        <w:pageBreakBefore w:val="0"/>
        <w:widowControl w:val="0"/>
        <w:numPr>
          <w:ilvl w:val="0"/>
          <w:numId w:val="13"/>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硬件维护及故障处理</w:t>
      </w:r>
    </w:p>
    <w:p w14:paraId="6DCDA35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故障响应要求：要求提供固定报障电话，提供7×24小时任何故障响应服务，收到报障必须要30分钟内响应，市区范围内1小时内赶到现场，市区范围外3小时内赶到现场，到达现场后需拍照取证。如遇不可抗拒的原因无法按时到达现场的，需提供书面详细情况说明原因。</w:t>
      </w:r>
    </w:p>
    <w:p w14:paraId="052C671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故障修复时间要求：</w:t>
      </w:r>
    </w:p>
    <w:p w14:paraId="1667E12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70" w:leftChars="0" w:firstLine="210" w:firstLineChars="1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①采用更换零配件的方式维修后可保证现场设备正常运行的，24小时内修复现场故障（涉及到补光灯调试的故障，修复时间为48小时），涉及到设备返厂维修的故障，返厂维修期间需提供同等档次备机更换并在更换后确保设备保持正常运行状态，直到故障设备维修好后送返现场（返厂维修时限需在双方约定时间期限内完成）；</w:t>
      </w:r>
    </w:p>
    <w:p w14:paraId="1FB2EF7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70" w:leftChars="0" w:firstLine="210" w:firstLineChars="1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②无法维修的设备，供应商需提供同等性能的设备进行替换；</w:t>
      </w:r>
    </w:p>
    <w:p w14:paraId="4B2C82D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70" w:leftChars="0" w:firstLine="210" w:firstLineChars="1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③运营商光纤线路故障，经抢修人员电话或邮件与报障人员确认后，由供应商与运营商沟通修复时限。由供应商负责与光纤运营商报障并跟进故障修复进度，直到故障修复完成后才算完成结单。非运营商光纤线路故障（机箱ONU到前端设备的尾纤或网线以及电警杆上连接设备的网线），故障解决时限为72小时内修复。若报给运营商光纤故障修复进度缓慢，供应商需及时报告甲方，并把该故障单申请挂单；</w:t>
      </w:r>
    </w:p>
    <w:p w14:paraId="0979967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70" w:leftChars="0" w:firstLine="210" w:firstLineChars="1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④当遇到客观困难情况（例如：道路严重堵车、交通事故、恶劣天气、车流高峰期、第三方维护的机房环境或各种不可抗力情况），对故障修复时效造成影响的，供应商须在24小时内以书面方式向甲方提出故障修复时效延期或挂单。供应商工程作业车通行证、年检过期不属于客观困难，故不能申请延期或挂单。供应商不能以工程作业车数量不足无法修复故障为由，申请故障延期或挂单；</w:t>
      </w:r>
    </w:p>
    <w:p w14:paraId="1F299EF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维护性能指标要求：</w:t>
      </w:r>
    </w:p>
    <w:p w14:paraId="33DE7A0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70" w:leftChars="0" w:firstLine="210" w:firstLineChars="1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①捕获率：≥95%，检测率：≥90%；</w:t>
      </w:r>
    </w:p>
    <w:p w14:paraId="0023BE3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70" w:leftChars="0" w:firstLine="210" w:firstLineChars="1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②不按导向车道行车标准环境捕获率：≥95%，检测率：≥90% ；</w:t>
      </w:r>
    </w:p>
    <w:p w14:paraId="18428E8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70" w:leftChars="0" w:firstLine="210" w:firstLineChars="1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③违法变线、压线，捕获率：≥95%，检测率：≥90%；</w:t>
      </w:r>
    </w:p>
    <w:p w14:paraId="6756ECB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70" w:leftChars="0" w:firstLine="210" w:firstLineChars="1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④逆行、不按规定倒车标准环境，捕获率：≥95%，检测率：≥90%；</w:t>
      </w:r>
    </w:p>
    <w:p w14:paraId="42F53C3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70" w:leftChars="0" w:firstLine="210" w:firstLineChars="1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⑤违法占用专用车道标准环境捕获率：≥95%，检测率：≥90% ；</w:t>
      </w:r>
    </w:p>
    <w:p w14:paraId="3AEE023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70" w:leftChars="0" w:firstLine="210" w:firstLineChars="1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⑥违法调头标准环境捕获率：≥95%，检测率：≥90% ；</w:t>
      </w:r>
    </w:p>
    <w:p w14:paraId="7E45EF5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70" w:leftChars="0" w:firstLine="210" w:firstLineChars="1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⑦违法停车标准环境捕获率：≥95%，检测率：≥90% ；</w:t>
      </w:r>
    </w:p>
    <w:p w14:paraId="7585C04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70" w:leftChars="0" w:firstLine="210" w:firstLineChars="1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⑧卡口抓拍标准环境车辆捕获率：≥99% ；</w:t>
      </w:r>
    </w:p>
    <w:p w14:paraId="3310664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70" w:leftChars="0" w:firstLine="210" w:firstLineChars="1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⑨号牌识别正确率：≥95%；</w:t>
      </w:r>
    </w:p>
    <w:p w14:paraId="6839B5A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70" w:leftChars="0" w:firstLine="210" w:firstLineChars="1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⑩车牌识别，白天车辆号牌识别率不小于95%，号牌识别准确率不小于92%;夜间车辆号牌识别准确率不小于85%。</w:t>
      </w:r>
    </w:p>
    <w:p w14:paraId="5E27BC4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对用户维护设备的整体要求：</w:t>
      </w:r>
    </w:p>
    <w:p w14:paraId="2F06C76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①号牌整体识别率：≥92%；时钟准确率100%，视频在线率≥95%，视频联网率100%。数据上传及时率≥95%。对该项指标纳入运维考核（以视综平台每月考核数据为准）。</w:t>
      </w:r>
    </w:p>
    <w:p w14:paraId="3B88627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②按照GAT 1400标准，把能够识别的车辆品牌、车辆类型、车身颜色等的特征，卡口需要按实际识别结果上传数据，不能统一传为“其它”，同时摄像机需要把车辆大图中的车辆目标坐标上传到视图库。</w:t>
      </w:r>
    </w:p>
    <w:p w14:paraId="518B23D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③要求供应商具有数据治理、数据自动同步的软件工具，并具有对应的计算机软件著作权登记证书；软件工具可以是供应商自有软件，也可以是供应商购买或租赁的第三方软件。</w:t>
      </w:r>
    </w:p>
    <w:p w14:paraId="71F91B1B">
      <w:pPr>
        <w:pStyle w:val="222"/>
        <w:keepNext w:val="0"/>
        <w:keepLines w:val="0"/>
        <w:pageBreakBefore w:val="0"/>
        <w:widowControl w:val="0"/>
        <w:numPr>
          <w:ilvl w:val="0"/>
          <w:numId w:val="13"/>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测速标定及校时</w:t>
      </w:r>
    </w:p>
    <w:p w14:paraId="4FD1FA6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运维期间对招标人指定的25处电子警察测速设备中处于标定或校时到期设备进行一次标定或校时。</w:t>
      </w:r>
    </w:p>
    <w:p w14:paraId="7975F951">
      <w:pPr>
        <w:pStyle w:val="222"/>
        <w:keepNext w:val="0"/>
        <w:keepLines w:val="0"/>
        <w:pageBreakBefore w:val="0"/>
        <w:widowControl w:val="0"/>
        <w:numPr>
          <w:ilvl w:val="0"/>
          <w:numId w:val="12"/>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b/>
          <w:color w:val="auto"/>
          <w:sz w:val="21"/>
          <w:szCs w:val="21"/>
          <w:highlight w:val="none"/>
          <w:lang w:val="en-US" w:eastAsia="zh-CN"/>
        </w:rPr>
        <w:t>人员</w:t>
      </w:r>
      <w:r>
        <w:rPr>
          <w:rFonts w:hint="eastAsia" w:ascii="宋体" w:hAnsi="宋体" w:eastAsia="宋体" w:cs="宋体"/>
          <w:b/>
          <w:color w:val="auto"/>
          <w:sz w:val="21"/>
          <w:szCs w:val="21"/>
          <w:highlight w:val="none"/>
        </w:rPr>
        <w:t>要求</w:t>
      </w:r>
    </w:p>
    <w:p w14:paraId="1FC86026">
      <w:pPr>
        <w:pStyle w:val="223"/>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提供驻点运维人员3名，具有大专及以上学历（计算机、软件工程、通信、电子等相关专业），或至少2年及以上相关工作经验，熟悉Excel等办公软件操作，能够快速掌握每个设备情况，具备及时发现并修复故障的能力，具有良好的沟通表达能力。</w:t>
      </w:r>
    </w:p>
    <w:p w14:paraId="762F4A3B">
      <w:pPr>
        <w:pStyle w:val="222"/>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Chars="0"/>
        <w:contextualSpacing/>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b/>
          <w:bCs/>
          <w:i w:val="0"/>
          <w:iCs w:val="0"/>
          <w:color w:val="auto"/>
          <w:kern w:val="2"/>
          <w:sz w:val="21"/>
          <w:szCs w:val="21"/>
          <w:highlight w:val="none"/>
          <w:lang w:val="en-US" w:eastAsia="zh-CN" w:bidi="ar"/>
        </w:rPr>
        <w:t>道路前端感知及交通诱导屏维护</w:t>
      </w:r>
    </w:p>
    <w:p w14:paraId="13FD8765">
      <w:pPr>
        <w:pStyle w:val="222"/>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运维范围</w:t>
      </w:r>
    </w:p>
    <w:p w14:paraId="7065158D">
      <w:pPr>
        <w:pStyle w:val="223"/>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color w:val="auto"/>
          <w:sz w:val="21"/>
          <w:szCs w:val="21"/>
          <w:highlight w:val="none"/>
          <w:lang w:val="en-US" w:eastAsia="zh-CN"/>
        </w:rPr>
      </w:pPr>
      <w:r>
        <w:rPr>
          <w:rFonts w:hint="eastAsia" w:ascii="宋体" w:hAnsi="宋体" w:eastAsia="宋体" w:cs="宋体"/>
          <w:bCs/>
          <w:color w:val="auto"/>
          <w:sz w:val="21"/>
          <w:szCs w:val="21"/>
          <w:highlight w:val="none"/>
        </w:rPr>
        <w:t>对前端728个道路前端感知</w:t>
      </w:r>
      <w:r>
        <w:rPr>
          <w:rFonts w:hint="eastAsia" w:ascii="宋体" w:hAnsi="宋体" w:eastAsia="宋体" w:cs="宋体"/>
          <w:bCs/>
          <w:color w:val="auto"/>
          <w:sz w:val="21"/>
          <w:szCs w:val="21"/>
          <w:highlight w:val="none"/>
          <w:lang w:val="en-US" w:eastAsia="zh-CN"/>
        </w:rPr>
        <w:t>及</w:t>
      </w:r>
      <w:r>
        <w:rPr>
          <w:rFonts w:hint="eastAsia" w:ascii="宋体" w:hAnsi="宋体" w:eastAsia="宋体" w:cs="宋体"/>
          <w:bCs/>
          <w:color w:val="auto"/>
          <w:sz w:val="21"/>
          <w:szCs w:val="21"/>
          <w:highlight w:val="none"/>
        </w:rPr>
        <w:t>24块交通诱导屏等的抢修维护。</w:t>
      </w:r>
    </w:p>
    <w:p w14:paraId="03A093EB">
      <w:pPr>
        <w:pStyle w:val="222"/>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服务要求</w:t>
      </w:r>
    </w:p>
    <w:p w14:paraId="42F433D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（1）外场设备保障性巡检</w:t>
      </w:r>
    </w:p>
    <w:p w14:paraId="6E1898C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每两个月对道路前端感知和交通诱导屏巡检1次，含设备自然损坏、人为损坏、交通事故、偷盗破坏道路施工等造成损坏的维护，对前端设备的电压、电线检测检查，除尘清洁等，每天对视频在线情况检查，视频清晰度。对交通诱导屏的屏显示效果，模组、排线、除尘、电压、电线、开关等的检查。</w:t>
      </w:r>
    </w:p>
    <w:p w14:paraId="40C21F3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（2）硬件维护及故障处理</w:t>
      </w:r>
    </w:p>
    <w:p w14:paraId="1A82463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报障响应要求：要求提供固定报障电话或其他可以实时通信的联系方式，提供7×24小时系统任何故障响应服务，必须要30分钟内响应，一般的设备故障在接到报修信息或电话后，环城路范围内1小时之内、环城路范围外2小时之内到达故障现场。设备抢修时，须在报障三小时内通过即时通讯反馈现场实施情况。对用户筛选出的重点路口，发生故障时，供应商应在接到报障后半小时内到达现场，反馈到场情况及到场图，并对故障设备进行检修。超时未到场的，需反馈维护人员的物理位置，并说明延迟到场情况。若非客观原因造成的（如：堵车、暴雨天气、道路施工、车辆限行等）延迟到场情况，将纳入当月的月度考核评分参考内容。</w:t>
      </w:r>
    </w:p>
    <w:p w14:paraId="5950D34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一般故障修复要求：一般采用更换零配件的方式，维修好后立即开通路口设备；要求3小时内修复故障。</w:t>
      </w:r>
    </w:p>
    <w:p w14:paraId="214B7DC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线路故障修复要求：线路、取电等涉及线路故障的，经抢修人员电话或邮件与报障人员确认后，需在48小时内修复故障。</w:t>
      </w:r>
    </w:p>
    <w:p w14:paraId="07D3B19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涉及第三方施工导致的故障修复要求：涉及第三方施工破坏、管道修复、城市建设需要土建报批施工等的故障，经抢修人员电话或邮件与报障人员确认，具备恢复条件并取得审批许可后，需在7天内修复故障并提供专题修复报告说明情况。设备故障涉项目外其他单位的，记录该单位的对接人及联系方式。</w:t>
      </w:r>
    </w:p>
    <w:p w14:paraId="339C1C33">
      <w:pPr>
        <w:pStyle w:val="222"/>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Chars="0"/>
        <w:contextualSpacing/>
        <w:textAlignment w:val="auto"/>
        <w:rPr>
          <w:rFonts w:hint="eastAsia" w:ascii="宋体" w:hAnsi="宋体" w:eastAsia="宋体" w:cs="宋体"/>
          <w:b/>
          <w:bCs/>
          <w:color w:val="auto"/>
          <w:kern w:val="0"/>
          <w:sz w:val="21"/>
          <w:szCs w:val="21"/>
          <w:highlight w:val="none"/>
          <w:lang w:val="en-US" w:eastAsia="zh-CN"/>
        </w:rPr>
      </w:pPr>
      <w:r>
        <w:rPr>
          <w:rFonts w:hint="eastAsia" w:ascii="宋体" w:hAnsi="宋体" w:eastAsia="宋体" w:cs="宋体"/>
          <w:b/>
          <w:bCs/>
          <w:color w:val="auto"/>
          <w:kern w:val="0"/>
          <w:sz w:val="21"/>
          <w:szCs w:val="21"/>
          <w:highlight w:val="none"/>
          <w:lang w:val="en-US" w:eastAsia="zh-CN"/>
        </w:rPr>
        <w:t>人员管理要求</w:t>
      </w:r>
    </w:p>
    <w:p w14:paraId="67B33B18">
      <w:pPr>
        <w:keepNext w:val="0"/>
        <w:keepLines w:val="0"/>
        <w:pageBreakBefore w:val="0"/>
        <w:numPr>
          <w:ilvl w:val="-1"/>
          <w:numId w:val="0"/>
        </w:numPr>
        <w:kinsoku/>
        <w:wordWrap/>
        <w:overflowPunct/>
        <w:topLinePunct w:val="0"/>
        <w:autoSpaceDE/>
        <w:autoSpaceDN/>
        <w:bidi w:val="0"/>
        <w:adjustRightInd w:val="0"/>
        <w:snapToGrid w:val="0"/>
        <w:spacing w:line="360" w:lineRule="auto"/>
        <w:ind w:firstLine="48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w:t>
      </w:r>
      <w:r>
        <w:rPr>
          <w:rFonts w:hint="eastAsia" w:ascii="宋体" w:hAnsi="宋体" w:eastAsia="宋体" w:cs="宋体"/>
          <w:color w:val="auto"/>
          <w:sz w:val="21"/>
          <w:szCs w:val="21"/>
          <w:highlight w:val="none"/>
        </w:rPr>
        <w:t>派驻</w:t>
      </w:r>
      <w:r>
        <w:rPr>
          <w:rFonts w:hint="eastAsia" w:ascii="宋体" w:hAnsi="宋体" w:eastAsia="宋体" w:cs="宋体"/>
          <w:color w:val="auto"/>
          <w:sz w:val="21"/>
          <w:szCs w:val="21"/>
          <w:highlight w:val="none"/>
          <w:lang w:val="en-US" w:eastAsia="zh-CN"/>
        </w:rPr>
        <w:t>不少于9名工程师</w:t>
      </w:r>
      <w:r>
        <w:rPr>
          <w:rFonts w:hint="eastAsia" w:ascii="宋体" w:hAnsi="宋体" w:eastAsia="宋体" w:cs="宋体"/>
          <w:color w:val="auto"/>
          <w:sz w:val="21"/>
          <w:szCs w:val="21"/>
          <w:highlight w:val="none"/>
        </w:rPr>
        <w:t>提供常驻服务</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驻点人员</w:t>
      </w:r>
      <w:r>
        <w:rPr>
          <w:rFonts w:hint="eastAsia" w:ascii="宋体" w:hAnsi="宋体" w:eastAsia="宋体" w:cs="宋体"/>
          <w:color w:val="auto"/>
          <w:sz w:val="21"/>
          <w:szCs w:val="21"/>
          <w:highlight w:val="none"/>
        </w:rPr>
        <w:t>需符合各服务子项的驻场</w:t>
      </w:r>
      <w:r>
        <w:rPr>
          <w:rFonts w:hint="eastAsia" w:ascii="宋体" w:hAnsi="宋体" w:eastAsia="宋体" w:cs="宋体"/>
          <w:color w:val="auto"/>
          <w:sz w:val="21"/>
          <w:szCs w:val="21"/>
          <w:highlight w:val="none"/>
          <w:lang w:val="en-US" w:eastAsia="zh-CN"/>
        </w:rPr>
        <w:t>人员要求和</w:t>
      </w:r>
      <w:r>
        <w:rPr>
          <w:rFonts w:hint="eastAsia" w:ascii="宋体" w:hAnsi="宋体" w:eastAsia="宋体" w:cs="宋体"/>
          <w:color w:val="auto"/>
          <w:sz w:val="21"/>
          <w:szCs w:val="21"/>
          <w:highlight w:val="none"/>
        </w:rPr>
        <w:t>服务要求</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由供应商</w:t>
      </w:r>
      <w:r>
        <w:rPr>
          <w:rFonts w:hint="eastAsia" w:ascii="宋体" w:hAnsi="宋体" w:eastAsia="宋体" w:cs="宋体"/>
          <w:color w:val="auto"/>
          <w:sz w:val="21"/>
          <w:szCs w:val="21"/>
          <w:highlight w:val="none"/>
        </w:rPr>
        <w:t>提供相关驻点人员信息给</w:t>
      </w:r>
      <w:r>
        <w:rPr>
          <w:rFonts w:hint="eastAsia" w:ascii="宋体" w:hAnsi="宋体" w:eastAsia="宋体" w:cs="宋体"/>
          <w:color w:val="auto"/>
          <w:szCs w:val="21"/>
          <w:highlight w:val="none"/>
          <w:lang w:val="en-US" w:eastAsia="zh-CN"/>
        </w:rPr>
        <w:t>招标人</w:t>
      </w:r>
      <w:r>
        <w:rPr>
          <w:rFonts w:hint="eastAsia" w:ascii="宋体" w:hAnsi="宋体" w:eastAsia="宋体" w:cs="宋体"/>
          <w:color w:val="auto"/>
          <w:sz w:val="21"/>
          <w:szCs w:val="21"/>
          <w:highlight w:val="none"/>
        </w:rPr>
        <w:t>审核</w:t>
      </w:r>
      <w:r>
        <w:rPr>
          <w:rFonts w:hint="eastAsia" w:ascii="宋体" w:hAnsi="宋体" w:eastAsia="宋体" w:cs="宋体"/>
          <w:color w:val="auto"/>
          <w:sz w:val="21"/>
          <w:szCs w:val="21"/>
          <w:highlight w:val="none"/>
          <w:lang w:val="en-US" w:eastAsia="zh-CN"/>
        </w:rPr>
        <w:t>通过</w:t>
      </w:r>
      <w:r>
        <w:rPr>
          <w:rFonts w:hint="eastAsia" w:ascii="宋体" w:hAnsi="宋体" w:eastAsia="宋体" w:cs="宋体"/>
          <w:color w:val="auto"/>
          <w:sz w:val="21"/>
          <w:szCs w:val="21"/>
          <w:highlight w:val="none"/>
        </w:rPr>
        <w:t>后方可入场。</w:t>
      </w:r>
      <w:r>
        <w:rPr>
          <w:rFonts w:hint="eastAsia" w:ascii="宋体" w:hAnsi="宋体" w:eastAsia="宋体" w:cs="宋体"/>
          <w:color w:val="auto"/>
          <w:sz w:val="21"/>
          <w:szCs w:val="21"/>
          <w:highlight w:val="none"/>
          <w:lang w:val="en-US" w:eastAsia="zh-CN"/>
        </w:rPr>
        <w:t>管理要求如下：</w:t>
      </w:r>
    </w:p>
    <w:p w14:paraId="371C39BB">
      <w:pPr>
        <w:pStyle w:val="222"/>
        <w:keepNext w:val="0"/>
        <w:keepLines w:val="0"/>
        <w:pageBreakBefore w:val="0"/>
        <w:widowControl w:val="0"/>
        <w:numPr>
          <w:ilvl w:val="0"/>
          <w:numId w:val="15"/>
        </w:numPr>
        <w:kinsoku/>
        <w:wordWrap/>
        <w:overflowPunct/>
        <w:topLinePunct w:val="0"/>
        <w:autoSpaceDE/>
        <w:autoSpaceDN/>
        <w:bidi w:val="0"/>
        <w:adjustRightInd/>
        <w:snapToGrid/>
        <w:spacing w:line="360" w:lineRule="auto"/>
        <w:ind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驻点人员须专门负责本项目的维护内容，不能与其他项目混合使用，不能变相减少驻点力量。如驻点人员工作能力无法满足相关岗位要求，</w:t>
      </w:r>
      <w:r>
        <w:rPr>
          <w:rFonts w:hint="eastAsia" w:ascii="宋体" w:hAnsi="宋体" w:eastAsia="宋体" w:cs="宋体"/>
          <w:color w:val="auto"/>
          <w:szCs w:val="21"/>
          <w:highlight w:val="none"/>
          <w:lang w:val="en-US" w:eastAsia="zh-CN"/>
        </w:rPr>
        <w:t>招标人</w:t>
      </w:r>
      <w:r>
        <w:rPr>
          <w:rFonts w:hint="eastAsia" w:ascii="宋体" w:hAnsi="宋体" w:eastAsia="宋体" w:cs="宋体"/>
          <w:color w:val="auto"/>
          <w:sz w:val="21"/>
          <w:szCs w:val="21"/>
          <w:highlight w:val="none"/>
        </w:rPr>
        <w:t>有权要求</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更换人员</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更换人员需在一个月内到岗</w:t>
      </w:r>
      <w:r>
        <w:rPr>
          <w:rFonts w:hint="eastAsia" w:ascii="宋体" w:hAnsi="宋体" w:eastAsia="宋体" w:cs="宋体"/>
          <w:color w:val="auto"/>
          <w:sz w:val="21"/>
          <w:szCs w:val="21"/>
          <w:highlight w:val="none"/>
        </w:rPr>
        <w:t>。</w:t>
      </w:r>
    </w:p>
    <w:p w14:paraId="45E9AC63">
      <w:pPr>
        <w:pStyle w:val="222"/>
        <w:keepNext w:val="0"/>
        <w:keepLines w:val="0"/>
        <w:pageBreakBefore w:val="0"/>
        <w:widowControl w:val="0"/>
        <w:numPr>
          <w:ilvl w:val="0"/>
          <w:numId w:val="15"/>
        </w:numPr>
        <w:kinsoku/>
        <w:wordWrap/>
        <w:overflowPunct/>
        <w:topLinePunct w:val="0"/>
        <w:autoSpaceDE/>
        <w:autoSpaceDN/>
        <w:bidi w:val="0"/>
        <w:adjustRightInd/>
        <w:snapToGrid/>
        <w:spacing w:line="360" w:lineRule="auto"/>
        <w:ind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如供应商需要更换驻点人员，应提前一个月通知</w:t>
      </w:r>
      <w:r>
        <w:rPr>
          <w:rFonts w:hint="eastAsia" w:ascii="宋体" w:hAnsi="宋体" w:eastAsia="宋体" w:cs="宋体"/>
          <w:color w:val="auto"/>
          <w:szCs w:val="21"/>
          <w:highlight w:val="none"/>
          <w:lang w:val="en-US" w:eastAsia="zh-CN"/>
        </w:rPr>
        <w:t>招标人</w:t>
      </w:r>
      <w:r>
        <w:rPr>
          <w:rFonts w:hint="eastAsia" w:ascii="宋体" w:hAnsi="宋体" w:eastAsia="宋体" w:cs="宋体"/>
          <w:color w:val="auto"/>
          <w:sz w:val="21"/>
          <w:szCs w:val="21"/>
          <w:highlight w:val="none"/>
          <w:lang w:val="en-US" w:eastAsia="zh-CN"/>
        </w:rPr>
        <w:t>，经审核同意后方可更换。</w:t>
      </w:r>
    </w:p>
    <w:p w14:paraId="7F5D6377">
      <w:pPr>
        <w:pStyle w:val="222"/>
        <w:keepNext w:val="0"/>
        <w:keepLines w:val="0"/>
        <w:pageBreakBefore w:val="0"/>
        <w:widowControl w:val="0"/>
        <w:numPr>
          <w:ilvl w:val="0"/>
          <w:numId w:val="15"/>
        </w:numPr>
        <w:kinsoku/>
        <w:wordWrap/>
        <w:overflowPunct/>
        <w:topLinePunct w:val="0"/>
        <w:autoSpaceDE/>
        <w:autoSpaceDN/>
        <w:bidi w:val="0"/>
        <w:adjustRightInd/>
        <w:snapToGrid/>
        <w:spacing w:line="360" w:lineRule="auto"/>
        <w:ind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lang w:val="en-US" w:eastAsia="zh-CN"/>
        </w:rPr>
        <w:t>招标人</w:t>
      </w:r>
      <w:r>
        <w:rPr>
          <w:rFonts w:hint="eastAsia" w:ascii="宋体" w:hAnsi="宋体" w:eastAsia="宋体" w:cs="宋体"/>
          <w:color w:val="auto"/>
          <w:sz w:val="21"/>
          <w:szCs w:val="21"/>
          <w:highlight w:val="none"/>
        </w:rPr>
        <w:t>为</w:t>
      </w:r>
      <w:r>
        <w:rPr>
          <w:rFonts w:hint="eastAsia" w:ascii="宋体" w:hAnsi="宋体" w:eastAsia="宋体" w:cs="宋体"/>
          <w:color w:val="auto"/>
          <w:sz w:val="21"/>
          <w:szCs w:val="21"/>
          <w:highlight w:val="none"/>
          <w:lang w:val="en-US" w:eastAsia="zh-CN"/>
        </w:rPr>
        <w:t>供应商驻点人员</w:t>
      </w:r>
      <w:r>
        <w:rPr>
          <w:rFonts w:hint="eastAsia" w:ascii="宋体" w:hAnsi="宋体" w:eastAsia="宋体" w:cs="宋体"/>
          <w:color w:val="auto"/>
          <w:sz w:val="21"/>
          <w:szCs w:val="21"/>
          <w:highlight w:val="none"/>
        </w:rPr>
        <w:t>提供办公场所，</w:t>
      </w:r>
      <w:r>
        <w:rPr>
          <w:rFonts w:hint="eastAsia" w:ascii="宋体" w:hAnsi="宋体" w:eastAsia="宋体" w:cs="宋体"/>
          <w:color w:val="auto"/>
          <w:sz w:val="21"/>
          <w:szCs w:val="21"/>
          <w:highlight w:val="none"/>
          <w:lang w:val="en-US" w:eastAsia="zh-CN"/>
        </w:rPr>
        <w:t>供应商</w:t>
      </w:r>
      <w:r>
        <w:rPr>
          <w:rFonts w:hint="eastAsia" w:ascii="宋体" w:hAnsi="宋体" w:eastAsia="宋体" w:cs="宋体"/>
          <w:color w:val="auto"/>
          <w:sz w:val="21"/>
          <w:szCs w:val="21"/>
          <w:highlight w:val="none"/>
        </w:rPr>
        <w:t>应自备必要的办公设施和用品</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为</w:t>
      </w:r>
      <w:r>
        <w:rPr>
          <w:rFonts w:hint="eastAsia" w:ascii="宋体" w:hAnsi="宋体" w:eastAsia="宋体" w:cs="宋体"/>
          <w:color w:val="auto"/>
          <w:sz w:val="21"/>
          <w:szCs w:val="21"/>
          <w:highlight w:val="none"/>
          <w:lang w:val="en-US" w:eastAsia="zh-CN"/>
        </w:rPr>
        <w:t>驻点</w:t>
      </w:r>
      <w:r>
        <w:rPr>
          <w:rFonts w:hint="eastAsia" w:ascii="宋体" w:hAnsi="宋体" w:eastAsia="宋体" w:cs="宋体"/>
          <w:color w:val="auto"/>
          <w:sz w:val="21"/>
          <w:szCs w:val="21"/>
          <w:highlight w:val="none"/>
        </w:rPr>
        <w:t>人员配备笔记本电脑、通讯工具</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打印机等</w:t>
      </w:r>
      <w:r>
        <w:rPr>
          <w:rFonts w:hint="eastAsia" w:ascii="宋体" w:hAnsi="宋体" w:eastAsia="宋体" w:cs="宋体"/>
          <w:color w:val="auto"/>
          <w:sz w:val="21"/>
          <w:szCs w:val="21"/>
          <w:highlight w:val="none"/>
        </w:rPr>
        <w:t>办公</w:t>
      </w:r>
      <w:r>
        <w:rPr>
          <w:rFonts w:hint="eastAsia" w:ascii="宋体" w:hAnsi="宋体" w:eastAsia="宋体" w:cs="宋体"/>
          <w:color w:val="auto"/>
          <w:sz w:val="21"/>
          <w:szCs w:val="21"/>
          <w:highlight w:val="none"/>
          <w:lang w:val="en-US" w:eastAsia="zh-CN"/>
        </w:rPr>
        <w:t>设备，办公</w:t>
      </w:r>
      <w:r>
        <w:rPr>
          <w:rFonts w:hint="eastAsia" w:ascii="宋体" w:hAnsi="宋体" w:eastAsia="宋体" w:cs="宋体"/>
          <w:color w:val="auto"/>
          <w:sz w:val="21"/>
          <w:szCs w:val="21"/>
          <w:highlight w:val="none"/>
        </w:rPr>
        <w:t>用品</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必要的维护设备</w:t>
      </w:r>
      <w:r>
        <w:rPr>
          <w:rFonts w:hint="eastAsia" w:ascii="宋体" w:hAnsi="宋体" w:eastAsia="宋体" w:cs="宋体"/>
          <w:color w:val="auto"/>
          <w:sz w:val="21"/>
          <w:szCs w:val="21"/>
          <w:highlight w:val="none"/>
          <w:lang w:val="en-US" w:eastAsia="zh-CN"/>
        </w:rPr>
        <w:t>等</w:t>
      </w:r>
      <w:r>
        <w:rPr>
          <w:rFonts w:hint="eastAsia" w:ascii="宋体" w:hAnsi="宋体" w:eastAsia="宋体" w:cs="宋体"/>
          <w:color w:val="auto"/>
          <w:sz w:val="21"/>
          <w:szCs w:val="21"/>
          <w:highlight w:val="none"/>
        </w:rPr>
        <w:t>。</w:t>
      </w:r>
    </w:p>
    <w:p w14:paraId="072887FB">
      <w:pPr>
        <w:pStyle w:val="222"/>
        <w:keepNext w:val="0"/>
        <w:keepLines w:val="0"/>
        <w:pageBreakBefore w:val="0"/>
        <w:widowControl w:val="0"/>
        <w:numPr>
          <w:ilvl w:val="0"/>
          <w:numId w:val="15"/>
        </w:numPr>
        <w:kinsoku/>
        <w:wordWrap/>
        <w:overflowPunct/>
        <w:topLinePunct w:val="0"/>
        <w:autoSpaceDE/>
        <w:autoSpaceDN/>
        <w:bidi w:val="0"/>
        <w:adjustRightInd/>
        <w:snapToGrid/>
        <w:spacing w:line="360" w:lineRule="auto"/>
        <w:ind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驻点</w:t>
      </w:r>
      <w:r>
        <w:rPr>
          <w:rFonts w:hint="eastAsia" w:ascii="宋体" w:hAnsi="宋体" w:eastAsia="宋体" w:cs="宋体"/>
          <w:color w:val="auto"/>
          <w:sz w:val="21"/>
          <w:szCs w:val="21"/>
          <w:highlight w:val="none"/>
        </w:rPr>
        <w:t>人员应严格按照</w:t>
      </w:r>
      <w:r>
        <w:rPr>
          <w:rFonts w:hint="eastAsia" w:ascii="宋体" w:hAnsi="宋体" w:eastAsia="宋体" w:cs="宋体"/>
          <w:color w:val="auto"/>
          <w:szCs w:val="21"/>
          <w:highlight w:val="none"/>
          <w:lang w:val="en-US" w:eastAsia="zh-CN"/>
        </w:rPr>
        <w:t>招标人</w:t>
      </w:r>
      <w:r>
        <w:rPr>
          <w:rFonts w:hint="eastAsia" w:ascii="宋体" w:hAnsi="宋体" w:eastAsia="宋体" w:cs="宋体"/>
          <w:color w:val="auto"/>
          <w:sz w:val="21"/>
          <w:szCs w:val="21"/>
          <w:highlight w:val="none"/>
          <w:lang w:val="en-US" w:eastAsia="zh-CN"/>
        </w:rPr>
        <w:t>规定的</w:t>
      </w:r>
      <w:r>
        <w:rPr>
          <w:rFonts w:hint="eastAsia" w:ascii="宋体" w:hAnsi="宋体" w:eastAsia="宋体" w:cs="宋体"/>
          <w:color w:val="auto"/>
          <w:sz w:val="21"/>
          <w:szCs w:val="21"/>
          <w:highlight w:val="none"/>
        </w:rPr>
        <w:t>工作时间，在</w:t>
      </w:r>
      <w:r>
        <w:rPr>
          <w:rFonts w:hint="eastAsia" w:ascii="宋体" w:hAnsi="宋体" w:eastAsia="宋体" w:cs="宋体"/>
          <w:color w:val="auto"/>
          <w:szCs w:val="21"/>
          <w:highlight w:val="none"/>
          <w:lang w:val="en-US" w:eastAsia="zh-CN"/>
        </w:rPr>
        <w:t>招标人</w:t>
      </w:r>
      <w:r>
        <w:rPr>
          <w:rFonts w:hint="eastAsia" w:ascii="宋体" w:hAnsi="宋体" w:eastAsia="宋体" w:cs="宋体"/>
          <w:color w:val="auto"/>
          <w:sz w:val="21"/>
          <w:szCs w:val="21"/>
          <w:highlight w:val="none"/>
        </w:rPr>
        <w:t>指定的工作场所开展服务，以便更好地满足服务响应时间要求。</w:t>
      </w:r>
    </w:p>
    <w:p w14:paraId="1750E28B">
      <w:pPr>
        <w:pStyle w:val="222"/>
        <w:keepNext w:val="0"/>
        <w:keepLines w:val="0"/>
        <w:pageBreakBefore w:val="0"/>
        <w:widowControl w:val="0"/>
        <w:numPr>
          <w:ilvl w:val="0"/>
          <w:numId w:val="15"/>
        </w:numPr>
        <w:kinsoku/>
        <w:wordWrap/>
        <w:overflowPunct/>
        <w:topLinePunct w:val="0"/>
        <w:autoSpaceDE/>
        <w:autoSpaceDN/>
        <w:bidi w:val="0"/>
        <w:adjustRightInd/>
        <w:snapToGrid/>
        <w:spacing w:line="360" w:lineRule="auto"/>
        <w:ind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维护服务过程中所产生的人工费、加班费、交通费（如上下班或现场支持等）和通信费等均由</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承担。</w:t>
      </w:r>
    </w:p>
    <w:p w14:paraId="40EE0A71">
      <w:pPr>
        <w:pStyle w:val="222"/>
        <w:keepNext w:val="0"/>
        <w:keepLines w:val="0"/>
        <w:pageBreakBefore w:val="0"/>
        <w:widowControl w:val="0"/>
        <w:numPr>
          <w:ilvl w:val="0"/>
          <w:numId w:val="15"/>
        </w:numPr>
        <w:kinsoku/>
        <w:wordWrap/>
        <w:overflowPunct/>
        <w:topLinePunct w:val="0"/>
        <w:autoSpaceDE/>
        <w:autoSpaceDN/>
        <w:bidi w:val="0"/>
        <w:adjustRightInd/>
        <w:snapToGrid/>
        <w:spacing w:line="360" w:lineRule="auto"/>
        <w:ind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驻点人员的日常工作、休假由</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统筹安排。驻点人员须严格遵守</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的各项管理规定</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按要求提供工作报表。</w:t>
      </w:r>
    </w:p>
    <w:p w14:paraId="63A60867">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驻场人员主要工作内容包括但不限于：硬件巡检维护服务、集成服务；备件更换服务；数据库系统维护服务；中间件软件维护服务；操作系统维护服务；存储备份设备及软件维护服务；数据备份策略制定服务；多系统集成管理服务；文档及客户资料管理服务；节假日或重大事件保驾护航服务。具体要求如下：</w:t>
      </w:r>
    </w:p>
    <w:p w14:paraId="21C0B8A4">
      <w:pPr>
        <w:pStyle w:val="222"/>
        <w:keepNext w:val="0"/>
        <w:keepLines w:val="0"/>
        <w:pageBreakBefore w:val="0"/>
        <w:widowControl w:val="0"/>
        <w:numPr>
          <w:ilvl w:val="0"/>
          <w:numId w:val="16"/>
        </w:numPr>
        <w:kinsoku/>
        <w:wordWrap/>
        <w:overflowPunct/>
        <w:topLinePunct w:val="0"/>
        <w:autoSpaceDE/>
        <w:autoSpaceDN/>
        <w:bidi w:val="0"/>
        <w:adjustRightInd/>
        <w:snapToGrid/>
        <w:spacing w:line="360" w:lineRule="auto"/>
        <w:ind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按要求常驻</w:t>
      </w:r>
      <w:r>
        <w:rPr>
          <w:rFonts w:hint="eastAsia" w:ascii="宋体" w:hAnsi="宋体" w:eastAsia="宋体" w:cs="宋体"/>
          <w:color w:val="auto"/>
          <w:sz w:val="21"/>
          <w:szCs w:val="21"/>
          <w:highlight w:val="none"/>
          <w:lang w:val="en-US" w:eastAsia="zh-CN"/>
        </w:rPr>
        <w:t>指定</w:t>
      </w:r>
      <w:r>
        <w:rPr>
          <w:rFonts w:hint="eastAsia" w:ascii="宋体" w:hAnsi="宋体" w:eastAsia="宋体" w:cs="宋体"/>
          <w:color w:val="auto"/>
          <w:sz w:val="21"/>
          <w:szCs w:val="21"/>
          <w:highlight w:val="none"/>
        </w:rPr>
        <w:t>现场，</w:t>
      </w:r>
      <w:r>
        <w:rPr>
          <w:rFonts w:hint="eastAsia" w:ascii="宋体" w:hAnsi="宋体" w:eastAsia="宋体" w:cs="宋体"/>
          <w:color w:val="auto"/>
          <w:sz w:val="21"/>
          <w:szCs w:val="21"/>
          <w:highlight w:val="none"/>
          <w:lang w:val="en-US" w:eastAsia="zh-CN"/>
        </w:rPr>
        <w:t>在上班时间</w:t>
      </w:r>
      <w:r>
        <w:rPr>
          <w:rFonts w:hint="eastAsia" w:ascii="宋体" w:hAnsi="宋体" w:eastAsia="宋体" w:cs="宋体"/>
          <w:color w:val="auto"/>
          <w:sz w:val="21"/>
          <w:szCs w:val="21"/>
          <w:highlight w:val="none"/>
        </w:rPr>
        <w:t>提供现场支持服务。</w:t>
      </w:r>
    </w:p>
    <w:p w14:paraId="14C68F50">
      <w:pPr>
        <w:pStyle w:val="222"/>
        <w:keepNext w:val="0"/>
        <w:keepLines w:val="0"/>
        <w:pageBreakBefore w:val="0"/>
        <w:widowControl w:val="0"/>
        <w:numPr>
          <w:ilvl w:val="0"/>
          <w:numId w:val="16"/>
        </w:numPr>
        <w:kinsoku/>
        <w:wordWrap/>
        <w:overflowPunct/>
        <w:topLinePunct w:val="0"/>
        <w:autoSpaceDE/>
        <w:autoSpaceDN/>
        <w:bidi w:val="0"/>
        <w:adjustRightInd/>
        <w:snapToGrid/>
        <w:spacing w:line="360" w:lineRule="auto"/>
        <w:ind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lang w:val="en-US" w:eastAsia="zh-CN"/>
        </w:rPr>
        <w:t>完成故障检测、维修处理及日常运维工作，前端供电服务。进行7×24小时不间断的主动式的、预防式的安全管理服务。</w:t>
      </w:r>
    </w:p>
    <w:p w14:paraId="340A0728">
      <w:pPr>
        <w:pStyle w:val="222"/>
        <w:keepNext w:val="0"/>
        <w:keepLines w:val="0"/>
        <w:pageBreakBefore w:val="0"/>
        <w:widowControl w:val="0"/>
        <w:numPr>
          <w:ilvl w:val="0"/>
          <w:numId w:val="16"/>
        </w:numPr>
        <w:kinsoku/>
        <w:wordWrap/>
        <w:overflowPunct/>
        <w:topLinePunct w:val="0"/>
        <w:autoSpaceDE/>
        <w:autoSpaceDN/>
        <w:bidi w:val="0"/>
        <w:adjustRightInd/>
        <w:snapToGrid/>
        <w:spacing w:line="360" w:lineRule="auto"/>
        <w:ind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健康检查周期/例行巡检：每</w:t>
      </w:r>
      <w:r>
        <w:rPr>
          <w:rFonts w:hint="eastAsia" w:ascii="宋体" w:hAnsi="宋体" w:eastAsia="宋体" w:cs="宋体"/>
          <w:color w:val="auto"/>
          <w:sz w:val="21"/>
          <w:szCs w:val="21"/>
          <w:highlight w:val="none"/>
          <w:lang w:val="en-US" w:eastAsia="zh-CN"/>
        </w:rPr>
        <w:t>两个</w:t>
      </w:r>
      <w:r>
        <w:rPr>
          <w:rFonts w:hint="eastAsia" w:ascii="宋体" w:hAnsi="宋体" w:eastAsia="宋体" w:cs="宋体"/>
          <w:color w:val="auto"/>
          <w:sz w:val="21"/>
          <w:szCs w:val="21"/>
          <w:highlight w:val="none"/>
        </w:rPr>
        <w:t>月一次。</w:t>
      </w:r>
    </w:p>
    <w:p w14:paraId="1F90444D">
      <w:pPr>
        <w:pStyle w:val="222"/>
        <w:keepNext w:val="0"/>
        <w:keepLines w:val="0"/>
        <w:pageBreakBefore w:val="0"/>
        <w:widowControl w:val="0"/>
        <w:numPr>
          <w:ilvl w:val="0"/>
          <w:numId w:val="16"/>
        </w:numPr>
        <w:kinsoku/>
        <w:wordWrap/>
        <w:overflowPunct/>
        <w:topLinePunct w:val="0"/>
        <w:autoSpaceDE/>
        <w:autoSpaceDN/>
        <w:bidi w:val="0"/>
        <w:adjustRightInd/>
        <w:snapToGrid/>
        <w:spacing w:line="360" w:lineRule="auto"/>
        <w:ind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应急响应支撑服务</w:t>
      </w:r>
      <w:r>
        <w:rPr>
          <w:rFonts w:hint="eastAsia" w:ascii="宋体" w:hAnsi="宋体" w:eastAsia="宋体" w:cs="宋体"/>
          <w:color w:val="auto"/>
          <w:szCs w:val="21"/>
          <w:highlight w:val="none"/>
          <w:lang w:eastAsia="zh-CN"/>
        </w:rPr>
        <w:t>，根据</w:t>
      </w:r>
      <w:r>
        <w:rPr>
          <w:rFonts w:hint="eastAsia" w:ascii="宋体" w:hAnsi="宋体" w:eastAsia="宋体" w:cs="宋体"/>
          <w:color w:val="auto"/>
          <w:szCs w:val="21"/>
          <w:highlight w:val="none"/>
          <w:lang w:val="en-US" w:eastAsia="zh-CN"/>
        </w:rPr>
        <w:t>情况</w:t>
      </w:r>
      <w:r>
        <w:rPr>
          <w:rFonts w:hint="eastAsia" w:ascii="宋体" w:hAnsi="宋体" w:eastAsia="宋体" w:cs="宋体"/>
          <w:color w:val="auto"/>
          <w:szCs w:val="21"/>
          <w:highlight w:val="none"/>
          <w:lang w:eastAsia="zh-CN"/>
        </w:rPr>
        <w:t>开展应急响应支撑。</w:t>
      </w:r>
    </w:p>
    <w:p w14:paraId="4CB1DA1A">
      <w:pPr>
        <w:pStyle w:val="222"/>
        <w:keepNext w:val="0"/>
        <w:keepLines w:val="0"/>
        <w:pageBreakBefore w:val="0"/>
        <w:widowControl w:val="0"/>
        <w:numPr>
          <w:ilvl w:val="0"/>
          <w:numId w:val="16"/>
        </w:numPr>
        <w:kinsoku/>
        <w:wordWrap/>
        <w:overflowPunct/>
        <w:topLinePunct w:val="0"/>
        <w:autoSpaceDE/>
        <w:autoSpaceDN/>
        <w:bidi w:val="0"/>
        <w:adjustRightInd/>
        <w:snapToGrid/>
        <w:spacing w:line="360" w:lineRule="auto"/>
        <w:ind w:firstLineChars="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提供</w:t>
      </w:r>
      <w:r>
        <w:rPr>
          <w:rFonts w:hint="eastAsia" w:ascii="宋体" w:hAnsi="宋体" w:eastAsia="宋体" w:cs="宋体"/>
          <w:color w:val="auto"/>
          <w:sz w:val="21"/>
          <w:szCs w:val="21"/>
          <w:highlight w:val="none"/>
          <w:lang w:eastAsia="zh-CN"/>
        </w:rPr>
        <w:t>测速标定及校时</w:t>
      </w:r>
      <w:r>
        <w:rPr>
          <w:rFonts w:hint="eastAsia" w:ascii="宋体" w:hAnsi="宋体" w:eastAsia="宋体" w:cs="宋体"/>
          <w:color w:val="auto"/>
          <w:sz w:val="21"/>
          <w:szCs w:val="21"/>
          <w:highlight w:val="none"/>
          <w:lang w:val="en-US" w:eastAsia="zh-CN"/>
        </w:rPr>
        <w:t>服务。</w:t>
      </w:r>
    </w:p>
    <w:p w14:paraId="2363179C">
      <w:pPr>
        <w:pStyle w:val="222"/>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Chars="0"/>
        <w:contextualSpacing/>
        <w:textAlignment w:val="auto"/>
        <w:rPr>
          <w:rFonts w:hint="eastAsia" w:ascii="宋体" w:hAnsi="宋体" w:eastAsia="宋体" w:cs="宋体"/>
          <w:b/>
          <w:bCs/>
          <w:color w:val="auto"/>
          <w:kern w:val="0"/>
          <w:sz w:val="21"/>
          <w:szCs w:val="21"/>
          <w:highlight w:val="none"/>
          <w:lang w:val="en-US" w:eastAsia="zh-CN"/>
        </w:rPr>
      </w:pPr>
      <w:r>
        <w:rPr>
          <w:rFonts w:hint="eastAsia" w:ascii="宋体" w:hAnsi="宋体" w:eastAsia="宋体" w:cs="宋体"/>
          <w:b/>
          <w:bCs/>
          <w:color w:val="auto"/>
          <w:kern w:val="0"/>
          <w:sz w:val="21"/>
          <w:szCs w:val="21"/>
          <w:highlight w:val="none"/>
          <w:lang w:val="en-US" w:eastAsia="zh-CN"/>
        </w:rPr>
        <w:t>备品备件要求</w:t>
      </w:r>
    </w:p>
    <w:p w14:paraId="43F526A8">
      <w:pPr>
        <w:pStyle w:val="2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contextualSpacing/>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本项目需采购备品备件清单如下（清单所列为目前使用的品牌与型号，供参考。如不采购目前使用的品牌与型号作为备件，选择的品牌与型号参数和性能不得低于现有硬件）：</w:t>
      </w:r>
    </w:p>
    <w:tbl>
      <w:tblPr>
        <w:tblStyle w:val="41"/>
        <w:tblW w:w="5000"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
      <w:tblGrid>
        <w:gridCol w:w="730"/>
        <w:gridCol w:w="816"/>
        <w:gridCol w:w="5684"/>
        <w:gridCol w:w="750"/>
        <w:gridCol w:w="766"/>
        <w:gridCol w:w="1618"/>
      </w:tblGrid>
      <w:tr w14:paraId="358419A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center"/>
          </w:tcPr>
          <w:p w14:paraId="0F30FEF7">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序号</w:t>
            </w:r>
          </w:p>
        </w:tc>
        <w:tc>
          <w:tcPr>
            <w:tcW w:w="393" w:type="pct"/>
            <w:tcBorders>
              <w:top w:val="single" w:color="000000" w:sz="4" w:space="0"/>
              <w:left w:val="nil"/>
              <w:bottom w:val="single" w:color="000000" w:sz="4" w:space="0"/>
              <w:right w:val="single" w:color="000000" w:sz="4" w:space="0"/>
            </w:tcBorders>
            <w:tcMar>
              <w:top w:w="0" w:type="dxa"/>
              <w:left w:w="105" w:type="dxa"/>
              <w:bottom w:w="0" w:type="dxa"/>
              <w:right w:w="105" w:type="dxa"/>
            </w:tcMar>
            <w:vAlign w:val="center"/>
          </w:tcPr>
          <w:p w14:paraId="688A7F0B">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名称</w:t>
            </w:r>
          </w:p>
        </w:tc>
        <w:tc>
          <w:tcPr>
            <w:tcW w:w="2742" w:type="pct"/>
            <w:tcBorders>
              <w:top w:val="single" w:color="000000" w:sz="4" w:space="0"/>
              <w:left w:val="nil"/>
              <w:bottom w:val="single" w:color="000000" w:sz="4" w:space="0"/>
              <w:right w:val="single" w:color="000000" w:sz="4" w:space="0"/>
            </w:tcBorders>
            <w:tcMar>
              <w:top w:w="0" w:type="dxa"/>
              <w:left w:w="105" w:type="dxa"/>
              <w:bottom w:w="0" w:type="dxa"/>
              <w:right w:w="105" w:type="dxa"/>
            </w:tcMar>
            <w:vAlign w:val="center"/>
          </w:tcPr>
          <w:p w14:paraId="3ED90C88">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主要参数</w:t>
            </w:r>
          </w:p>
        </w:tc>
        <w:tc>
          <w:tcPr>
            <w:tcW w:w="361" w:type="pct"/>
            <w:tcBorders>
              <w:top w:val="single" w:color="000000" w:sz="4" w:space="0"/>
              <w:left w:val="nil"/>
              <w:bottom w:val="single" w:color="000000" w:sz="4" w:space="0"/>
              <w:right w:val="single" w:color="000000" w:sz="4" w:space="0"/>
            </w:tcBorders>
            <w:tcMar>
              <w:top w:w="0" w:type="dxa"/>
              <w:left w:w="105" w:type="dxa"/>
              <w:bottom w:w="0" w:type="dxa"/>
              <w:right w:w="105" w:type="dxa"/>
            </w:tcMar>
            <w:vAlign w:val="center"/>
          </w:tcPr>
          <w:p w14:paraId="574E7E81">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单位</w:t>
            </w:r>
          </w:p>
        </w:tc>
        <w:tc>
          <w:tcPr>
            <w:tcW w:w="369" w:type="pct"/>
            <w:tcBorders>
              <w:top w:val="single" w:color="000000" w:sz="4" w:space="0"/>
              <w:left w:val="nil"/>
              <w:bottom w:val="single" w:color="000000" w:sz="4" w:space="0"/>
              <w:right w:val="single" w:color="000000" w:sz="4" w:space="0"/>
            </w:tcBorders>
            <w:tcMar>
              <w:top w:w="0" w:type="dxa"/>
              <w:left w:w="105" w:type="dxa"/>
              <w:bottom w:w="0" w:type="dxa"/>
              <w:right w:w="105" w:type="dxa"/>
            </w:tcMar>
            <w:vAlign w:val="center"/>
          </w:tcPr>
          <w:p w14:paraId="14BFA029">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数量</w:t>
            </w:r>
          </w:p>
        </w:tc>
        <w:tc>
          <w:tcPr>
            <w:tcW w:w="780" w:type="pct"/>
            <w:tcBorders>
              <w:top w:val="single" w:color="000000" w:sz="4" w:space="0"/>
              <w:left w:val="nil"/>
              <w:bottom w:val="single" w:color="000000" w:sz="4" w:space="0"/>
              <w:right w:val="single" w:color="000000" w:sz="4" w:space="0"/>
            </w:tcBorders>
            <w:tcMar>
              <w:top w:w="0" w:type="dxa"/>
              <w:left w:w="105" w:type="dxa"/>
              <w:bottom w:w="0" w:type="dxa"/>
              <w:right w:w="105" w:type="dxa"/>
            </w:tcMar>
            <w:vAlign w:val="center"/>
          </w:tcPr>
          <w:p w14:paraId="6428D2D3">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型号</w:t>
            </w:r>
          </w:p>
        </w:tc>
      </w:tr>
      <w:tr w14:paraId="36CC2C7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00" w:type="pct"/>
            <w:gridSpan w:val="6"/>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02E38945">
            <w:pPr>
              <w:pStyle w:val="22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前端设备运维</w:t>
            </w:r>
          </w:p>
        </w:tc>
      </w:tr>
      <w:tr w14:paraId="3CCCD40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117CD24B">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F1C3C12">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图片抓拍单元备品备件（交换机）</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3321363">
            <w:pPr>
              <w:pStyle w:val="22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xml:space="preserve">端口数量与类型：提供8个10/100/1000M自适应RJ45端口，所有端口支持线速转发及MDI/MDIX自动翻转功能。 </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 xml:space="preserve">性能特点：每个端口支持全双工工作模式，支持IEEE 802.3x全双工流控和Backpressure半双工流控。 </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工作模式：支持三种工作模式，包括标准交换、VLAN隔离和网络克隆，以适应不同的网络环境和应用需求。</w:t>
            </w:r>
          </w:p>
          <w:p w14:paraId="3C6C6551">
            <w:pPr>
              <w:pStyle w:val="22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xml:space="preserve">背板带宽与MAC地址表：背板带宽为16Gbps，支持4K的MAC地址表深度。 </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 xml:space="preserve">环境适应性：工作温度范围为0℃～40℃，存储温度范围为-40℃～70℃，适应各种工作环境条件。工作湿度范围为10%～90%RH，不凝露；存储湿度范围5%～90%RH，不凝露。 </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输入电源：支持100-240V～ 50/60Hz的输入电源。</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C10C231">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台</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4A455E6">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10</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23B7464">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p>
        </w:tc>
      </w:tr>
      <w:tr w14:paraId="1A64FF6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797FE6D2">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D0094B3">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图片抓拍单元备品备件（抓拍摄像机）</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2E515E7">
            <w:pPr>
              <w:pStyle w:val="22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像素：400万</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最低照度：彩色0.0002lx，黑白0.0001lx</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宽动态：120dB</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传感器类型：1/1.8"" Progressive Scan CMOS</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焦距&amp;视场角：8~32mm：水平视场角：36°~15.3°，垂直视场角：20.6°~8.7°，对角线视场角：41.2°~17.4°</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光圈：支持电动变焦，光圈不小于F1.0</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补光灯类型：16颗暖白光(黄光)补光灯</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补光距离：普通前端感知：100m，图像感知抓拍：14m</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智能芯片：内置1颗CPU/GPU/NPU一体智能算法芯片</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防补光过曝：支持防补光过曝开启和关闭，开启下支持自动和手动，手动支持根据距离等级控制补光灯亮度</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图像感知抓拍：支持对出现在前端感知场景内的两眼瞳距不小于40像素的图像感知进行检测。支持侧脸过滤功能，可过滤上下、左右倾斜角度超过预设值的图像感知。</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3CB22A0">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台</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2A25116">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40</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1FA3D00">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DS-2CD7A4XYZUV/SA-BCDEF</w:t>
            </w:r>
          </w:p>
        </w:tc>
      </w:tr>
      <w:tr w14:paraId="774F8EF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7DB21134">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4A28E1B">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卡口采集抓拍单元备品备件(智能补光灯)</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28D03CA">
            <w:pPr>
              <w:pStyle w:val="22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1、光源类型：大功率LED</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2、LED灯珠数量：16颗</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3、覆盖范围：1.5车道</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4、最佳补光距离：16~25米</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5、中心照度：50lx@25m</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6、日夜功能：支持环境亮度检测，低照度下自动开启</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7、RS485接口：1路</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8、参数配置：支持内部参数设置</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9、电源：AC220V±20%</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10、功率：36W</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11、工作环境：工作温度-40℃～+60℃，工作湿度10%～90%</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12、防护等级：IP66</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68C24BE">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台</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F69DBCE">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20</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C09C0DD">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CXBG-1-1-PS-A-ACC5418</w:t>
            </w:r>
          </w:p>
        </w:tc>
      </w:tr>
      <w:tr w14:paraId="0A4F52F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3A995764">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59F71BE">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卡口采集抓拍单元备品备件(智能闪光灯)</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E081617">
            <w:pPr>
              <w:pStyle w:val="22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1、电源电压：AC220V±20%</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2、气体爆闪色温值（K）：6000K±500K，</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3、LED色温值（K）：4000K±500K</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4、峰值闪光持续时间：≤400us</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5、回电时间：小于60ms</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6、有效补光距离：16m～25m</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7、触发方式：氙气爆闪开关量触发、LED 频闪电平量触发、LED爆闪电平量触发</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8、工作环境（温度）：-40℃～+60℃</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9、闪光计次功能：具备闪光计次功能</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10、覆盖范围：单车道</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11、光源类型：24 颗 LED、氙气白光</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12、光源：灯具散热结构和恒流驱动控制方式</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14、寿命：2000万次</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15、防护等级：IP65</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16、夜间补光光照度小于80lx,符合（GA/T 1202-2022）的环保灯补光要求。</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7DCA654">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台</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7D9A062">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90</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5F51E47">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CXBG-1-1-PS-A -ACC5718(CXBG-2-2-MC-A-ACC5718)</w:t>
            </w:r>
          </w:p>
        </w:tc>
      </w:tr>
      <w:tr w14:paraId="7AE44BE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13964C8C">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0DB9814">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卡口采集抓拍单元备品备件（交换机）</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130BF8E">
            <w:pPr>
              <w:pStyle w:val="22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个百兆电口+一个百兆光口支持自动流速控制，全/半双工模式，MDI/MDI-X自动侦测；光口：100Base-FX，SC/ST/FC可选；背板带宽：1.6G；交换时延：＜10μs；工作温度：-40～75℃；存储温度：-40～85℃；相对湿度：5%～95%（无凝露）；外壳：IP40防护等级，金属外壳</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A1EB7EF">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台</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5F46112">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7DEFA52">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p>
        </w:tc>
      </w:tr>
      <w:tr w14:paraId="079EC2E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73E63996">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40E772E">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荧光系列900万抓拍单元</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20F2322">
            <w:pPr>
              <w:pStyle w:val="22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传感器类型：1.1英寸GS-CMOS；</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电子快门：1/50-1/100000s(可手动或自动调节)；</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图像分辨率：4096x2336</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66522F5">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套</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1EB83A7">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878FA0B">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DH-CP902-TA-N2</w:t>
            </w:r>
          </w:p>
        </w:tc>
      </w:tr>
      <w:tr w14:paraId="13EAD42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20C2566D">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2A56EE9">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1200万1.1英寸定焦镜头</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16871DC">
            <w:pPr>
              <w:pStyle w:val="22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像面尺寸：1.1英寸；</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镜头焦距：50mm±10%;</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AEA1A63">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8B3F5BC">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7E1F230">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OPT-110C50M</w:t>
            </w:r>
          </w:p>
        </w:tc>
      </w:tr>
      <w:tr w14:paraId="786D03C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nil"/>
              <w:right w:val="single" w:color="000000" w:sz="4" w:space="0"/>
            </w:tcBorders>
            <w:tcMar>
              <w:top w:w="0" w:type="dxa"/>
              <w:left w:w="105" w:type="dxa"/>
              <w:bottom w:w="0" w:type="dxa"/>
              <w:right w:w="105" w:type="dxa"/>
            </w:tcMar>
            <w:vAlign w:val="center"/>
          </w:tcPr>
          <w:p w14:paraId="094BC8E3">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w:t>
            </w:r>
          </w:p>
        </w:tc>
        <w:tc>
          <w:tcPr>
            <w:tcW w:w="393" w:type="pct"/>
            <w:tcBorders>
              <w:top w:val="nil"/>
              <w:left w:val="nil"/>
              <w:bottom w:val="nil"/>
              <w:right w:val="single" w:color="000000" w:sz="4" w:space="0"/>
            </w:tcBorders>
            <w:tcMar>
              <w:top w:w="0" w:type="dxa"/>
              <w:left w:w="105" w:type="dxa"/>
              <w:bottom w:w="0" w:type="dxa"/>
              <w:right w:w="105" w:type="dxa"/>
            </w:tcMar>
            <w:vAlign w:val="center"/>
          </w:tcPr>
          <w:p w14:paraId="7F13D388">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四合一荧光补光灯</w:t>
            </w:r>
          </w:p>
        </w:tc>
        <w:tc>
          <w:tcPr>
            <w:tcW w:w="2742" w:type="pct"/>
            <w:tcBorders>
              <w:top w:val="nil"/>
              <w:left w:val="nil"/>
              <w:bottom w:val="nil"/>
              <w:right w:val="single" w:color="000000" w:sz="4" w:space="0"/>
            </w:tcBorders>
            <w:tcMar>
              <w:top w:w="0" w:type="dxa"/>
              <w:left w:w="105" w:type="dxa"/>
              <w:bottom w:w="0" w:type="dxa"/>
              <w:right w:w="105" w:type="dxa"/>
            </w:tcMar>
            <w:vAlign w:val="center"/>
          </w:tcPr>
          <w:p w14:paraId="7269E5C8">
            <w:pPr>
              <w:pStyle w:val="22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灯型：多功能一体型，支持暖光LED频闪、暖光LED爆闪、白光疝气爆闪、红外疝气爆闪四种模式；</w:t>
            </w:r>
            <w:r>
              <w:rPr>
                <w:rFonts w:hint="eastAsia" w:ascii="宋体" w:hAnsi="宋体" w:eastAsia="宋体" w:cs="宋体"/>
                <w:color w:val="auto"/>
                <w:kern w:val="2"/>
                <w:sz w:val="21"/>
                <w:szCs w:val="21"/>
                <w:highlight w:val="none"/>
                <w:lang w:val="en-US" w:eastAsia="zh-CN" w:bidi="ar-SA"/>
              </w:rPr>
              <w:br w:type="textWrapping"/>
            </w:r>
            <w:r>
              <w:rPr>
                <w:rFonts w:hint="eastAsia" w:ascii="宋体" w:hAnsi="宋体" w:eastAsia="宋体" w:cs="宋体"/>
                <w:color w:val="auto"/>
                <w:kern w:val="2"/>
                <w:sz w:val="21"/>
                <w:szCs w:val="21"/>
                <w:highlight w:val="none"/>
                <w:lang w:val="en-US" w:eastAsia="zh-CN" w:bidi="ar-SA"/>
              </w:rPr>
              <w:t>光源：可见光；</w:t>
            </w:r>
          </w:p>
        </w:tc>
        <w:tc>
          <w:tcPr>
            <w:tcW w:w="361" w:type="pct"/>
            <w:tcBorders>
              <w:top w:val="nil"/>
              <w:left w:val="nil"/>
              <w:bottom w:val="nil"/>
              <w:right w:val="single" w:color="000000" w:sz="4" w:space="0"/>
            </w:tcBorders>
            <w:tcMar>
              <w:top w:w="0" w:type="dxa"/>
              <w:left w:w="105" w:type="dxa"/>
              <w:bottom w:w="0" w:type="dxa"/>
              <w:right w:w="105" w:type="dxa"/>
            </w:tcMar>
            <w:vAlign w:val="center"/>
          </w:tcPr>
          <w:p w14:paraId="0D5083A0">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台</w:t>
            </w:r>
          </w:p>
        </w:tc>
        <w:tc>
          <w:tcPr>
            <w:tcW w:w="369" w:type="pct"/>
            <w:tcBorders>
              <w:top w:val="nil"/>
              <w:left w:val="nil"/>
              <w:bottom w:val="nil"/>
              <w:right w:val="single" w:color="000000" w:sz="4" w:space="0"/>
            </w:tcBorders>
            <w:tcMar>
              <w:top w:w="0" w:type="dxa"/>
              <w:left w:w="105" w:type="dxa"/>
              <w:bottom w:w="0" w:type="dxa"/>
              <w:right w:w="105" w:type="dxa"/>
            </w:tcMar>
            <w:vAlign w:val="center"/>
          </w:tcPr>
          <w:p w14:paraId="3352340C">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14</w:t>
            </w:r>
          </w:p>
        </w:tc>
        <w:tc>
          <w:tcPr>
            <w:tcW w:w="780" w:type="pct"/>
            <w:tcBorders>
              <w:top w:val="nil"/>
              <w:left w:val="nil"/>
              <w:bottom w:val="nil"/>
              <w:right w:val="single" w:color="000000" w:sz="4" w:space="0"/>
            </w:tcBorders>
            <w:tcMar>
              <w:top w:w="0" w:type="dxa"/>
              <w:left w:w="105" w:type="dxa"/>
              <w:bottom w:w="0" w:type="dxa"/>
              <w:right w:w="105" w:type="dxa"/>
            </w:tcMar>
            <w:vAlign w:val="center"/>
          </w:tcPr>
          <w:p w14:paraId="568A5870">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DH-ITALF-300AG-F</w:t>
            </w:r>
          </w:p>
        </w:tc>
      </w:tr>
      <w:tr w14:paraId="4B16630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00" w:type="pct"/>
            <w:gridSpan w:val="6"/>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center"/>
          </w:tcPr>
          <w:p w14:paraId="25BA95A1">
            <w:pPr>
              <w:pStyle w:val="22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道路交通设施日常维护</w:t>
            </w:r>
          </w:p>
        </w:tc>
      </w:tr>
      <w:tr w14:paraId="627DB62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1771C17F">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E19AC1E">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交通信号灯组</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586A4FB">
            <w:pPr>
              <w:pStyle w:val="22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交通信号灯组带倒计时功能（300，400箭头/圆盘）</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EE7A5AE">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组</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AF4C3A0">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1C11808">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bidi="ar"/>
              </w:rPr>
              <w:t>法马牌</w:t>
            </w:r>
          </w:p>
        </w:tc>
      </w:tr>
      <w:tr w14:paraId="25A907B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31DC2085">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3BA4831">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交通人行灯组</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ED82914">
            <w:pPr>
              <w:pStyle w:val="22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交通人行灯组带倒计时模块</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14E747D">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组</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7F3CD6A">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C612436">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法马牌</w:t>
            </w:r>
          </w:p>
        </w:tc>
      </w:tr>
      <w:tr w14:paraId="6CA9868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37CE52A0">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162C6AE">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交通人行灯盘</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69B53D5">
            <w:pPr>
              <w:pStyle w:val="22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人行灯盘(红灯盘/绿灯盘)</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6060E66">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1317801">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80</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C7C7AA6">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法马牌</w:t>
            </w:r>
          </w:p>
        </w:tc>
      </w:tr>
      <w:tr w14:paraId="6777A65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59B70CC4">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1F7A719">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灯盘</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0362B60">
            <w:pPr>
              <w:pStyle w:val="22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灯盘(红灯盘/绿灯盘)</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ED78E01">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69EE7BA">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60</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CC6BDA7">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法马牌</w:t>
            </w:r>
          </w:p>
        </w:tc>
      </w:tr>
      <w:tr w14:paraId="5AE6FA0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37B821CF">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A5CAFB7">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灯盘</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72A94EC">
            <w:pPr>
              <w:pStyle w:val="22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倒计时灯盘</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2A54ED5">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706DBCF">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D34159B">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法马牌</w:t>
            </w:r>
          </w:p>
        </w:tc>
      </w:tr>
      <w:tr w14:paraId="6FEF8F2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0169EAD3">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12B7F29">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灯盘电源</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B17A0B2">
            <w:pPr>
              <w:pStyle w:val="22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灯盘12V电源 电压AC180-240v输入</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D30F686">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D6FADDE">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D4DF4C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0A01A0C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768ED1C9">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2C7945C">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电缆线</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7D424BC">
            <w:pPr>
              <w:pStyle w:val="22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电缆线 3*1.5</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963DB96">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米</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9283530">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800</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06F50CD">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49995BC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22C1026C">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C5EB5C7">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电缆线</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6E4113D">
            <w:pPr>
              <w:pStyle w:val="22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电缆线 4*1.5</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13420D5">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米</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0530AFA">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1500</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BA6E6D5">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2F10772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42224103">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0CFB4DC">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电源线</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99B5657">
            <w:pPr>
              <w:pStyle w:val="22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电源线（3*2.5）</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34B6A3B">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米</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BDF8CF5">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1400</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05C9BB5">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4D22A63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012472A7">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C12375B">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光网络单元ONU</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237C164">
            <w:pPr>
              <w:pStyle w:val="22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RJ-45接口</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 遵循标准：IEEE802.3</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 支持10/100/1000Mbit/s自适应</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 支持半双工/全双工模式协商和配置</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 基于以太口的VLAN Tag/Tag剥离</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12DE895">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台</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EBC94C3">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962D4F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2D01C1B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3B046737">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58FB78C">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光线路终端OLT</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EB30159">
            <w:pPr>
              <w:pStyle w:val="22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RJ-45接口</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 遵循标准：IEEE802.3</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 支持10/100/1000Mbit/s自适应</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 支持半双工/全双工模式协商和配置</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 基于以太口的VLAN Tag/Tag剥离</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019E6BF">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台</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2B5B634">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F2B49D4">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7DDA7FF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2B6B9745">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C94A640">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井盖</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0E6CFC9">
            <w:pPr>
              <w:pStyle w:val="22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定制井盖</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19F8A51">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F9E03F5">
            <w:pPr>
              <w:pStyle w:val="223"/>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ADC2422">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61B76C8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00" w:type="pct"/>
            <w:gridSpan w:val="6"/>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center"/>
          </w:tcPr>
          <w:p w14:paraId="7B7E7C3B">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电子警察硬件维护</w:t>
            </w:r>
          </w:p>
        </w:tc>
      </w:tr>
      <w:tr w14:paraId="3DA8235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0262B895">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D1148B1">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电源线</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2F331F0">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电源线（3*6）</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C53BF1B">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米</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385ACBB">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1200</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4BFF5D6">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p>
        </w:tc>
      </w:tr>
      <w:tr w14:paraId="6CB62F0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37CED2C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1D17319">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光纤</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E3F3B2A">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中心束管式光缆 4芯光纤线</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2B480D6">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米</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37F575A">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1000</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70494D3">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p>
        </w:tc>
      </w:tr>
      <w:tr w14:paraId="11DA255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19812D29">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5FEAED3">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屏蔽控制电缆</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676686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RVSP2*2.5带屏蔽</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4297610">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米</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4CE5D65">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300</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A58F5D0">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p>
        </w:tc>
      </w:tr>
      <w:tr w14:paraId="017F3C0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1E0D1D1D">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73464E7">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前端抓拍单元镜头</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AC5B7DD">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定焦抓拍枪机镜头（16mm）</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7DDFBEB">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2D8A06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95DB97B">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p>
        </w:tc>
      </w:tr>
      <w:tr w14:paraId="515829E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38801FA0">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0116720">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前端抓拍单元镜头</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48522F5">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定焦抓拍枪机镜头（50mm）</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DDEA209">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98C9C53">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15</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574167B">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p>
        </w:tc>
      </w:tr>
      <w:tr w14:paraId="5943A8E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2D67F1DD">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C0225DD">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电警抓拍单元</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0CF5F4D">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红外电警抓拍单元</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2D05313">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台</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F8C83D9">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B17577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iDS-2CD9796-CEFMS/50</w:t>
            </w:r>
          </w:p>
        </w:tc>
      </w:tr>
      <w:tr w14:paraId="667A298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6C2B3884">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AE8D3EF">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9M电警抓拍单元（电警）</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969A5D3">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视频压缩标准：H.264, H.265, MJPEG</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视频分辨率：4096(H) × 2160(V)</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图像控制：曝光速度、AGC控制、白平衡方式控制等</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传感器类型：1” Global shutter CMOS</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镜头规格：16mm或12mm可选</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抓拍图片格式：JPEG</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抓拍图片分辨率：4096(H) × 2160(V)</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违章检测：压线、逆行、闯红灯、不按导向行驶、违法变道、路口停车、绿灯停车、违章掉头、左转不让直行、右转不让左转、掉头不让直行、大弯小转、机占非、闯禁令（禁左、禁右、禁止大车、禁摩托车）、不礼让行人、闯绿灯、加塞、未戴头盔、占用机动车道等违法行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机动车：车牌识别：民用车牌，新能源车牌； 车身颜色识别：白、灰、黄、红、紫、绿、蓝、棕、黑； 车型识别：大客车、中型客车、大货车、小货车、面包车、皮卡、轿车、SUV/MPV、二轮车、三轮车； 车辆品牌，子品牌识别</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频率：48 Hz～52 Hz</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8087798">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5729A8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0CD7CC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iDS-TCE900-G/16</w:t>
            </w:r>
          </w:p>
        </w:tc>
      </w:tr>
      <w:tr w14:paraId="0CFCE5B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79DC8211">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C6AE53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9M卡口抓拍单元(卡口)</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9EFCAD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视频压缩标准：H.264, H.265, MJPEG</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视频分辨率：4096(H) × 2160(V)</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图像控制：曝光速度、AGC控制、白平衡方式控制等</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传感器类型：1” Global shutter CMOS</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镜头规格：16mm或12mm可选</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抓拍图片格式：JPEG</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抓拍图片分辨率：4096(H) × 2160(V)</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违章检测：压线、逆行、闯红灯、不按导向行驶、违法变道、路口停车、绿灯停车、违章掉头、左转不让直行、右转不让左转、掉头不让直行、大弯小转、机占非、闯禁令（禁左、禁右、禁止大车、禁摩托车）、不礼让行人、闯绿灯、加塞、未戴头盔、占用机动车道等违法行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机动车：车牌识别：民用车牌，新能源车牌； 车身颜色识别：白、灰、黄、红、紫、绿、蓝、棕、黑； 车型识别：大客车、中型客车、大货车、小货车、面包车、皮卡、轿车、SUV/MPV、二轮车、三轮车； 车辆品牌，子品牌识别</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频率：48 Hz～52 Hz</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3465103">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EC081D7">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119C064">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iDS-TCV900</w:t>
            </w:r>
          </w:p>
        </w:tc>
      </w:tr>
      <w:tr w14:paraId="088271C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344B2C0B">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341EEE8">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H系列400万8寸32倍星光违停球</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1E6A1E0">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光学透雾：支持</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3D降噪：支持</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光学变倍：32倍</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信噪比≥55dB</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补光：防补光过曝支持</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红外照射距离：250米</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垂直范围：-20°-90°(自动翻转)</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巡航扫描：8条</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视频压缩标准：H.265;H.264;MJPEG</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音频压缩标准：G.711alaw;G.711ulaw;G.722.1;G.726;MP2L2;PCM;AAC-LC</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安全管理：授权的用户名和密码;以及MAC地址绑定;HTTPS加密;IEEE 802.1x网络访问控制;IP地址过滤</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接口协议：软件集成的开放式API;ISAPI;海康SDK;第三方管理平台接入;GB/T28181协议;E家协议;ISUP;支持萤石接入;开放型网络视频接口</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接口SD卡扩展：支持Micro SD/Micro SDHC/Micro SDXC卡,最大支持256G;SD卡需出厂前预安装</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RS485接口</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道路事件检测、高速、高架场景道路事件检测：抛洒物检测、行人检测、拥堵检测、路障检测、施工检测、交通事故检测； 城市道路场景道路事件检测：拥堵检测、路障检测</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B795528">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C4B9DA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58502E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iDS-2VS435-F8XYZL(T5)</w:t>
            </w:r>
          </w:p>
        </w:tc>
      </w:tr>
      <w:tr w14:paraId="4172447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6878F5D1">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7C14601">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16颗频闪灯</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0AB2809">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工作温度</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-40℃~70℃</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工作湿度</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湿度5%~95%@40℃，无凝结</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工作电压</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AC220V</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8A254E3">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0A41115">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15</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B53D5C4">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CXBG-1-1-PS-A-DS-TL2000A</w:t>
            </w:r>
          </w:p>
        </w:tc>
      </w:tr>
      <w:tr w14:paraId="6F0B3C4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76445229">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0AA9EA8">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红外爆闪灯</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2FA6EED">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工作温度-30℃~70℃</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工作湿度5%~95%@40℃，无凝结</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电源电压AC220V±10%/48Hz～52Hz</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色温值（K）5500K±500K</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闪光能量200J</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功耗（w）瞬间zui大≤1200W</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峰值闪光持续时间1/30ms</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回电时间＜67ms</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有效补光距离16米~25米</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触发方式电平量（可选开关量）</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工作环境（温度）-40℃~70℃</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寿命≥2000万次（3S/次）</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9350C99">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0A66C77">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35F5BC3">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CXBG-1-1-PS-A-3B-I</w:t>
            </w:r>
          </w:p>
        </w:tc>
      </w:tr>
      <w:tr w14:paraId="5AFB716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428EE7C6">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B62DC3D">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LED频闪补光灯</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9A31C50">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灯型：LED灯；</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光源：可见光（波长350-780nm）；</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色温：6500K ± 200K；</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中心光照度：&lt;40lx（20m光照度）；</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触发方式：开关量；</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光斑覆盖范围：2车道；</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补光距离：16m～26m；</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频率：跟随相机；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灯珠数量：16颗（高亮LED）；</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光通量：1800lm；</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远程故障显示：支持远程显示补光灯故障、正常状态；</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亮度调节：支持低照度下6级光敏检测自动开启补光；</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331D732">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9696511">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BF3C792">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DH-ITALE-060AA-P</w:t>
            </w:r>
          </w:p>
        </w:tc>
      </w:tr>
      <w:tr w14:paraId="6DD0CFF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1615715E">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13</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AA773CB">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白光氙气闪光灯</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038D83A">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灯型：氙气灯；</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光源：可见光（波长350-780nm）；</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色温：5800K ± 200K；</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中心光照度：≤4000Lx；</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触发方式：开关量；</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光斑覆盖范围：1车道；</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补光距离：16m~26m；</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回电时间：＜60ms；</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闪光持续时间：180 μs～500 μs；</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爆闪计数：支持统计爆闪次数和触发次数；</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闪光灯寿命：≥1000万次；</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远程故障显示：支持远程显示补光灯故障、正常状态；</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8B4417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642FCA9">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30</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58CF107">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DH-ITALF-300AD-GS</w:t>
            </w:r>
          </w:p>
        </w:tc>
      </w:tr>
      <w:tr w14:paraId="18F9C6F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34534432">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14</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9ADAA6E">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爆闪灯</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3EC8B42">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爆闪灯 型号</w:t>
            </w:r>
          </w:p>
          <w:p w14:paraId="05D022C0">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CXBG-2-2-MC-A-SL-1211-3</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工作温度-30℃~70℃</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工作湿度5%~95%@40℃，无凝结</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电源电压AC220V±10%/48Hz～52Hz</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C0E6EC5">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BDB1BA9">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60</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2B81ADD">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CXBG-2-2-MC-A-SL-1211-3</w:t>
            </w:r>
          </w:p>
        </w:tc>
      </w:tr>
      <w:tr w14:paraId="250AFC0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1464404F">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15</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3A11FA2">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多合一智能补光灯</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1AA98CE">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智能补光灯FQ-FL001200B</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工作温度-30℃~70℃</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工作湿度5%~95%@40℃，无凝结</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电源电压AC220V±10%/48Hz～52Hz</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1011656">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7A619AD">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8DC5BEF">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FQ-FL001200B</w:t>
            </w:r>
          </w:p>
        </w:tc>
      </w:tr>
      <w:tr w14:paraId="7AC5C30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2650273E">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16</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3457EBE">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终端服务器</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969DDD0">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信号灯检测板：具有红绿灯信号检测功能，支持12路信号灯交流信号输入，可通过网络直接上传给相机；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智能电源板：具有1路AC220V输入， 4个AC220V供电输出，可进行远程供电输出控制；支持4路4~20mA模拟信号传感器接入，可用于温度、湿度、风速、雨雪等传感器数据接入；</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光端传输板：具有4路标准SFP千兆接口（需搭配光模块），可用于光纤信号接入做路口组网，与主控板16路千兆网口处于同一网段；</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综合处理板：支持16路网络摄像机接入，实现图片合成与上传、视频存储等功能；</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接口信息：</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信号灯检测板：RS232：1个；RS485：4个；红灯输入检测：12路；</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智能电源板：RS232：1个；4~20Ma模拟量：4个；DC12V输出：2个；AC220V输入：1路；AC220V输出：4路；</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光端传输板：SFP千兆光纤接口：4个；</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综合处理板：RS232：2个；RS485：1个；报警输入：1个；报警输出：1个；音频输入：1个；音频输出：1个；USB3.0：1个；</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网络接口：17个内部10/100/1000M以太网接口， 1个外部10/100/1000M自适应以太网接口，1个内部SFP千兆光纤接口、1个外部SFP千兆光纤接口</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0FF6B3F">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台</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ED1CBA7">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F10A29D">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IDS-TSA400</w:t>
            </w:r>
          </w:p>
        </w:tc>
      </w:tr>
      <w:tr w14:paraId="3692471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32E7123A">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17</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785651E">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交通终端服务器</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A0D9855">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操作界面：WEB方式；</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网络协议：TCP/IP、HTTP、HTTPS、SFTP、FTP、DNS、RTP、RTSP、RTC、NTP、DHCP、IEEE802.1X；</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图片编码格式：JPEG；</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存储功能：硬盘（标配1个2T硬盘）;FTP;SFTP；</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定位功能：支持北斗（天线需单独下单）;支持GPS；</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图片合成：支持单通道1/2/3/4/5/6张图片合成；支持合成顺序和特写图序号选择；</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断网续传：支持平台断网续传、FTP断网续传;支持手动上传；</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硬盘接口：最大支持1个SATA接口硬盘，标配2T容量3.5”硬盘；</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RS-485接口：2个；</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RS-232接口：1个（用于调试串口数据）；</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USB接口：1个，USB 3.0接口；</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网络接口：10个，8个10M/100M自适应以太网口（RJ-45），2个1000M接口（RJ-45）；</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视频输入：视频接入模式支持12路网络压缩高清视频输入，卡口合成模式支持4路网络压缩高清视频输入；</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C381009">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DDC01E5">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202130E">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DS-TP50</w:t>
            </w:r>
          </w:p>
        </w:tc>
      </w:tr>
      <w:tr w14:paraId="5E191D0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2249F236">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18</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331E98D">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终端服务器（工控机）</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DA5F237">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操作界面：WEB方式；</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网络协议：TCP/IP、HTTP、HTTPS、SFTP、FTP、DNS、RTP、RTSP、RTC、NTP、DHCP、IEEE802.1X；</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图片编码格式：JPEG；</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存储功能：硬盘（标配1个2T硬盘）;FTP;SFTP；</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定位功能：支持北斗（天线需单独下单）;支持GPS；</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图片合成：支持单通道1/2/3/4/5/6张图片合成；支持合成顺序和特写图序号选择；</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断网续传：支持平台断网续传、FTP断网续传;支持手动上传；</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硬盘接口：最大支持1个SATA接口硬盘，标配2T容量3.5”硬盘；</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RS-485接口：2个；</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RS-232接口：1个（用于调试串口数据）；</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USB接口：1个，USB 3.0接口；</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网络接口：10个，8个10M/100M自适应以太网口（RJ-45），2个1000M接口（RJ-45）；</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视频输入：视频接入模式支持12路网络压缩高清视频输入，卡口合成模式支持4路网络压缩高清视频输入；</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B232D98">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台</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95B9DBB">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16E2CE4">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DH-ITSE0400-TA-N02</w:t>
            </w:r>
          </w:p>
        </w:tc>
      </w:tr>
      <w:tr w14:paraId="3F39A18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2E3CD832">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19</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52DCEAD">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窄波测速雷达</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38A1EA7">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雷达水平角&lt;6°</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测速范围：10km/h～250km/h</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性能特点：平板型微带阵列天线</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俯仰角&lt;6°</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通讯接口：1个RS-485接口,</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无线网络Wi-Fi支持</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260DCB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8B41C34">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3C7651F">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STJ1-12</w:t>
            </w:r>
          </w:p>
        </w:tc>
      </w:tr>
      <w:tr w14:paraId="444ACB1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128209D1">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A8866E0">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光纤收发器</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9C16210">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光纤收发器（百兆）</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ABA22D8">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双</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B029853">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95A9F5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p>
        </w:tc>
      </w:tr>
      <w:tr w14:paraId="7594048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27C9E91E">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21</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B5D0EE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球机电源</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1D6C728">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24v电源 AC输入100-240V；DC输出：24V</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33FC9CA">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386A0E1">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4959B41">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p>
        </w:tc>
      </w:tr>
      <w:tr w14:paraId="6864977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04EA90F7">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8DA3DE6">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枪机电源</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ABAB4AB">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枪机12V专用电源输入规格 AC180V~260V，50Hz</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输出规格 DC12V</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8BF3EF4">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532619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30</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D7A2C16">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p>
        </w:tc>
      </w:tr>
      <w:tr w14:paraId="40987B9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49DA9E2E">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23</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1A47A7F">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枪机电源</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B5F410B">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枪机12V专用电源输入规格 AC180V~260V，50Hz，</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输出规格 DC12V</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E049982">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B62CD81">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D3BB2E2">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p>
        </w:tc>
      </w:tr>
      <w:tr w14:paraId="551E689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1D1DF5D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24</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1333E9E">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太阳能违停球</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A4F7A90">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太阳能违停球机</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FD586B4">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1E7A835">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F7FD0B8">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p>
        </w:tc>
      </w:tr>
      <w:tr w14:paraId="1681C80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2E743043">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25</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B33C823">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多功能球机</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937F136">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交通技术前端感知球机</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9A61DA3">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2D48B0F">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42DA81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M674Z-ABCDE</w:t>
            </w:r>
          </w:p>
        </w:tc>
      </w:tr>
      <w:tr w14:paraId="172FE53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34315730">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26</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378CACE">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漏电保护器</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F470906">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自动重合闸 漏电保护器 63AD</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F624D95">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6FF25F2">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5D34156">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p>
        </w:tc>
      </w:tr>
      <w:tr w14:paraId="69F8693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00" w:type="pct"/>
            <w:gridSpan w:val="6"/>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center"/>
          </w:tcPr>
          <w:p w14:paraId="35559DE0">
            <w:pPr>
              <w:pStyle w:val="223"/>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交通诱导屏维护</w:t>
            </w:r>
          </w:p>
        </w:tc>
      </w:tr>
      <w:tr w14:paraId="7654D5C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295B4DEC">
            <w:pPr>
              <w:pStyle w:val="223"/>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29505D5">
            <w:pPr>
              <w:pStyle w:val="223"/>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开关电源</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067B50E">
            <w:pPr>
              <w:pStyle w:val="223"/>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电源5V 单路直流输出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5V 工作温度 -30℃~+60℃</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3C20170">
            <w:pPr>
              <w:pStyle w:val="223"/>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8A931A5">
            <w:pPr>
              <w:pStyle w:val="223"/>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37A0B40">
            <w:pPr>
              <w:pStyle w:val="223"/>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p>
        </w:tc>
      </w:tr>
      <w:tr w14:paraId="0BFE426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4939E64A">
            <w:pPr>
              <w:pStyle w:val="223"/>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89CC196">
            <w:pPr>
              <w:pStyle w:val="223"/>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诱导屏模块</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0ECFE75">
            <w:pPr>
              <w:pStyle w:val="223"/>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户外P10模组</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最大视角</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 xml:space="preserve"> 水平 90°～120°,</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环境温度</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 xml:space="preserve"> 存储-40℃～+80℃; 工作-20℃～+50℃</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A33BAD7">
            <w:pPr>
              <w:pStyle w:val="223"/>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块</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E493CAA">
            <w:pPr>
              <w:pStyle w:val="223"/>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84D32BA">
            <w:pPr>
              <w:pStyle w:val="223"/>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p>
        </w:tc>
      </w:tr>
      <w:tr w14:paraId="7FB888F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2"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54003570">
            <w:pPr>
              <w:pStyle w:val="223"/>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39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1E43D7D">
            <w:pPr>
              <w:pStyle w:val="223"/>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全彩屏接收卡</w:t>
            </w:r>
          </w:p>
        </w:tc>
        <w:tc>
          <w:tcPr>
            <w:tcW w:w="274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40E3204">
            <w:pPr>
              <w:pStyle w:val="223"/>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诱导屏全彩屏接收卡</w:t>
            </w:r>
          </w:p>
        </w:tc>
        <w:tc>
          <w:tcPr>
            <w:tcW w:w="3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D8B27B2">
            <w:pPr>
              <w:pStyle w:val="223"/>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个</w:t>
            </w:r>
          </w:p>
        </w:tc>
        <w:tc>
          <w:tcPr>
            <w:tcW w:w="36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607122A">
            <w:pPr>
              <w:pStyle w:val="223"/>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780"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925287C">
            <w:pPr>
              <w:pStyle w:val="223"/>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p>
        </w:tc>
      </w:tr>
    </w:tbl>
    <w:p w14:paraId="7BA5A747">
      <w:pPr>
        <w:pStyle w:val="2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200"/>
        <w:contextualSpacing/>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中标人需在收到招标人通知后1个月内完成备件到货，并由招标人进行验收。所有备件提供1年质保服务，从货物验收合格算起。质保期内如出现产品质量问题（使用过程中故意损坏、自然灾害及人力不可抗力因素损坏的除外），中标人对所供货物实行包修、包换、包退、包维护保养。</w:t>
      </w:r>
    </w:p>
    <w:p w14:paraId="4A7C23D2">
      <w:pPr>
        <w:pStyle w:val="222"/>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Chars="0"/>
        <w:contextualSpacing/>
        <w:textAlignment w:val="auto"/>
        <w:rPr>
          <w:rFonts w:hint="eastAsia" w:ascii="宋体" w:hAnsi="宋体" w:eastAsia="宋体" w:cs="宋体"/>
          <w:b/>
          <w:bCs/>
          <w:color w:val="auto"/>
          <w:kern w:val="0"/>
          <w:sz w:val="21"/>
          <w:szCs w:val="21"/>
          <w:highlight w:val="none"/>
          <w:lang w:val="en-US" w:eastAsia="zh-CN"/>
        </w:rPr>
      </w:pPr>
      <w:r>
        <w:rPr>
          <w:rFonts w:hint="eastAsia" w:ascii="宋体" w:hAnsi="宋体" w:eastAsia="宋体" w:cs="宋体"/>
          <w:b/>
          <w:bCs/>
          <w:color w:val="auto"/>
          <w:kern w:val="0"/>
          <w:sz w:val="21"/>
          <w:szCs w:val="21"/>
          <w:highlight w:val="none"/>
          <w:lang w:val="en-US" w:eastAsia="zh-CN"/>
        </w:rPr>
        <w:t>服务考核</w:t>
      </w:r>
    </w:p>
    <w:p w14:paraId="5BD856BF">
      <w:pPr>
        <w:pStyle w:val="222"/>
        <w:keepNext w:val="0"/>
        <w:keepLines w:val="0"/>
        <w:pageBreakBefore w:val="0"/>
        <w:widowControl w:val="0"/>
        <w:numPr>
          <w:ilvl w:val="0"/>
          <w:numId w:val="17"/>
        </w:numPr>
        <w:kinsoku/>
        <w:wordWrap/>
        <w:overflowPunct/>
        <w:topLinePunct w:val="0"/>
        <w:autoSpaceDE/>
        <w:autoSpaceDN/>
        <w:bidi w:val="0"/>
        <w:adjustRightInd/>
        <w:snapToGrid/>
        <w:spacing w:line="360" w:lineRule="auto"/>
        <w:ind w:firstLineChars="0"/>
        <w:contextualSpacing/>
        <w:textAlignment w:val="auto"/>
        <w:rPr>
          <w:rFonts w:hint="eastAsia" w:ascii="宋体" w:hAnsi="宋体" w:eastAsia="宋体" w:cs="宋体"/>
          <w:b/>
          <w:bCs/>
          <w:color w:val="auto"/>
          <w:kern w:val="0"/>
          <w:sz w:val="21"/>
          <w:szCs w:val="21"/>
          <w:highlight w:val="none"/>
          <w:lang w:val="en-US" w:eastAsia="zh-CN"/>
        </w:rPr>
      </w:pPr>
      <w:r>
        <w:rPr>
          <w:rFonts w:hint="eastAsia" w:ascii="宋体" w:hAnsi="宋体" w:eastAsia="宋体" w:cs="宋体"/>
          <w:b/>
          <w:bCs/>
          <w:color w:val="auto"/>
          <w:sz w:val="21"/>
          <w:szCs w:val="21"/>
          <w:highlight w:val="none"/>
          <w:lang w:val="en-US" w:eastAsia="zh-CN"/>
        </w:rPr>
        <w:t>运维考核要求</w:t>
      </w:r>
    </w:p>
    <w:p w14:paraId="6A13BCBB">
      <w:pPr>
        <w:pStyle w:val="223"/>
        <w:keepNext w:val="0"/>
        <w:keepLines w:val="0"/>
        <w:pageBreakBefore w:val="0"/>
        <w:numPr>
          <w:ilvl w:val="0"/>
          <w:numId w:val="0"/>
        </w:numPr>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第2-4期付款前各</w:t>
      </w:r>
      <w:r>
        <w:rPr>
          <w:rFonts w:hint="eastAsia" w:ascii="宋体" w:hAnsi="宋体" w:eastAsia="宋体" w:cs="宋体"/>
          <w:color w:val="auto"/>
          <w:sz w:val="21"/>
          <w:szCs w:val="21"/>
          <w:highlight w:val="none"/>
        </w:rPr>
        <w:t>进行一次运维工作考核，考核评分标准如下</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实际考核要求以项目现场要求为准）</w:t>
      </w:r>
      <w:r>
        <w:rPr>
          <w:rFonts w:hint="eastAsia" w:ascii="宋体" w:hAnsi="宋体" w:eastAsia="宋体" w:cs="宋体"/>
          <w:color w:val="auto"/>
          <w:sz w:val="21"/>
          <w:szCs w:val="21"/>
          <w:highlight w:val="none"/>
        </w:rPr>
        <w:t>：</w:t>
      </w:r>
    </w:p>
    <w:tbl>
      <w:tblPr>
        <w:tblStyle w:val="41"/>
        <w:tblW w:w="4998"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844"/>
        <w:gridCol w:w="1681"/>
        <w:gridCol w:w="3857"/>
        <w:gridCol w:w="761"/>
        <w:gridCol w:w="2496"/>
        <w:gridCol w:w="721"/>
      </w:tblGrid>
      <w:tr w14:paraId="1AAD46A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946" w:hRule="atLeast"/>
        </w:trPr>
        <w:tc>
          <w:tcPr>
            <w:tcW w:w="407" w:type="pct"/>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center"/>
          </w:tcPr>
          <w:p w14:paraId="30AF29C0">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考核项目</w:t>
            </w:r>
          </w:p>
        </w:tc>
        <w:tc>
          <w:tcPr>
            <w:tcW w:w="811" w:type="pct"/>
            <w:tcBorders>
              <w:top w:val="single" w:color="000000" w:sz="4" w:space="0"/>
              <w:left w:val="nil"/>
              <w:bottom w:val="single" w:color="000000" w:sz="4" w:space="0"/>
              <w:right w:val="single" w:color="000000" w:sz="4" w:space="0"/>
            </w:tcBorders>
            <w:tcMar>
              <w:top w:w="0" w:type="dxa"/>
              <w:left w:w="105" w:type="dxa"/>
              <w:bottom w:w="0" w:type="dxa"/>
              <w:right w:w="105" w:type="dxa"/>
            </w:tcMar>
            <w:vAlign w:val="center"/>
          </w:tcPr>
          <w:p w14:paraId="0529F546">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考核内容</w:t>
            </w:r>
          </w:p>
        </w:tc>
        <w:tc>
          <w:tcPr>
            <w:tcW w:w="1861" w:type="pct"/>
            <w:tcBorders>
              <w:top w:val="single" w:color="000000" w:sz="4" w:space="0"/>
              <w:left w:val="nil"/>
              <w:bottom w:val="single" w:color="000000" w:sz="4" w:space="0"/>
              <w:right w:val="single" w:color="000000" w:sz="4" w:space="0"/>
            </w:tcBorders>
            <w:tcMar>
              <w:top w:w="0" w:type="dxa"/>
              <w:left w:w="105" w:type="dxa"/>
              <w:bottom w:w="0" w:type="dxa"/>
              <w:right w:w="105" w:type="dxa"/>
            </w:tcMar>
            <w:vAlign w:val="center"/>
          </w:tcPr>
          <w:p w14:paraId="10B94FB4">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考核指标</w:t>
            </w:r>
          </w:p>
        </w:tc>
        <w:tc>
          <w:tcPr>
            <w:tcW w:w="367" w:type="pct"/>
            <w:tcBorders>
              <w:top w:val="single" w:color="000000" w:sz="4" w:space="0"/>
              <w:left w:val="nil"/>
              <w:bottom w:val="single" w:color="000000" w:sz="4" w:space="0"/>
              <w:right w:val="single" w:color="000000" w:sz="4" w:space="0"/>
            </w:tcBorders>
            <w:tcMar>
              <w:top w:w="0" w:type="dxa"/>
              <w:left w:w="105" w:type="dxa"/>
              <w:bottom w:w="0" w:type="dxa"/>
              <w:right w:w="105" w:type="dxa"/>
            </w:tcMar>
            <w:vAlign w:val="center"/>
          </w:tcPr>
          <w:p w14:paraId="5FF88E29">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扣分上限</w:t>
            </w:r>
          </w:p>
        </w:tc>
        <w:tc>
          <w:tcPr>
            <w:tcW w:w="1204" w:type="pct"/>
            <w:tcBorders>
              <w:top w:val="single" w:color="000000" w:sz="4" w:space="0"/>
              <w:left w:val="nil"/>
              <w:bottom w:val="single" w:color="000000" w:sz="4" w:space="0"/>
              <w:right w:val="single" w:color="000000" w:sz="4" w:space="0"/>
            </w:tcBorders>
            <w:tcMar>
              <w:top w:w="0" w:type="dxa"/>
              <w:left w:w="105" w:type="dxa"/>
              <w:bottom w:w="0" w:type="dxa"/>
              <w:right w:w="105" w:type="dxa"/>
            </w:tcMar>
            <w:vAlign w:val="center"/>
          </w:tcPr>
          <w:p w14:paraId="0F6DDB74">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color w:val="auto"/>
                <w:sz w:val="21"/>
                <w:szCs w:val="21"/>
                <w:highlight w:val="none"/>
                <w:lang w:val="en-US" w:eastAsia="zh-CN"/>
              </w:rPr>
              <w:t>完成情况</w:t>
            </w:r>
          </w:p>
        </w:tc>
        <w:tc>
          <w:tcPr>
            <w:tcW w:w="348" w:type="pct"/>
            <w:tcBorders>
              <w:top w:val="single" w:color="000000" w:sz="4" w:space="0"/>
              <w:left w:val="nil"/>
              <w:bottom w:val="single" w:color="000000" w:sz="4" w:space="0"/>
              <w:right w:val="single" w:color="000000" w:sz="4" w:space="0"/>
            </w:tcBorders>
            <w:tcMar>
              <w:top w:w="0" w:type="dxa"/>
              <w:left w:w="105" w:type="dxa"/>
              <w:bottom w:w="0" w:type="dxa"/>
              <w:right w:w="105" w:type="dxa"/>
            </w:tcMar>
            <w:vAlign w:val="center"/>
          </w:tcPr>
          <w:p w14:paraId="727F1447">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lang w:val="en-US" w:eastAsia="zh-CN"/>
              </w:rPr>
              <w:t>得分</w:t>
            </w:r>
          </w:p>
        </w:tc>
      </w:tr>
      <w:tr w14:paraId="5DA0E00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8" w:hRule="atLeast"/>
        </w:trPr>
        <w:tc>
          <w:tcPr>
            <w:tcW w:w="407" w:type="pct"/>
            <w:vMerge w:val="restart"/>
            <w:tcBorders>
              <w:top w:val="nil"/>
              <w:left w:val="single" w:color="000000" w:sz="4" w:space="0"/>
              <w:right w:val="single" w:color="000000" w:sz="4" w:space="0"/>
            </w:tcBorders>
            <w:tcMar>
              <w:top w:w="0" w:type="dxa"/>
              <w:left w:w="105" w:type="dxa"/>
              <w:bottom w:w="0" w:type="dxa"/>
              <w:right w:w="105" w:type="dxa"/>
            </w:tcMar>
            <w:vAlign w:val="center"/>
          </w:tcPr>
          <w:p w14:paraId="11FCF78F">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b/>
                <w:color w:val="auto"/>
                <w:sz w:val="21"/>
                <w:szCs w:val="21"/>
                <w:highlight w:val="none"/>
              </w:rPr>
              <w:t>运维</w:t>
            </w:r>
            <w:r>
              <w:rPr>
                <w:rFonts w:hint="eastAsia" w:ascii="宋体" w:hAnsi="宋体" w:eastAsia="宋体" w:cs="宋体"/>
                <w:b/>
                <w:color w:val="auto"/>
                <w:sz w:val="21"/>
                <w:szCs w:val="21"/>
                <w:highlight w:val="none"/>
                <w:lang w:val="en-US" w:eastAsia="zh-CN"/>
              </w:rPr>
              <w:t>服务</w:t>
            </w:r>
          </w:p>
        </w:tc>
        <w:tc>
          <w:tcPr>
            <w:tcW w:w="81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80C2C1D">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日巡检工作执行</w:t>
            </w:r>
          </w:p>
        </w:tc>
        <w:tc>
          <w:tcPr>
            <w:tcW w:w="18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075BB63">
            <w:pPr>
              <w:pStyle w:val="223"/>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未按运维服务要求开展每日巡检工作，错、漏检一项每次扣0.5分。</w:t>
            </w:r>
          </w:p>
        </w:tc>
        <w:tc>
          <w:tcPr>
            <w:tcW w:w="367"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D5E45CB">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204"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A21F074">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c>
          <w:tcPr>
            <w:tcW w:w="348"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6AAB5E3">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14:paraId="3A20B2B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8" w:hRule="atLeast"/>
        </w:trPr>
        <w:tc>
          <w:tcPr>
            <w:tcW w:w="407" w:type="pct"/>
            <w:vMerge w:val="continue"/>
            <w:tcBorders>
              <w:left w:val="single" w:color="000000" w:sz="4" w:space="0"/>
              <w:right w:val="single" w:color="000000" w:sz="4" w:space="0"/>
            </w:tcBorders>
            <w:vAlign w:val="center"/>
          </w:tcPr>
          <w:p w14:paraId="5966EE96">
            <w:pPr>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1"/>
                <w:szCs w:val="21"/>
                <w:highlight w:val="none"/>
              </w:rPr>
            </w:pPr>
          </w:p>
        </w:tc>
        <w:tc>
          <w:tcPr>
            <w:tcW w:w="81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B1B53C5">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项目进度执行</w:t>
            </w:r>
          </w:p>
        </w:tc>
        <w:tc>
          <w:tcPr>
            <w:tcW w:w="18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C5A916C">
            <w:pPr>
              <w:pStyle w:val="223"/>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未按时完成项目进度（月、季度）计划执行，每发生一次扣1分。</w:t>
            </w:r>
          </w:p>
        </w:tc>
        <w:tc>
          <w:tcPr>
            <w:tcW w:w="367"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C326C20">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204"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C3BEE21">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c>
          <w:tcPr>
            <w:tcW w:w="348"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AB8B808">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14:paraId="059692F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8" w:hRule="atLeast"/>
        </w:trPr>
        <w:tc>
          <w:tcPr>
            <w:tcW w:w="407" w:type="pct"/>
            <w:vMerge w:val="continue"/>
            <w:tcBorders>
              <w:left w:val="single" w:color="000000" w:sz="4" w:space="0"/>
              <w:right w:val="single" w:color="000000" w:sz="4" w:space="0"/>
            </w:tcBorders>
            <w:vAlign w:val="center"/>
          </w:tcPr>
          <w:p w14:paraId="3D7EF0E2">
            <w:pPr>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1"/>
                <w:szCs w:val="21"/>
                <w:highlight w:val="none"/>
              </w:rPr>
            </w:pPr>
          </w:p>
        </w:tc>
        <w:tc>
          <w:tcPr>
            <w:tcW w:w="81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98C2CF0">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运维周工作情况</w:t>
            </w:r>
          </w:p>
        </w:tc>
        <w:tc>
          <w:tcPr>
            <w:tcW w:w="18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A55E8EE">
            <w:pPr>
              <w:pStyle w:val="223"/>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每周一下班前未按时完成上周维护工作情况，每次扣0.5分。</w:t>
            </w:r>
          </w:p>
        </w:tc>
        <w:tc>
          <w:tcPr>
            <w:tcW w:w="367"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9C89AA6">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204"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6ED87B1">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c>
          <w:tcPr>
            <w:tcW w:w="348"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BB5C3B3">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14:paraId="7B4DE26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407" w:type="pct"/>
            <w:vMerge w:val="continue"/>
            <w:tcBorders>
              <w:left w:val="single" w:color="000000" w:sz="4" w:space="0"/>
              <w:right w:val="single" w:color="000000" w:sz="4" w:space="0"/>
            </w:tcBorders>
            <w:tcMar>
              <w:top w:w="0" w:type="dxa"/>
              <w:left w:w="105" w:type="dxa"/>
              <w:bottom w:w="0" w:type="dxa"/>
              <w:right w:w="105" w:type="dxa"/>
            </w:tcMar>
            <w:vAlign w:val="center"/>
          </w:tcPr>
          <w:p w14:paraId="2827DC6D">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c>
          <w:tcPr>
            <w:tcW w:w="81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629176D">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运维响应</w:t>
            </w:r>
          </w:p>
        </w:tc>
        <w:tc>
          <w:tcPr>
            <w:tcW w:w="18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3D1B1DC">
            <w:pPr>
              <w:pStyle w:val="223"/>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工单超时</w:t>
            </w:r>
            <w:r>
              <w:rPr>
                <w:rFonts w:hint="eastAsia" w:ascii="宋体" w:hAnsi="宋体" w:eastAsia="宋体" w:cs="宋体"/>
                <w:color w:val="auto"/>
                <w:sz w:val="21"/>
                <w:szCs w:val="21"/>
                <w:highlight w:val="none"/>
                <w:lang w:eastAsia="zh-CN"/>
              </w:rPr>
              <w:t>或未按照服务要求及时响应的，</w:t>
            </w:r>
            <w:r>
              <w:rPr>
                <w:rFonts w:hint="eastAsia" w:ascii="宋体" w:hAnsi="宋体" w:eastAsia="宋体" w:cs="宋体"/>
                <w:color w:val="auto"/>
                <w:sz w:val="21"/>
                <w:szCs w:val="21"/>
                <w:highlight w:val="none"/>
              </w:rPr>
              <w:t>每次扣0.5分</w:t>
            </w:r>
            <w:r>
              <w:rPr>
                <w:rFonts w:hint="eastAsia" w:ascii="宋体" w:hAnsi="宋体" w:eastAsia="宋体" w:cs="宋体"/>
                <w:color w:val="auto"/>
                <w:sz w:val="21"/>
                <w:szCs w:val="21"/>
                <w:highlight w:val="none"/>
                <w:lang w:eastAsia="zh-CN"/>
              </w:rPr>
              <w:t>。</w:t>
            </w:r>
          </w:p>
        </w:tc>
        <w:tc>
          <w:tcPr>
            <w:tcW w:w="367"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252C9CC">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w:t>
            </w:r>
          </w:p>
        </w:tc>
        <w:tc>
          <w:tcPr>
            <w:tcW w:w="1204"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15C70AF">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c>
          <w:tcPr>
            <w:tcW w:w="348"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40C119F">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14:paraId="291313A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407" w:type="pct"/>
            <w:vMerge w:val="continue"/>
            <w:tcBorders>
              <w:left w:val="single" w:color="000000" w:sz="4" w:space="0"/>
              <w:right w:val="single" w:color="000000" w:sz="4" w:space="0"/>
            </w:tcBorders>
            <w:tcMar>
              <w:top w:w="0" w:type="dxa"/>
              <w:left w:w="105" w:type="dxa"/>
              <w:bottom w:w="0" w:type="dxa"/>
              <w:right w:w="105" w:type="dxa"/>
            </w:tcMar>
            <w:vAlign w:val="center"/>
          </w:tcPr>
          <w:p w14:paraId="326D7BA4">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c>
          <w:tcPr>
            <w:tcW w:w="81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33B576C">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运维质量</w:t>
            </w:r>
          </w:p>
        </w:tc>
        <w:tc>
          <w:tcPr>
            <w:tcW w:w="18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D581937">
            <w:pPr>
              <w:pStyle w:val="223"/>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工单评价低于“良”的，每次扣0.5分。</w:t>
            </w:r>
          </w:p>
        </w:tc>
        <w:tc>
          <w:tcPr>
            <w:tcW w:w="367"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9DFE164">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204"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39377EC">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c>
          <w:tcPr>
            <w:tcW w:w="348"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AA62C7C">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14:paraId="0957DDE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712" w:hRule="atLeast"/>
        </w:trPr>
        <w:tc>
          <w:tcPr>
            <w:tcW w:w="407" w:type="pct"/>
            <w:vMerge w:val="continue"/>
            <w:tcBorders>
              <w:left w:val="single" w:color="000000" w:sz="4" w:space="0"/>
              <w:bottom w:val="single" w:color="000000" w:sz="4" w:space="0"/>
              <w:right w:val="single" w:color="000000" w:sz="4" w:space="0"/>
            </w:tcBorders>
            <w:vAlign w:val="center"/>
          </w:tcPr>
          <w:p w14:paraId="1ABCA1D2">
            <w:pPr>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1"/>
                <w:szCs w:val="21"/>
                <w:highlight w:val="none"/>
              </w:rPr>
            </w:pPr>
          </w:p>
        </w:tc>
        <w:tc>
          <w:tcPr>
            <w:tcW w:w="81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7ED067F">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重大运维事件处理分析报告</w:t>
            </w:r>
          </w:p>
        </w:tc>
        <w:tc>
          <w:tcPr>
            <w:tcW w:w="18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342F380">
            <w:pPr>
              <w:pStyle w:val="223"/>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重大运维事件处理完毕后，未在3个工作日内提交报告的，每次扣1分。</w:t>
            </w:r>
          </w:p>
        </w:tc>
        <w:tc>
          <w:tcPr>
            <w:tcW w:w="367"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1DF7980">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204"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9C34712">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c>
          <w:tcPr>
            <w:tcW w:w="348"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7D0C860">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14:paraId="3F66952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946" w:hRule="atLeast"/>
        </w:trPr>
        <w:tc>
          <w:tcPr>
            <w:tcW w:w="407" w:type="pct"/>
            <w:vMerge w:val="restart"/>
            <w:tcBorders>
              <w:top w:val="nil"/>
              <w:left w:val="single" w:color="000000" w:sz="4" w:space="0"/>
              <w:right w:val="single" w:color="000000" w:sz="4" w:space="0"/>
            </w:tcBorders>
            <w:vAlign w:val="center"/>
          </w:tcPr>
          <w:p w14:paraId="0B056986">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运维管理</w:t>
            </w:r>
          </w:p>
        </w:tc>
        <w:tc>
          <w:tcPr>
            <w:tcW w:w="811" w:type="pct"/>
            <w:tcBorders>
              <w:top w:val="nil"/>
              <w:left w:val="nil"/>
              <w:bottom w:val="single" w:color="000000" w:sz="4" w:space="0"/>
              <w:right w:val="single" w:color="000000" w:sz="4" w:space="0"/>
            </w:tcBorders>
            <w:shd w:val="clear" w:color="auto" w:fill="auto"/>
            <w:tcMar>
              <w:top w:w="0" w:type="dxa"/>
              <w:left w:w="105" w:type="dxa"/>
              <w:bottom w:w="0" w:type="dxa"/>
              <w:right w:w="105" w:type="dxa"/>
            </w:tcMar>
            <w:vAlign w:val="center"/>
          </w:tcPr>
          <w:p w14:paraId="64663D2E">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人员</w:t>
            </w:r>
            <w:r>
              <w:rPr>
                <w:rFonts w:hint="eastAsia" w:ascii="宋体" w:hAnsi="宋体" w:eastAsia="宋体" w:cs="宋体"/>
                <w:color w:val="auto"/>
                <w:sz w:val="21"/>
                <w:szCs w:val="21"/>
                <w:highlight w:val="none"/>
                <w:lang w:eastAsia="zh-CN"/>
              </w:rPr>
              <w:t>考勤</w:t>
            </w:r>
          </w:p>
        </w:tc>
        <w:tc>
          <w:tcPr>
            <w:tcW w:w="1861" w:type="pct"/>
            <w:tcBorders>
              <w:top w:val="nil"/>
              <w:left w:val="nil"/>
              <w:bottom w:val="single" w:color="000000" w:sz="4" w:space="0"/>
              <w:right w:val="single" w:color="000000" w:sz="4" w:space="0"/>
            </w:tcBorders>
            <w:shd w:val="clear" w:color="auto" w:fill="auto"/>
            <w:tcMar>
              <w:top w:w="0" w:type="dxa"/>
              <w:left w:w="105" w:type="dxa"/>
              <w:bottom w:w="0" w:type="dxa"/>
              <w:right w:w="105" w:type="dxa"/>
            </w:tcMar>
            <w:vAlign w:val="center"/>
          </w:tcPr>
          <w:p w14:paraId="37ACB832">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rPr>
              <w:t>合同期内，</w:t>
            </w:r>
            <w:r>
              <w:rPr>
                <w:rFonts w:hint="eastAsia" w:ascii="宋体" w:hAnsi="宋体" w:eastAsia="宋体" w:cs="宋体"/>
                <w:color w:val="auto"/>
                <w:sz w:val="21"/>
                <w:szCs w:val="21"/>
                <w:highlight w:val="none"/>
                <w:lang w:eastAsia="zh-CN"/>
              </w:rPr>
              <w:t>驻场人员</w:t>
            </w:r>
            <w:r>
              <w:rPr>
                <w:rFonts w:hint="eastAsia" w:ascii="宋体" w:hAnsi="宋体" w:eastAsia="宋体" w:cs="宋体"/>
                <w:color w:val="auto"/>
                <w:sz w:val="21"/>
                <w:szCs w:val="21"/>
                <w:highlight w:val="none"/>
              </w:rPr>
              <w:t>总人数不得少于</w:t>
            </w:r>
            <w:r>
              <w:rPr>
                <w:rFonts w:hint="eastAsia" w:ascii="宋体" w:hAnsi="宋体" w:eastAsia="宋体" w:cs="宋体"/>
                <w:color w:val="auto"/>
                <w:sz w:val="21"/>
                <w:szCs w:val="21"/>
                <w:highlight w:val="none"/>
                <w:lang w:eastAsia="zh-CN"/>
              </w:rPr>
              <w:t>要求</w:t>
            </w:r>
            <w:r>
              <w:rPr>
                <w:rFonts w:hint="eastAsia" w:ascii="宋体" w:hAnsi="宋体" w:eastAsia="宋体" w:cs="宋体"/>
                <w:color w:val="auto"/>
                <w:sz w:val="21"/>
                <w:szCs w:val="21"/>
                <w:highlight w:val="none"/>
              </w:rPr>
              <w:t>，每次考勤检查每少1人扣1分。</w:t>
            </w:r>
          </w:p>
        </w:tc>
        <w:tc>
          <w:tcPr>
            <w:tcW w:w="367" w:type="pct"/>
            <w:tcBorders>
              <w:top w:val="nil"/>
              <w:left w:val="nil"/>
              <w:bottom w:val="single" w:color="000000" w:sz="4" w:space="0"/>
              <w:right w:val="single" w:color="000000" w:sz="4" w:space="0"/>
            </w:tcBorders>
            <w:shd w:val="clear" w:color="auto" w:fill="auto"/>
            <w:tcMar>
              <w:top w:w="0" w:type="dxa"/>
              <w:left w:w="105" w:type="dxa"/>
              <w:bottom w:w="0" w:type="dxa"/>
              <w:right w:w="105" w:type="dxa"/>
            </w:tcMar>
            <w:vAlign w:val="center"/>
          </w:tcPr>
          <w:p w14:paraId="45EFAFD6">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rPr>
              <w:t>10</w:t>
            </w:r>
          </w:p>
        </w:tc>
        <w:tc>
          <w:tcPr>
            <w:tcW w:w="1204"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696384F">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c>
          <w:tcPr>
            <w:tcW w:w="348"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B5E30C6">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14:paraId="4D8A739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946" w:hRule="atLeast"/>
        </w:trPr>
        <w:tc>
          <w:tcPr>
            <w:tcW w:w="407" w:type="pct"/>
            <w:vMerge w:val="continue"/>
            <w:tcBorders>
              <w:left w:val="single" w:color="000000" w:sz="4" w:space="0"/>
              <w:right w:val="single" w:color="000000" w:sz="4" w:space="0"/>
            </w:tcBorders>
            <w:vAlign w:val="center"/>
          </w:tcPr>
          <w:p w14:paraId="7F686287">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c>
          <w:tcPr>
            <w:tcW w:w="81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F8AA482">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服务态度</w:t>
            </w:r>
          </w:p>
        </w:tc>
        <w:tc>
          <w:tcPr>
            <w:tcW w:w="18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0A115D6">
            <w:pPr>
              <w:pStyle w:val="223"/>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维护人员、人工运维服务台值班人员的服务态度恶劣的，每次扣1分，连续两次以上，除扣分外，可要求</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更换维护人员、人工运维服务台值班人员。</w:t>
            </w:r>
          </w:p>
        </w:tc>
        <w:tc>
          <w:tcPr>
            <w:tcW w:w="367"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DAD1F84">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204"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7712ED8">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c>
          <w:tcPr>
            <w:tcW w:w="348"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5FFA06C">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14:paraId="23187C6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8" w:hRule="atLeast"/>
        </w:trPr>
        <w:tc>
          <w:tcPr>
            <w:tcW w:w="407" w:type="pct"/>
            <w:vMerge w:val="continue"/>
            <w:tcBorders>
              <w:left w:val="single" w:color="000000" w:sz="4" w:space="0"/>
              <w:right w:val="single" w:color="000000" w:sz="4" w:space="0"/>
            </w:tcBorders>
            <w:vAlign w:val="center"/>
          </w:tcPr>
          <w:p w14:paraId="1100D970">
            <w:pPr>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1"/>
                <w:szCs w:val="21"/>
                <w:highlight w:val="none"/>
              </w:rPr>
            </w:pPr>
          </w:p>
        </w:tc>
        <w:tc>
          <w:tcPr>
            <w:tcW w:w="81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D3F56E3">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工作配合</w:t>
            </w:r>
          </w:p>
        </w:tc>
        <w:tc>
          <w:tcPr>
            <w:tcW w:w="18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A249BA1">
            <w:pPr>
              <w:pStyle w:val="223"/>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未能及时完成交办任务，影响有关工作开展的，每次扣</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eastAsia="zh-CN"/>
              </w:rPr>
              <w:t>。</w:t>
            </w:r>
          </w:p>
        </w:tc>
        <w:tc>
          <w:tcPr>
            <w:tcW w:w="367"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F10E157">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204"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DEF393F">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c>
          <w:tcPr>
            <w:tcW w:w="348"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9CECCFB">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14:paraId="69AC7A9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8" w:hRule="atLeast"/>
        </w:trPr>
        <w:tc>
          <w:tcPr>
            <w:tcW w:w="407" w:type="pct"/>
            <w:vMerge w:val="continue"/>
            <w:tcBorders>
              <w:left w:val="single" w:color="000000" w:sz="4" w:space="0"/>
              <w:right w:val="single" w:color="000000" w:sz="4" w:space="0"/>
            </w:tcBorders>
            <w:tcMar>
              <w:top w:w="0" w:type="dxa"/>
              <w:left w:w="105" w:type="dxa"/>
              <w:bottom w:w="0" w:type="dxa"/>
              <w:right w:w="105" w:type="dxa"/>
            </w:tcMar>
            <w:vAlign w:val="center"/>
          </w:tcPr>
          <w:p w14:paraId="25F5CE4D">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c>
          <w:tcPr>
            <w:tcW w:w="81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EFB3D60">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人为失误</w:t>
            </w:r>
          </w:p>
        </w:tc>
        <w:tc>
          <w:tcPr>
            <w:tcW w:w="18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C95F76F">
            <w:pPr>
              <w:pStyle w:val="223"/>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由于维护人员操作失误，导致系统无法正常运行影响运维服务的，每次扣2-5分。</w:t>
            </w:r>
          </w:p>
        </w:tc>
        <w:tc>
          <w:tcPr>
            <w:tcW w:w="367"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C24C273">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1204"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B2ADEE9">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c>
          <w:tcPr>
            <w:tcW w:w="348"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7E7A1A2">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14:paraId="2106082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712" w:hRule="atLeast"/>
        </w:trPr>
        <w:tc>
          <w:tcPr>
            <w:tcW w:w="407" w:type="pct"/>
            <w:vMerge w:val="continue"/>
            <w:tcBorders>
              <w:left w:val="single" w:color="000000" w:sz="4" w:space="0"/>
              <w:right w:val="single" w:color="000000" w:sz="4" w:space="0"/>
            </w:tcBorders>
            <w:vAlign w:val="center"/>
          </w:tcPr>
          <w:p w14:paraId="56D95E64">
            <w:pPr>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1"/>
                <w:szCs w:val="21"/>
                <w:highlight w:val="none"/>
              </w:rPr>
            </w:pPr>
          </w:p>
        </w:tc>
        <w:tc>
          <w:tcPr>
            <w:tcW w:w="81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583393A">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人员保障</w:t>
            </w:r>
          </w:p>
        </w:tc>
        <w:tc>
          <w:tcPr>
            <w:tcW w:w="18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B5A6897">
            <w:pPr>
              <w:pStyle w:val="223"/>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驻场运维人员在合同期内，除</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主动要求更换运维人员外，服务提供方总人数不得更换超过5人，每超1人扣1分。</w:t>
            </w:r>
          </w:p>
        </w:tc>
        <w:tc>
          <w:tcPr>
            <w:tcW w:w="367"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E7788B1">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1204"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5558F64">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c>
          <w:tcPr>
            <w:tcW w:w="348"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6B7B659">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14:paraId="3ABF955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2359" w:hRule="atLeast"/>
        </w:trPr>
        <w:tc>
          <w:tcPr>
            <w:tcW w:w="407" w:type="pct"/>
            <w:vMerge w:val="continue"/>
            <w:tcBorders>
              <w:left w:val="single" w:color="000000" w:sz="4" w:space="0"/>
              <w:bottom w:val="single" w:color="000000" w:sz="4" w:space="0"/>
              <w:right w:val="single" w:color="000000" w:sz="4" w:space="0"/>
            </w:tcBorders>
            <w:vAlign w:val="center"/>
          </w:tcPr>
          <w:p w14:paraId="0DE781C2">
            <w:pPr>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1"/>
                <w:szCs w:val="21"/>
                <w:highlight w:val="none"/>
              </w:rPr>
            </w:pPr>
          </w:p>
        </w:tc>
        <w:tc>
          <w:tcPr>
            <w:tcW w:w="81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D19576C">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信息安全保密工作</w:t>
            </w:r>
          </w:p>
        </w:tc>
        <w:tc>
          <w:tcPr>
            <w:tcW w:w="186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BF8C303">
            <w:pPr>
              <w:pStyle w:val="223"/>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项目人员未按规定签保密协议的，每人扣1分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未及时清理U盘或互联网电脑中可能会泄密的资料和数据的，每次扣1分。</w:t>
            </w:r>
          </w:p>
          <w:p w14:paraId="50E56913">
            <w:pPr>
              <w:pStyle w:val="223"/>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如</w:t>
            </w:r>
            <w:r>
              <w:rPr>
                <w:rFonts w:hint="eastAsia" w:ascii="宋体" w:hAnsi="宋体" w:eastAsia="宋体" w:cs="宋体"/>
                <w:color w:val="auto"/>
                <w:sz w:val="21"/>
                <w:szCs w:val="21"/>
                <w:highlight w:val="none"/>
              </w:rPr>
              <w:t>发生违规的网络安全事件，每次扣5分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如发生</w:t>
            </w:r>
            <w:r>
              <w:rPr>
                <w:rFonts w:hint="eastAsia" w:ascii="宋体" w:hAnsi="宋体" w:eastAsia="宋体" w:cs="宋体"/>
                <w:color w:val="auto"/>
                <w:sz w:val="21"/>
                <w:szCs w:val="21"/>
                <w:highlight w:val="none"/>
              </w:rPr>
              <w:t>重要敏感数据外泄，直接扣除全部履约保证金。</w:t>
            </w:r>
          </w:p>
        </w:tc>
        <w:tc>
          <w:tcPr>
            <w:tcW w:w="367"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E14860A">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1204"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E68838E">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c>
          <w:tcPr>
            <w:tcW w:w="348"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04FF39C">
            <w:pPr>
              <w:pStyle w:val="223"/>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bl>
    <w:p w14:paraId="1C8DC9B8">
      <w:pPr>
        <w:pStyle w:val="2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考核成绩高于或者等于90分，评估合格，不作</w:t>
      </w:r>
      <w:r>
        <w:rPr>
          <w:rFonts w:hint="eastAsia" w:ascii="宋体" w:hAnsi="宋体" w:eastAsia="宋体" w:cs="宋体"/>
          <w:color w:val="auto"/>
          <w:sz w:val="21"/>
          <w:szCs w:val="21"/>
          <w:highlight w:val="none"/>
          <w:lang w:val="en-US" w:eastAsia="zh-CN"/>
        </w:rPr>
        <w:t>违约金扣除</w:t>
      </w:r>
      <w:r>
        <w:rPr>
          <w:rFonts w:hint="eastAsia" w:ascii="宋体" w:hAnsi="宋体" w:eastAsia="宋体" w:cs="宋体"/>
          <w:color w:val="auto"/>
          <w:sz w:val="21"/>
          <w:szCs w:val="21"/>
          <w:highlight w:val="none"/>
        </w:rPr>
        <w:t>。考核成绩低于90分的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每</w:t>
      </w:r>
      <w:r>
        <w:rPr>
          <w:rFonts w:hint="eastAsia" w:ascii="宋体" w:hAnsi="宋体" w:eastAsia="宋体" w:cs="宋体"/>
          <w:color w:val="auto"/>
          <w:sz w:val="21"/>
          <w:szCs w:val="21"/>
          <w:highlight w:val="none"/>
          <w:lang w:val="en-US" w:eastAsia="zh-CN"/>
        </w:rPr>
        <w:t>低</w:t>
      </w:r>
      <w:r>
        <w:rPr>
          <w:rFonts w:hint="eastAsia" w:ascii="宋体" w:hAnsi="宋体" w:eastAsia="宋体" w:cs="宋体"/>
          <w:color w:val="auto"/>
          <w:sz w:val="21"/>
          <w:szCs w:val="21"/>
          <w:highlight w:val="none"/>
        </w:rPr>
        <w:t>一分，扣除</w:t>
      </w:r>
      <w:r>
        <w:rPr>
          <w:rFonts w:hint="eastAsia" w:ascii="宋体" w:hAnsi="宋体" w:eastAsia="宋体" w:cs="宋体"/>
          <w:bCs w:val="0"/>
          <w:color w:val="auto"/>
          <w:sz w:val="21"/>
          <w:szCs w:val="21"/>
          <w:highlight w:val="none"/>
        </w:rPr>
        <w:t>3000元违约金。</w:t>
      </w:r>
      <w:r>
        <w:rPr>
          <w:rFonts w:hint="eastAsia" w:ascii="宋体" w:hAnsi="宋体" w:eastAsia="宋体" w:cs="宋体"/>
          <w:color w:val="auto"/>
          <w:sz w:val="21"/>
          <w:szCs w:val="21"/>
          <w:highlight w:val="none"/>
          <w:lang w:val="en-US" w:eastAsia="zh-CN"/>
        </w:rPr>
        <w:t>如因中标人原因导致用户方对项目扣款的，由中标人全额承担。</w:t>
      </w:r>
      <w:r>
        <w:rPr>
          <w:rFonts w:hint="eastAsia" w:ascii="宋体" w:hAnsi="宋体" w:eastAsia="宋体" w:cs="宋体"/>
          <w:color w:val="auto"/>
          <w:sz w:val="21"/>
          <w:szCs w:val="21"/>
          <w:highlight w:val="none"/>
        </w:rPr>
        <w:t>遇到</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rPr>
        <w:t>无法解决的故障问题，或故障超过7个工作日仍未解决。</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有权自行寻找有能力处理故障的供应商解决问题，费用由</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rPr>
        <w:t>支付。</w:t>
      </w:r>
    </w:p>
    <w:p w14:paraId="6B972E26">
      <w:pPr>
        <w:pStyle w:val="222"/>
        <w:keepNext w:val="0"/>
        <w:keepLines w:val="0"/>
        <w:pageBreakBefore w:val="0"/>
        <w:widowControl w:val="0"/>
        <w:numPr>
          <w:ilvl w:val="0"/>
          <w:numId w:val="17"/>
        </w:numPr>
        <w:kinsoku/>
        <w:wordWrap/>
        <w:overflowPunct/>
        <w:topLinePunct w:val="0"/>
        <w:autoSpaceDE/>
        <w:autoSpaceDN/>
        <w:bidi w:val="0"/>
        <w:adjustRightInd/>
        <w:snapToGrid/>
        <w:spacing w:line="360" w:lineRule="auto"/>
        <w:ind w:firstLineChars="0"/>
        <w:contextualSpacing/>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扣款条款</w:t>
      </w:r>
    </w:p>
    <w:p w14:paraId="3392AFEC">
      <w:pPr>
        <w:pStyle w:val="222"/>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驻场维护人员（工程师）未经</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同意迟到早退的，处以违约金人民币200元/次；无故缺勤的，处以违约金人民币500元/人/天；</w:t>
      </w:r>
    </w:p>
    <w:p w14:paraId="231A0960">
      <w:pPr>
        <w:pStyle w:val="222"/>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因驻场维护人员（工程师）操作失误或未按时巡检造成重要业务故障的，处以违约金人民币3000元/次；</w:t>
      </w:r>
    </w:p>
    <w:p w14:paraId="352B1882">
      <w:pPr>
        <w:pStyle w:val="222"/>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合同期内，委派的驻点维护人员数量少于合同约定的，处以违约金人民币</w:t>
      </w:r>
      <w:r>
        <w:rPr>
          <w:rFonts w:hint="eastAsia" w:ascii="宋体" w:hAnsi="宋体" w:eastAsia="宋体" w:cs="宋体"/>
          <w:color w:val="auto"/>
          <w:sz w:val="21"/>
          <w:szCs w:val="21"/>
          <w:highlight w:val="none"/>
          <w:lang w:val="en-US" w:eastAsia="zh-CN"/>
        </w:rPr>
        <w:t>1.5</w:t>
      </w:r>
      <w:r>
        <w:rPr>
          <w:rFonts w:hint="eastAsia" w:ascii="宋体" w:hAnsi="宋体" w:eastAsia="宋体" w:cs="宋体"/>
          <w:color w:val="auto"/>
          <w:sz w:val="21"/>
          <w:szCs w:val="21"/>
          <w:highlight w:val="none"/>
        </w:rPr>
        <w:t>万元/人/月</w:t>
      </w:r>
      <w:r>
        <w:rPr>
          <w:rFonts w:hint="eastAsia" w:ascii="宋体" w:hAnsi="宋体" w:eastAsia="宋体" w:cs="宋体"/>
          <w:color w:val="auto"/>
          <w:sz w:val="21"/>
          <w:szCs w:val="21"/>
          <w:highlight w:val="none"/>
          <w:lang w:eastAsia="zh-CN"/>
        </w:rPr>
        <w:t>；</w:t>
      </w:r>
    </w:p>
    <w:p w14:paraId="3E09D0B7">
      <w:pPr>
        <w:pStyle w:val="222"/>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在运维周期内，中标人提交的同类型文档因质量问题，被招标人退回修改3次以上的，处以违约金人民币1000元/次；</w:t>
      </w:r>
    </w:p>
    <w:p w14:paraId="76E1E545">
      <w:pPr>
        <w:pStyle w:val="222"/>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驻场维护人员未经招标人同意，擅自进行高危操作（如重启设备、修改数据库等），且造成严重后果的，处以违约金人民币3000元/次；</w:t>
      </w:r>
    </w:p>
    <w:p w14:paraId="1CA66205">
      <w:pPr>
        <w:pStyle w:val="222"/>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rPr>
        <w:t>擅自更换项目服务人员或不按</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要求更换项目服务人员的，</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应向</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支付</w:t>
      </w:r>
      <w:r>
        <w:rPr>
          <w:rFonts w:hint="eastAsia" w:ascii="宋体" w:hAnsi="宋体" w:eastAsia="宋体" w:cs="宋体"/>
          <w:color w:val="auto"/>
          <w:sz w:val="21"/>
          <w:szCs w:val="21"/>
          <w:highlight w:val="none"/>
          <w:lang w:val="en-US" w:eastAsia="zh-CN"/>
        </w:rPr>
        <w:t>3000</w:t>
      </w:r>
      <w:r>
        <w:rPr>
          <w:rFonts w:hint="eastAsia" w:ascii="宋体" w:hAnsi="宋体" w:eastAsia="宋体" w:cs="宋体"/>
          <w:color w:val="auto"/>
          <w:sz w:val="21"/>
          <w:szCs w:val="21"/>
          <w:highlight w:val="none"/>
        </w:rPr>
        <w:t>元/人次的违约金。发生</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次以上(含本数)时，</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有权解除合同，</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应向</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支付相当于合同总价款</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%的违约金</w:t>
      </w:r>
      <w:r>
        <w:rPr>
          <w:rFonts w:hint="eastAsia" w:ascii="宋体" w:hAnsi="宋体" w:eastAsia="宋体" w:cs="宋体"/>
          <w:color w:val="auto"/>
          <w:sz w:val="21"/>
          <w:szCs w:val="21"/>
          <w:highlight w:val="none"/>
          <w:lang w:eastAsia="zh-CN"/>
        </w:rPr>
        <w:t>；</w:t>
      </w:r>
    </w:p>
    <w:p w14:paraId="6C16D885">
      <w:pPr>
        <w:pStyle w:val="223"/>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hanging="425" w:firstLineChars="0"/>
        <w:contextualSpacing/>
        <w:jc w:val="both"/>
        <w:textAlignment w:val="auto"/>
        <w:rPr>
          <w:rFonts w:hint="eastAsia" w:ascii="宋体" w:hAnsi="宋体" w:eastAsia="宋体" w:cs="宋体"/>
          <w:color w:val="auto"/>
          <w:kern w:val="2"/>
          <w:sz w:val="21"/>
          <w:szCs w:val="21"/>
          <w:highlight w:val="none"/>
          <w:lang w:eastAsia="zh-CN" w:bidi="ar-SA"/>
        </w:rPr>
      </w:pPr>
      <w:r>
        <w:rPr>
          <w:rFonts w:hint="eastAsia" w:ascii="宋体" w:hAnsi="宋体" w:eastAsia="宋体" w:cs="宋体"/>
          <w:bCs w:val="0"/>
          <w:color w:val="auto"/>
          <w:kern w:val="2"/>
          <w:sz w:val="21"/>
          <w:szCs w:val="21"/>
          <w:highlight w:val="none"/>
          <w:lang w:val="en-US" w:eastAsia="zh-CN" w:bidi="ar-SA"/>
        </w:rPr>
        <w:t>招标人</w:t>
      </w:r>
      <w:r>
        <w:rPr>
          <w:rFonts w:hint="eastAsia" w:ascii="宋体" w:hAnsi="宋体" w:eastAsia="宋体" w:cs="宋体"/>
          <w:bCs w:val="0"/>
          <w:color w:val="auto"/>
          <w:kern w:val="2"/>
          <w:sz w:val="21"/>
          <w:szCs w:val="21"/>
          <w:highlight w:val="none"/>
          <w:lang w:eastAsia="zh-CN" w:bidi="ar-SA"/>
        </w:rPr>
        <w:t>下达的报障单或服务单，因中标人自身技术力量不足（不可抗力因素除外），出现超过服务时效或修复时效情况的，一次扣减2000元，每超过时效一天增加200元；超过30天无法结单，则按以下方式处理：造成故障单或服务单连续在30天无法结单，扣减2万元违约金；连续超出60天无法结单，在扣减2万元基础上追加扣减4万元违约金；连续超出90天无法结单，在扣减6万元基础上追加扣减8万元违约金。当故障单或服务单连续在100天无法结单时，</w:t>
      </w:r>
      <w:r>
        <w:rPr>
          <w:rFonts w:hint="eastAsia" w:ascii="宋体" w:hAnsi="宋体" w:eastAsia="宋体" w:cs="宋体"/>
          <w:bCs w:val="0"/>
          <w:color w:val="auto"/>
          <w:kern w:val="2"/>
          <w:sz w:val="21"/>
          <w:szCs w:val="21"/>
          <w:highlight w:val="none"/>
          <w:lang w:val="en-US" w:eastAsia="zh-CN" w:bidi="ar-SA"/>
        </w:rPr>
        <w:t>招标人</w:t>
      </w:r>
      <w:r>
        <w:rPr>
          <w:rFonts w:hint="eastAsia" w:ascii="宋体" w:hAnsi="宋体" w:eastAsia="宋体" w:cs="宋体"/>
          <w:bCs w:val="0"/>
          <w:color w:val="auto"/>
          <w:kern w:val="2"/>
          <w:sz w:val="21"/>
          <w:szCs w:val="21"/>
          <w:highlight w:val="none"/>
          <w:lang w:eastAsia="zh-CN" w:bidi="ar-SA"/>
        </w:rPr>
        <w:t>有权解除合同。</w:t>
      </w:r>
    </w:p>
    <w:p w14:paraId="10C0730B">
      <w:pPr>
        <w:pStyle w:val="223"/>
        <w:numPr>
          <w:ilvl w:val="0"/>
          <w:numId w:val="18"/>
        </w:numPr>
        <w:spacing w:line="360" w:lineRule="auto"/>
        <w:ind w:left="425" w:hanging="425" w:firstLineChars="0"/>
        <w:rPr>
          <w:rFonts w:hint="eastAsia" w:ascii="宋体" w:hAnsi="宋体" w:eastAsia="宋体" w:cs="宋体"/>
          <w:color w:val="auto"/>
          <w:kern w:val="2"/>
          <w:sz w:val="21"/>
          <w:szCs w:val="21"/>
          <w:highlight w:val="none"/>
          <w:lang w:eastAsia="zh-CN" w:bidi="ar-SA"/>
        </w:rPr>
      </w:pPr>
      <w:r>
        <w:rPr>
          <w:rFonts w:hint="eastAsia" w:ascii="宋体" w:hAnsi="宋体" w:eastAsia="宋体" w:cs="宋体"/>
          <w:color w:val="auto"/>
          <w:kern w:val="2"/>
          <w:sz w:val="21"/>
          <w:szCs w:val="21"/>
          <w:highlight w:val="none"/>
          <w:lang w:eastAsia="zh-CN" w:bidi="ar-SA"/>
        </w:rPr>
        <w:t>中标人在执行维护工作中，</w:t>
      </w:r>
      <w:r>
        <w:rPr>
          <w:rFonts w:hint="eastAsia" w:ascii="宋体" w:hAnsi="宋体" w:eastAsia="宋体" w:cs="宋体"/>
          <w:color w:val="auto"/>
          <w:kern w:val="2"/>
          <w:sz w:val="21"/>
          <w:szCs w:val="21"/>
          <w:highlight w:val="none"/>
          <w:lang w:val="en-US" w:eastAsia="zh-CN" w:bidi="ar-SA"/>
        </w:rPr>
        <w:t>招标人</w:t>
      </w:r>
      <w:r>
        <w:rPr>
          <w:rFonts w:hint="eastAsia" w:ascii="宋体" w:hAnsi="宋体" w:eastAsia="宋体" w:cs="宋体"/>
          <w:color w:val="auto"/>
          <w:kern w:val="2"/>
          <w:sz w:val="21"/>
          <w:szCs w:val="21"/>
          <w:highlight w:val="none"/>
          <w:lang w:eastAsia="zh-CN" w:bidi="ar-SA"/>
        </w:rPr>
        <w:t>若发现维护人员出现欺骗、作假，工作态度消极，对于</w:t>
      </w:r>
      <w:r>
        <w:rPr>
          <w:rFonts w:hint="eastAsia" w:ascii="宋体" w:hAnsi="宋体" w:eastAsia="宋体" w:cs="宋体"/>
          <w:color w:val="auto"/>
          <w:kern w:val="2"/>
          <w:sz w:val="21"/>
          <w:szCs w:val="21"/>
          <w:highlight w:val="none"/>
          <w:lang w:val="en-US" w:eastAsia="zh-CN" w:bidi="ar-SA"/>
        </w:rPr>
        <w:t>招标人</w:t>
      </w:r>
      <w:r>
        <w:rPr>
          <w:rFonts w:hint="eastAsia" w:ascii="宋体" w:hAnsi="宋体" w:eastAsia="宋体" w:cs="宋体"/>
          <w:color w:val="auto"/>
          <w:kern w:val="2"/>
          <w:sz w:val="21"/>
          <w:szCs w:val="21"/>
          <w:highlight w:val="none"/>
          <w:lang w:eastAsia="zh-CN" w:bidi="ar-SA"/>
        </w:rPr>
        <w:t>下达的合同运维服务范围内的服务单或故障单不接受、不整改、不落实、不修复等情形。同时按照</w:t>
      </w:r>
      <w:r>
        <w:rPr>
          <w:rFonts w:hint="eastAsia" w:ascii="宋体" w:hAnsi="宋体" w:eastAsia="宋体" w:cs="宋体"/>
          <w:color w:val="auto"/>
          <w:kern w:val="2"/>
          <w:sz w:val="21"/>
          <w:szCs w:val="21"/>
          <w:highlight w:val="none"/>
          <w:lang w:val="en-US" w:eastAsia="zh-CN" w:bidi="ar-SA"/>
        </w:rPr>
        <w:t>招标人</w:t>
      </w:r>
      <w:r>
        <w:rPr>
          <w:rFonts w:hint="eastAsia" w:ascii="宋体" w:hAnsi="宋体" w:eastAsia="宋体" w:cs="宋体"/>
          <w:color w:val="auto"/>
          <w:kern w:val="2"/>
          <w:sz w:val="21"/>
          <w:szCs w:val="21"/>
          <w:highlight w:val="none"/>
          <w:lang w:eastAsia="zh-CN" w:bidi="ar-SA"/>
        </w:rPr>
        <w:t>管理要求，维护人员出现1次弄虚作假、欺瞒</w:t>
      </w:r>
      <w:r>
        <w:rPr>
          <w:rFonts w:hint="eastAsia" w:ascii="宋体" w:hAnsi="宋体" w:eastAsia="宋体" w:cs="宋体"/>
          <w:color w:val="auto"/>
          <w:kern w:val="2"/>
          <w:sz w:val="21"/>
          <w:szCs w:val="21"/>
          <w:highlight w:val="none"/>
          <w:lang w:val="en-US" w:eastAsia="zh-CN" w:bidi="ar-SA"/>
        </w:rPr>
        <w:t>招标人</w:t>
      </w:r>
      <w:r>
        <w:rPr>
          <w:rFonts w:hint="eastAsia" w:ascii="宋体" w:hAnsi="宋体" w:eastAsia="宋体" w:cs="宋体"/>
          <w:color w:val="auto"/>
          <w:kern w:val="2"/>
          <w:sz w:val="21"/>
          <w:szCs w:val="21"/>
          <w:highlight w:val="none"/>
          <w:lang w:eastAsia="zh-CN" w:bidi="ar-SA"/>
        </w:rPr>
        <w:t>，则扣除1万元作为违约金，且该维护人员不得再被项目组录用。</w:t>
      </w:r>
    </w:p>
    <w:p w14:paraId="24A99754">
      <w:pPr>
        <w:pStyle w:val="223"/>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hanging="425" w:firstLineChars="0"/>
        <w:contextualSpacing/>
        <w:jc w:val="both"/>
        <w:textAlignment w:val="auto"/>
        <w:rPr>
          <w:rFonts w:hint="eastAsia" w:ascii="宋体" w:hAnsi="宋体" w:eastAsia="宋体" w:cs="宋体"/>
          <w:color w:val="auto"/>
          <w:kern w:val="2"/>
          <w:sz w:val="21"/>
          <w:szCs w:val="21"/>
          <w:highlight w:val="none"/>
          <w:lang w:eastAsia="zh-CN" w:bidi="ar-SA"/>
        </w:rPr>
      </w:pPr>
      <w:r>
        <w:rPr>
          <w:rFonts w:hint="eastAsia" w:ascii="宋体" w:hAnsi="宋体" w:eastAsia="宋体" w:cs="宋体"/>
          <w:color w:val="auto"/>
          <w:kern w:val="2"/>
          <w:sz w:val="21"/>
          <w:szCs w:val="21"/>
          <w:highlight w:val="none"/>
          <w:lang w:eastAsia="zh-CN" w:bidi="ar-SA"/>
        </w:rPr>
        <w:t>驻场运维人员要按</w:t>
      </w:r>
      <w:r>
        <w:rPr>
          <w:rFonts w:hint="eastAsia" w:ascii="宋体" w:hAnsi="宋体" w:eastAsia="宋体" w:cs="宋体"/>
          <w:color w:val="auto"/>
          <w:kern w:val="2"/>
          <w:sz w:val="21"/>
          <w:szCs w:val="21"/>
          <w:highlight w:val="none"/>
          <w:lang w:val="en-US" w:eastAsia="zh-CN" w:bidi="ar-SA"/>
        </w:rPr>
        <w:t>招</w:t>
      </w:r>
      <w:r>
        <w:rPr>
          <w:rFonts w:hint="eastAsia" w:ascii="宋体" w:hAnsi="宋体" w:eastAsia="宋体" w:cs="宋体"/>
          <w:color w:val="auto"/>
          <w:kern w:val="2"/>
          <w:sz w:val="21"/>
          <w:szCs w:val="21"/>
          <w:highlight w:val="none"/>
          <w:lang w:eastAsia="zh-CN" w:bidi="ar-SA"/>
        </w:rPr>
        <w:t>标人要求规范着装，保持外观大方得体，没有按规定着装的每发现一次扣减500元作为违约金。</w:t>
      </w:r>
    </w:p>
    <w:p w14:paraId="2CACDD91">
      <w:pPr>
        <w:pStyle w:val="222"/>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leftChars="0" w:hanging="425" w:firstLineChars="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运维要求扣款标准如下：</w:t>
      </w:r>
    </w:p>
    <w:tbl>
      <w:tblPr>
        <w:tblStyle w:val="41"/>
        <w:tblW w:w="4999"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829"/>
        <w:gridCol w:w="1041"/>
        <w:gridCol w:w="8492"/>
      </w:tblGrid>
      <w:tr w14:paraId="005CB65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blHeader/>
        </w:trPr>
        <w:tc>
          <w:tcPr>
            <w:tcW w:w="400" w:type="pct"/>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center"/>
          </w:tcPr>
          <w:p w14:paraId="0BE2378F">
            <w:pPr>
              <w:pStyle w:val="223"/>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502" w:type="pct"/>
            <w:tcBorders>
              <w:top w:val="single" w:color="000000" w:sz="4" w:space="0"/>
              <w:left w:val="nil"/>
              <w:bottom w:val="single" w:color="000000" w:sz="4" w:space="0"/>
              <w:right w:val="single" w:color="000000" w:sz="4" w:space="0"/>
            </w:tcBorders>
            <w:tcMar>
              <w:top w:w="0" w:type="dxa"/>
              <w:left w:w="105" w:type="dxa"/>
              <w:bottom w:w="0" w:type="dxa"/>
              <w:right w:w="105" w:type="dxa"/>
            </w:tcMar>
            <w:vAlign w:val="center"/>
          </w:tcPr>
          <w:p w14:paraId="52AF6457">
            <w:pPr>
              <w:pStyle w:val="223"/>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子项</w:t>
            </w:r>
          </w:p>
        </w:tc>
        <w:tc>
          <w:tcPr>
            <w:tcW w:w="4097" w:type="pct"/>
            <w:tcBorders>
              <w:top w:val="single" w:color="000000" w:sz="4" w:space="0"/>
              <w:left w:val="nil"/>
              <w:bottom w:val="single" w:color="000000" w:sz="4" w:space="0"/>
              <w:right w:val="single" w:color="000000" w:sz="4" w:space="0"/>
            </w:tcBorders>
            <w:tcMar>
              <w:top w:w="0" w:type="dxa"/>
              <w:left w:w="105" w:type="dxa"/>
              <w:bottom w:w="0" w:type="dxa"/>
              <w:right w:w="105" w:type="dxa"/>
            </w:tcMar>
            <w:vAlign w:val="center"/>
          </w:tcPr>
          <w:p w14:paraId="05CC2119">
            <w:pPr>
              <w:pStyle w:val="223"/>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运维服务要求及扣款标准</w:t>
            </w:r>
          </w:p>
        </w:tc>
      </w:tr>
      <w:tr w14:paraId="1DC5176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00"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2FF28C76">
            <w:pPr>
              <w:pStyle w:val="223"/>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50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A841315">
            <w:pPr>
              <w:pStyle w:val="223"/>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日常巡查监督</w:t>
            </w:r>
          </w:p>
        </w:tc>
        <w:tc>
          <w:tcPr>
            <w:tcW w:w="4097"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F995634">
            <w:pPr>
              <w:pStyle w:val="223"/>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维人员应做好日常巡检工作，前端在线情况需每天巡检2轮；前端数据质量每月巡检1轮；外场设备设施，每季度需现场巡检1轮。做好相关巡检记录并及时安排运维人员处理。数据质量巡检包括但不限于：画面质量不佳（如模糊、被遮挡、出现雪花、黑白点等），未按约定时间完成作以下扣款：</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（1）前端离线超过24小时未发现的（不按前端离线数量计算），处以违约金人民币500元/次。</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（2）前端数据质量不佳超过一月未发现的（不按前端离线数量计算），处以违约金人民币500元/次。</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（3）外场设备设施超过一季度未现场巡检的，或设施损坏巡检未发现的，处以违约金人民币1000元/次。</w:t>
            </w:r>
          </w:p>
        </w:tc>
      </w:tr>
      <w:tr w14:paraId="651A7CC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00"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1EFAE966">
            <w:pPr>
              <w:pStyle w:val="223"/>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502"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8BC8721">
            <w:pPr>
              <w:pStyle w:val="223"/>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设备在线率</w:t>
            </w:r>
          </w:p>
        </w:tc>
        <w:tc>
          <w:tcPr>
            <w:tcW w:w="4097"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2ED4E9B">
            <w:pPr>
              <w:pStyle w:val="223"/>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在运维服务期内，保证本工程所涉及所有前端设备在线（以数据上传至后台为准）比例不小于95%，每周统计前端在线情况，每季度计算平均值。若季度平均在线率低于95%，每降低1%处以违约金人民币5000元。</w:t>
            </w:r>
          </w:p>
        </w:tc>
      </w:tr>
      <w:tr w14:paraId="115812F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00" w:type="pct"/>
            <w:tcBorders>
              <w:top w:val="nil"/>
              <w:left w:val="single" w:color="000000" w:sz="4" w:space="0"/>
              <w:bottom w:val="single" w:color="auto" w:sz="4" w:space="0"/>
              <w:right w:val="single" w:color="000000" w:sz="4" w:space="0"/>
            </w:tcBorders>
            <w:tcMar>
              <w:top w:w="0" w:type="dxa"/>
              <w:left w:w="105" w:type="dxa"/>
              <w:bottom w:w="0" w:type="dxa"/>
              <w:right w:w="105" w:type="dxa"/>
            </w:tcMar>
            <w:vAlign w:val="center"/>
          </w:tcPr>
          <w:p w14:paraId="09C3B090">
            <w:pPr>
              <w:pStyle w:val="223"/>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502" w:type="pct"/>
            <w:tcBorders>
              <w:top w:val="nil"/>
              <w:left w:val="nil"/>
              <w:bottom w:val="single" w:color="auto" w:sz="4" w:space="0"/>
              <w:right w:val="single" w:color="000000" w:sz="4" w:space="0"/>
            </w:tcBorders>
            <w:tcMar>
              <w:top w:w="0" w:type="dxa"/>
              <w:left w:w="105" w:type="dxa"/>
              <w:bottom w:w="0" w:type="dxa"/>
              <w:right w:w="105" w:type="dxa"/>
            </w:tcMar>
            <w:vAlign w:val="center"/>
          </w:tcPr>
          <w:p w14:paraId="760247D0">
            <w:pPr>
              <w:pStyle w:val="223"/>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修复标准及修复率</w:t>
            </w:r>
          </w:p>
        </w:tc>
        <w:tc>
          <w:tcPr>
            <w:tcW w:w="4097" w:type="pct"/>
            <w:tcBorders>
              <w:top w:val="nil"/>
              <w:left w:val="nil"/>
              <w:bottom w:val="single" w:color="auto" w:sz="4" w:space="0"/>
              <w:right w:val="single" w:color="000000" w:sz="4" w:space="0"/>
            </w:tcBorders>
            <w:tcMar>
              <w:top w:w="0" w:type="dxa"/>
              <w:left w:w="105" w:type="dxa"/>
              <w:bottom w:w="0" w:type="dxa"/>
              <w:right w:w="105" w:type="dxa"/>
            </w:tcMar>
            <w:vAlign w:val="center"/>
          </w:tcPr>
          <w:p w14:paraId="24F5C331">
            <w:pPr>
              <w:pStyle w:val="223"/>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要求提供固定报障电话，提供7</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24 小时系统任何故障响应服务，收到报障必须要半小时内响应，2小时内赶到现场，到达现场后需拍照取证。如遇不可抗拒的原因无法按时到达现场的，需提供书面详细情况说明原因。故障修复时间要求如下：</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（1）遇紧急安全情况（交通事故损坏、设备掉落、井盖破损、起火等造成现场存在其他安全隐患的情况），运维人员接电话通知后，必须1小时内到达现场处置，3小时内消除安全隐患。</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2）常规故障：采用更换零配件的方式维修后可保证现场设备正常运行的，24小时内修复现场故障；若主要设备的故障在24小时内仍未处理完毕，须提供性能参数不低于故障设备的设备临时使用或采取应急措施解决，不得影响用户的正常工作业务。</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（3）线路（取电路由）故障的：经抢修人员电话或邮件与</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确认后，需在5天内修复故障；链路故障时，</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应主动通知链路运维单位，协助甲方督促链路运维单位在5天内完成修复。</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（4）涉及基础施工（如基础水泥浇灌、地下管线施工）等的故障，需在15日内修复故障。</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5）客观原因（如市政施工、场所变迁、自然不可抗力、场所入场审批等），经监理、甲方确认，可以根据具体情况延长修复时间，但每周必须提供施工的进度报告说明情况。同步通知运营商，并提供《暂停/恢复链路联系单》（乙方的前端设备运维项目负责人签名，监理单位负责人签名，盖公司授权章）</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因客观原因收到用户或监理单位书面迁移通知后，应在30日内迁移至新点位并恢复设备运行。</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若未按上述约定的时间内及时响应或按时恢复前端上线的，处以违约金人民币200元/次，之后每延迟1天处以违约金人民币100元。</w:t>
            </w:r>
          </w:p>
        </w:tc>
      </w:tr>
    </w:tbl>
    <w:p w14:paraId="6DD8234C">
      <w:pPr>
        <w:pStyle w:val="22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注：（1）除执行运维工作考核</w:t>
      </w:r>
      <w:r>
        <w:rPr>
          <w:rFonts w:hint="eastAsia" w:ascii="宋体" w:hAnsi="宋体" w:eastAsia="宋体" w:cs="宋体"/>
          <w:b/>
          <w:bCs/>
          <w:color w:val="auto"/>
          <w:sz w:val="21"/>
          <w:szCs w:val="21"/>
          <w:highlight w:val="none"/>
          <w:lang w:val="en-US" w:eastAsia="zh-CN"/>
        </w:rPr>
        <w:t>要求</w:t>
      </w:r>
      <w:r>
        <w:rPr>
          <w:rFonts w:hint="eastAsia" w:ascii="宋体" w:hAnsi="宋体" w:eastAsia="宋体" w:cs="宋体"/>
          <w:b/>
          <w:bCs/>
          <w:color w:val="auto"/>
          <w:sz w:val="21"/>
          <w:szCs w:val="21"/>
          <w:highlight w:val="none"/>
        </w:rPr>
        <w:t>外，</w:t>
      </w:r>
      <w:r>
        <w:rPr>
          <w:rFonts w:hint="eastAsia" w:ascii="宋体" w:hAnsi="宋体" w:eastAsia="宋体" w:cs="宋体"/>
          <w:b/>
          <w:bCs/>
          <w:color w:val="auto"/>
          <w:sz w:val="21"/>
          <w:szCs w:val="21"/>
          <w:highlight w:val="none"/>
          <w:lang w:eastAsia="zh-CN"/>
        </w:rPr>
        <w:t>中标人</w:t>
      </w:r>
      <w:r>
        <w:rPr>
          <w:rFonts w:hint="eastAsia" w:ascii="宋体" w:hAnsi="宋体" w:eastAsia="宋体" w:cs="宋体"/>
          <w:b/>
          <w:bCs/>
          <w:color w:val="auto"/>
          <w:sz w:val="21"/>
          <w:szCs w:val="21"/>
          <w:highlight w:val="none"/>
        </w:rPr>
        <w:t>因违反“扣款条款”，还需处以相应违约金；</w:t>
      </w:r>
    </w:p>
    <w:p w14:paraId="75DD6965">
      <w:pPr>
        <w:pStyle w:val="223"/>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2</w:t>
      </w:r>
      <w:r>
        <w:rPr>
          <w:rFonts w:hint="eastAsia" w:ascii="宋体" w:hAnsi="宋体" w:eastAsia="宋体" w:cs="宋体"/>
          <w:b/>
          <w:bCs/>
          <w:color w:val="auto"/>
          <w:sz w:val="21"/>
          <w:szCs w:val="21"/>
          <w:highlight w:val="none"/>
          <w:lang w:eastAsia="zh-CN"/>
        </w:rPr>
        <w:t>）中标人</w:t>
      </w:r>
      <w:r>
        <w:rPr>
          <w:rFonts w:hint="eastAsia" w:ascii="宋体" w:hAnsi="宋体" w:eastAsia="宋体" w:cs="宋体"/>
          <w:b/>
          <w:bCs/>
          <w:color w:val="auto"/>
          <w:sz w:val="21"/>
          <w:szCs w:val="21"/>
          <w:highlight w:val="none"/>
        </w:rPr>
        <w:t>因违反上述条款被处以的违约金，在每笔款项支付时扣除。</w:t>
      </w:r>
    </w:p>
    <w:p w14:paraId="54AB1748">
      <w:pPr>
        <w:pStyle w:val="223"/>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947" w:leftChars="200" w:hanging="527" w:hangingChars="250"/>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（3）若中标人违反扣款条款，除进行扣款外，若每个考核周期内违反3次及以上，在考核得分的基础上，再扣除5分作为最终的考核得分。</w:t>
      </w:r>
    </w:p>
    <w:p w14:paraId="0F3144D5">
      <w:pPr>
        <w:pStyle w:val="222"/>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Chars="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color w:val="auto"/>
          <w:sz w:val="21"/>
          <w:szCs w:val="21"/>
          <w:highlight w:val="none"/>
          <w:lang w:val="en-US" w:eastAsia="zh-CN"/>
        </w:rPr>
        <w:t>保密要求</w:t>
      </w:r>
    </w:p>
    <w:p w14:paraId="13EDA0AC">
      <w:pPr>
        <w:pStyle w:val="223"/>
        <w:keepNext w:val="0"/>
        <w:keepLines w:val="0"/>
        <w:pageBreakBefore w:val="0"/>
        <w:numPr>
          <w:ilvl w:val="0"/>
          <w:numId w:val="19"/>
        </w:numPr>
        <w:kinsoku/>
        <w:wordWrap/>
        <w:overflowPunct/>
        <w:topLinePunct w:val="0"/>
        <w:autoSpaceDE/>
        <w:autoSpaceDN/>
        <w:bidi w:val="0"/>
        <w:adjustRightInd w:val="0"/>
        <w:snapToGrid w:val="0"/>
        <w:spacing w:line="360" w:lineRule="auto"/>
        <w:ind w:left="425" w:leftChars="0" w:hanging="425" w:firstLineChars="0"/>
        <w:textAlignment w:val="auto"/>
        <w:rPr>
          <w:rFonts w:hint="eastAsia" w:ascii="宋体" w:hAnsi="宋体" w:eastAsia="宋体" w:cs="宋体"/>
          <w:color w:val="auto"/>
          <w:sz w:val="21"/>
          <w:szCs w:val="21"/>
          <w:highlight w:val="none"/>
        </w:rPr>
      </w:pPr>
      <w:bookmarkStart w:id="297" w:name="_Hlk179752595"/>
      <w:r>
        <w:rPr>
          <w:rFonts w:hint="eastAsia" w:ascii="宋体" w:hAnsi="宋体" w:eastAsia="宋体" w:cs="宋体"/>
          <w:color w:val="auto"/>
          <w:sz w:val="21"/>
          <w:szCs w:val="21"/>
          <w:highlight w:val="none"/>
        </w:rPr>
        <w:t>本项目过程中至项目完成后任何时间段，</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必须采取有效措施对获悉和取得的数据、资料保密。因</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原因导致上述数据、资料为无关第三人知晓的，</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除承担一切责任外，还须向</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支付</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与合同款项等额的赔偿金。</w:t>
      </w:r>
    </w:p>
    <w:p w14:paraId="1FAE9980">
      <w:pPr>
        <w:pStyle w:val="223"/>
        <w:keepNext w:val="0"/>
        <w:keepLines w:val="0"/>
        <w:pageBreakBefore w:val="0"/>
        <w:numPr>
          <w:ilvl w:val="0"/>
          <w:numId w:val="19"/>
        </w:numPr>
        <w:kinsoku/>
        <w:wordWrap/>
        <w:overflowPunct/>
        <w:topLinePunct w:val="0"/>
        <w:autoSpaceDE/>
        <w:autoSpaceDN/>
        <w:bidi w:val="0"/>
        <w:adjustRightInd w:val="0"/>
        <w:snapToGrid w:val="0"/>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及参与项目的人员须对运维服务工作内容进行严格保密，单位及个人均须签订保密协议，并严格遵守保密规定和相关法律法规，对其因身份、职务、职业或技术关系而知悉的用户单位商业秘密和党政机关保密信息应严格保守，保证不被披露或使用，包括意外或过失。</w:t>
      </w:r>
    </w:p>
    <w:p w14:paraId="08437ABA">
      <w:pPr>
        <w:pStyle w:val="223"/>
        <w:keepNext w:val="0"/>
        <w:keepLines w:val="0"/>
        <w:pageBreakBefore w:val="0"/>
        <w:numPr>
          <w:ilvl w:val="0"/>
          <w:numId w:val="19"/>
        </w:numPr>
        <w:kinsoku/>
        <w:wordWrap/>
        <w:overflowPunct/>
        <w:topLinePunct w:val="0"/>
        <w:autoSpaceDE/>
        <w:autoSpaceDN/>
        <w:bidi w:val="0"/>
        <w:adjustRightInd w:val="0"/>
        <w:snapToGrid w:val="0"/>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不得以竞争为目的、或出于私利、或为第三人谋利而擅自保存、披露、使用项目相关信息；不得直接或间接地向无关人员泄露项目相关信息；不得向不承担保密义务的任何第三人披露项目相关信息。</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在从事项目实施时，不得擅自记录、复制、拍摄、摘抄、收藏在工作中涉及的保密信息，严禁将涉及项目的任何资料、数据透露或以其他方式提供给项目以外的其他方或</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内部与该项目无关的任何人员。</w:t>
      </w:r>
    </w:p>
    <w:p w14:paraId="1FC7E007">
      <w:pPr>
        <w:pStyle w:val="223"/>
        <w:keepNext w:val="0"/>
        <w:keepLines w:val="0"/>
        <w:pageBreakBefore w:val="0"/>
        <w:numPr>
          <w:ilvl w:val="0"/>
          <w:numId w:val="19"/>
        </w:numPr>
        <w:kinsoku/>
        <w:wordWrap/>
        <w:overflowPunct/>
        <w:topLinePunct w:val="0"/>
        <w:autoSpaceDE/>
        <w:autoSpaceDN/>
        <w:bidi w:val="0"/>
        <w:adjustRightInd w:val="0"/>
        <w:snapToGrid w:val="0"/>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工作中使用的各类数据、资料、信息和软件须严格保管，未经允许、不得私自拷贝、下载和转交他人使用，所有存储设备带离现场时需通知</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和用户并做脱敏处理（删除敏感数据并经</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确认）后才能带走；严禁任何人使用未经检测允许的介质（软盘、光盘等）；未经许可，任何人不得挪用和外借各类设备、资料及物品。</w:t>
      </w:r>
    </w:p>
    <w:p w14:paraId="51EA37B2">
      <w:pPr>
        <w:pStyle w:val="223"/>
        <w:keepNext w:val="0"/>
        <w:keepLines w:val="0"/>
        <w:pageBreakBefore w:val="0"/>
        <w:numPr>
          <w:ilvl w:val="0"/>
          <w:numId w:val="19"/>
        </w:numPr>
        <w:kinsoku/>
        <w:wordWrap/>
        <w:overflowPunct/>
        <w:topLinePunct w:val="0"/>
        <w:autoSpaceDE/>
        <w:autoSpaceDN/>
        <w:bidi w:val="0"/>
        <w:adjustRightInd w:val="0"/>
        <w:snapToGrid w:val="0"/>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服务人员必须明确自己在处理系统数据和信息时的保密责任。确保本项目的敏感数据和信息得到妥善保护，不得泄露、篡改或滥用。服务人员应按照权限管理原则，仅在必要的情况下访问系统数据和敏感信息，并确保访问记录的完整性和可追溯性。</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原因导致上述数据、资料为无关第三人知晓的，</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须承担一切责任。</w:t>
      </w:r>
    </w:p>
    <w:p w14:paraId="216788A0">
      <w:pPr>
        <w:pStyle w:val="223"/>
        <w:keepNext w:val="0"/>
        <w:keepLines w:val="0"/>
        <w:pageBreakBefore w:val="0"/>
        <w:numPr>
          <w:ilvl w:val="0"/>
          <w:numId w:val="19"/>
        </w:numPr>
        <w:kinsoku/>
        <w:wordWrap/>
        <w:overflowPunct/>
        <w:topLinePunct w:val="0"/>
        <w:autoSpaceDE/>
        <w:autoSpaceDN/>
        <w:bidi w:val="0"/>
        <w:adjustRightInd w:val="0"/>
        <w:snapToGrid w:val="0"/>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对于工作期间或工作过程中接触到的文件（包括内部发文、各类通知及会议记录等）的内容，同样承担保密责任，严禁将内部会议、谈话内容泄露给无关人员；不得翻阅与工作无关的文件和资料。</w:t>
      </w:r>
    </w:p>
    <w:p w14:paraId="1BF11740">
      <w:pPr>
        <w:pStyle w:val="223"/>
        <w:keepNext w:val="0"/>
        <w:keepLines w:val="0"/>
        <w:pageBreakBefore w:val="0"/>
        <w:numPr>
          <w:ilvl w:val="0"/>
          <w:numId w:val="19"/>
        </w:numPr>
        <w:kinsoku/>
        <w:wordWrap/>
        <w:overflowPunct/>
        <w:topLinePunct w:val="0"/>
        <w:autoSpaceDE/>
        <w:autoSpaceDN/>
        <w:bidi w:val="0"/>
        <w:adjustRightInd w:val="0"/>
        <w:snapToGrid w:val="0"/>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严禁泄露在工作中接触到的科技研究、发明、装备器材及其技术资料和工作信息。</w:t>
      </w:r>
    </w:p>
    <w:p w14:paraId="7CE99A11">
      <w:pPr>
        <w:pStyle w:val="223"/>
        <w:keepNext w:val="0"/>
        <w:keepLines w:val="0"/>
        <w:pageBreakBefore w:val="0"/>
        <w:numPr>
          <w:ilvl w:val="0"/>
          <w:numId w:val="19"/>
        </w:numPr>
        <w:kinsoku/>
        <w:wordWrap/>
        <w:overflowPunct/>
        <w:topLinePunct w:val="0"/>
        <w:autoSpaceDE/>
        <w:autoSpaceDN/>
        <w:bidi w:val="0"/>
        <w:adjustRightInd w:val="0"/>
        <w:snapToGrid w:val="0"/>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如出现数据或文件泄露，</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有权交给相关单位处理，按国家法律追究相关法律责任，并向</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赔偿损失。</w:t>
      </w:r>
      <w:bookmarkEnd w:id="297"/>
    </w:p>
    <w:p w14:paraId="34C7CC14">
      <w:pPr>
        <w:pStyle w:val="222"/>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Chars="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color w:val="auto"/>
          <w:sz w:val="21"/>
          <w:szCs w:val="21"/>
          <w:highlight w:val="none"/>
          <w:lang w:val="en-US" w:eastAsia="zh-CN"/>
        </w:rPr>
        <w:t>安全管理要求</w:t>
      </w:r>
    </w:p>
    <w:p w14:paraId="32F6AC13">
      <w:pPr>
        <w:keepNext w:val="0"/>
        <w:keepLines w:val="0"/>
        <w:pageBreakBefore w:val="0"/>
        <w:widowControl/>
        <w:numPr>
          <w:ilvl w:val="0"/>
          <w:numId w:val="20"/>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应落实下列安全管理要求：</w:t>
      </w:r>
    </w:p>
    <w:p w14:paraId="345806BA">
      <w:pPr>
        <w:keepNext w:val="0"/>
        <w:keepLines w:val="0"/>
        <w:pageBreakBefore w:val="0"/>
        <w:widowControl/>
        <w:numPr>
          <w:ilvl w:val="0"/>
          <w:numId w:val="21"/>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确定项目的安全保密责任人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负责该项目安全管理</w:t>
      </w:r>
      <w:r>
        <w:rPr>
          <w:rFonts w:hint="eastAsia" w:ascii="宋体" w:hAnsi="宋体" w:eastAsia="宋体" w:cs="宋体"/>
          <w:color w:val="auto"/>
          <w:sz w:val="21"/>
          <w:szCs w:val="21"/>
          <w:highlight w:val="none"/>
          <w:lang w:eastAsia="zh-CN"/>
        </w:rPr>
        <w:t>；</w:t>
      </w:r>
    </w:p>
    <w:p w14:paraId="73048191">
      <w:pPr>
        <w:keepNext w:val="0"/>
        <w:keepLines w:val="0"/>
        <w:pageBreakBefore w:val="0"/>
        <w:widowControl/>
        <w:numPr>
          <w:ilvl w:val="0"/>
          <w:numId w:val="21"/>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及时清除或者收回离职、离岗或者不再参与本项目建设的合作人员持有的</w:t>
      </w:r>
      <w:r>
        <w:rPr>
          <w:rFonts w:hint="eastAsia" w:ascii="宋体" w:hAnsi="宋体" w:eastAsia="宋体" w:cs="宋体"/>
          <w:color w:val="auto"/>
          <w:sz w:val="21"/>
          <w:szCs w:val="21"/>
          <w:highlight w:val="none"/>
          <w:lang w:val="en-US" w:eastAsia="zh-CN"/>
        </w:rPr>
        <w:t>用户方</w:t>
      </w:r>
      <w:r>
        <w:rPr>
          <w:rFonts w:hint="eastAsia" w:ascii="宋体" w:hAnsi="宋体" w:eastAsia="宋体" w:cs="宋体"/>
          <w:color w:val="auto"/>
          <w:sz w:val="21"/>
          <w:szCs w:val="21"/>
          <w:highlight w:val="none"/>
        </w:rPr>
        <w:t>文档资料、数据等；</w:t>
      </w:r>
    </w:p>
    <w:p w14:paraId="22E63BF5">
      <w:pPr>
        <w:keepNext w:val="0"/>
        <w:keepLines w:val="0"/>
        <w:pageBreakBefore w:val="0"/>
        <w:widowControl/>
        <w:numPr>
          <w:ilvl w:val="0"/>
          <w:numId w:val="21"/>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配合</w:t>
      </w:r>
      <w:r>
        <w:rPr>
          <w:rFonts w:hint="eastAsia" w:ascii="宋体" w:hAnsi="宋体" w:eastAsia="宋体" w:cs="宋体"/>
          <w:color w:val="auto"/>
          <w:sz w:val="21"/>
          <w:szCs w:val="21"/>
          <w:highlight w:val="none"/>
          <w:lang w:val="en-US" w:eastAsia="zh-CN"/>
        </w:rPr>
        <w:t>用户方</w:t>
      </w:r>
      <w:r>
        <w:rPr>
          <w:rFonts w:hint="eastAsia" w:ascii="宋体" w:hAnsi="宋体" w:eastAsia="宋体" w:cs="宋体"/>
          <w:color w:val="auto"/>
          <w:sz w:val="21"/>
          <w:szCs w:val="21"/>
          <w:highlight w:val="none"/>
        </w:rPr>
        <w:t>完成信息化合作企业安全管理相关工作；</w:t>
      </w:r>
    </w:p>
    <w:p w14:paraId="65692A59">
      <w:pPr>
        <w:keepNext w:val="0"/>
        <w:keepLines w:val="0"/>
        <w:pageBreakBefore w:val="0"/>
        <w:widowControl/>
        <w:numPr>
          <w:ilvl w:val="0"/>
          <w:numId w:val="21"/>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在得知提供的产品、服务存在安全漏洞或者危害信息系统安全的潜在风险时，须在第一时间向</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报告，并及时启动应急预案，提出解决方案；</w:t>
      </w:r>
    </w:p>
    <w:p w14:paraId="74FE0363">
      <w:pPr>
        <w:keepNext w:val="0"/>
        <w:keepLines w:val="0"/>
        <w:pageBreakBefore w:val="0"/>
        <w:widowControl/>
        <w:numPr>
          <w:ilvl w:val="0"/>
          <w:numId w:val="21"/>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其他应当落实的安全保密要求。</w:t>
      </w:r>
    </w:p>
    <w:p w14:paraId="299D2B8D">
      <w:pPr>
        <w:keepNext w:val="0"/>
        <w:keepLines w:val="0"/>
        <w:pageBreakBefore w:val="0"/>
        <w:widowControl/>
        <w:numPr>
          <w:ilvl w:val="0"/>
          <w:numId w:val="20"/>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及其参与本项目建设的相关人员不得从事下列危害</w:t>
      </w:r>
      <w:r>
        <w:rPr>
          <w:rFonts w:hint="eastAsia" w:ascii="宋体" w:hAnsi="宋体" w:eastAsia="宋体" w:cs="宋体"/>
          <w:color w:val="auto"/>
          <w:sz w:val="21"/>
          <w:szCs w:val="21"/>
          <w:highlight w:val="none"/>
          <w:lang w:eastAsia="zh-CN"/>
        </w:rPr>
        <w:t>用户</w:t>
      </w:r>
      <w:r>
        <w:rPr>
          <w:rFonts w:hint="eastAsia" w:ascii="宋体" w:hAnsi="宋体" w:eastAsia="宋体" w:cs="宋体"/>
          <w:color w:val="auto"/>
          <w:sz w:val="21"/>
          <w:szCs w:val="21"/>
          <w:highlight w:val="none"/>
        </w:rPr>
        <w:t>数据安全的行为：</w:t>
      </w:r>
    </w:p>
    <w:p w14:paraId="5C755632">
      <w:pPr>
        <w:keepNext w:val="0"/>
        <w:keepLines w:val="0"/>
        <w:pageBreakBefore w:val="0"/>
        <w:widowControl/>
        <w:numPr>
          <w:ilvl w:val="0"/>
          <w:numId w:val="22"/>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违规下载、留存、使用</w:t>
      </w:r>
      <w:r>
        <w:rPr>
          <w:rFonts w:hint="eastAsia" w:ascii="宋体" w:hAnsi="宋体" w:eastAsia="宋体" w:cs="宋体"/>
          <w:color w:val="auto"/>
          <w:sz w:val="21"/>
          <w:szCs w:val="21"/>
          <w:highlight w:val="none"/>
          <w:lang w:eastAsia="zh-CN"/>
        </w:rPr>
        <w:t>用户</w:t>
      </w:r>
      <w:r>
        <w:rPr>
          <w:rFonts w:hint="eastAsia" w:ascii="宋体" w:hAnsi="宋体" w:eastAsia="宋体" w:cs="宋体"/>
          <w:color w:val="auto"/>
          <w:sz w:val="21"/>
          <w:szCs w:val="21"/>
          <w:highlight w:val="none"/>
        </w:rPr>
        <w:t>内部数据；</w:t>
      </w:r>
    </w:p>
    <w:p w14:paraId="293098A3">
      <w:pPr>
        <w:keepNext w:val="0"/>
        <w:keepLines w:val="0"/>
        <w:pageBreakBefore w:val="0"/>
        <w:widowControl/>
        <w:numPr>
          <w:ilvl w:val="0"/>
          <w:numId w:val="22"/>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篡改、损毁、泄露、出售</w:t>
      </w:r>
      <w:r>
        <w:rPr>
          <w:rFonts w:hint="eastAsia" w:ascii="宋体" w:hAnsi="宋体" w:eastAsia="宋体" w:cs="宋体"/>
          <w:color w:val="auto"/>
          <w:sz w:val="21"/>
          <w:szCs w:val="21"/>
          <w:highlight w:val="none"/>
          <w:lang w:eastAsia="zh-CN"/>
        </w:rPr>
        <w:t>用户</w:t>
      </w:r>
      <w:r>
        <w:rPr>
          <w:rFonts w:hint="eastAsia" w:ascii="宋体" w:hAnsi="宋体" w:eastAsia="宋体" w:cs="宋体"/>
          <w:color w:val="auto"/>
          <w:sz w:val="21"/>
          <w:szCs w:val="21"/>
          <w:highlight w:val="none"/>
        </w:rPr>
        <w:t>内部数据；</w:t>
      </w:r>
    </w:p>
    <w:p w14:paraId="208E54BC">
      <w:pPr>
        <w:keepNext w:val="0"/>
        <w:keepLines w:val="0"/>
        <w:pageBreakBefore w:val="0"/>
        <w:widowControl/>
        <w:numPr>
          <w:ilvl w:val="0"/>
          <w:numId w:val="22"/>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向境外机构和人员提供</w:t>
      </w:r>
      <w:r>
        <w:rPr>
          <w:rFonts w:hint="eastAsia" w:ascii="宋体" w:hAnsi="宋体" w:eastAsia="宋体" w:cs="宋体"/>
          <w:color w:val="auto"/>
          <w:sz w:val="21"/>
          <w:szCs w:val="21"/>
          <w:highlight w:val="none"/>
          <w:lang w:eastAsia="zh-CN"/>
        </w:rPr>
        <w:t>用户</w:t>
      </w:r>
      <w:r>
        <w:rPr>
          <w:rFonts w:hint="eastAsia" w:ascii="宋体" w:hAnsi="宋体" w:eastAsia="宋体" w:cs="宋体"/>
          <w:color w:val="auto"/>
          <w:sz w:val="21"/>
          <w:szCs w:val="21"/>
          <w:highlight w:val="none"/>
        </w:rPr>
        <w:t>重要数据；</w:t>
      </w:r>
    </w:p>
    <w:p w14:paraId="754AA7C8">
      <w:pPr>
        <w:keepNext w:val="0"/>
        <w:keepLines w:val="0"/>
        <w:pageBreakBefore w:val="0"/>
        <w:widowControl/>
        <w:numPr>
          <w:ilvl w:val="0"/>
          <w:numId w:val="22"/>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在互联网上存储、处理、传输</w:t>
      </w:r>
      <w:r>
        <w:rPr>
          <w:rFonts w:hint="eastAsia" w:ascii="宋体" w:hAnsi="宋体" w:eastAsia="宋体" w:cs="宋体"/>
          <w:color w:val="auto"/>
          <w:sz w:val="21"/>
          <w:szCs w:val="21"/>
          <w:highlight w:val="none"/>
          <w:lang w:eastAsia="zh-CN"/>
        </w:rPr>
        <w:t>用户</w:t>
      </w:r>
      <w:r>
        <w:rPr>
          <w:rFonts w:hint="eastAsia" w:ascii="宋体" w:hAnsi="宋体" w:eastAsia="宋体" w:cs="宋体"/>
          <w:color w:val="auto"/>
          <w:sz w:val="21"/>
          <w:szCs w:val="21"/>
          <w:highlight w:val="none"/>
        </w:rPr>
        <w:t>内部数据和应用系统源代码；</w:t>
      </w:r>
    </w:p>
    <w:p w14:paraId="2E793B52">
      <w:pPr>
        <w:keepNext w:val="0"/>
        <w:keepLines w:val="0"/>
        <w:pageBreakBefore w:val="0"/>
        <w:widowControl/>
        <w:numPr>
          <w:ilvl w:val="0"/>
          <w:numId w:val="22"/>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使用未经过脱敏的</w:t>
      </w:r>
      <w:r>
        <w:rPr>
          <w:rFonts w:hint="eastAsia" w:ascii="宋体" w:hAnsi="宋体" w:eastAsia="宋体" w:cs="宋体"/>
          <w:color w:val="auto"/>
          <w:sz w:val="21"/>
          <w:szCs w:val="21"/>
          <w:highlight w:val="none"/>
          <w:lang w:eastAsia="zh-CN"/>
        </w:rPr>
        <w:t>用户</w:t>
      </w:r>
      <w:r>
        <w:rPr>
          <w:rFonts w:hint="eastAsia" w:ascii="宋体" w:hAnsi="宋体" w:eastAsia="宋体" w:cs="宋体"/>
          <w:color w:val="auto"/>
          <w:sz w:val="21"/>
          <w:szCs w:val="21"/>
          <w:highlight w:val="none"/>
        </w:rPr>
        <w:t>敏感数据在互联网上进行开发；</w:t>
      </w:r>
    </w:p>
    <w:p w14:paraId="4B81C1DA">
      <w:pPr>
        <w:keepNext w:val="0"/>
        <w:keepLines w:val="0"/>
        <w:pageBreakBefore w:val="0"/>
        <w:widowControl/>
        <w:numPr>
          <w:ilvl w:val="0"/>
          <w:numId w:val="22"/>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将</w:t>
      </w:r>
      <w:r>
        <w:rPr>
          <w:rFonts w:hint="eastAsia" w:ascii="宋体" w:hAnsi="宋体" w:eastAsia="宋体" w:cs="宋体"/>
          <w:color w:val="auto"/>
          <w:sz w:val="21"/>
          <w:szCs w:val="21"/>
          <w:highlight w:val="none"/>
          <w:lang w:eastAsia="zh-CN"/>
        </w:rPr>
        <w:t>用户</w:t>
      </w:r>
      <w:r>
        <w:rPr>
          <w:rFonts w:hint="eastAsia" w:ascii="宋体" w:hAnsi="宋体" w:eastAsia="宋体" w:cs="宋体"/>
          <w:color w:val="auto"/>
          <w:sz w:val="21"/>
          <w:szCs w:val="21"/>
          <w:highlight w:val="none"/>
        </w:rPr>
        <w:t>数据用于商业用途；</w:t>
      </w:r>
    </w:p>
    <w:p w14:paraId="7A180B08">
      <w:pPr>
        <w:keepNext w:val="0"/>
        <w:keepLines w:val="0"/>
        <w:pageBreakBefore w:val="0"/>
        <w:widowControl/>
        <w:numPr>
          <w:ilvl w:val="0"/>
          <w:numId w:val="22"/>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其他危害数据安全的行为。</w:t>
      </w:r>
    </w:p>
    <w:p w14:paraId="53689819">
      <w:pPr>
        <w:keepNext w:val="0"/>
        <w:keepLines w:val="0"/>
        <w:pageBreakBefore w:val="0"/>
        <w:widowControl/>
        <w:numPr>
          <w:ilvl w:val="0"/>
          <w:numId w:val="20"/>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及其参与本项目建设的相关人员不得从事下列危害</w:t>
      </w:r>
      <w:r>
        <w:rPr>
          <w:rFonts w:hint="eastAsia" w:ascii="宋体" w:hAnsi="宋体" w:eastAsia="宋体" w:cs="宋体"/>
          <w:color w:val="auto"/>
          <w:sz w:val="21"/>
          <w:szCs w:val="21"/>
          <w:highlight w:val="none"/>
          <w:lang w:eastAsia="zh-CN"/>
        </w:rPr>
        <w:t>用户</w:t>
      </w:r>
      <w:r>
        <w:rPr>
          <w:rFonts w:hint="eastAsia" w:ascii="宋体" w:hAnsi="宋体" w:eastAsia="宋体" w:cs="宋体"/>
          <w:color w:val="auto"/>
          <w:sz w:val="21"/>
          <w:szCs w:val="21"/>
          <w:highlight w:val="none"/>
        </w:rPr>
        <w:t>网络和应用安全的行为：</w:t>
      </w:r>
    </w:p>
    <w:p w14:paraId="18C6D408">
      <w:pPr>
        <w:keepNext w:val="0"/>
        <w:keepLines w:val="0"/>
        <w:pageBreakBefore w:val="0"/>
        <w:widowControl/>
        <w:numPr>
          <w:ilvl w:val="0"/>
          <w:numId w:val="23"/>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违规将</w:t>
      </w:r>
      <w:r>
        <w:rPr>
          <w:rFonts w:hint="eastAsia" w:ascii="宋体" w:hAnsi="宋体" w:eastAsia="宋体" w:cs="宋体"/>
          <w:color w:val="auto"/>
          <w:sz w:val="21"/>
          <w:szCs w:val="21"/>
          <w:highlight w:val="none"/>
          <w:lang w:eastAsia="zh-CN"/>
        </w:rPr>
        <w:t>用户</w:t>
      </w:r>
      <w:r>
        <w:rPr>
          <w:rFonts w:hint="eastAsia" w:ascii="宋体" w:hAnsi="宋体" w:eastAsia="宋体" w:cs="宋体"/>
          <w:color w:val="auto"/>
          <w:sz w:val="21"/>
          <w:szCs w:val="21"/>
          <w:highlight w:val="none"/>
        </w:rPr>
        <w:t>网络与任何外部网络连接；</w:t>
      </w:r>
    </w:p>
    <w:p w14:paraId="31094DC1">
      <w:pPr>
        <w:keepNext w:val="0"/>
        <w:keepLines w:val="0"/>
        <w:pageBreakBefore w:val="0"/>
        <w:widowControl/>
        <w:numPr>
          <w:ilvl w:val="0"/>
          <w:numId w:val="23"/>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擅自扫描、探测、入侵</w:t>
      </w:r>
      <w:r>
        <w:rPr>
          <w:rFonts w:hint="eastAsia" w:ascii="宋体" w:hAnsi="宋体" w:eastAsia="宋体" w:cs="宋体"/>
          <w:color w:val="auto"/>
          <w:sz w:val="21"/>
          <w:szCs w:val="21"/>
          <w:highlight w:val="none"/>
          <w:lang w:eastAsia="zh-CN"/>
        </w:rPr>
        <w:t>用户</w:t>
      </w:r>
      <w:r>
        <w:rPr>
          <w:rFonts w:hint="eastAsia" w:ascii="宋体" w:hAnsi="宋体" w:eastAsia="宋体" w:cs="宋体"/>
          <w:color w:val="auto"/>
          <w:sz w:val="21"/>
          <w:szCs w:val="21"/>
          <w:highlight w:val="none"/>
        </w:rPr>
        <w:t>网络和应用系统；</w:t>
      </w:r>
    </w:p>
    <w:p w14:paraId="712FBF9E">
      <w:pPr>
        <w:keepNext w:val="0"/>
        <w:keepLines w:val="0"/>
        <w:pageBreakBefore w:val="0"/>
        <w:widowControl/>
        <w:numPr>
          <w:ilvl w:val="0"/>
          <w:numId w:val="23"/>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设置应用系统后门、木马、病毒等恶意程序；</w:t>
      </w:r>
    </w:p>
    <w:p w14:paraId="1186B4F7">
      <w:pPr>
        <w:keepNext w:val="0"/>
        <w:keepLines w:val="0"/>
        <w:pageBreakBefore w:val="0"/>
        <w:widowControl/>
        <w:numPr>
          <w:ilvl w:val="0"/>
          <w:numId w:val="23"/>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擅自将</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及其参与信息化建设相关人员的终端、移动存储介质、无线设备等与</w:t>
      </w:r>
      <w:r>
        <w:rPr>
          <w:rFonts w:hint="eastAsia" w:ascii="宋体" w:hAnsi="宋体" w:eastAsia="宋体" w:cs="宋体"/>
          <w:color w:val="auto"/>
          <w:sz w:val="21"/>
          <w:szCs w:val="21"/>
          <w:highlight w:val="none"/>
          <w:lang w:eastAsia="zh-CN"/>
        </w:rPr>
        <w:t>用户</w:t>
      </w:r>
      <w:r>
        <w:rPr>
          <w:rFonts w:hint="eastAsia" w:ascii="宋体" w:hAnsi="宋体" w:eastAsia="宋体" w:cs="宋体"/>
          <w:color w:val="auto"/>
          <w:sz w:val="21"/>
          <w:szCs w:val="21"/>
          <w:highlight w:val="none"/>
        </w:rPr>
        <w:t>网络连接；</w:t>
      </w:r>
    </w:p>
    <w:p w14:paraId="62239A90">
      <w:pPr>
        <w:keepNext w:val="0"/>
        <w:keepLines w:val="0"/>
        <w:pageBreakBefore w:val="0"/>
        <w:widowControl/>
        <w:numPr>
          <w:ilvl w:val="0"/>
          <w:numId w:val="23"/>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擅自建立跨网、跨域数据传输或者运维通道；</w:t>
      </w:r>
    </w:p>
    <w:p w14:paraId="178AEDCA">
      <w:pPr>
        <w:keepNext w:val="0"/>
        <w:keepLines w:val="0"/>
        <w:pageBreakBefore w:val="0"/>
        <w:widowControl/>
        <w:numPr>
          <w:ilvl w:val="0"/>
          <w:numId w:val="23"/>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拆除、破坏</w:t>
      </w:r>
      <w:r>
        <w:rPr>
          <w:rFonts w:hint="eastAsia" w:ascii="宋体" w:hAnsi="宋体" w:eastAsia="宋体" w:cs="宋体"/>
          <w:color w:val="auto"/>
          <w:sz w:val="21"/>
          <w:szCs w:val="21"/>
          <w:highlight w:val="none"/>
          <w:lang w:eastAsia="zh-CN"/>
        </w:rPr>
        <w:t>用户</w:t>
      </w:r>
      <w:r>
        <w:rPr>
          <w:rFonts w:hint="eastAsia" w:ascii="宋体" w:hAnsi="宋体" w:eastAsia="宋体" w:cs="宋体"/>
          <w:color w:val="auto"/>
          <w:sz w:val="21"/>
          <w:szCs w:val="21"/>
          <w:highlight w:val="none"/>
        </w:rPr>
        <w:t>监管设施或者卸载监管程序；</w:t>
      </w:r>
    </w:p>
    <w:p w14:paraId="5AA15801">
      <w:pPr>
        <w:keepNext w:val="0"/>
        <w:keepLines w:val="0"/>
        <w:pageBreakBefore w:val="0"/>
        <w:widowControl/>
        <w:numPr>
          <w:ilvl w:val="0"/>
          <w:numId w:val="23"/>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擅自对</w:t>
      </w:r>
      <w:r>
        <w:rPr>
          <w:rFonts w:hint="eastAsia" w:ascii="宋体" w:hAnsi="宋体" w:eastAsia="宋体" w:cs="宋体"/>
          <w:color w:val="auto"/>
          <w:sz w:val="21"/>
          <w:szCs w:val="21"/>
          <w:highlight w:val="none"/>
          <w:lang w:eastAsia="zh-CN"/>
        </w:rPr>
        <w:t>用户</w:t>
      </w:r>
      <w:r>
        <w:rPr>
          <w:rFonts w:hint="eastAsia" w:ascii="宋体" w:hAnsi="宋体" w:eastAsia="宋体" w:cs="宋体"/>
          <w:color w:val="auto"/>
          <w:sz w:val="21"/>
          <w:szCs w:val="21"/>
          <w:highlight w:val="none"/>
        </w:rPr>
        <w:t>应用源文件、应用源代码进行反编译、加密、解密；</w:t>
      </w:r>
    </w:p>
    <w:p w14:paraId="5A22E483">
      <w:pPr>
        <w:keepNext w:val="0"/>
        <w:keepLines w:val="0"/>
        <w:pageBreakBefore w:val="0"/>
        <w:widowControl/>
        <w:numPr>
          <w:ilvl w:val="0"/>
          <w:numId w:val="23"/>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擅自公开与合作事项相关的技术实现方法或者业务模型等重要信息；</w:t>
      </w:r>
    </w:p>
    <w:p w14:paraId="1D31F38E">
      <w:pPr>
        <w:keepNext w:val="0"/>
        <w:keepLines w:val="0"/>
        <w:pageBreakBefore w:val="0"/>
        <w:widowControl/>
        <w:numPr>
          <w:ilvl w:val="0"/>
          <w:numId w:val="23"/>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其他危害</w:t>
      </w:r>
      <w:r>
        <w:rPr>
          <w:rFonts w:hint="eastAsia" w:ascii="宋体" w:hAnsi="宋体" w:eastAsia="宋体" w:cs="宋体"/>
          <w:color w:val="auto"/>
          <w:sz w:val="21"/>
          <w:szCs w:val="21"/>
          <w:highlight w:val="none"/>
          <w:lang w:eastAsia="zh-CN"/>
        </w:rPr>
        <w:t>用户</w:t>
      </w:r>
      <w:r>
        <w:rPr>
          <w:rFonts w:hint="eastAsia" w:ascii="宋体" w:hAnsi="宋体" w:eastAsia="宋体" w:cs="宋体"/>
          <w:color w:val="auto"/>
          <w:sz w:val="21"/>
          <w:szCs w:val="21"/>
          <w:highlight w:val="none"/>
        </w:rPr>
        <w:t>网络和应用安全的行为。</w:t>
      </w:r>
    </w:p>
    <w:p w14:paraId="0AFF7E61">
      <w:pPr>
        <w:keepNext w:val="0"/>
        <w:keepLines w:val="0"/>
        <w:pageBreakBefore w:val="0"/>
        <w:widowControl/>
        <w:numPr>
          <w:ilvl w:val="0"/>
          <w:numId w:val="20"/>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参与本项目建设的相关人员未经</w:t>
      </w:r>
      <w:r>
        <w:rPr>
          <w:rFonts w:hint="eastAsia" w:ascii="宋体" w:hAnsi="宋体" w:eastAsia="宋体" w:cs="宋体"/>
          <w:color w:val="auto"/>
          <w:sz w:val="21"/>
          <w:szCs w:val="21"/>
          <w:highlight w:val="none"/>
          <w:lang w:val="en-US" w:eastAsia="zh-CN"/>
        </w:rPr>
        <w:t>用户方</w:t>
      </w:r>
      <w:r>
        <w:rPr>
          <w:rFonts w:hint="eastAsia" w:ascii="宋体" w:hAnsi="宋体" w:eastAsia="宋体" w:cs="宋体"/>
          <w:color w:val="auto"/>
          <w:sz w:val="21"/>
          <w:szCs w:val="21"/>
          <w:highlight w:val="none"/>
        </w:rPr>
        <w:t>批准，严禁翻阅、复印、拍摄</w:t>
      </w:r>
      <w:r>
        <w:rPr>
          <w:rFonts w:hint="eastAsia" w:ascii="宋体" w:hAnsi="宋体" w:eastAsia="宋体" w:cs="宋体"/>
          <w:color w:val="auto"/>
          <w:sz w:val="21"/>
          <w:szCs w:val="21"/>
          <w:highlight w:val="none"/>
          <w:lang w:val="en-US" w:eastAsia="zh-CN"/>
        </w:rPr>
        <w:t>用户方</w:t>
      </w:r>
      <w:r>
        <w:rPr>
          <w:rFonts w:hint="eastAsia" w:ascii="宋体" w:hAnsi="宋体" w:eastAsia="宋体" w:cs="宋体"/>
          <w:color w:val="auto"/>
          <w:sz w:val="21"/>
          <w:szCs w:val="21"/>
          <w:highlight w:val="none"/>
        </w:rPr>
        <w:t>内部文件，或者将</w:t>
      </w:r>
      <w:r>
        <w:rPr>
          <w:rFonts w:hint="eastAsia" w:ascii="宋体" w:hAnsi="宋体" w:eastAsia="宋体" w:cs="宋体"/>
          <w:color w:val="auto"/>
          <w:sz w:val="21"/>
          <w:szCs w:val="21"/>
          <w:highlight w:val="none"/>
          <w:lang w:val="en-US" w:eastAsia="zh-CN"/>
        </w:rPr>
        <w:t>用户</w:t>
      </w:r>
      <w:r>
        <w:rPr>
          <w:rFonts w:hint="eastAsia" w:ascii="宋体" w:hAnsi="宋体" w:eastAsia="宋体" w:cs="宋体"/>
          <w:color w:val="auto"/>
          <w:sz w:val="21"/>
          <w:szCs w:val="21"/>
          <w:highlight w:val="none"/>
        </w:rPr>
        <w:t>方内部文件带离指定办公场所或者区域。</w:t>
      </w:r>
    </w:p>
    <w:p w14:paraId="560D8670">
      <w:pPr>
        <w:keepNext w:val="0"/>
        <w:keepLines w:val="0"/>
        <w:pageBreakBefore w:val="0"/>
        <w:widowControl/>
        <w:numPr>
          <w:ilvl w:val="0"/>
          <w:numId w:val="20"/>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违反上述安全管理要求</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情节轻微或者尚未造成严重后果的：</w:t>
      </w:r>
    </w:p>
    <w:p w14:paraId="0B2E13D7">
      <w:pPr>
        <w:keepNext w:val="0"/>
        <w:keepLines w:val="0"/>
        <w:pageBreakBefore w:val="0"/>
        <w:widowControl/>
        <w:numPr>
          <w:ilvl w:val="0"/>
          <w:numId w:val="24"/>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向招标人支付违约金，金额与用户方扣款等额。如该违约金不足以弥补招标人损失，则中标人还应承担赔偿由此造成招标人的一切实际损失。</w:t>
      </w:r>
    </w:p>
    <w:p w14:paraId="26A44D7D">
      <w:pPr>
        <w:keepNext w:val="0"/>
        <w:keepLines w:val="0"/>
        <w:pageBreakBefore w:val="0"/>
        <w:widowControl/>
        <w:numPr>
          <w:ilvl w:val="0"/>
          <w:numId w:val="24"/>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限期整改：由</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向</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发出《限期整改通知书》，</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需按通知书的要求，限期完成安全整改，整改所产生的所有费用均由</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承担。</w:t>
      </w:r>
    </w:p>
    <w:p w14:paraId="1510614B">
      <w:pPr>
        <w:keepNext w:val="0"/>
        <w:keepLines w:val="0"/>
        <w:pageBreakBefore w:val="0"/>
        <w:widowControl/>
        <w:numPr>
          <w:ilvl w:val="0"/>
          <w:numId w:val="20"/>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违反上述安全管理要求</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违规行为不可整改且造成特别严重后果的，或者</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拒不整改、整改后仍不符合安全管理要求的，或者屡次出现违规行为的，或者违规行为造成合同目的无法实现的：</w:t>
      </w:r>
    </w:p>
    <w:p w14:paraId="6AD1C4C2">
      <w:pPr>
        <w:keepNext w:val="0"/>
        <w:keepLines w:val="0"/>
        <w:pageBreakBefore w:val="0"/>
        <w:widowControl/>
        <w:numPr>
          <w:ilvl w:val="0"/>
          <w:numId w:val="25"/>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有权强制停用本项目相关软硬件产品和服务，并有权对停用后造成的后果进行追偿；</w:t>
      </w:r>
    </w:p>
    <w:p w14:paraId="26F9B1FB">
      <w:pPr>
        <w:keepNext w:val="0"/>
        <w:keepLines w:val="0"/>
        <w:pageBreakBefore w:val="0"/>
        <w:widowControl/>
        <w:numPr>
          <w:ilvl w:val="0"/>
          <w:numId w:val="25"/>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有权解除合同，同时</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须向</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支付与合同价款等额的赔偿金；</w:t>
      </w:r>
    </w:p>
    <w:p w14:paraId="315C8C4F">
      <w:pPr>
        <w:keepNext w:val="0"/>
        <w:keepLines w:val="0"/>
        <w:pageBreakBefore w:val="0"/>
        <w:widowControl/>
        <w:numPr>
          <w:ilvl w:val="0"/>
          <w:numId w:val="25"/>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有权将</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及其参与本项目建设的相关人员列入政府采购严重违法失信行为记录名单、市场监督管理严重失信名单；</w:t>
      </w:r>
    </w:p>
    <w:p w14:paraId="6FDAB222">
      <w:pPr>
        <w:keepNext w:val="0"/>
        <w:keepLines w:val="0"/>
        <w:pageBreakBefore w:val="0"/>
        <w:widowControl/>
        <w:numPr>
          <w:ilvl w:val="0"/>
          <w:numId w:val="25"/>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鉴于有的违规行为造成的后果较长时间才能显现，或者损失数额难以一次性确认，</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有权对该违规行为造成的后果进行追偿；</w:t>
      </w:r>
    </w:p>
    <w:p w14:paraId="4BB3D191">
      <w:pPr>
        <w:keepNext w:val="0"/>
        <w:keepLines w:val="0"/>
        <w:pageBreakBefore w:val="0"/>
        <w:widowControl/>
        <w:numPr>
          <w:ilvl w:val="0"/>
          <w:numId w:val="25"/>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构成犯罪的，</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将依法追究</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的法律责任。</w:t>
      </w:r>
    </w:p>
    <w:p w14:paraId="45D0E026">
      <w:pPr>
        <w:keepNext w:val="0"/>
        <w:keepLines w:val="0"/>
        <w:pageBreakBefore w:val="0"/>
        <w:widowControl/>
        <w:numPr>
          <w:ilvl w:val="0"/>
          <w:numId w:val="20"/>
        </w:numPr>
        <w:kinsoku/>
        <w:wordWrap/>
        <w:overflowPunct/>
        <w:topLinePunct w:val="0"/>
        <w:autoSpaceDE/>
        <w:autoSpaceDN/>
        <w:bidi w:val="0"/>
        <w:adjustRightInd w:val="0"/>
        <w:snapToGrid w:val="0"/>
        <w:spacing w:line="360" w:lineRule="auto"/>
        <w:ind w:left="425" w:leftChars="0" w:hanging="425" w:firstLineChars="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Cs w:val="0"/>
          <w:color w:val="auto"/>
          <w:kern w:val="2"/>
          <w:sz w:val="21"/>
          <w:szCs w:val="21"/>
          <w:highlight w:val="none"/>
          <w:lang w:eastAsia="zh-CN" w:bidi="ar-SA"/>
        </w:rPr>
        <w:t>因</w:t>
      </w:r>
      <w:r>
        <w:rPr>
          <w:rFonts w:hint="eastAsia" w:ascii="宋体" w:hAnsi="宋体" w:eastAsia="宋体" w:cs="宋体"/>
          <w:bCs w:val="0"/>
          <w:color w:val="auto"/>
          <w:kern w:val="2"/>
          <w:sz w:val="21"/>
          <w:szCs w:val="21"/>
          <w:highlight w:val="none"/>
          <w:lang w:val="en-US" w:eastAsia="zh-CN" w:bidi="ar-SA"/>
        </w:rPr>
        <w:t>中标人</w:t>
      </w:r>
      <w:r>
        <w:rPr>
          <w:rFonts w:hint="eastAsia" w:ascii="宋体" w:hAnsi="宋体" w:eastAsia="宋体" w:cs="宋体"/>
          <w:bCs w:val="0"/>
          <w:color w:val="auto"/>
          <w:kern w:val="2"/>
          <w:sz w:val="21"/>
          <w:szCs w:val="21"/>
          <w:highlight w:val="none"/>
          <w:lang w:eastAsia="zh-CN" w:bidi="ar-SA"/>
        </w:rPr>
        <w:t>违反安全管理要求,给项目造成影响的，</w:t>
      </w:r>
      <w:r>
        <w:rPr>
          <w:rFonts w:hint="eastAsia" w:ascii="宋体" w:hAnsi="宋体" w:eastAsia="宋体" w:cs="宋体"/>
          <w:bCs w:val="0"/>
          <w:color w:val="auto"/>
          <w:kern w:val="2"/>
          <w:sz w:val="21"/>
          <w:szCs w:val="21"/>
          <w:highlight w:val="none"/>
          <w:lang w:val="en-US" w:eastAsia="zh-CN" w:bidi="ar-SA"/>
        </w:rPr>
        <w:t>中标人</w:t>
      </w:r>
      <w:r>
        <w:rPr>
          <w:rFonts w:hint="eastAsia" w:ascii="宋体" w:hAnsi="宋体" w:eastAsia="宋体" w:cs="宋体"/>
          <w:bCs w:val="0"/>
          <w:color w:val="auto"/>
          <w:kern w:val="2"/>
          <w:sz w:val="21"/>
          <w:szCs w:val="21"/>
          <w:highlight w:val="none"/>
          <w:lang w:eastAsia="zh-CN" w:bidi="ar-SA"/>
        </w:rPr>
        <w:t>应第一时间进行补救，并通过替换违规人员和存在安全风险产品等措施推动项目进程，补救所产生的所有费用均由</w:t>
      </w:r>
      <w:r>
        <w:rPr>
          <w:rFonts w:hint="eastAsia" w:ascii="宋体" w:hAnsi="宋体" w:eastAsia="宋体" w:cs="宋体"/>
          <w:bCs w:val="0"/>
          <w:color w:val="auto"/>
          <w:kern w:val="2"/>
          <w:sz w:val="21"/>
          <w:szCs w:val="21"/>
          <w:highlight w:val="none"/>
          <w:lang w:val="en-US" w:eastAsia="zh-CN" w:bidi="ar-SA"/>
        </w:rPr>
        <w:t>中标人</w:t>
      </w:r>
      <w:r>
        <w:rPr>
          <w:rFonts w:hint="eastAsia" w:ascii="宋体" w:hAnsi="宋体" w:eastAsia="宋体" w:cs="宋体"/>
          <w:bCs w:val="0"/>
          <w:color w:val="auto"/>
          <w:kern w:val="2"/>
          <w:sz w:val="21"/>
          <w:szCs w:val="21"/>
          <w:highlight w:val="none"/>
          <w:lang w:eastAsia="zh-CN" w:bidi="ar-SA"/>
        </w:rPr>
        <w:t>承担。</w:t>
      </w:r>
    </w:p>
    <w:bookmarkEnd w:id="290"/>
    <w:p w14:paraId="25BD4123">
      <w:pPr>
        <w:pageBreakBefore/>
        <w:tabs>
          <w:tab w:val="left" w:pos="1080"/>
        </w:tabs>
        <w:autoSpaceDE w:val="0"/>
        <w:autoSpaceDN w:val="0"/>
        <w:adjustRightInd w:val="0"/>
        <w:spacing w:line="360" w:lineRule="auto"/>
        <w:ind w:left="357" w:leftChars="-100" w:hanging="567"/>
        <w:jc w:val="center"/>
        <w:outlineLvl w:val="1"/>
        <w:rPr>
          <w:rFonts w:hint="eastAsia" w:ascii="宋体" w:hAnsi="宋体" w:eastAsia="宋体" w:cs="宋体"/>
          <w:b/>
          <w:bCs/>
          <w:color w:val="auto"/>
          <w:kern w:val="44"/>
          <w:sz w:val="32"/>
          <w:szCs w:val="32"/>
          <w:highlight w:val="none"/>
          <w:lang w:val="zh-CN"/>
        </w:rPr>
      </w:pPr>
      <w:r>
        <w:rPr>
          <w:rFonts w:hint="eastAsia" w:ascii="宋体" w:hAnsi="宋体" w:eastAsia="宋体" w:cs="宋体"/>
          <w:b/>
          <w:bCs/>
          <w:color w:val="auto"/>
          <w:kern w:val="44"/>
          <w:sz w:val="32"/>
          <w:szCs w:val="32"/>
          <w:highlight w:val="none"/>
          <w:lang w:val="zh-CN"/>
        </w:rPr>
        <w:t>第四篇 合同条款格式</w:t>
      </w:r>
      <w:bookmarkEnd w:id="291"/>
      <w:bookmarkEnd w:id="292"/>
      <w:bookmarkEnd w:id="293"/>
      <w:bookmarkEnd w:id="294"/>
      <w:bookmarkEnd w:id="295"/>
      <w:bookmarkEnd w:id="296"/>
    </w:p>
    <w:p w14:paraId="74613714">
      <w:pPr>
        <w:spacing w:line="360" w:lineRule="auto"/>
        <w:jc w:val="center"/>
        <w:rPr>
          <w:rFonts w:hint="eastAsia" w:ascii="宋体" w:hAnsi="宋体" w:eastAsia="宋体" w:cs="宋体"/>
          <w:bCs/>
          <w:color w:val="auto"/>
          <w:szCs w:val="21"/>
          <w:highlight w:val="none"/>
        </w:rPr>
      </w:pPr>
      <w:bookmarkStart w:id="298" w:name="_Toc8919"/>
      <w:bookmarkStart w:id="299" w:name="_Toc447045090"/>
      <w:bookmarkStart w:id="300" w:name="_Toc447044603"/>
      <w:bookmarkStart w:id="301" w:name="_Toc512353083"/>
      <w:bookmarkStart w:id="302" w:name="_Toc22246"/>
      <w:bookmarkStart w:id="303" w:name="_Toc142508360"/>
      <w:bookmarkStart w:id="304" w:name="_Toc24427_WPSOffice_Level1"/>
      <w:bookmarkStart w:id="305" w:name="_Toc447044479"/>
    </w:p>
    <w:p w14:paraId="0C0471E3">
      <w:pPr>
        <w:spacing w:before="360" w:beforeLines="150" w:after="600" w:afterLines="250" w:line="360" w:lineRule="auto"/>
        <w:jc w:val="center"/>
        <w:rPr>
          <w:rFonts w:hint="eastAsia" w:ascii="宋体" w:hAnsi="宋体" w:eastAsia="宋体" w:cs="宋体"/>
          <w:bCs/>
          <w:color w:val="auto"/>
          <w:sz w:val="50"/>
          <w:szCs w:val="50"/>
          <w:highlight w:val="none"/>
          <w:lang w:eastAsia="zh-CN"/>
        </w:rPr>
      </w:pPr>
      <w:r>
        <w:rPr>
          <w:rFonts w:hint="eastAsia" w:ascii="宋体" w:hAnsi="宋体" w:eastAsia="宋体" w:cs="宋体"/>
          <w:bCs/>
          <w:color w:val="auto"/>
          <w:sz w:val="50"/>
          <w:szCs w:val="50"/>
          <w:highlight w:val="none"/>
          <w:lang w:eastAsia="zh-CN"/>
        </w:rPr>
        <w:t>2025年前端设备运维服务项目</w:t>
      </w:r>
    </w:p>
    <w:p w14:paraId="48EA87F6">
      <w:pPr>
        <w:spacing w:line="360" w:lineRule="auto"/>
        <w:jc w:val="center"/>
        <w:rPr>
          <w:rFonts w:hint="eastAsia" w:ascii="宋体" w:hAnsi="宋体" w:eastAsia="宋体" w:cs="宋体"/>
          <w:bCs/>
          <w:color w:val="auto"/>
          <w:sz w:val="50"/>
          <w:szCs w:val="50"/>
          <w:highlight w:val="none"/>
        </w:rPr>
      </w:pPr>
    </w:p>
    <w:p w14:paraId="77344488">
      <w:pPr>
        <w:spacing w:before="840" w:beforeLines="350" w:after="360" w:afterLines="150" w:line="360" w:lineRule="auto"/>
        <w:jc w:val="center"/>
        <w:rPr>
          <w:rFonts w:hint="eastAsia" w:ascii="宋体" w:hAnsi="宋体" w:eastAsia="宋体" w:cs="宋体"/>
          <w:b/>
          <w:bCs/>
          <w:color w:val="auto"/>
          <w:spacing w:val="60"/>
          <w:sz w:val="52"/>
          <w:szCs w:val="52"/>
          <w:highlight w:val="none"/>
        </w:rPr>
      </w:pPr>
      <w:r>
        <w:rPr>
          <w:rFonts w:hint="eastAsia" w:ascii="宋体" w:hAnsi="宋体" w:eastAsia="宋体" w:cs="宋体"/>
          <w:b/>
          <w:bCs/>
          <w:color w:val="auto"/>
          <w:spacing w:val="60"/>
          <w:sz w:val="52"/>
          <w:szCs w:val="52"/>
          <w:highlight w:val="none"/>
        </w:rPr>
        <w:t>合同文件</w:t>
      </w:r>
    </w:p>
    <w:p w14:paraId="2B31D3D2">
      <w:pPr>
        <w:spacing w:line="360"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（合同编号：）</w:t>
      </w:r>
    </w:p>
    <w:p w14:paraId="4671D4BE">
      <w:pPr>
        <w:spacing w:line="360" w:lineRule="auto"/>
        <w:rPr>
          <w:rFonts w:hint="eastAsia" w:ascii="宋体" w:hAnsi="宋体" w:eastAsia="宋体" w:cs="宋体"/>
          <w:b/>
          <w:bCs/>
          <w:color w:val="auto"/>
          <w:szCs w:val="21"/>
          <w:highlight w:val="none"/>
        </w:rPr>
      </w:pPr>
    </w:p>
    <w:p w14:paraId="33A9414F">
      <w:pPr>
        <w:spacing w:line="360" w:lineRule="auto"/>
        <w:rPr>
          <w:rFonts w:hint="eastAsia" w:ascii="宋体" w:hAnsi="宋体" w:eastAsia="宋体" w:cs="宋体"/>
          <w:b/>
          <w:bCs/>
          <w:color w:val="auto"/>
          <w:szCs w:val="21"/>
          <w:highlight w:val="none"/>
        </w:rPr>
      </w:pPr>
    </w:p>
    <w:p w14:paraId="39162EE1">
      <w:pPr>
        <w:spacing w:line="360" w:lineRule="auto"/>
        <w:rPr>
          <w:rFonts w:hint="eastAsia" w:ascii="宋体" w:hAnsi="宋体" w:eastAsia="宋体" w:cs="宋体"/>
          <w:b/>
          <w:bCs/>
          <w:color w:val="auto"/>
          <w:szCs w:val="21"/>
          <w:highlight w:val="none"/>
        </w:rPr>
      </w:pPr>
    </w:p>
    <w:p w14:paraId="2A9B32FE">
      <w:pPr>
        <w:spacing w:line="360" w:lineRule="auto"/>
        <w:rPr>
          <w:rFonts w:hint="eastAsia" w:ascii="宋体" w:hAnsi="宋体" w:eastAsia="宋体" w:cs="宋体"/>
          <w:b/>
          <w:bCs/>
          <w:color w:val="auto"/>
          <w:szCs w:val="21"/>
          <w:highlight w:val="none"/>
        </w:rPr>
      </w:pPr>
    </w:p>
    <w:p w14:paraId="4C435AC4">
      <w:pPr>
        <w:spacing w:line="360" w:lineRule="auto"/>
        <w:rPr>
          <w:rFonts w:hint="eastAsia" w:ascii="宋体" w:hAnsi="宋体" w:eastAsia="宋体" w:cs="宋体"/>
          <w:b/>
          <w:bCs/>
          <w:color w:val="auto"/>
          <w:szCs w:val="21"/>
          <w:highlight w:val="none"/>
        </w:rPr>
      </w:pPr>
    </w:p>
    <w:tbl>
      <w:tblPr>
        <w:tblStyle w:val="42"/>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49"/>
        <w:gridCol w:w="4961"/>
      </w:tblGrid>
      <w:tr w14:paraId="22A0B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2349" w:type="dxa"/>
          </w:tcPr>
          <w:p w14:paraId="4352ADAE">
            <w:pPr>
              <w:spacing w:line="360" w:lineRule="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甲方（</w:t>
            </w:r>
            <w:r>
              <w:rPr>
                <w:rFonts w:hint="eastAsia" w:ascii="宋体" w:hAnsi="宋体" w:eastAsia="宋体" w:cs="宋体"/>
                <w:b/>
                <w:bCs/>
                <w:color w:val="auto"/>
                <w:sz w:val="28"/>
                <w:szCs w:val="28"/>
                <w:highlight w:val="none"/>
                <w:lang w:val="en-US" w:eastAsia="zh-CN"/>
              </w:rPr>
              <w:t>招标</w:t>
            </w:r>
            <w:r>
              <w:rPr>
                <w:rFonts w:hint="eastAsia" w:ascii="宋体" w:hAnsi="宋体" w:eastAsia="宋体" w:cs="宋体"/>
                <w:b/>
                <w:bCs/>
                <w:color w:val="auto"/>
                <w:sz w:val="28"/>
                <w:szCs w:val="28"/>
                <w:highlight w:val="none"/>
              </w:rPr>
              <w:t>人）：</w:t>
            </w:r>
          </w:p>
        </w:tc>
        <w:tc>
          <w:tcPr>
            <w:tcW w:w="4961" w:type="dxa"/>
          </w:tcPr>
          <w:p w14:paraId="32F37C14">
            <w:pPr>
              <w:spacing w:line="360" w:lineRule="auto"/>
              <w:rPr>
                <w:rFonts w:hint="eastAsia" w:ascii="宋体" w:hAnsi="宋体" w:eastAsia="宋体" w:cs="宋体"/>
                <w:b/>
                <w:bCs/>
                <w:color w:val="auto"/>
                <w:sz w:val="28"/>
                <w:szCs w:val="28"/>
                <w:highlight w:val="none"/>
                <w:u w:val="single"/>
              </w:rPr>
            </w:pPr>
          </w:p>
        </w:tc>
      </w:tr>
      <w:tr w14:paraId="5CD3D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2349" w:type="dxa"/>
          </w:tcPr>
          <w:p w14:paraId="31CD58A9">
            <w:pPr>
              <w:spacing w:line="360" w:lineRule="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乙方（中标人）：</w:t>
            </w:r>
          </w:p>
        </w:tc>
        <w:tc>
          <w:tcPr>
            <w:tcW w:w="4961" w:type="dxa"/>
          </w:tcPr>
          <w:p w14:paraId="06B00396">
            <w:pPr>
              <w:spacing w:line="360" w:lineRule="auto"/>
              <w:rPr>
                <w:rFonts w:hint="eastAsia" w:ascii="宋体" w:hAnsi="宋体" w:eastAsia="宋体" w:cs="宋体"/>
                <w:b/>
                <w:bCs/>
                <w:color w:val="auto"/>
                <w:sz w:val="28"/>
                <w:szCs w:val="28"/>
                <w:highlight w:val="none"/>
                <w:u w:val="single"/>
              </w:rPr>
            </w:pPr>
          </w:p>
        </w:tc>
      </w:tr>
      <w:tr w14:paraId="5F67A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2349" w:type="dxa"/>
          </w:tcPr>
          <w:p w14:paraId="39C62E42">
            <w:pPr>
              <w:spacing w:line="360" w:lineRule="auto"/>
              <w:rPr>
                <w:rFonts w:hint="eastAsia" w:ascii="宋体" w:hAnsi="宋体" w:eastAsia="宋体" w:cs="宋体"/>
                <w:b/>
                <w:bCs/>
                <w:color w:val="auto"/>
                <w:spacing w:val="9"/>
                <w:sz w:val="28"/>
                <w:szCs w:val="28"/>
                <w:highlight w:val="none"/>
              </w:rPr>
            </w:pPr>
            <w:r>
              <w:rPr>
                <w:rFonts w:hint="eastAsia" w:ascii="宋体" w:hAnsi="宋体" w:eastAsia="宋体" w:cs="宋体"/>
                <w:b/>
                <w:bCs/>
                <w:color w:val="auto"/>
                <w:spacing w:val="9"/>
                <w:sz w:val="28"/>
                <w:szCs w:val="28"/>
                <w:highlight w:val="none"/>
              </w:rPr>
              <w:t>协议签订时间：</w:t>
            </w:r>
          </w:p>
        </w:tc>
        <w:tc>
          <w:tcPr>
            <w:tcW w:w="4961" w:type="dxa"/>
          </w:tcPr>
          <w:p w14:paraId="2B7A7274">
            <w:pPr>
              <w:spacing w:line="360" w:lineRule="auto"/>
              <w:rPr>
                <w:rFonts w:hint="eastAsia" w:ascii="宋体" w:hAnsi="宋体" w:eastAsia="宋体" w:cs="宋体"/>
                <w:b/>
                <w:bCs/>
                <w:color w:val="auto"/>
                <w:sz w:val="28"/>
                <w:szCs w:val="28"/>
                <w:highlight w:val="none"/>
                <w:u w:val="single"/>
              </w:rPr>
            </w:pPr>
          </w:p>
        </w:tc>
      </w:tr>
    </w:tbl>
    <w:p w14:paraId="43866CE1">
      <w:pPr>
        <w:spacing w:line="360" w:lineRule="auto"/>
        <w:rPr>
          <w:rFonts w:hint="eastAsia" w:ascii="宋体" w:hAnsi="宋体" w:eastAsia="宋体" w:cs="宋体"/>
          <w:b/>
          <w:bCs/>
          <w:color w:val="auto"/>
          <w:szCs w:val="21"/>
          <w:highlight w:val="none"/>
        </w:rPr>
      </w:pPr>
    </w:p>
    <w:p w14:paraId="203AA631">
      <w:pPr>
        <w:spacing w:line="360" w:lineRule="auto"/>
        <w:rPr>
          <w:rFonts w:hint="eastAsia" w:ascii="宋体" w:hAnsi="宋体" w:eastAsia="宋体" w:cs="宋体"/>
          <w:b/>
          <w:bCs/>
          <w:color w:val="auto"/>
          <w:szCs w:val="21"/>
          <w:highlight w:val="none"/>
        </w:rPr>
      </w:pPr>
    </w:p>
    <w:p w14:paraId="0C214CE5">
      <w:pPr>
        <w:tabs>
          <w:tab w:val="left" w:pos="720"/>
        </w:tabs>
        <w:spacing w:line="360" w:lineRule="auto"/>
        <w:jc w:val="center"/>
        <w:rPr>
          <w:rFonts w:hint="eastAsia" w:ascii="宋体" w:hAnsi="宋体" w:eastAsia="宋体" w:cs="宋体"/>
          <w:color w:val="auto"/>
          <w:spacing w:val="20"/>
          <w:sz w:val="28"/>
          <w:szCs w:val="28"/>
          <w:highlight w:val="none"/>
        </w:rPr>
      </w:pPr>
      <w:r>
        <w:rPr>
          <w:rFonts w:hint="eastAsia" w:ascii="宋体" w:hAnsi="宋体" w:eastAsia="宋体" w:cs="宋体"/>
          <w:color w:val="auto"/>
          <w:spacing w:val="20"/>
          <w:sz w:val="28"/>
          <w:szCs w:val="28"/>
          <w:highlight w:val="none"/>
          <w:lang w:val="en-US" w:eastAsia="zh-CN"/>
        </w:rPr>
        <w:t xml:space="preserve">        </w:t>
      </w:r>
      <w:r>
        <w:rPr>
          <w:rFonts w:hint="eastAsia" w:ascii="宋体" w:hAnsi="宋体" w:eastAsia="宋体" w:cs="宋体"/>
          <w:color w:val="auto"/>
          <w:spacing w:val="20"/>
          <w:sz w:val="28"/>
          <w:szCs w:val="28"/>
          <w:highlight w:val="none"/>
        </w:rPr>
        <w:t>年</w:t>
      </w:r>
      <w:r>
        <w:rPr>
          <w:rFonts w:hint="eastAsia" w:ascii="宋体" w:hAnsi="宋体" w:eastAsia="宋体" w:cs="宋体"/>
          <w:color w:val="auto"/>
          <w:spacing w:val="20"/>
          <w:sz w:val="28"/>
          <w:szCs w:val="28"/>
          <w:highlight w:val="none"/>
          <w:lang w:val="en-US" w:eastAsia="zh-CN"/>
        </w:rPr>
        <w:t xml:space="preserve">   </w:t>
      </w:r>
      <w:r>
        <w:rPr>
          <w:rFonts w:hint="eastAsia" w:ascii="宋体" w:hAnsi="宋体" w:eastAsia="宋体" w:cs="宋体"/>
          <w:color w:val="auto"/>
          <w:spacing w:val="20"/>
          <w:sz w:val="28"/>
          <w:szCs w:val="28"/>
          <w:highlight w:val="none"/>
        </w:rPr>
        <w:t>月于东莞</w:t>
      </w:r>
    </w:p>
    <w:p w14:paraId="06857B6D">
      <w:pPr>
        <w:pStyle w:val="2"/>
        <w:rPr>
          <w:rFonts w:hint="eastAsia" w:ascii="宋体" w:hAnsi="宋体" w:eastAsia="宋体" w:cs="宋体"/>
          <w:color w:val="auto"/>
          <w:spacing w:val="20"/>
          <w:sz w:val="28"/>
          <w:szCs w:val="28"/>
          <w:highlight w:val="none"/>
        </w:rPr>
      </w:pPr>
    </w:p>
    <w:p w14:paraId="1269C613">
      <w:pPr>
        <w:pStyle w:val="2"/>
        <w:jc w:val="center"/>
        <w:rPr>
          <w:rFonts w:hint="eastAsia" w:ascii="宋体" w:hAnsi="宋体" w:eastAsia="宋体" w:cs="宋体"/>
          <w:color w:val="auto"/>
          <w:spacing w:val="20"/>
          <w:sz w:val="28"/>
          <w:szCs w:val="28"/>
          <w:highlight w:val="none"/>
        </w:rPr>
      </w:pPr>
      <w:r>
        <w:rPr>
          <w:rFonts w:hint="eastAsia" w:ascii="宋体" w:hAnsi="宋体" w:eastAsia="宋体" w:cs="宋体"/>
          <w:color w:val="auto"/>
          <w:spacing w:val="20"/>
          <w:sz w:val="28"/>
          <w:szCs w:val="28"/>
          <w:highlight w:val="none"/>
        </w:rPr>
        <w:t>此仅为合同书样本，乙方需根据实际情况和甲方签订相应的合同，以双方签订合同为准</w:t>
      </w:r>
    </w:p>
    <w:p w14:paraId="4015061F">
      <w:pPr>
        <w:rPr>
          <w:rFonts w:hint="eastAsia" w:ascii="宋体" w:hAnsi="宋体" w:eastAsia="宋体" w:cs="宋体"/>
          <w:color w:val="auto"/>
          <w:spacing w:val="20"/>
          <w:sz w:val="28"/>
          <w:szCs w:val="28"/>
          <w:highlight w:val="none"/>
        </w:rPr>
      </w:pPr>
      <w:r>
        <w:rPr>
          <w:rFonts w:hint="eastAsia" w:ascii="宋体" w:hAnsi="宋体" w:eastAsia="宋体" w:cs="宋体"/>
          <w:color w:val="auto"/>
          <w:spacing w:val="20"/>
          <w:sz w:val="28"/>
          <w:szCs w:val="28"/>
          <w:highlight w:val="none"/>
        </w:rPr>
        <w:br w:type="page"/>
      </w:r>
    </w:p>
    <w:p w14:paraId="33F78AB1">
      <w:pPr>
        <w:pStyle w:val="6"/>
        <w:rPr>
          <w:rFonts w:hint="eastAsia" w:ascii="宋体" w:hAnsi="宋体" w:eastAsia="宋体" w:cs="宋体"/>
          <w:color w:val="auto"/>
          <w:sz w:val="21"/>
          <w:szCs w:val="21"/>
          <w:highlight w:val="none"/>
        </w:rPr>
      </w:pPr>
    </w:p>
    <w:p w14:paraId="10EBF488">
      <w:pPr>
        <w:spacing w:line="360" w:lineRule="auto"/>
        <w:rPr>
          <w:rFonts w:hint="eastAsia" w:ascii="宋体" w:hAnsi="宋体" w:eastAsia="宋体" w:cs="宋体"/>
          <w:color w:val="auto"/>
          <w:sz w:val="21"/>
          <w:szCs w:val="21"/>
          <w:highlight w:val="none"/>
          <w:u w:val="single"/>
          <w:lang w:eastAsia="zh-CN"/>
        </w:rPr>
      </w:pPr>
      <w:r>
        <w:rPr>
          <w:rFonts w:hint="eastAsia" w:ascii="宋体" w:hAnsi="宋体" w:eastAsia="宋体" w:cs="宋体"/>
          <w:color w:val="auto"/>
          <w:sz w:val="21"/>
          <w:szCs w:val="21"/>
          <w:highlight w:val="none"/>
        </w:rPr>
        <w:t>甲方（</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w:t>
      </w:r>
    </w:p>
    <w:p w14:paraId="19E81F0F">
      <w:pPr>
        <w:spacing w:line="360" w:lineRule="auto"/>
        <w:rPr>
          <w:rFonts w:hint="eastAsia" w:ascii="宋体" w:hAnsi="宋体" w:eastAsia="宋体" w:cs="宋体"/>
          <w:color w:val="auto"/>
          <w:sz w:val="21"/>
          <w:szCs w:val="21"/>
          <w:highlight w:val="none"/>
          <w:u w:val="none"/>
          <w:lang w:eastAsia="zh-CN"/>
        </w:rPr>
      </w:pPr>
      <w:r>
        <w:rPr>
          <w:rFonts w:hint="eastAsia" w:ascii="宋体" w:hAnsi="宋体" w:eastAsia="宋体" w:cs="宋体"/>
          <w:color w:val="auto"/>
          <w:sz w:val="21"/>
          <w:szCs w:val="21"/>
          <w:highlight w:val="none"/>
          <w:u w:val="none"/>
          <w:lang w:eastAsia="zh-CN"/>
        </w:rPr>
        <w:t xml:space="preserve">统一社会信用代码：                         </w:t>
      </w:r>
    </w:p>
    <w:p w14:paraId="6D281F1D">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乙方（中标人）：</w:t>
      </w:r>
    </w:p>
    <w:p w14:paraId="1D6D6E25">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统一社会信用代码：                         </w:t>
      </w:r>
    </w:p>
    <w:p w14:paraId="745280A7">
      <w:pPr>
        <w:spacing w:line="360" w:lineRule="auto"/>
        <w:ind w:firstLine="420" w:firstLineChars="200"/>
        <w:rPr>
          <w:rFonts w:hint="eastAsia" w:ascii="宋体" w:hAnsi="宋体" w:eastAsia="宋体" w:cs="宋体"/>
          <w:color w:val="auto"/>
          <w:sz w:val="21"/>
          <w:szCs w:val="21"/>
          <w:highlight w:val="none"/>
        </w:rPr>
      </w:pPr>
    </w:p>
    <w:p w14:paraId="64C99C3A">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依照《中华人民共和国民法典》及有关法律、法规的规定，在双方平等、自愿、协商一致的基础上，就由乙方负责向甲方提供餐品配送等服务事宜，为保证双方的权益，特订立本合同。</w:t>
      </w:r>
    </w:p>
    <w:p w14:paraId="3920C16C">
      <w:pPr>
        <w:spacing w:line="360" w:lineRule="auto"/>
        <w:rPr>
          <w:rFonts w:hint="eastAsia" w:ascii="宋体" w:hAnsi="宋体" w:eastAsia="宋体" w:cs="宋体"/>
          <w:b/>
          <w:bCs/>
          <w:color w:val="auto"/>
          <w:sz w:val="21"/>
          <w:szCs w:val="21"/>
          <w:highlight w:val="none"/>
        </w:rPr>
      </w:pPr>
    </w:p>
    <w:p w14:paraId="3609106F">
      <w:p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 xml:space="preserve">第一条 </w:t>
      </w:r>
      <w:r>
        <w:rPr>
          <w:rFonts w:hint="eastAsia" w:ascii="宋体" w:hAnsi="宋体" w:eastAsia="宋体" w:cs="宋体"/>
          <w:b/>
          <w:color w:val="auto"/>
          <w:szCs w:val="21"/>
          <w:highlight w:val="none"/>
        </w:rPr>
        <w:t>项目概况</w:t>
      </w:r>
    </w:p>
    <w:p w14:paraId="6423EE38">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2025年前端设备运维服务项目要求提供不少于9人驻场，对各类前端设备提供日常巡检、问题处理等维护保障服务，根据要求采购相对应的备品备件，提供用电服务及取电迁移服务，保证信息系统软硬件正常使用。</w:t>
      </w:r>
    </w:p>
    <w:p w14:paraId="5A5D9993">
      <w:pPr>
        <w:spacing w:line="360" w:lineRule="auto"/>
        <w:rPr>
          <w:rFonts w:hint="eastAsia" w:ascii="宋体" w:hAnsi="宋体" w:eastAsia="宋体" w:cs="宋体"/>
          <w:b/>
          <w:bCs/>
          <w:color w:val="auto"/>
          <w:sz w:val="21"/>
          <w:szCs w:val="21"/>
          <w:highlight w:val="none"/>
        </w:rPr>
      </w:pPr>
    </w:p>
    <w:p w14:paraId="1E300C4D">
      <w:pPr>
        <w:numPr>
          <w:ilvl w:val="0"/>
          <w:numId w:val="26"/>
        </w:numPr>
        <w:spacing w:line="360" w:lineRule="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服务期限和地点</w:t>
      </w:r>
    </w:p>
    <w:p w14:paraId="143F94FC">
      <w:pPr>
        <w:numPr>
          <w:ilvl w:val="0"/>
          <w:numId w:val="0"/>
        </w:numPr>
        <w:spacing w:line="360" w:lineRule="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1.服务期限：</w:t>
      </w:r>
      <w:r>
        <w:rPr>
          <w:rFonts w:hint="eastAsia" w:ascii="宋体" w:hAnsi="宋体" w:eastAsia="宋体" w:cs="宋体"/>
          <w:b w:val="0"/>
          <w:bCs w:val="0"/>
          <w:color w:val="auto"/>
          <w:sz w:val="21"/>
          <w:szCs w:val="21"/>
          <w:highlight w:val="none"/>
        </w:rPr>
        <w:t>自</w:t>
      </w:r>
      <w:r>
        <w:rPr>
          <w:rFonts w:hint="eastAsia" w:ascii="宋体" w:hAnsi="宋体" w:eastAsia="宋体" w:cs="宋体"/>
          <w:b w:val="0"/>
          <w:bCs w:val="0"/>
          <w:color w:val="auto"/>
          <w:sz w:val="21"/>
          <w:szCs w:val="21"/>
          <w:highlight w:val="none"/>
          <w:lang w:val="en-US" w:eastAsia="zh-CN"/>
        </w:rPr>
        <w:t>中标通知书发出之日起至2026年9月30日</w:t>
      </w:r>
    </w:p>
    <w:p w14:paraId="5176DF12">
      <w:pPr>
        <w:numPr>
          <w:ilvl w:val="0"/>
          <w:numId w:val="0"/>
        </w:numPr>
        <w:spacing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2.服务地点：甲方指定地点</w:t>
      </w:r>
    </w:p>
    <w:p w14:paraId="4686BEE2">
      <w:pPr>
        <w:numPr>
          <w:ilvl w:val="0"/>
          <w:numId w:val="0"/>
        </w:numPr>
        <w:spacing w:line="360" w:lineRule="auto"/>
        <w:rPr>
          <w:rFonts w:hint="eastAsia" w:ascii="宋体" w:hAnsi="宋体" w:eastAsia="宋体" w:cs="宋体"/>
          <w:color w:val="auto"/>
          <w:sz w:val="21"/>
          <w:szCs w:val="21"/>
          <w:highlight w:val="none"/>
          <w:lang w:val="en-US" w:eastAsia="zh-CN"/>
        </w:rPr>
      </w:pPr>
    </w:p>
    <w:p w14:paraId="0BAD1CF0">
      <w:pPr>
        <w:numPr>
          <w:ilvl w:val="0"/>
          <w:numId w:val="26"/>
        </w:numPr>
        <w:spacing w:line="360" w:lineRule="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合同组成</w:t>
      </w:r>
    </w:p>
    <w:p w14:paraId="108747CF">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1．合同文件组成内容包括：本合同书、中标通知书、投标文件（含澄清内容）、招标文件（含招标文件澄清通知）、附件、等。</w:t>
      </w:r>
    </w:p>
    <w:p w14:paraId="021831AD">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2．组成合同的各项文件应互相解释，互为说明。如合同组成文件约定有差异的，则后形成文件优先使用；形成时间相同的，则解释的优先顺序如下：</w:t>
      </w:r>
    </w:p>
    <w:p w14:paraId="3C048710">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（1）合同文本；</w:t>
      </w:r>
    </w:p>
    <w:p w14:paraId="5E82D4AD">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（2）中标通知书；</w:t>
      </w:r>
    </w:p>
    <w:p w14:paraId="0600CF05">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（3）投标文件（含澄清内容）；</w:t>
      </w:r>
    </w:p>
    <w:p w14:paraId="18C36054">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（4）招标文件（含招标文件澄清通知）；</w:t>
      </w:r>
    </w:p>
    <w:p w14:paraId="38755267">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（5）其他合同文件。</w:t>
      </w:r>
    </w:p>
    <w:p w14:paraId="0FD7F7D1">
      <w:pPr>
        <w:numPr>
          <w:ilvl w:val="-1"/>
          <w:numId w:val="0"/>
        </w:num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Cs w:val="21"/>
          <w:highlight w:val="none"/>
        </w:rPr>
        <w:t>在合同履行过程中形成的与合同有关的文件均构成合同文件组成部分，以标准较高的内容进行解释。</w:t>
      </w:r>
    </w:p>
    <w:p w14:paraId="3C298EE8">
      <w:pPr>
        <w:numPr>
          <w:ilvl w:val="-1"/>
          <w:numId w:val="0"/>
        </w:numPr>
        <w:spacing w:line="360" w:lineRule="auto"/>
        <w:rPr>
          <w:rFonts w:hint="eastAsia" w:ascii="宋体" w:hAnsi="宋体" w:eastAsia="宋体" w:cs="宋体"/>
          <w:b/>
          <w:bCs/>
          <w:color w:val="auto"/>
          <w:sz w:val="21"/>
          <w:szCs w:val="21"/>
          <w:highlight w:val="none"/>
        </w:rPr>
      </w:pPr>
    </w:p>
    <w:p w14:paraId="52BB2594">
      <w:pPr>
        <w:numPr>
          <w:ilvl w:val="0"/>
          <w:numId w:val="26"/>
        </w:num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服务费用</w:t>
      </w:r>
    </w:p>
    <w:p w14:paraId="3287D08E">
      <w:pPr>
        <w:numPr>
          <w:ilvl w:val="0"/>
          <w:numId w:val="0"/>
        </w:numPr>
        <w:spacing w:line="360" w:lineRule="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1．合同总价：本合同价税合计金额为¥ Y元（大写：人民币Y），不含税金额为¥ Y元（大写：人民币Y），增值税税额为¥ Y元（大写：人民币Y），增值税率为Y %。若国家相关法律法规及政策对增值税税率有调整的，以本合同不含税金额为基准结合最新的税率执行。</w:t>
      </w:r>
    </w:p>
    <w:p w14:paraId="257FE61A">
      <w:pPr>
        <w:numPr>
          <w:ilvl w:val="0"/>
          <w:numId w:val="0"/>
        </w:numPr>
        <w:spacing w:line="360" w:lineRule="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上述金额是本合同项下的总价款，已涵盖乙方完成本合同项下各项工作所需的一切应预见和不可预见费用（包括但不限于运费、材料费、设备使用费、装卸费、杂费、税费、人工费、包装费、验收费）及税金等，除双方另有约定外，甲方无须支付其他费用。</w:t>
      </w:r>
    </w:p>
    <w:p w14:paraId="21B3D17C">
      <w:pPr>
        <w:numPr>
          <w:ilvl w:val="0"/>
          <w:numId w:val="0"/>
        </w:numPr>
        <w:spacing w:line="360" w:lineRule="auto"/>
        <w:rPr>
          <w:rFonts w:hint="eastAsia" w:ascii="宋体" w:hAnsi="宋体" w:eastAsia="宋体" w:cs="宋体"/>
          <w:b w:val="0"/>
          <w:bCs/>
          <w:color w:val="auto"/>
          <w:sz w:val="21"/>
          <w:szCs w:val="21"/>
          <w:highlight w:val="none"/>
          <w:lang w:val="en-US" w:eastAsia="zh-CN"/>
        </w:rPr>
      </w:pPr>
    </w:p>
    <w:p w14:paraId="7E3544BE">
      <w:pPr>
        <w:numPr>
          <w:ilvl w:val="0"/>
          <w:numId w:val="26"/>
        </w:num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付款方式</w:t>
      </w:r>
    </w:p>
    <w:p w14:paraId="5FC092D0">
      <w:pPr>
        <w:numPr>
          <w:ilvl w:val="-1"/>
          <w:numId w:val="0"/>
        </w:numPr>
        <w:spacing w:line="360" w:lineRule="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Cs w:val="21"/>
          <w:highlight w:val="none"/>
          <w:lang w:val="en-US" w:eastAsia="zh-CN"/>
        </w:rPr>
        <w:t>乙方</w:t>
      </w:r>
      <w:r>
        <w:rPr>
          <w:rFonts w:hint="eastAsia" w:ascii="宋体" w:hAnsi="宋体" w:eastAsia="宋体" w:cs="宋体"/>
          <w:b w:val="0"/>
          <w:bCs w:val="0"/>
          <w:color w:val="auto"/>
          <w:szCs w:val="21"/>
          <w:highlight w:val="none"/>
        </w:rPr>
        <w:t>在申请第一期合同款前</w:t>
      </w:r>
      <w:r>
        <w:rPr>
          <w:rFonts w:hint="eastAsia" w:ascii="宋体" w:hAnsi="宋体" w:eastAsia="宋体" w:cs="宋体"/>
          <w:b w:val="0"/>
          <w:bCs w:val="0"/>
          <w:color w:val="auto"/>
          <w:szCs w:val="21"/>
          <w:highlight w:val="none"/>
          <w:u w:val="single"/>
          <w:lang w:val="en-US" w:eastAsia="zh-CN"/>
        </w:rPr>
        <w:t xml:space="preserve">   </w:t>
      </w:r>
      <w:r>
        <w:rPr>
          <w:rFonts w:hint="eastAsia" w:ascii="宋体" w:hAnsi="宋体" w:eastAsia="宋体" w:cs="宋体"/>
          <w:b w:val="0"/>
          <w:bCs w:val="0"/>
          <w:color w:val="auto"/>
          <w:szCs w:val="21"/>
          <w:highlight w:val="none"/>
          <w:u w:val="none"/>
          <w:lang w:val="en-US" w:eastAsia="zh-CN"/>
        </w:rPr>
        <w:t>天内，</w:t>
      </w:r>
      <w:r>
        <w:rPr>
          <w:rFonts w:hint="eastAsia" w:ascii="宋体" w:hAnsi="宋体" w:eastAsia="宋体" w:cs="宋体"/>
          <w:b w:val="0"/>
          <w:bCs w:val="0"/>
          <w:color w:val="auto"/>
          <w:szCs w:val="21"/>
          <w:highlight w:val="none"/>
          <w:lang w:val="en-US" w:eastAsia="zh-CN"/>
        </w:rPr>
        <w:t>向甲方提交合</w:t>
      </w:r>
      <w:r>
        <w:rPr>
          <w:rFonts w:hint="eastAsia" w:ascii="宋体" w:hAnsi="宋体" w:eastAsia="宋体" w:cs="宋体"/>
          <w:b w:val="0"/>
          <w:bCs w:val="0"/>
          <w:color w:val="auto"/>
          <w:szCs w:val="21"/>
          <w:highlight w:val="none"/>
        </w:rPr>
        <w:t>同金额5%的项目履约保证金</w:t>
      </w:r>
      <w:r>
        <w:rPr>
          <w:rFonts w:hint="eastAsia" w:ascii="宋体" w:hAnsi="宋体" w:eastAsia="宋体" w:cs="宋体"/>
          <w:b w:val="0"/>
          <w:bCs w:val="0"/>
          <w:color w:val="auto"/>
          <w:szCs w:val="21"/>
          <w:highlight w:val="none"/>
          <w:lang w:eastAsia="zh-CN"/>
        </w:rPr>
        <w:t>。</w:t>
      </w:r>
      <w:r>
        <w:rPr>
          <w:rFonts w:hint="eastAsia" w:ascii="宋体" w:hAnsi="宋体" w:eastAsia="宋体" w:cs="宋体"/>
          <w:color w:val="auto"/>
          <w:szCs w:val="21"/>
          <w:highlight w:val="none"/>
        </w:rPr>
        <w:t>验收合格后，</w:t>
      </w:r>
      <w:r>
        <w:rPr>
          <w:rFonts w:hint="eastAsia" w:ascii="宋体" w:hAnsi="宋体" w:eastAsia="宋体" w:cs="宋体"/>
          <w:color w:val="auto"/>
          <w:szCs w:val="21"/>
          <w:highlight w:val="none"/>
          <w:lang w:val="en-US" w:eastAsia="zh-CN"/>
        </w:rPr>
        <w:t>乙方</w:t>
      </w:r>
      <w:r>
        <w:rPr>
          <w:rFonts w:hint="eastAsia" w:ascii="宋体" w:hAnsi="宋体" w:eastAsia="宋体" w:cs="宋体"/>
          <w:color w:val="auto"/>
          <w:szCs w:val="21"/>
          <w:highlight w:val="none"/>
        </w:rPr>
        <w:t>无违约的情形发生，</w:t>
      </w:r>
      <w:r>
        <w:rPr>
          <w:rFonts w:hint="eastAsia" w:ascii="宋体" w:hAnsi="宋体" w:eastAsia="宋体" w:cs="宋体"/>
          <w:color w:val="auto"/>
          <w:szCs w:val="21"/>
          <w:highlight w:val="none"/>
          <w:lang w:val="en-US" w:eastAsia="zh-CN"/>
        </w:rPr>
        <w:t>乙方</w:t>
      </w:r>
      <w:r>
        <w:rPr>
          <w:rFonts w:hint="eastAsia" w:ascii="宋体" w:hAnsi="宋体" w:eastAsia="宋体" w:cs="宋体"/>
          <w:color w:val="auto"/>
          <w:szCs w:val="21"/>
          <w:highlight w:val="none"/>
        </w:rPr>
        <w:t>申请后，</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将履约保证金无息退还。</w:t>
      </w:r>
    </w:p>
    <w:p w14:paraId="11F8F8DB">
      <w:pPr>
        <w:numPr>
          <w:ilvl w:val="0"/>
          <w:numId w:val="0"/>
        </w:numPr>
        <w:spacing w:line="360" w:lineRule="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分期付款，共四期：</w:t>
      </w:r>
    </w:p>
    <w:p w14:paraId="06DCFEBE">
      <w:pPr>
        <w:numPr>
          <w:ilvl w:val="0"/>
          <w:numId w:val="0"/>
        </w:numPr>
        <w:spacing w:line="360" w:lineRule="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第</w:t>
      </w:r>
      <w:r>
        <w:rPr>
          <w:rFonts w:hint="eastAsia" w:ascii="宋体" w:hAnsi="宋体" w:eastAsia="宋体" w:cs="宋体"/>
          <w:b w:val="0"/>
          <w:bCs w:val="0"/>
          <w:color w:val="auto"/>
          <w:sz w:val="21"/>
          <w:szCs w:val="21"/>
          <w:highlight w:val="none"/>
        </w:rPr>
        <w:t>1期：支付比例10%，签订合同且驻场人员全部到岗后，</w:t>
      </w:r>
      <w:r>
        <w:rPr>
          <w:rFonts w:hint="eastAsia" w:ascii="宋体" w:hAnsi="宋体" w:eastAsia="宋体" w:cs="宋体"/>
          <w:b w:val="0"/>
          <w:bCs w:val="0"/>
          <w:color w:val="auto"/>
          <w:sz w:val="21"/>
          <w:szCs w:val="21"/>
          <w:highlight w:val="none"/>
          <w:lang w:eastAsia="zh-CN"/>
        </w:rPr>
        <w:t>甲方</w:t>
      </w:r>
      <w:r>
        <w:rPr>
          <w:rFonts w:hint="eastAsia" w:ascii="宋体" w:hAnsi="宋体" w:eastAsia="宋体" w:cs="宋体"/>
          <w:b w:val="0"/>
          <w:bCs w:val="0"/>
          <w:color w:val="auto"/>
          <w:sz w:val="21"/>
          <w:szCs w:val="21"/>
          <w:highlight w:val="none"/>
        </w:rPr>
        <w:t>确认</w:t>
      </w:r>
      <w:r>
        <w:rPr>
          <w:rFonts w:hint="eastAsia" w:ascii="宋体" w:hAnsi="宋体" w:eastAsia="宋体" w:cs="宋体"/>
          <w:b w:val="0"/>
          <w:bCs w:val="0"/>
          <w:color w:val="auto"/>
          <w:sz w:val="21"/>
          <w:szCs w:val="21"/>
          <w:highlight w:val="none"/>
          <w:lang w:eastAsia="zh-CN"/>
        </w:rPr>
        <w:t>乙方</w:t>
      </w:r>
      <w:r>
        <w:rPr>
          <w:rFonts w:hint="eastAsia" w:ascii="宋体" w:hAnsi="宋体" w:eastAsia="宋体" w:cs="宋体"/>
          <w:b w:val="0"/>
          <w:bCs w:val="0"/>
          <w:color w:val="auto"/>
          <w:sz w:val="21"/>
          <w:szCs w:val="21"/>
          <w:highlight w:val="none"/>
        </w:rPr>
        <w:t>提供资料齐全的，在10个工作日内向</w:t>
      </w:r>
      <w:r>
        <w:rPr>
          <w:rFonts w:hint="eastAsia" w:ascii="宋体" w:hAnsi="宋体" w:eastAsia="宋体" w:cs="宋体"/>
          <w:b w:val="0"/>
          <w:bCs w:val="0"/>
          <w:color w:val="auto"/>
          <w:sz w:val="21"/>
          <w:szCs w:val="21"/>
          <w:highlight w:val="none"/>
          <w:lang w:eastAsia="zh-CN"/>
        </w:rPr>
        <w:t>乙方</w:t>
      </w:r>
      <w:r>
        <w:rPr>
          <w:rFonts w:hint="eastAsia" w:ascii="宋体" w:hAnsi="宋体" w:eastAsia="宋体" w:cs="宋体"/>
          <w:b w:val="0"/>
          <w:bCs w:val="0"/>
          <w:color w:val="auto"/>
          <w:sz w:val="21"/>
          <w:szCs w:val="21"/>
          <w:highlight w:val="none"/>
        </w:rPr>
        <w:t>支付合同总价的10%；</w:t>
      </w:r>
    </w:p>
    <w:p w14:paraId="093C1D84">
      <w:pPr>
        <w:numPr>
          <w:ilvl w:val="0"/>
          <w:numId w:val="0"/>
        </w:numPr>
        <w:spacing w:line="360" w:lineRule="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第</w:t>
      </w:r>
      <w:r>
        <w:rPr>
          <w:rFonts w:hint="eastAsia" w:ascii="宋体" w:hAnsi="宋体" w:eastAsia="宋体" w:cs="宋体"/>
          <w:b w:val="0"/>
          <w:bCs w:val="0"/>
          <w:color w:val="auto"/>
          <w:sz w:val="21"/>
          <w:szCs w:val="21"/>
          <w:highlight w:val="none"/>
        </w:rPr>
        <w:t>2期：支付比例40%，备品备件全部到货且验收合格，同时运维服务期满4个月，</w:t>
      </w:r>
      <w:r>
        <w:rPr>
          <w:rFonts w:hint="eastAsia" w:ascii="宋体" w:hAnsi="宋体" w:eastAsia="宋体" w:cs="宋体"/>
          <w:b w:val="0"/>
          <w:bCs w:val="0"/>
          <w:color w:val="auto"/>
          <w:sz w:val="21"/>
          <w:szCs w:val="21"/>
          <w:highlight w:val="none"/>
          <w:lang w:eastAsia="zh-CN"/>
        </w:rPr>
        <w:t>乙方</w:t>
      </w:r>
      <w:r>
        <w:rPr>
          <w:rFonts w:hint="eastAsia" w:ascii="宋体" w:hAnsi="宋体" w:eastAsia="宋体" w:cs="宋体"/>
          <w:b w:val="0"/>
          <w:bCs w:val="0"/>
          <w:color w:val="auto"/>
          <w:sz w:val="21"/>
          <w:szCs w:val="21"/>
          <w:highlight w:val="none"/>
        </w:rPr>
        <w:t>通过</w:t>
      </w:r>
      <w:r>
        <w:rPr>
          <w:rFonts w:hint="eastAsia" w:ascii="宋体" w:hAnsi="宋体" w:eastAsia="宋体" w:cs="宋体"/>
          <w:b w:val="0"/>
          <w:bCs w:val="0"/>
          <w:color w:val="auto"/>
          <w:sz w:val="21"/>
          <w:szCs w:val="21"/>
          <w:highlight w:val="none"/>
          <w:lang w:eastAsia="zh-CN"/>
        </w:rPr>
        <w:t>甲方</w:t>
      </w:r>
      <w:r>
        <w:rPr>
          <w:rFonts w:hint="eastAsia" w:ascii="宋体" w:hAnsi="宋体" w:eastAsia="宋体" w:cs="宋体"/>
          <w:b w:val="0"/>
          <w:bCs w:val="0"/>
          <w:color w:val="auto"/>
          <w:sz w:val="21"/>
          <w:szCs w:val="21"/>
          <w:highlight w:val="none"/>
        </w:rPr>
        <w:t>组织的阶段性运维考核后10个工作日内，</w:t>
      </w:r>
      <w:r>
        <w:rPr>
          <w:rFonts w:hint="eastAsia" w:ascii="宋体" w:hAnsi="宋体" w:eastAsia="宋体" w:cs="宋体"/>
          <w:b w:val="0"/>
          <w:bCs w:val="0"/>
          <w:color w:val="auto"/>
          <w:sz w:val="21"/>
          <w:szCs w:val="21"/>
          <w:highlight w:val="none"/>
          <w:lang w:eastAsia="zh-CN"/>
        </w:rPr>
        <w:t>甲方</w:t>
      </w:r>
      <w:r>
        <w:rPr>
          <w:rFonts w:hint="eastAsia" w:ascii="宋体" w:hAnsi="宋体" w:eastAsia="宋体" w:cs="宋体"/>
          <w:b w:val="0"/>
          <w:bCs w:val="0"/>
          <w:color w:val="auto"/>
          <w:sz w:val="21"/>
          <w:szCs w:val="21"/>
          <w:highlight w:val="none"/>
        </w:rPr>
        <w:t>向</w:t>
      </w:r>
      <w:r>
        <w:rPr>
          <w:rFonts w:hint="eastAsia" w:ascii="宋体" w:hAnsi="宋体" w:eastAsia="宋体" w:cs="宋体"/>
          <w:b w:val="0"/>
          <w:bCs w:val="0"/>
          <w:color w:val="auto"/>
          <w:sz w:val="21"/>
          <w:szCs w:val="21"/>
          <w:highlight w:val="none"/>
          <w:lang w:eastAsia="zh-CN"/>
        </w:rPr>
        <w:t>乙方</w:t>
      </w:r>
      <w:r>
        <w:rPr>
          <w:rFonts w:hint="eastAsia" w:ascii="宋体" w:hAnsi="宋体" w:eastAsia="宋体" w:cs="宋体"/>
          <w:b w:val="0"/>
          <w:bCs w:val="0"/>
          <w:color w:val="auto"/>
          <w:sz w:val="21"/>
          <w:szCs w:val="21"/>
          <w:highlight w:val="none"/>
        </w:rPr>
        <w:t>支付合同总价的40%；</w:t>
      </w:r>
    </w:p>
    <w:p w14:paraId="4E8D3EBA">
      <w:pPr>
        <w:numPr>
          <w:ilvl w:val="0"/>
          <w:numId w:val="0"/>
        </w:numPr>
        <w:spacing w:line="360" w:lineRule="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第</w:t>
      </w:r>
      <w:r>
        <w:rPr>
          <w:rFonts w:hint="eastAsia" w:ascii="宋体" w:hAnsi="宋体" w:eastAsia="宋体" w:cs="宋体"/>
          <w:b w:val="0"/>
          <w:bCs w:val="0"/>
          <w:color w:val="auto"/>
          <w:sz w:val="21"/>
          <w:szCs w:val="21"/>
          <w:highlight w:val="none"/>
        </w:rPr>
        <w:t>3期：支付比例35%，运维服务期满7个月，</w:t>
      </w:r>
      <w:r>
        <w:rPr>
          <w:rFonts w:hint="eastAsia" w:ascii="宋体" w:hAnsi="宋体" w:eastAsia="宋体" w:cs="宋体"/>
          <w:b w:val="0"/>
          <w:bCs w:val="0"/>
          <w:color w:val="auto"/>
          <w:sz w:val="21"/>
          <w:szCs w:val="21"/>
          <w:highlight w:val="none"/>
          <w:lang w:eastAsia="zh-CN"/>
        </w:rPr>
        <w:t>乙方</w:t>
      </w:r>
      <w:r>
        <w:rPr>
          <w:rFonts w:hint="eastAsia" w:ascii="宋体" w:hAnsi="宋体" w:eastAsia="宋体" w:cs="宋体"/>
          <w:b w:val="0"/>
          <w:bCs w:val="0"/>
          <w:color w:val="auto"/>
          <w:sz w:val="21"/>
          <w:szCs w:val="21"/>
          <w:highlight w:val="none"/>
        </w:rPr>
        <w:t>通过</w:t>
      </w:r>
      <w:r>
        <w:rPr>
          <w:rFonts w:hint="eastAsia" w:ascii="宋体" w:hAnsi="宋体" w:eastAsia="宋体" w:cs="宋体"/>
          <w:b w:val="0"/>
          <w:bCs w:val="0"/>
          <w:color w:val="auto"/>
          <w:sz w:val="21"/>
          <w:szCs w:val="21"/>
          <w:highlight w:val="none"/>
          <w:lang w:eastAsia="zh-CN"/>
        </w:rPr>
        <w:t>甲方</w:t>
      </w:r>
      <w:r>
        <w:rPr>
          <w:rFonts w:hint="eastAsia" w:ascii="宋体" w:hAnsi="宋体" w:eastAsia="宋体" w:cs="宋体"/>
          <w:b w:val="0"/>
          <w:bCs w:val="0"/>
          <w:color w:val="auto"/>
          <w:sz w:val="21"/>
          <w:szCs w:val="21"/>
          <w:highlight w:val="none"/>
        </w:rPr>
        <w:t>组织的阶段性运维考核后10个工作日内，</w:t>
      </w:r>
      <w:r>
        <w:rPr>
          <w:rFonts w:hint="eastAsia" w:ascii="宋体" w:hAnsi="宋体" w:eastAsia="宋体" w:cs="宋体"/>
          <w:b w:val="0"/>
          <w:bCs w:val="0"/>
          <w:color w:val="auto"/>
          <w:sz w:val="21"/>
          <w:szCs w:val="21"/>
          <w:highlight w:val="none"/>
          <w:lang w:eastAsia="zh-CN"/>
        </w:rPr>
        <w:t>甲方</w:t>
      </w:r>
      <w:r>
        <w:rPr>
          <w:rFonts w:hint="eastAsia" w:ascii="宋体" w:hAnsi="宋体" w:eastAsia="宋体" w:cs="宋体"/>
          <w:b w:val="0"/>
          <w:bCs w:val="0"/>
          <w:color w:val="auto"/>
          <w:sz w:val="21"/>
          <w:szCs w:val="21"/>
          <w:highlight w:val="none"/>
        </w:rPr>
        <w:t>向</w:t>
      </w:r>
      <w:r>
        <w:rPr>
          <w:rFonts w:hint="eastAsia" w:ascii="宋体" w:hAnsi="宋体" w:eastAsia="宋体" w:cs="宋体"/>
          <w:b w:val="0"/>
          <w:bCs w:val="0"/>
          <w:color w:val="auto"/>
          <w:sz w:val="21"/>
          <w:szCs w:val="21"/>
          <w:highlight w:val="none"/>
          <w:lang w:eastAsia="zh-CN"/>
        </w:rPr>
        <w:t>乙方</w:t>
      </w:r>
      <w:r>
        <w:rPr>
          <w:rFonts w:hint="eastAsia" w:ascii="宋体" w:hAnsi="宋体" w:eastAsia="宋体" w:cs="宋体"/>
          <w:b w:val="0"/>
          <w:bCs w:val="0"/>
          <w:color w:val="auto"/>
          <w:sz w:val="21"/>
          <w:szCs w:val="21"/>
          <w:highlight w:val="none"/>
        </w:rPr>
        <w:t>支付合同总价的35%；</w:t>
      </w:r>
    </w:p>
    <w:p w14:paraId="51E9A1C5">
      <w:pPr>
        <w:numPr>
          <w:ilvl w:val="0"/>
          <w:numId w:val="0"/>
        </w:numPr>
        <w:spacing w:line="360" w:lineRule="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第</w:t>
      </w:r>
      <w:r>
        <w:rPr>
          <w:rFonts w:hint="eastAsia" w:ascii="宋体" w:hAnsi="宋体" w:eastAsia="宋体" w:cs="宋体"/>
          <w:b w:val="0"/>
          <w:bCs w:val="0"/>
          <w:color w:val="auto"/>
          <w:sz w:val="21"/>
          <w:szCs w:val="21"/>
          <w:highlight w:val="none"/>
        </w:rPr>
        <w:t>4期：支付比例15%，运维服务期限届满，且达到验收条件后，</w:t>
      </w:r>
      <w:r>
        <w:rPr>
          <w:rFonts w:hint="eastAsia" w:ascii="宋体" w:hAnsi="宋体" w:eastAsia="宋体" w:cs="宋体"/>
          <w:b w:val="0"/>
          <w:bCs w:val="0"/>
          <w:color w:val="auto"/>
          <w:sz w:val="21"/>
          <w:szCs w:val="21"/>
          <w:highlight w:val="none"/>
          <w:lang w:eastAsia="zh-CN"/>
        </w:rPr>
        <w:t>乙方</w:t>
      </w:r>
      <w:r>
        <w:rPr>
          <w:rFonts w:hint="eastAsia" w:ascii="宋体" w:hAnsi="宋体" w:eastAsia="宋体" w:cs="宋体"/>
          <w:b w:val="0"/>
          <w:bCs w:val="0"/>
          <w:color w:val="auto"/>
          <w:sz w:val="21"/>
          <w:szCs w:val="21"/>
          <w:highlight w:val="none"/>
        </w:rPr>
        <w:t>向</w:t>
      </w:r>
      <w:r>
        <w:rPr>
          <w:rFonts w:hint="eastAsia" w:ascii="宋体" w:hAnsi="宋体" w:eastAsia="宋体" w:cs="宋体"/>
          <w:b w:val="0"/>
          <w:bCs w:val="0"/>
          <w:color w:val="auto"/>
          <w:sz w:val="21"/>
          <w:szCs w:val="21"/>
          <w:highlight w:val="none"/>
          <w:lang w:eastAsia="zh-CN"/>
        </w:rPr>
        <w:t>甲方</w:t>
      </w:r>
      <w:r>
        <w:rPr>
          <w:rFonts w:hint="eastAsia" w:ascii="宋体" w:hAnsi="宋体" w:eastAsia="宋体" w:cs="宋体"/>
          <w:b w:val="0"/>
          <w:bCs w:val="0"/>
          <w:color w:val="auto"/>
          <w:sz w:val="21"/>
          <w:szCs w:val="21"/>
          <w:highlight w:val="none"/>
        </w:rPr>
        <w:t>提出验收申请，验收通过后10个工作日内，</w:t>
      </w:r>
      <w:r>
        <w:rPr>
          <w:rFonts w:hint="eastAsia" w:ascii="宋体" w:hAnsi="宋体" w:eastAsia="宋体" w:cs="宋体"/>
          <w:b w:val="0"/>
          <w:bCs w:val="0"/>
          <w:color w:val="auto"/>
          <w:sz w:val="21"/>
          <w:szCs w:val="21"/>
          <w:highlight w:val="none"/>
          <w:lang w:eastAsia="zh-CN"/>
        </w:rPr>
        <w:t>甲方</w:t>
      </w:r>
      <w:r>
        <w:rPr>
          <w:rFonts w:hint="eastAsia" w:ascii="宋体" w:hAnsi="宋体" w:eastAsia="宋体" w:cs="宋体"/>
          <w:b w:val="0"/>
          <w:bCs w:val="0"/>
          <w:color w:val="auto"/>
          <w:sz w:val="21"/>
          <w:szCs w:val="21"/>
          <w:highlight w:val="none"/>
        </w:rPr>
        <w:t>向</w:t>
      </w:r>
      <w:r>
        <w:rPr>
          <w:rFonts w:hint="eastAsia" w:ascii="宋体" w:hAnsi="宋体" w:eastAsia="宋体" w:cs="宋体"/>
          <w:b w:val="0"/>
          <w:bCs w:val="0"/>
          <w:color w:val="auto"/>
          <w:sz w:val="21"/>
          <w:szCs w:val="21"/>
          <w:highlight w:val="none"/>
          <w:lang w:eastAsia="zh-CN"/>
        </w:rPr>
        <w:t>乙方</w:t>
      </w:r>
      <w:r>
        <w:rPr>
          <w:rFonts w:hint="eastAsia" w:ascii="宋体" w:hAnsi="宋体" w:eastAsia="宋体" w:cs="宋体"/>
          <w:b w:val="0"/>
          <w:bCs w:val="0"/>
          <w:color w:val="auto"/>
          <w:sz w:val="21"/>
          <w:szCs w:val="21"/>
          <w:highlight w:val="none"/>
        </w:rPr>
        <w:t>支付合同价的15%。</w:t>
      </w:r>
    </w:p>
    <w:p w14:paraId="3DD36941">
      <w:pPr>
        <w:numPr>
          <w:ilvl w:val="0"/>
          <w:numId w:val="0"/>
        </w:numPr>
        <w:spacing w:line="360" w:lineRule="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注：①</w:t>
      </w:r>
      <w:r>
        <w:rPr>
          <w:rFonts w:hint="eastAsia" w:ascii="宋体" w:hAnsi="宋体" w:eastAsia="宋体" w:cs="宋体"/>
          <w:b w:val="0"/>
          <w:bCs w:val="0"/>
          <w:color w:val="auto"/>
          <w:sz w:val="21"/>
          <w:szCs w:val="21"/>
          <w:highlight w:val="none"/>
          <w:lang w:eastAsia="zh-CN"/>
        </w:rPr>
        <w:t>乙方</w:t>
      </w:r>
      <w:r>
        <w:rPr>
          <w:rFonts w:hint="eastAsia" w:ascii="宋体" w:hAnsi="宋体" w:eastAsia="宋体" w:cs="宋体"/>
          <w:b w:val="0"/>
          <w:bCs w:val="0"/>
          <w:color w:val="auto"/>
          <w:sz w:val="21"/>
          <w:szCs w:val="21"/>
          <w:highlight w:val="none"/>
        </w:rPr>
        <w:t>应在</w:t>
      </w:r>
      <w:r>
        <w:rPr>
          <w:rFonts w:hint="eastAsia" w:ascii="宋体" w:hAnsi="宋体" w:eastAsia="宋体" w:cs="宋体"/>
          <w:b w:val="0"/>
          <w:bCs w:val="0"/>
          <w:color w:val="auto"/>
          <w:sz w:val="21"/>
          <w:szCs w:val="21"/>
          <w:highlight w:val="none"/>
          <w:lang w:eastAsia="zh-CN"/>
        </w:rPr>
        <w:t>甲方</w:t>
      </w:r>
      <w:r>
        <w:rPr>
          <w:rFonts w:hint="eastAsia" w:ascii="宋体" w:hAnsi="宋体" w:eastAsia="宋体" w:cs="宋体"/>
          <w:b w:val="0"/>
          <w:bCs w:val="0"/>
          <w:color w:val="auto"/>
          <w:sz w:val="21"/>
          <w:szCs w:val="21"/>
          <w:highlight w:val="none"/>
        </w:rPr>
        <w:t>支付合同款前，将符合国家及地方财政规定的发票以及</w:t>
      </w:r>
      <w:r>
        <w:rPr>
          <w:rFonts w:hint="eastAsia" w:ascii="宋体" w:hAnsi="宋体" w:eastAsia="宋体" w:cs="宋体"/>
          <w:b w:val="0"/>
          <w:bCs w:val="0"/>
          <w:color w:val="auto"/>
          <w:sz w:val="21"/>
          <w:szCs w:val="21"/>
          <w:highlight w:val="none"/>
          <w:lang w:eastAsia="zh-CN"/>
        </w:rPr>
        <w:t>甲方</w:t>
      </w:r>
      <w:r>
        <w:rPr>
          <w:rFonts w:hint="eastAsia" w:ascii="宋体" w:hAnsi="宋体" w:eastAsia="宋体" w:cs="宋体"/>
          <w:b w:val="0"/>
          <w:bCs w:val="0"/>
          <w:color w:val="auto"/>
          <w:sz w:val="21"/>
          <w:szCs w:val="21"/>
          <w:highlight w:val="none"/>
        </w:rPr>
        <w:t>所要求资料送至</w:t>
      </w:r>
      <w:r>
        <w:rPr>
          <w:rFonts w:hint="eastAsia" w:ascii="宋体" w:hAnsi="宋体" w:eastAsia="宋体" w:cs="宋体"/>
          <w:b w:val="0"/>
          <w:bCs w:val="0"/>
          <w:color w:val="auto"/>
          <w:sz w:val="21"/>
          <w:szCs w:val="21"/>
          <w:highlight w:val="none"/>
          <w:lang w:eastAsia="zh-CN"/>
        </w:rPr>
        <w:t>甲方</w:t>
      </w:r>
      <w:r>
        <w:rPr>
          <w:rFonts w:hint="eastAsia" w:ascii="宋体" w:hAnsi="宋体" w:eastAsia="宋体" w:cs="宋体"/>
          <w:b w:val="0"/>
          <w:bCs w:val="0"/>
          <w:color w:val="auto"/>
          <w:sz w:val="21"/>
          <w:szCs w:val="21"/>
          <w:highlight w:val="none"/>
        </w:rPr>
        <w:t>单位。发票抬头名称与</w:t>
      </w:r>
      <w:r>
        <w:rPr>
          <w:rFonts w:hint="eastAsia" w:ascii="宋体" w:hAnsi="宋体" w:eastAsia="宋体" w:cs="宋体"/>
          <w:b w:val="0"/>
          <w:bCs w:val="0"/>
          <w:color w:val="auto"/>
          <w:sz w:val="21"/>
          <w:szCs w:val="21"/>
          <w:highlight w:val="none"/>
          <w:lang w:eastAsia="zh-CN"/>
        </w:rPr>
        <w:t>甲方</w:t>
      </w:r>
      <w:r>
        <w:rPr>
          <w:rFonts w:hint="eastAsia" w:ascii="宋体" w:hAnsi="宋体" w:eastAsia="宋体" w:cs="宋体"/>
          <w:b w:val="0"/>
          <w:bCs w:val="0"/>
          <w:color w:val="auto"/>
          <w:sz w:val="21"/>
          <w:szCs w:val="21"/>
          <w:highlight w:val="none"/>
        </w:rPr>
        <w:t>单位名称一致。付款时间以付款款项划出之日为准。②因</w:t>
      </w:r>
      <w:r>
        <w:rPr>
          <w:rFonts w:hint="eastAsia" w:ascii="宋体" w:hAnsi="宋体" w:eastAsia="宋体" w:cs="宋体"/>
          <w:b w:val="0"/>
          <w:bCs w:val="0"/>
          <w:color w:val="auto"/>
          <w:sz w:val="21"/>
          <w:szCs w:val="21"/>
          <w:highlight w:val="none"/>
          <w:lang w:eastAsia="zh-CN"/>
        </w:rPr>
        <w:t>乙方</w:t>
      </w:r>
      <w:r>
        <w:rPr>
          <w:rFonts w:hint="eastAsia" w:ascii="宋体" w:hAnsi="宋体" w:eastAsia="宋体" w:cs="宋体"/>
          <w:b w:val="0"/>
          <w:bCs w:val="0"/>
          <w:color w:val="auto"/>
          <w:sz w:val="21"/>
          <w:szCs w:val="21"/>
          <w:highlight w:val="none"/>
        </w:rPr>
        <w:t>未按要求向</w:t>
      </w:r>
      <w:r>
        <w:rPr>
          <w:rFonts w:hint="eastAsia" w:ascii="宋体" w:hAnsi="宋体" w:eastAsia="宋体" w:cs="宋体"/>
          <w:b w:val="0"/>
          <w:bCs w:val="0"/>
          <w:color w:val="auto"/>
          <w:sz w:val="21"/>
          <w:szCs w:val="21"/>
          <w:highlight w:val="none"/>
          <w:lang w:eastAsia="zh-CN"/>
        </w:rPr>
        <w:t>甲方</w:t>
      </w:r>
      <w:r>
        <w:rPr>
          <w:rFonts w:hint="eastAsia" w:ascii="宋体" w:hAnsi="宋体" w:eastAsia="宋体" w:cs="宋体"/>
          <w:b w:val="0"/>
          <w:bCs w:val="0"/>
          <w:color w:val="auto"/>
          <w:sz w:val="21"/>
          <w:szCs w:val="21"/>
          <w:highlight w:val="none"/>
        </w:rPr>
        <w:t>提供资料的，导致</w:t>
      </w:r>
      <w:r>
        <w:rPr>
          <w:rFonts w:hint="eastAsia" w:ascii="宋体" w:hAnsi="宋体" w:eastAsia="宋体" w:cs="宋体"/>
          <w:b w:val="0"/>
          <w:bCs w:val="0"/>
          <w:color w:val="auto"/>
          <w:sz w:val="21"/>
          <w:szCs w:val="21"/>
          <w:highlight w:val="none"/>
          <w:lang w:eastAsia="zh-CN"/>
        </w:rPr>
        <w:t>甲方</w:t>
      </w:r>
      <w:r>
        <w:rPr>
          <w:rFonts w:hint="eastAsia" w:ascii="宋体" w:hAnsi="宋体" w:eastAsia="宋体" w:cs="宋体"/>
          <w:b w:val="0"/>
          <w:bCs w:val="0"/>
          <w:color w:val="auto"/>
          <w:sz w:val="21"/>
          <w:szCs w:val="21"/>
          <w:highlight w:val="none"/>
        </w:rPr>
        <w:t>延期付款的，由此产生的法律责任，由</w:t>
      </w:r>
      <w:r>
        <w:rPr>
          <w:rFonts w:hint="eastAsia" w:ascii="宋体" w:hAnsi="宋体" w:eastAsia="宋体" w:cs="宋体"/>
          <w:b w:val="0"/>
          <w:bCs w:val="0"/>
          <w:color w:val="auto"/>
          <w:sz w:val="21"/>
          <w:szCs w:val="21"/>
          <w:highlight w:val="none"/>
          <w:lang w:eastAsia="zh-CN"/>
        </w:rPr>
        <w:t>乙方</w:t>
      </w:r>
      <w:r>
        <w:rPr>
          <w:rFonts w:hint="eastAsia" w:ascii="宋体" w:hAnsi="宋体" w:eastAsia="宋体" w:cs="宋体"/>
          <w:b w:val="0"/>
          <w:bCs w:val="0"/>
          <w:color w:val="auto"/>
          <w:sz w:val="21"/>
          <w:szCs w:val="21"/>
          <w:highlight w:val="none"/>
        </w:rPr>
        <w:t>自行承担。</w:t>
      </w:r>
    </w:p>
    <w:p w14:paraId="72E8A0B6">
      <w:pPr>
        <w:numPr>
          <w:ilvl w:val="0"/>
          <w:numId w:val="0"/>
        </w:numPr>
        <w:spacing w:line="360" w:lineRule="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2.乙方指定收款账号</w:t>
      </w:r>
    </w:p>
    <w:p w14:paraId="1507D841">
      <w:pPr>
        <w:numPr>
          <w:ilvl w:val="0"/>
          <w:numId w:val="0"/>
        </w:numPr>
        <w:spacing w:line="360" w:lineRule="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 xml:space="preserve">户名：                           </w:t>
      </w:r>
    </w:p>
    <w:p w14:paraId="7096CD91">
      <w:pPr>
        <w:numPr>
          <w:ilvl w:val="0"/>
          <w:numId w:val="0"/>
        </w:numPr>
        <w:spacing w:line="360" w:lineRule="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 xml:space="preserve">账号：                           </w:t>
      </w:r>
    </w:p>
    <w:p w14:paraId="11D93357">
      <w:pPr>
        <w:numPr>
          <w:ilvl w:val="0"/>
          <w:numId w:val="0"/>
        </w:numPr>
        <w:spacing w:line="360" w:lineRule="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 xml:space="preserve">开户行：                           </w:t>
      </w:r>
    </w:p>
    <w:p w14:paraId="36F63A60">
      <w:pPr>
        <w:numPr>
          <w:ilvl w:val="0"/>
          <w:numId w:val="0"/>
        </w:numPr>
        <w:spacing w:line="360" w:lineRule="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 甲方开票信息如下：</w:t>
      </w:r>
    </w:p>
    <w:p w14:paraId="00A295CC">
      <w:pPr>
        <w:numPr>
          <w:ilvl w:val="0"/>
          <w:numId w:val="0"/>
        </w:numPr>
        <w:spacing w:line="360" w:lineRule="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 xml:space="preserve">单位名称： </w:t>
      </w:r>
    </w:p>
    <w:p w14:paraId="7C945CFC">
      <w:pPr>
        <w:numPr>
          <w:ilvl w:val="0"/>
          <w:numId w:val="0"/>
        </w:numPr>
        <w:spacing w:line="360" w:lineRule="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纳税人识别号：</w:t>
      </w:r>
    </w:p>
    <w:p w14:paraId="21404007">
      <w:pPr>
        <w:numPr>
          <w:ilvl w:val="0"/>
          <w:numId w:val="0"/>
        </w:numPr>
        <w:spacing w:line="360" w:lineRule="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地址及电话：</w:t>
      </w:r>
    </w:p>
    <w:p w14:paraId="423F09A1">
      <w:pPr>
        <w:numPr>
          <w:ilvl w:val="0"/>
          <w:numId w:val="0"/>
        </w:numPr>
        <w:spacing w:line="360" w:lineRule="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开户行及账号：</w:t>
      </w:r>
    </w:p>
    <w:p w14:paraId="18F4C62D">
      <w:pPr>
        <w:numPr>
          <w:ilvl w:val="0"/>
          <w:numId w:val="0"/>
        </w:numPr>
        <w:spacing w:line="360" w:lineRule="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4.在上述款项支付前，乙方应开具合法等额的增值税专用发票、请款申请书等相关材料向甲方提出请款申请。</w:t>
      </w:r>
    </w:p>
    <w:p w14:paraId="15F8FD11">
      <w:pPr>
        <w:numPr>
          <w:ilvl w:val="0"/>
          <w:numId w:val="0"/>
        </w:numPr>
        <w:spacing w:line="360" w:lineRule="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5.若乙方开具的发票内容有误，应于7日内按甲方要求更换新的发票，在乙方更换之前，甲方有权拒绝付款。若乙方提供发票存在虚开、作假等违法、违规行为的，所有责任均由乙方承担。同时，甲方有权要求乙方退还本合同项下的所有已付款。</w:t>
      </w:r>
    </w:p>
    <w:p w14:paraId="4DCE269A">
      <w:pPr>
        <w:numPr>
          <w:ilvl w:val="0"/>
          <w:numId w:val="0"/>
        </w:numPr>
        <w:spacing w:line="360" w:lineRule="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6.乙方确认本合同项下的款项均支付至本合同乙方确认的银行账户，甲方将本合同款项支付至乙方指定账户即已完全履行本合同款项的支付义务。如乙方收款账户发生任何变更，乙方应在甲方付款前七个工作日书面通知甲方；因未及时通知或因账户被查封、冻结或发生其他非因甲方原因导致款项未能及时到账的，因此导致的后果由乙方自行承担，与甲方无关。</w:t>
      </w:r>
    </w:p>
    <w:p w14:paraId="5DD43159">
      <w:pPr>
        <w:numPr>
          <w:ilvl w:val="0"/>
          <w:numId w:val="0"/>
        </w:numPr>
        <w:spacing w:line="360" w:lineRule="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7.因乙方违约行为导致需支付给甲方的赔偿款、违约金等，甲方有权直接从应付款中予以扣除，并视为甲方已足额付款。甲方仅需就上述款项向乙方开具相应数额的收据作为凭证，乙方无权要求甲方开具相应的发票。</w:t>
      </w:r>
    </w:p>
    <w:p w14:paraId="3FF0F57B">
      <w:pPr>
        <w:numPr>
          <w:ilvl w:val="0"/>
          <w:numId w:val="0"/>
        </w:numPr>
        <w:spacing w:line="360" w:lineRule="auto"/>
        <w:rPr>
          <w:rFonts w:hint="eastAsia" w:ascii="宋体" w:hAnsi="宋体" w:eastAsia="宋体" w:cs="宋体"/>
          <w:b w:val="0"/>
          <w:bCs w:val="0"/>
          <w:color w:val="auto"/>
          <w:sz w:val="21"/>
          <w:szCs w:val="21"/>
          <w:highlight w:val="none"/>
        </w:rPr>
      </w:pPr>
    </w:p>
    <w:p w14:paraId="53216252">
      <w:pPr>
        <w:numPr>
          <w:ilvl w:val="0"/>
          <w:numId w:val="26"/>
        </w:num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验收要求</w:t>
      </w:r>
    </w:p>
    <w:p w14:paraId="79AAB05B">
      <w:pPr>
        <w:numPr>
          <w:ilvl w:val="0"/>
          <w:numId w:val="0"/>
        </w:numPr>
        <w:spacing w:line="360" w:lineRule="auto"/>
        <w:rPr>
          <w:rFonts w:hint="eastAsia" w:ascii="宋体" w:hAnsi="宋体" w:eastAsia="宋体" w:cs="宋体"/>
          <w:color w:val="auto"/>
          <w:sz w:val="21"/>
          <w:szCs w:val="21"/>
          <w:highlight w:val="none"/>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color w:val="auto"/>
          <w:sz w:val="21"/>
          <w:szCs w:val="21"/>
          <w:highlight w:val="none"/>
        </w:rPr>
        <w:t>依据招标文件及合同的有关规定，以及投标文件制定的技术方案进行验收，并按国家有关规定、规范进行。</w:t>
      </w:r>
    </w:p>
    <w:p w14:paraId="6DDBEC15">
      <w:pPr>
        <w:numPr>
          <w:ilvl w:val="0"/>
          <w:numId w:val="0"/>
        </w:num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服务期届满，达到验收条件，</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向</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提出验收申请，验收应在双方共同参加下进行，依据合同约定的服务要求、考核标准，相关政策文件项目验收指南进行验收，并按国家、行业有关规定、规范进行。</w:t>
      </w:r>
    </w:p>
    <w:p w14:paraId="4D780C33">
      <w:pPr>
        <w:numPr>
          <w:ilvl w:val="0"/>
          <w:numId w:val="0"/>
        </w:num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3.甲方</w:t>
      </w:r>
      <w:r>
        <w:rPr>
          <w:rFonts w:hint="eastAsia" w:ascii="宋体" w:hAnsi="宋体" w:eastAsia="宋体" w:cs="宋体"/>
          <w:color w:val="auto"/>
          <w:sz w:val="21"/>
          <w:szCs w:val="21"/>
          <w:highlight w:val="none"/>
        </w:rPr>
        <w:t>组织项目验收小组按国家有关规定、规范进行验收，必要时邀请相关专业人员或机构参与验收。</w:t>
      </w:r>
    </w:p>
    <w:p w14:paraId="454F2D2D">
      <w:pPr>
        <w:numPr>
          <w:ilvl w:val="0"/>
          <w:numId w:val="0"/>
        </w:num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对验收不合格的部分，</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应在</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规定时间内及时整改完善直至合格，否则视为</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违约，</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有权根据合同约定要求</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承担违约责任，且有权终止本合同，同时，因验收不合格所产生的一切费用均由</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自行承担。</w:t>
      </w:r>
    </w:p>
    <w:p w14:paraId="718B67D0">
      <w:pPr>
        <w:numPr>
          <w:ilvl w:val="0"/>
          <w:numId w:val="0"/>
        </w:numPr>
        <w:spacing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验收工作由</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（或</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指定的单位）和</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共同进行，必要时，</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可邀请相关专业人员或机构参与验收，由于验收产生的差旅费、人工费、专家费、评审费、打印费等相关费用由</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承担；在验收时，</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应向</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提供服务的相关资料，按</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提出的方式验收；由</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对服务的质量和数量及其他进行检验。如发现质量和数量等任何一项与采购要求规定不符，</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应在规定时间内及时整改直至合格。</w:t>
      </w:r>
    </w:p>
    <w:p w14:paraId="57C48A09">
      <w:pPr>
        <w:numPr>
          <w:ilvl w:val="0"/>
          <w:numId w:val="0"/>
        </w:numPr>
        <w:spacing w:line="360" w:lineRule="auto"/>
        <w:rPr>
          <w:rFonts w:hint="eastAsia" w:ascii="宋体" w:hAnsi="宋体" w:eastAsia="宋体" w:cs="宋体"/>
          <w:b w:val="0"/>
          <w:bCs w:val="0"/>
          <w:color w:val="auto"/>
          <w:sz w:val="21"/>
          <w:szCs w:val="21"/>
          <w:highlight w:val="none"/>
        </w:rPr>
      </w:pPr>
    </w:p>
    <w:p w14:paraId="0F1465CD">
      <w:pPr>
        <w:numPr>
          <w:ilvl w:val="0"/>
          <w:numId w:val="26"/>
        </w:num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甲方的权利及义务</w:t>
      </w:r>
    </w:p>
    <w:p w14:paraId="4922796F">
      <w:pPr>
        <w:numPr>
          <w:ilvl w:val="0"/>
          <w:numId w:val="0"/>
        </w:numPr>
        <w:spacing w:line="360" w:lineRule="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甲方可在合同约定项目中获得乙方提供的专业服务，并可对项目的服务全程进行监督、管理，对乙方提供的服务进行抽查、审计。乙方需按询价文件要求完成服务，对于甲方提出的整改意见，乙方须在甲方指定期限内完成整改，甲方可对乙方服务进度及成果按本合同约定进行审核确认。</w:t>
      </w:r>
    </w:p>
    <w:p w14:paraId="01546AB0">
      <w:pPr>
        <w:numPr>
          <w:ilvl w:val="0"/>
          <w:numId w:val="0"/>
        </w:numPr>
        <w:spacing w:line="360" w:lineRule="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2.乙方在服务期内有违规行为的，甲方有权终止本合同，并追究乙方的违约责任。</w:t>
      </w:r>
    </w:p>
    <w:p w14:paraId="32963626">
      <w:pPr>
        <w:numPr>
          <w:ilvl w:val="0"/>
          <w:numId w:val="0"/>
        </w:numPr>
        <w:spacing w:line="360" w:lineRule="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3.甲方根据项目的要求提供资料、反馈意见及查收审核，并有权要求乙方提供项目相关的技术资料。</w:t>
      </w:r>
    </w:p>
    <w:p w14:paraId="26CB7416">
      <w:pPr>
        <w:spacing w:line="360" w:lineRule="auto"/>
        <w:rPr>
          <w:rFonts w:hint="eastAsia" w:ascii="宋体" w:hAnsi="宋体" w:eastAsia="宋体" w:cs="宋体"/>
          <w:color w:val="auto"/>
          <w:sz w:val="21"/>
          <w:szCs w:val="21"/>
          <w:highlight w:val="none"/>
        </w:rPr>
      </w:pPr>
    </w:p>
    <w:p w14:paraId="6FCE6788">
      <w:p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第</w:t>
      </w:r>
      <w:r>
        <w:rPr>
          <w:rFonts w:hint="eastAsia" w:ascii="宋体" w:hAnsi="宋体" w:eastAsia="宋体" w:cs="宋体"/>
          <w:b/>
          <w:bCs/>
          <w:color w:val="auto"/>
          <w:sz w:val="21"/>
          <w:szCs w:val="21"/>
          <w:highlight w:val="none"/>
          <w:lang w:val="en-US" w:eastAsia="zh-CN"/>
        </w:rPr>
        <w:t>八</w:t>
      </w:r>
      <w:r>
        <w:rPr>
          <w:rFonts w:hint="eastAsia" w:ascii="宋体" w:hAnsi="宋体" w:eastAsia="宋体" w:cs="宋体"/>
          <w:b/>
          <w:bCs/>
          <w:color w:val="auto"/>
          <w:sz w:val="21"/>
          <w:szCs w:val="21"/>
          <w:highlight w:val="none"/>
        </w:rPr>
        <w:t>条 乙方的权利及义务</w:t>
      </w:r>
    </w:p>
    <w:p w14:paraId="6108FB6A">
      <w:pPr>
        <w:numPr>
          <w:ilvl w:val="0"/>
          <w:numId w:val="0"/>
        </w:numPr>
        <w:spacing w:line="360" w:lineRule="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1.乙方保证其提供的产品、服务完全符合有关法律法规的要求，提供的材料真实有效，如有违法违规或虚假行为，乙方应承担由此产生的一切后果。</w:t>
      </w:r>
    </w:p>
    <w:p w14:paraId="74DE35CF">
      <w:pPr>
        <w:numPr>
          <w:ilvl w:val="0"/>
          <w:numId w:val="0"/>
        </w:numPr>
        <w:spacing w:line="360" w:lineRule="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乙方须在其项目承担工作范围内的交付全过程中，遵从甲方的项目管理规定和相关要求，包括但不限于：及时回复和响应甲方及客户信息、按时保质地完成交付成果。若由于乙方原因导致客户要求甲方承担责任，甲方有权向乙方追偿。</w:t>
      </w:r>
    </w:p>
    <w:p w14:paraId="071AF649">
      <w:pPr>
        <w:numPr>
          <w:ilvl w:val="0"/>
          <w:numId w:val="0"/>
        </w:numPr>
        <w:spacing w:line="360" w:lineRule="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3.乙方保证没有任何已知的由乙方提出或针对乙方的，会对本合同及相关附件产生重大影响的，待解决的诉讼、索赔、法律程序或调查，也不存在此类威胁。</w:t>
      </w:r>
    </w:p>
    <w:p w14:paraId="6026685E">
      <w:pPr>
        <w:numPr>
          <w:ilvl w:val="0"/>
          <w:numId w:val="0"/>
        </w:numPr>
        <w:spacing w:line="360" w:lineRule="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4.乙方服务人员提供服务期间的过失或故意行为，产生的人身、财产损失由乙方承担，造成甲方经济损失的，由乙方负责赔偿。乙方全部工作人员，须符合合法的劳务用工标准要求。乙方服务人员在服务期间与乙方产生任何纠纷均与甲方无关。</w:t>
      </w:r>
    </w:p>
    <w:p w14:paraId="048CD5A1">
      <w:pPr>
        <w:spacing w:line="360" w:lineRule="auto"/>
        <w:rPr>
          <w:rFonts w:hint="eastAsia" w:ascii="宋体" w:hAnsi="宋体" w:eastAsia="宋体" w:cs="宋体"/>
          <w:color w:val="auto"/>
          <w:highlight w:val="none"/>
          <w:lang w:val="en-US" w:eastAsia="zh-CN"/>
        </w:rPr>
      </w:pPr>
    </w:p>
    <w:p w14:paraId="5192ED4F">
      <w:pPr>
        <w:numPr>
          <w:ilvl w:val="0"/>
          <w:numId w:val="27"/>
        </w:numPr>
        <w:spacing w:line="360" w:lineRule="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技术标准与要求</w:t>
      </w:r>
    </w:p>
    <w:p w14:paraId="2FF2CDD2">
      <w:pPr>
        <w:numPr>
          <w:ilvl w:val="0"/>
          <w:numId w:val="28"/>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具体要求详见附件2《用户需求书》</w:t>
      </w:r>
    </w:p>
    <w:p w14:paraId="5C02E439">
      <w:pPr>
        <w:numPr>
          <w:ilvl w:val="-1"/>
          <w:numId w:val="0"/>
        </w:numPr>
        <w:spacing w:line="360" w:lineRule="auto"/>
        <w:rPr>
          <w:rFonts w:hint="eastAsia" w:ascii="宋体" w:hAnsi="宋体" w:eastAsia="宋体" w:cs="宋体"/>
          <w:b/>
          <w:bCs/>
          <w:color w:val="auto"/>
          <w:sz w:val="21"/>
          <w:szCs w:val="21"/>
          <w:highlight w:val="none"/>
        </w:rPr>
      </w:pPr>
    </w:p>
    <w:p w14:paraId="1F780BFC">
      <w:pPr>
        <w:numPr>
          <w:ilvl w:val="0"/>
          <w:numId w:val="27"/>
        </w:numPr>
        <w:spacing w:line="360" w:lineRule="auto"/>
        <w:rPr>
          <w:rFonts w:hint="eastAsia" w:ascii="宋体" w:hAnsi="宋体" w:eastAsia="宋体" w:cs="宋体"/>
          <w:b/>
          <w:bCs/>
          <w:color w:val="auto"/>
          <w:szCs w:val="21"/>
          <w:highlight w:val="none"/>
        </w:rPr>
      </w:pPr>
      <w:r>
        <w:rPr>
          <w:rFonts w:hint="eastAsia" w:ascii="宋体" w:hAnsi="宋体" w:eastAsia="宋体" w:cs="宋体"/>
          <w:b/>
          <w:bCs/>
          <w:color w:val="auto"/>
          <w:sz w:val="21"/>
          <w:szCs w:val="21"/>
          <w:highlight w:val="none"/>
          <w:lang w:val="en-US" w:eastAsia="zh-CN"/>
        </w:rPr>
        <w:t>知识产权</w:t>
      </w:r>
    </w:p>
    <w:p w14:paraId="130FC0A5">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1．乙方应保证，甲方在使用乙方提供的任何产品和服务（包括部分使用）时，不会产生因第三方提出侵犯其知识产权或其他合法权利而引起的法律和经济纠纷。如因侵权而引起法律和经济纠纷，由乙方承担所有责任，并赔偿给甲方造成的损失且乙方需返还甲方已支付款项。</w:t>
      </w:r>
    </w:p>
    <w:p w14:paraId="33A9149E">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2．甲方享有本项目实施过程中产生的知识成果及知识产权。</w:t>
      </w:r>
    </w:p>
    <w:p w14:paraId="01FFD811">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3．乙方如欲在项目实施过程中采用自有知识成果，承诺提供无限期技术支持，甲方享有永久使用权。</w:t>
      </w:r>
    </w:p>
    <w:p w14:paraId="6DF6A185">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4．如采用乙方所不拥有的知识产权，则在合同总价中必须包括合法获取该知识产权的相关费用。合同总价已包括所有因知识产权或其他合法权利而需要向乙方及其他方支付的费用。</w:t>
      </w:r>
    </w:p>
    <w:p w14:paraId="03323EF9">
      <w:pPr>
        <w:numPr>
          <w:ilvl w:val="-1"/>
          <w:numId w:val="0"/>
        </w:numPr>
        <w:spacing w:line="360" w:lineRule="auto"/>
        <w:rPr>
          <w:rFonts w:hint="eastAsia" w:ascii="宋体" w:hAnsi="宋体" w:eastAsia="宋体" w:cs="宋体"/>
          <w:b/>
          <w:bCs/>
          <w:color w:val="auto"/>
          <w:szCs w:val="21"/>
          <w:highlight w:val="none"/>
        </w:rPr>
      </w:pPr>
    </w:p>
    <w:p w14:paraId="295577F0">
      <w:pPr>
        <w:numPr>
          <w:ilvl w:val="0"/>
          <w:numId w:val="27"/>
        </w:numPr>
        <w:spacing w:line="360" w:lineRule="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安全管理要求</w:t>
      </w:r>
    </w:p>
    <w:p w14:paraId="3C890EB1">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1.</w:t>
      </w:r>
      <w:r>
        <w:rPr>
          <w:rFonts w:hint="eastAsia" w:ascii="宋体" w:hAnsi="宋体" w:eastAsia="宋体" w:cs="宋体"/>
          <w:b w:val="0"/>
          <w:bCs w:val="0"/>
          <w:color w:val="auto"/>
          <w:szCs w:val="21"/>
          <w:highlight w:val="none"/>
          <w:lang w:val="en-US" w:eastAsia="zh-CN"/>
        </w:rPr>
        <w:t>乙方</w:t>
      </w:r>
      <w:r>
        <w:rPr>
          <w:rFonts w:hint="eastAsia" w:ascii="宋体" w:hAnsi="宋体" w:eastAsia="宋体" w:cs="宋体"/>
          <w:b w:val="0"/>
          <w:bCs w:val="0"/>
          <w:color w:val="auto"/>
          <w:szCs w:val="21"/>
          <w:highlight w:val="none"/>
        </w:rPr>
        <w:t>应落实下列安全管理要求：</w:t>
      </w:r>
    </w:p>
    <w:p w14:paraId="391B542E">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（1）确定项目的安全保密责任人，负责该项目安全管理；</w:t>
      </w:r>
    </w:p>
    <w:p w14:paraId="3CA56A9F">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（2）及时清除或者收回离职、离岗或者不再参与本项目建设的合作人员持有的用户方文档资料、数据等；</w:t>
      </w:r>
    </w:p>
    <w:p w14:paraId="6A43A863">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（3）配合用户方完成信息化合作企业安全管理相关工作；</w:t>
      </w:r>
    </w:p>
    <w:p w14:paraId="6F496040">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（4）</w:t>
      </w:r>
      <w:r>
        <w:rPr>
          <w:rFonts w:hint="eastAsia" w:ascii="宋体" w:hAnsi="宋体" w:eastAsia="宋体" w:cs="宋体"/>
          <w:b w:val="0"/>
          <w:bCs w:val="0"/>
          <w:color w:val="auto"/>
          <w:szCs w:val="21"/>
          <w:highlight w:val="none"/>
          <w:lang w:val="en-US" w:eastAsia="zh-CN"/>
        </w:rPr>
        <w:t>乙方</w:t>
      </w:r>
      <w:r>
        <w:rPr>
          <w:rFonts w:hint="eastAsia" w:ascii="宋体" w:hAnsi="宋体" w:eastAsia="宋体" w:cs="宋体"/>
          <w:b w:val="0"/>
          <w:bCs w:val="0"/>
          <w:color w:val="auto"/>
          <w:szCs w:val="21"/>
          <w:highlight w:val="none"/>
        </w:rPr>
        <w:t>在得知提供的产品、服务存在安全漏洞或者危害信息系统安全的潜在风险时，须在第一时间向</w:t>
      </w:r>
      <w:r>
        <w:rPr>
          <w:rFonts w:hint="eastAsia" w:ascii="宋体" w:hAnsi="宋体" w:eastAsia="宋体" w:cs="宋体"/>
          <w:b w:val="0"/>
          <w:bCs w:val="0"/>
          <w:color w:val="auto"/>
          <w:szCs w:val="21"/>
          <w:highlight w:val="none"/>
          <w:lang w:val="en-US" w:eastAsia="zh-CN"/>
        </w:rPr>
        <w:t>甲方</w:t>
      </w:r>
      <w:r>
        <w:rPr>
          <w:rFonts w:hint="eastAsia" w:ascii="宋体" w:hAnsi="宋体" w:eastAsia="宋体" w:cs="宋体"/>
          <w:b w:val="0"/>
          <w:bCs w:val="0"/>
          <w:color w:val="auto"/>
          <w:szCs w:val="21"/>
          <w:highlight w:val="none"/>
        </w:rPr>
        <w:t>报告，并及时启动应急预案，提出解决方案；</w:t>
      </w:r>
    </w:p>
    <w:p w14:paraId="4B67AAF1">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（5）其他应当落实的安全保密要求。</w:t>
      </w:r>
    </w:p>
    <w:p w14:paraId="605713FC">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2.</w:t>
      </w:r>
      <w:r>
        <w:rPr>
          <w:rFonts w:hint="eastAsia" w:ascii="宋体" w:hAnsi="宋体" w:eastAsia="宋体" w:cs="宋体"/>
          <w:b w:val="0"/>
          <w:bCs w:val="0"/>
          <w:color w:val="auto"/>
          <w:szCs w:val="21"/>
          <w:highlight w:val="none"/>
          <w:lang w:val="en-US" w:eastAsia="zh-CN"/>
        </w:rPr>
        <w:t>乙方</w:t>
      </w:r>
      <w:r>
        <w:rPr>
          <w:rFonts w:hint="eastAsia" w:ascii="宋体" w:hAnsi="宋体" w:eastAsia="宋体" w:cs="宋体"/>
          <w:b w:val="0"/>
          <w:bCs w:val="0"/>
          <w:color w:val="auto"/>
          <w:szCs w:val="21"/>
          <w:highlight w:val="none"/>
        </w:rPr>
        <w:t>及其参与本项目建设的相关人员不得从事下列危害用户数据安全的行为：</w:t>
      </w:r>
    </w:p>
    <w:p w14:paraId="18FFEE19">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（1）违规下载、留存、使用用户内部数据；</w:t>
      </w:r>
    </w:p>
    <w:p w14:paraId="6AB76B29">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（2）篡改、损毁、泄露、出售用户内部数据；</w:t>
      </w:r>
    </w:p>
    <w:p w14:paraId="71AD7083">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（3）向境外机构和人员提供用户重要数据；</w:t>
      </w:r>
    </w:p>
    <w:p w14:paraId="7756E5E5">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（4）在互联网上存储、处理、传输用户内部数据和应用系统源代码；</w:t>
      </w:r>
    </w:p>
    <w:p w14:paraId="13A4C568">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（5）使用未经过脱敏的用户敏感数据在互联网上进行开发；</w:t>
      </w:r>
    </w:p>
    <w:p w14:paraId="3E663797">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（6）将用户数据用于商业用途；</w:t>
      </w:r>
    </w:p>
    <w:p w14:paraId="369995EB">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（7）其他危害数据安全的行为。</w:t>
      </w:r>
    </w:p>
    <w:p w14:paraId="6D714BBC">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3.</w:t>
      </w:r>
      <w:r>
        <w:rPr>
          <w:rFonts w:hint="eastAsia" w:ascii="宋体" w:hAnsi="宋体" w:eastAsia="宋体" w:cs="宋体"/>
          <w:b w:val="0"/>
          <w:bCs w:val="0"/>
          <w:color w:val="auto"/>
          <w:szCs w:val="21"/>
          <w:highlight w:val="none"/>
          <w:lang w:val="en-US" w:eastAsia="zh-CN"/>
        </w:rPr>
        <w:t>乙方</w:t>
      </w:r>
      <w:r>
        <w:rPr>
          <w:rFonts w:hint="eastAsia" w:ascii="宋体" w:hAnsi="宋体" w:eastAsia="宋体" w:cs="宋体"/>
          <w:b w:val="0"/>
          <w:bCs w:val="0"/>
          <w:color w:val="auto"/>
          <w:szCs w:val="21"/>
          <w:highlight w:val="none"/>
        </w:rPr>
        <w:t>及其参与本项目建设的相关人员不得从事下列危害用户网络和应用安全的行为：</w:t>
      </w:r>
    </w:p>
    <w:p w14:paraId="3A562FDF">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（1）违规将用户网络与任何外部网络连接；</w:t>
      </w:r>
    </w:p>
    <w:p w14:paraId="1975BA96">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（2）擅自扫描、探测、入侵用户网络和应用系统；</w:t>
      </w:r>
    </w:p>
    <w:p w14:paraId="12EDEA59">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（3）设置应用系统后门、木马、病毒等恶意程序；</w:t>
      </w:r>
    </w:p>
    <w:p w14:paraId="5131F136">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（4）擅自将</w:t>
      </w:r>
      <w:r>
        <w:rPr>
          <w:rFonts w:hint="eastAsia" w:ascii="宋体" w:hAnsi="宋体" w:eastAsia="宋体" w:cs="宋体"/>
          <w:b w:val="0"/>
          <w:bCs w:val="0"/>
          <w:color w:val="auto"/>
          <w:szCs w:val="21"/>
          <w:highlight w:val="none"/>
          <w:lang w:val="en-US" w:eastAsia="zh-CN"/>
        </w:rPr>
        <w:t>乙方</w:t>
      </w:r>
      <w:r>
        <w:rPr>
          <w:rFonts w:hint="eastAsia" w:ascii="宋体" w:hAnsi="宋体" w:eastAsia="宋体" w:cs="宋体"/>
          <w:b w:val="0"/>
          <w:bCs w:val="0"/>
          <w:color w:val="auto"/>
          <w:szCs w:val="21"/>
          <w:highlight w:val="none"/>
        </w:rPr>
        <w:t>及其参与信息化建设相关人员的终端、移动存储介质、无线设备等与用户网络连接；</w:t>
      </w:r>
    </w:p>
    <w:p w14:paraId="7F2CF85C">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（5）擅自建立跨网、跨域数据传输或者运维通道；</w:t>
      </w:r>
    </w:p>
    <w:p w14:paraId="36F19E8C">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（6）拆除、破坏用户监管设施或者卸载监管程序；</w:t>
      </w:r>
    </w:p>
    <w:p w14:paraId="52739451">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（7）擅自对用户应用源文件、应用源代码进行反编译、加密、解密；</w:t>
      </w:r>
    </w:p>
    <w:p w14:paraId="61A1C6F3">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（8）擅自公开与合作事项相关的技术实现方法或者业务模型等重要信息；</w:t>
      </w:r>
    </w:p>
    <w:p w14:paraId="43E85680">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（9）其他危害用户网络和应用安全的行为。</w:t>
      </w:r>
    </w:p>
    <w:p w14:paraId="0BE19603">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4.</w:t>
      </w:r>
      <w:r>
        <w:rPr>
          <w:rFonts w:hint="eastAsia" w:ascii="宋体" w:hAnsi="宋体" w:eastAsia="宋体" w:cs="宋体"/>
          <w:b w:val="0"/>
          <w:bCs w:val="0"/>
          <w:color w:val="auto"/>
          <w:szCs w:val="21"/>
          <w:highlight w:val="none"/>
          <w:lang w:val="en-US" w:eastAsia="zh-CN"/>
        </w:rPr>
        <w:t>乙方</w:t>
      </w:r>
      <w:r>
        <w:rPr>
          <w:rFonts w:hint="eastAsia" w:ascii="宋体" w:hAnsi="宋体" w:eastAsia="宋体" w:cs="宋体"/>
          <w:b w:val="0"/>
          <w:bCs w:val="0"/>
          <w:color w:val="auto"/>
          <w:szCs w:val="21"/>
          <w:highlight w:val="none"/>
        </w:rPr>
        <w:t>参与本项目建设的相关人员未经用户方批准，严禁翻阅、复印、拍摄用户方内部文件，或者将用户方内部文件带离指定办公场所或者区域。</w:t>
      </w:r>
    </w:p>
    <w:p w14:paraId="17F0535A">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5.</w:t>
      </w:r>
      <w:r>
        <w:rPr>
          <w:rFonts w:hint="eastAsia" w:ascii="宋体" w:hAnsi="宋体" w:eastAsia="宋体" w:cs="宋体"/>
          <w:b w:val="0"/>
          <w:bCs w:val="0"/>
          <w:color w:val="auto"/>
          <w:szCs w:val="21"/>
          <w:highlight w:val="none"/>
          <w:lang w:val="en-US" w:eastAsia="zh-CN"/>
        </w:rPr>
        <w:t>乙方</w:t>
      </w:r>
      <w:r>
        <w:rPr>
          <w:rFonts w:hint="eastAsia" w:ascii="宋体" w:hAnsi="宋体" w:eastAsia="宋体" w:cs="宋体"/>
          <w:b w:val="0"/>
          <w:bCs w:val="0"/>
          <w:color w:val="auto"/>
          <w:szCs w:val="21"/>
          <w:highlight w:val="none"/>
        </w:rPr>
        <w:t>违反上述安全管理要求，情节轻微或者尚未造成严重后果的：</w:t>
      </w:r>
    </w:p>
    <w:p w14:paraId="4732BA5C">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（1）向</w:t>
      </w:r>
      <w:r>
        <w:rPr>
          <w:rFonts w:hint="eastAsia" w:ascii="宋体" w:hAnsi="宋体" w:eastAsia="宋体" w:cs="宋体"/>
          <w:b w:val="0"/>
          <w:bCs w:val="0"/>
          <w:color w:val="auto"/>
          <w:szCs w:val="21"/>
          <w:highlight w:val="none"/>
          <w:lang w:val="en-US" w:eastAsia="zh-CN"/>
        </w:rPr>
        <w:t>甲方</w:t>
      </w:r>
      <w:r>
        <w:rPr>
          <w:rFonts w:hint="eastAsia" w:ascii="宋体" w:hAnsi="宋体" w:eastAsia="宋体" w:cs="宋体"/>
          <w:b w:val="0"/>
          <w:bCs w:val="0"/>
          <w:color w:val="auto"/>
          <w:szCs w:val="21"/>
          <w:highlight w:val="none"/>
        </w:rPr>
        <w:t>支付违约金，金额与用户方扣款等额。如该违约金不足以弥补</w:t>
      </w:r>
      <w:r>
        <w:rPr>
          <w:rFonts w:hint="eastAsia" w:ascii="宋体" w:hAnsi="宋体" w:eastAsia="宋体" w:cs="宋体"/>
          <w:b w:val="0"/>
          <w:bCs w:val="0"/>
          <w:color w:val="auto"/>
          <w:szCs w:val="21"/>
          <w:highlight w:val="none"/>
          <w:lang w:val="en-US" w:eastAsia="zh-CN"/>
        </w:rPr>
        <w:t>甲方</w:t>
      </w:r>
      <w:r>
        <w:rPr>
          <w:rFonts w:hint="eastAsia" w:ascii="宋体" w:hAnsi="宋体" w:eastAsia="宋体" w:cs="宋体"/>
          <w:b w:val="0"/>
          <w:bCs w:val="0"/>
          <w:color w:val="auto"/>
          <w:szCs w:val="21"/>
          <w:highlight w:val="none"/>
        </w:rPr>
        <w:t>损失，则</w:t>
      </w:r>
      <w:r>
        <w:rPr>
          <w:rFonts w:hint="eastAsia" w:ascii="宋体" w:hAnsi="宋体" w:eastAsia="宋体" w:cs="宋体"/>
          <w:b w:val="0"/>
          <w:bCs w:val="0"/>
          <w:color w:val="auto"/>
          <w:szCs w:val="21"/>
          <w:highlight w:val="none"/>
          <w:lang w:val="en-US" w:eastAsia="zh-CN"/>
        </w:rPr>
        <w:t>乙方</w:t>
      </w:r>
      <w:r>
        <w:rPr>
          <w:rFonts w:hint="eastAsia" w:ascii="宋体" w:hAnsi="宋体" w:eastAsia="宋体" w:cs="宋体"/>
          <w:b w:val="0"/>
          <w:bCs w:val="0"/>
          <w:color w:val="auto"/>
          <w:szCs w:val="21"/>
          <w:highlight w:val="none"/>
        </w:rPr>
        <w:t>还应承担赔偿由此造成</w:t>
      </w:r>
      <w:r>
        <w:rPr>
          <w:rFonts w:hint="eastAsia" w:ascii="宋体" w:hAnsi="宋体" w:eastAsia="宋体" w:cs="宋体"/>
          <w:b w:val="0"/>
          <w:bCs w:val="0"/>
          <w:color w:val="auto"/>
          <w:szCs w:val="21"/>
          <w:highlight w:val="none"/>
          <w:lang w:val="en-US" w:eastAsia="zh-CN"/>
        </w:rPr>
        <w:t>甲方</w:t>
      </w:r>
      <w:r>
        <w:rPr>
          <w:rFonts w:hint="eastAsia" w:ascii="宋体" w:hAnsi="宋体" w:eastAsia="宋体" w:cs="宋体"/>
          <w:b w:val="0"/>
          <w:bCs w:val="0"/>
          <w:color w:val="auto"/>
          <w:szCs w:val="21"/>
          <w:highlight w:val="none"/>
        </w:rPr>
        <w:t>的一切实际损失。</w:t>
      </w:r>
    </w:p>
    <w:p w14:paraId="34403A3F">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（2）限期整改：由</w:t>
      </w:r>
      <w:r>
        <w:rPr>
          <w:rFonts w:hint="eastAsia" w:ascii="宋体" w:hAnsi="宋体" w:eastAsia="宋体" w:cs="宋体"/>
          <w:b w:val="0"/>
          <w:bCs w:val="0"/>
          <w:color w:val="auto"/>
          <w:szCs w:val="21"/>
          <w:highlight w:val="none"/>
          <w:lang w:val="en-US" w:eastAsia="zh-CN"/>
        </w:rPr>
        <w:t>甲方</w:t>
      </w:r>
      <w:r>
        <w:rPr>
          <w:rFonts w:hint="eastAsia" w:ascii="宋体" w:hAnsi="宋体" w:eastAsia="宋体" w:cs="宋体"/>
          <w:b w:val="0"/>
          <w:bCs w:val="0"/>
          <w:color w:val="auto"/>
          <w:szCs w:val="21"/>
          <w:highlight w:val="none"/>
        </w:rPr>
        <w:t>向</w:t>
      </w:r>
      <w:r>
        <w:rPr>
          <w:rFonts w:hint="eastAsia" w:ascii="宋体" w:hAnsi="宋体" w:eastAsia="宋体" w:cs="宋体"/>
          <w:b w:val="0"/>
          <w:bCs w:val="0"/>
          <w:color w:val="auto"/>
          <w:szCs w:val="21"/>
          <w:highlight w:val="none"/>
          <w:lang w:val="en-US" w:eastAsia="zh-CN"/>
        </w:rPr>
        <w:t>乙方</w:t>
      </w:r>
      <w:r>
        <w:rPr>
          <w:rFonts w:hint="eastAsia" w:ascii="宋体" w:hAnsi="宋体" w:eastAsia="宋体" w:cs="宋体"/>
          <w:b w:val="0"/>
          <w:bCs w:val="0"/>
          <w:color w:val="auto"/>
          <w:szCs w:val="21"/>
          <w:highlight w:val="none"/>
        </w:rPr>
        <w:t>发出《限期整改通知书》，</w:t>
      </w:r>
      <w:r>
        <w:rPr>
          <w:rFonts w:hint="eastAsia" w:ascii="宋体" w:hAnsi="宋体" w:eastAsia="宋体" w:cs="宋体"/>
          <w:b w:val="0"/>
          <w:bCs w:val="0"/>
          <w:color w:val="auto"/>
          <w:szCs w:val="21"/>
          <w:highlight w:val="none"/>
          <w:lang w:val="en-US" w:eastAsia="zh-CN"/>
        </w:rPr>
        <w:t>乙方</w:t>
      </w:r>
      <w:r>
        <w:rPr>
          <w:rFonts w:hint="eastAsia" w:ascii="宋体" w:hAnsi="宋体" w:eastAsia="宋体" w:cs="宋体"/>
          <w:b w:val="0"/>
          <w:bCs w:val="0"/>
          <w:color w:val="auto"/>
          <w:szCs w:val="21"/>
          <w:highlight w:val="none"/>
        </w:rPr>
        <w:t>需按通知书的要求，限期完成安全整改，整改所产生的所有费用均由</w:t>
      </w:r>
      <w:r>
        <w:rPr>
          <w:rFonts w:hint="eastAsia" w:ascii="宋体" w:hAnsi="宋体" w:eastAsia="宋体" w:cs="宋体"/>
          <w:b w:val="0"/>
          <w:bCs w:val="0"/>
          <w:color w:val="auto"/>
          <w:szCs w:val="21"/>
          <w:highlight w:val="none"/>
          <w:lang w:val="en-US" w:eastAsia="zh-CN"/>
        </w:rPr>
        <w:t>乙方</w:t>
      </w:r>
      <w:r>
        <w:rPr>
          <w:rFonts w:hint="eastAsia" w:ascii="宋体" w:hAnsi="宋体" w:eastAsia="宋体" w:cs="宋体"/>
          <w:b w:val="0"/>
          <w:bCs w:val="0"/>
          <w:color w:val="auto"/>
          <w:szCs w:val="21"/>
          <w:highlight w:val="none"/>
        </w:rPr>
        <w:t>承担。</w:t>
      </w:r>
    </w:p>
    <w:p w14:paraId="2A13CB00">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6.</w:t>
      </w:r>
      <w:r>
        <w:rPr>
          <w:rFonts w:hint="eastAsia" w:ascii="宋体" w:hAnsi="宋体" w:eastAsia="宋体" w:cs="宋体"/>
          <w:b w:val="0"/>
          <w:bCs w:val="0"/>
          <w:color w:val="auto"/>
          <w:szCs w:val="21"/>
          <w:highlight w:val="none"/>
          <w:lang w:val="en-US" w:eastAsia="zh-CN"/>
        </w:rPr>
        <w:t>乙方</w:t>
      </w:r>
      <w:r>
        <w:rPr>
          <w:rFonts w:hint="eastAsia" w:ascii="宋体" w:hAnsi="宋体" w:eastAsia="宋体" w:cs="宋体"/>
          <w:b w:val="0"/>
          <w:bCs w:val="0"/>
          <w:color w:val="auto"/>
          <w:szCs w:val="21"/>
          <w:highlight w:val="none"/>
        </w:rPr>
        <w:t>违反上述安全管理要求，违规行为不可整改且造成特别严重后果的，或者</w:t>
      </w:r>
      <w:r>
        <w:rPr>
          <w:rFonts w:hint="eastAsia" w:ascii="宋体" w:hAnsi="宋体" w:eastAsia="宋体" w:cs="宋体"/>
          <w:b w:val="0"/>
          <w:bCs w:val="0"/>
          <w:color w:val="auto"/>
          <w:szCs w:val="21"/>
          <w:highlight w:val="none"/>
          <w:lang w:val="en-US" w:eastAsia="zh-CN"/>
        </w:rPr>
        <w:t>乙方</w:t>
      </w:r>
      <w:r>
        <w:rPr>
          <w:rFonts w:hint="eastAsia" w:ascii="宋体" w:hAnsi="宋体" w:eastAsia="宋体" w:cs="宋体"/>
          <w:b w:val="0"/>
          <w:bCs w:val="0"/>
          <w:color w:val="auto"/>
          <w:szCs w:val="21"/>
          <w:highlight w:val="none"/>
        </w:rPr>
        <w:t>拒不整改、整改后仍不符合安全管理要求的，或者屡次出现违规行为的，或者违规行为造成合同目的无法实现的：</w:t>
      </w:r>
    </w:p>
    <w:p w14:paraId="590A29B3">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（1）</w:t>
      </w:r>
      <w:r>
        <w:rPr>
          <w:rFonts w:hint="eastAsia" w:ascii="宋体" w:hAnsi="宋体" w:eastAsia="宋体" w:cs="宋体"/>
          <w:b w:val="0"/>
          <w:bCs w:val="0"/>
          <w:color w:val="auto"/>
          <w:szCs w:val="21"/>
          <w:highlight w:val="none"/>
          <w:lang w:val="en-US" w:eastAsia="zh-CN"/>
        </w:rPr>
        <w:t>甲方</w:t>
      </w:r>
      <w:r>
        <w:rPr>
          <w:rFonts w:hint="eastAsia" w:ascii="宋体" w:hAnsi="宋体" w:eastAsia="宋体" w:cs="宋体"/>
          <w:b w:val="0"/>
          <w:bCs w:val="0"/>
          <w:color w:val="auto"/>
          <w:szCs w:val="21"/>
          <w:highlight w:val="none"/>
        </w:rPr>
        <w:t>有权强制停用本项目相关软硬件产品和服务，并有权对停用后造成的后果进行追偿；</w:t>
      </w:r>
    </w:p>
    <w:p w14:paraId="01BB0D88">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（2）</w:t>
      </w:r>
      <w:r>
        <w:rPr>
          <w:rFonts w:hint="eastAsia" w:ascii="宋体" w:hAnsi="宋体" w:eastAsia="宋体" w:cs="宋体"/>
          <w:b w:val="0"/>
          <w:bCs w:val="0"/>
          <w:color w:val="auto"/>
          <w:szCs w:val="21"/>
          <w:highlight w:val="none"/>
          <w:lang w:val="en-US" w:eastAsia="zh-CN"/>
        </w:rPr>
        <w:t>甲方</w:t>
      </w:r>
      <w:r>
        <w:rPr>
          <w:rFonts w:hint="eastAsia" w:ascii="宋体" w:hAnsi="宋体" w:eastAsia="宋体" w:cs="宋体"/>
          <w:b w:val="0"/>
          <w:bCs w:val="0"/>
          <w:color w:val="auto"/>
          <w:szCs w:val="21"/>
          <w:highlight w:val="none"/>
        </w:rPr>
        <w:t>有权解除合同，同时</w:t>
      </w:r>
      <w:r>
        <w:rPr>
          <w:rFonts w:hint="eastAsia" w:ascii="宋体" w:hAnsi="宋体" w:eastAsia="宋体" w:cs="宋体"/>
          <w:b w:val="0"/>
          <w:bCs w:val="0"/>
          <w:color w:val="auto"/>
          <w:szCs w:val="21"/>
          <w:highlight w:val="none"/>
          <w:lang w:val="en-US" w:eastAsia="zh-CN"/>
        </w:rPr>
        <w:t>乙方</w:t>
      </w:r>
      <w:r>
        <w:rPr>
          <w:rFonts w:hint="eastAsia" w:ascii="宋体" w:hAnsi="宋体" w:eastAsia="宋体" w:cs="宋体"/>
          <w:b w:val="0"/>
          <w:bCs w:val="0"/>
          <w:color w:val="auto"/>
          <w:szCs w:val="21"/>
          <w:highlight w:val="none"/>
        </w:rPr>
        <w:t>须向</w:t>
      </w:r>
      <w:r>
        <w:rPr>
          <w:rFonts w:hint="eastAsia" w:ascii="宋体" w:hAnsi="宋体" w:eastAsia="宋体" w:cs="宋体"/>
          <w:b w:val="0"/>
          <w:bCs w:val="0"/>
          <w:color w:val="auto"/>
          <w:szCs w:val="21"/>
          <w:highlight w:val="none"/>
          <w:lang w:val="en-US" w:eastAsia="zh-CN"/>
        </w:rPr>
        <w:t>甲方</w:t>
      </w:r>
      <w:r>
        <w:rPr>
          <w:rFonts w:hint="eastAsia" w:ascii="宋体" w:hAnsi="宋体" w:eastAsia="宋体" w:cs="宋体"/>
          <w:b w:val="0"/>
          <w:bCs w:val="0"/>
          <w:color w:val="auto"/>
          <w:szCs w:val="21"/>
          <w:highlight w:val="none"/>
        </w:rPr>
        <w:t>支付与合同价款等额的赔偿金；</w:t>
      </w:r>
    </w:p>
    <w:p w14:paraId="246309D0">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（3）</w:t>
      </w:r>
      <w:r>
        <w:rPr>
          <w:rFonts w:hint="eastAsia" w:ascii="宋体" w:hAnsi="宋体" w:eastAsia="宋体" w:cs="宋体"/>
          <w:b w:val="0"/>
          <w:bCs w:val="0"/>
          <w:color w:val="auto"/>
          <w:szCs w:val="21"/>
          <w:highlight w:val="none"/>
          <w:lang w:val="en-US" w:eastAsia="zh-CN"/>
        </w:rPr>
        <w:t>甲方</w:t>
      </w:r>
      <w:r>
        <w:rPr>
          <w:rFonts w:hint="eastAsia" w:ascii="宋体" w:hAnsi="宋体" w:eastAsia="宋体" w:cs="宋体"/>
          <w:b w:val="0"/>
          <w:bCs w:val="0"/>
          <w:color w:val="auto"/>
          <w:szCs w:val="21"/>
          <w:highlight w:val="none"/>
        </w:rPr>
        <w:t>有权将</w:t>
      </w:r>
      <w:r>
        <w:rPr>
          <w:rFonts w:hint="eastAsia" w:ascii="宋体" w:hAnsi="宋体" w:eastAsia="宋体" w:cs="宋体"/>
          <w:b w:val="0"/>
          <w:bCs w:val="0"/>
          <w:color w:val="auto"/>
          <w:szCs w:val="21"/>
          <w:highlight w:val="none"/>
          <w:lang w:val="en-US" w:eastAsia="zh-CN"/>
        </w:rPr>
        <w:t>乙方</w:t>
      </w:r>
      <w:r>
        <w:rPr>
          <w:rFonts w:hint="eastAsia" w:ascii="宋体" w:hAnsi="宋体" w:eastAsia="宋体" w:cs="宋体"/>
          <w:b w:val="0"/>
          <w:bCs w:val="0"/>
          <w:color w:val="auto"/>
          <w:szCs w:val="21"/>
          <w:highlight w:val="none"/>
        </w:rPr>
        <w:t>及其参与本项目建设的相关人员列入政府采购严重违法失信行为记录名单、市场监督管理严重失信名单；</w:t>
      </w:r>
    </w:p>
    <w:p w14:paraId="547C6E3D">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（4）鉴于有的违规行为造成的后果较长时间才能显现，或者损失数额难以一次性确认，</w:t>
      </w:r>
      <w:r>
        <w:rPr>
          <w:rFonts w:hint="eastAsia" w:ascii="宋体" w:hAnsi="宋体" w:eastAsia="宋体" w:cs="宋体"/>
          <w:b w:val="0"/>
          <w:bCs w:val="0"/>
          <w:color w:val="auto"/>
          <w:szCs w:val="21"/>
          <w:highlight w:val="none"/>
          <w:lang w:val="en-US" w:eastAsia="zh-CN"/>
        </w:rPr>
        <w:t>甲方</w:t>
      </w:r>
      <w:r>
        <w:rPr>
          <w:rFonts w:hint="eastAsia" w:ascii="宋体" w:hAnsi="宋体" w:eastAsia="宋体" w:cs="宋体"/>
          <w:b w:val="0"/>
          <w:bCs w:val="0"/>
          <w:color w:val="auto"/>
          <w:szCs w:val="21"/>
          <w:highlight w:val="none"/>
        </w:rPr>
        <w:t>有权对该违规行为造成的后果进行追偿；</w:t>
      </w:r>
    </w:p>
    <w:p w14:paraId="4D064832">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（5）构成犯罪的，</w:t>
      </w:r>
      <w:r>
        <w:rPr>
          <w:rFonts w:hint="eastAsia" w:ascii="宋体" w:hAnsi="宋体" w:eastAsia="宋体" w:cs="宋体"/>
          <w:b w:val="0"/>
          <w:bCs w:val="0"/>
          <w:color w:val="auto"/>
          <w:szCs w:val="21"/>
          <w:highlight w:val="none"/>
          <w:lang w:val="en-US" w:eastAsia="zh-CN"/>
        </w:rPr>
        <w:t>甲方</w:t>
      </w:r>
      <w:r>
        <w:rPr>
          <w:rFonts w:hint="eastAsia" w:ascii="宋体" w:hAnsi="宋体" w:eastAsia="宋体" w:cs="宋体"/>
          <w:b w:val="0"/>
          <w:bCs w:val="0"/>
          <w:color w:val="auto"/>
          <w:szCs w:val="21"/>
          <w:highlight w:val="none"/>
        </w:rPr>
        <w:t>将依法追究</w:t>
      </w:r>
      <w:r>
        <w:rPr>
          <w:rFonts w:hint="eastAsia" w:ascii="宋体" w:hAnsi="宋体" w:eastAsia="宋体" w:cs="宋体"/>
          <w:b w:val="0"/>
          <w:bCs w:val="0"/>
          <w:color w:val="auto"/>
          <w:szCs w:val="21"/>
          <w:highlight w:val="none"/>
          <w:lang w:val="en-US" w:eastAsia="zh-CN"/>
        </w:rPr>
        <w:t>乙方</w:t>
      </w:r>
      <w:r>
        <w:rPr>
          <w:rFonts w:hint="eastAsia" w:ascii="宋体" w:hAnsi="宋体" w:eastAsia="宋体" w:cs="宋体"/>
          <w:b w:val="0"/>
          <w:bCs w:val="0"/>
          <w:color w:val="auto"/>
          <w:szCs w:val="21"/>
          <w:highlight w:val="none"/>
        </w:rPr>
        <w:t>的法律责任。</w:t>
      </w:r>
    </w:p>
    <w:p w14:paraId="6B936B74">
      <w:pPr>
        <w:numPr>
          <w:ilvl w:val="-1"/>
          <w:numId w:val="0"/>
        </w:numPr>
        <w:spacing w:line="360" w:lineRule="auto"/>
        <w:rPr>
          <w:rFonts w:hint="eastAsia" w:ascii="宋体" w:hAnsi="宋体" w:eastAsia="宋体" w:cs="宋体"/>
          <w:b w:val="0"/>
          <w:bCs w:val="0"/>
          <w:color w:val="auto"/>
          <w:szCs w:val="21"/>
          <w:highlight w:val="none"/>
          <w:lang w:eastAsia="zh-CN"/>
        </w:rPr>
      </w:pPr>
      <w:r>
        <w:rPr>
          <w:rFonts w:hint="eastAsia" w:ascii="宋体" w:hAnsi="宋体" w:eastAsia="宋体" w:cs="宋体"/>
          <w:b w:val="0"/>
          <w:bCs w:val="0"/>
          <w:color w:val="auto"/>
          <w:szCs w:val="21"/>
          <w:highlight w:val="none"/>
        </w:rPr>
        <w:t>7.因</w:t>
      </w:r>
      <w:r>
        <w:rPr>
          <w:rFonts w:hint="eastAsia" w:ascii="宋体" w:hAnsi="宋体" w:eastAsia="宋体" w:cs="宋体"/>
          <w:b w:val="0"/>
          <w:bCs w:val="0"/>
          <w:color w:val="auto"/>
          <w:szCs w:val="21"/>
          <w:highlight w:val="none"/>
          <w:lang w:val="en-US" w:eastAsia="zh-CN"/>
        </w:rPr>
        <w:t>乙方</w:t>
      </w:r>
      <w:r>
        <w:rPr>
          <w:rFonts w:hint="eastAsia" w:ascii="宋体" w:hAnsi="宋体" w:eastAsia="宋体" w:cs="宋体"/>
          <w:b w:val="0"/>
          <w:bCs w:val="0"/>
          <w:color w:val="auto"/>
          <w:szCs w:val="21"/>
          <w:highlight w:val="none"/>
        </w:rPr>
        <w:t>违反安全管理要求,给项目造成影响的，</w:t>
      </w:r>
      <w:r>
        <w:rPr>
          <w:rFonts w:hint="eastAsia" w:ascii="宋体" w:hAnsi="宋体" w:eastAsia="宋体" w:cs="宋体"/>
          <w:b w:val="0"/>
          <w:bCs w:val="0"/>
          <w:color w:val="auto"/>
          <w:szCs w:val="21"/>
          <w:highlight w:val="none"/>
          <w:lang w:val="en-US" w:eastAsia="zh-CN"/>
        </w:rPr>
        <w:t>乙方</w:t>
      </w:r>
      <w:r>
        <w:rPr>
          <w:rFonts w:hint="eastAsia" w:ascii="宋体" w:hAnsi="宋体" w:eastAsia="宋体" w:cs="宋体"/>
          <w:b w:val="0"/>
          <w:bCs w:val="0"/>
          <w:color w:val="auto"/>
          <w:szCs w:val="21"/>
          <w:highlight w:val="none"/>
        </w:rPr>
        <w:t>应第一时间进行补救，并通过替换违规人员和存在安全风险产品等措施推动项目进程，补救所产生的所有费用均由</w:t>
      </w:r>
      <w:r>
        <w:rPr>
          <w:rFonts w:hint="eastAsia" w:ascii="宋体" w:hAnsi="宋体" w:eastAsia="宋体" w:cs="宋体"/>
          <w:b w:val="0"/>
          <w:bCs w:val="0"/>
          <w:color w:val="auto"/>
          <w:szCs w:val="21"/>
          <w:highlight w:val="none"/>
          <w:lang w:val="en-US" w:eastAsia="zh-CN"/>
        </w:rPr>
        <w:t>乙方</w:t>
      </w:r>
      <w:r>
        <w:rPr>
          <w:rFonts w:hint="eastAsia" w:ascii="宋体" w:hAnsi="宋体" w:eastAsia="宋体" w:cs="宋体"/>
          <w:b w:val="0"/>
          <w:bCs w:val="0"/>
          <w:color w:val="auto"/>
          <w:szCs w:val="21"/>
          <w:highlight w:val="none"/>
        </w:rPr>
        <w:t>承担</w:t>
      </w:r>
      <w:r>
        <w:rPr>
          <w:rFonts w:hint="eastAsia" w:ascii="宋体" w:hAnsi="宋体" w:eastAsia="宋体" w:cs="宋体"/>
          <w:b w:val="0"/>
          <w:bCs w:val="0"/>
          <w:color w:val="auto"/>
          <w:szCs w:val="21"/>
          <w:highlight w:val="none"/>
          <w:lang w:eastAsia="zh-CN"/>
        </w:rPr>
        <w:t>。</w:t>
      </w:r>
    </w:p>
    <w:p w14:paraId="002FD705">
      <w:pPr>
        <w:numPr>
          <w:ilvl w:val="-1"/>
          <w:numId w:val="0"/>
        </w:numPr>
        <w:spacing w:line="360" w:lineRule="auto"/>
        <w:rPr>
          <w:rFonts w:hint="eastAsia" w:ascii="宋体" w:hAnsi="宋体" w:eastAsia="宋体" w:cs="宋体"/>
          <w:b/>
          <w:bCs/>
          <w:color w:val="auto"/>
          <w:szCs w:val="21"/>
          <w:highlight w:val="none"/>
          <w:lang w:eastAsia="zh-CN"/>
        </w:rPr>
      </w:pPr>
    </w:p>
    <w:p w14:paraId="17BD43AB">
      <w:pPr>
        <w:numPr>
          <w:ilvl w:val="0"/>
          <w:numId w:val="27"/>
        </w:num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违约责任</w:t>
      </w:r>
    </w:p>
    <w:p w14:paraId="6B1F0BDE">
      <w:pPr>
        <w:spacing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乙方提供的服务不符合招标文件规定或本合同约定的，甲方有权发出书面通知要求乙方在指定期限内整改。若乙方自收到书面通知之日起超过10日仍未整改达标，自超出整改期限起，甲方有权每日按本合同总金额的x‰向乙方计收违约金。乙方延迟提供服务20日以上的，甲方有权解除合同，且有权要求乙方向甲方支付相当于本合同总价x%的违约金，并须在甲方要求的期限内退还甲方已支付的款项，如甲方尚未支付合同款项的则有权不再支付，如该违约金不足以弥补甲方损失，则乙方还须对不足部分承担全部赔偿责任。</w:t>
      </w:r>
    </w:p>
    <w:p w14:paraId="5D0C8ACE">
      <w:pPr>
        <w:spacing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乙方未能按本合同规定的交货时间提供服务，甲方有权发出书面通知要求乙方在指定期限内整改。若乙方自收到书面通知之日起超过10日仍然无法提供服务，则超出整改期限起，乙方须每日按本合同总价x‰的数额向甲方支付违约金；逾期20日以上的，甲方有权解除合同，要求乙方支付相当于合同总价x%的违约金，并须在甲方要求的期限内退还甲方已支付的款项，如甲方尚未支付合同款项的则有权不再支付，如该违约金不足以弥补甲方损失，则乙方还须对不足部分承担全部赔偿责任。</w:t>
      </w:r>
    </w:p>
    <w:p w14:paraId="3212E23E">
      <w:pPr>
        <w:spacing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本合同有效期内，乙方未经甲方同意而擅自终止本合同的，甲方有权不再支付项目费用；甲方已支付的费用，乙方应当在甲方要求的期限内退还甲方已支付的款项，且乙方应按合同总价的x%向甲方偿付违约金，该违约金不足以弥补甲方损失的、甲方仍有权向乙方追偿，乙方应按甲方的实际损失进行赔偿。</w:t>
      </w:r>
    </w:p>
    <w:p w14:paraId="0B133AE2">
      <w:pPr>
        <w:spacing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4.乙方提供的材料如有不实之处或虚假行为，甲方有权中止项目并不支付剩余款项，已支付款项乙方需于甲方指定期限内全额退回，由此造成甲方损失的需承担全部责任。</w:t>
      </w:r>
    </w:p>
    <w:p w14:paraId="5604DD29">
      <w:pPr>
        <w:spacing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5.如乙方提供的产品存在质量问题或乙方提供服务的过程中致使第三人受损害的，其法律责任和赔偿责任均由乙方自行承担，因此给甲方造成损失的，甲方有权向乙方追偿。</w:t>
      </w:r>
    </w:p>
    <w:p w14:paraId="1C0A9D39">
      <w:pPr>
        <w:spacing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6.甲方单方面未按本合同约定逾期付款，经催告后，乙方有权要求甲方每日按照中国人民银行同期逾期贷款利息偿付违约金，不可抗力因素造成的违约除外。</w:t>
      </w:r>
    </w:p>
    <w:p w14:paraId="110480B6">
      <w:pPr>
        <w:spacing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本合同所述之损失、经济赔偿是指因违约方原因而造成的直接经济损失、间接经济损失及因此而向第三方支付的赔偿金、违约金、因此而支付的诉讼费、保全费、保险费、律师费、公证费、鉴定费、差旅费、向政府部门支付的罚款等全部费用。</w:t>
      </w:r>
    </w:p>
    <w:p w14:paraId="54E6AF53">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8.其它违约责任按《中华人民共和国民法典（合同编）》处理。</w:t>
      </w:r>
    </w:p>
    <w:p w14:paraId="3B008D96">
      <w:pPr>
        <w:spacing w:line="360" w:lineRule="auto"/>
        <w:rPr>
          <w:rFonts w:hint="eastAsia" w:ascii="宋体" w:hAnsi="宋体" w:eastAsia="宋体" w:cs="宋体"/>
          <w:color w:val="auto"/>
          <w:sz w:val="21"/>
          <w:szCs w:val="21"/>
          <w:highlight w:val="none"/>
          <w:lang w:val="en-US" w:eastAsia="zh-CN"/>
        </w:rPr>
      </w:pPr>
    </w:p>
    <w:p w14:paraId="6B0A3BAB">
      <w:pPr>
        <w:numPr>
          <w:ilvl w:val="0"/>
          <w:numId w:val="27"/>
        </w:numPr>
        <w:spacing w:line="360" w:lineRule="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不可抗力</w:t>
      </w:r>
    </w:p>
    <w:p w14:paraId="42A0389A">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1．不可抗力指战争、洪水、台风、地震等或其他双方认定的不可抗力事件。</w:t>
      </w:r>
    </w:p>
    <w:p w14:paraId="35F91F2F">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2．签约双方的任何一方由于不可抗力事件影响而不能执行合同时，履行合同的期限应予以延长，其延长的期限应相当于事件所影响的时间。</w:t>
      </w:r>
    </w:p>
    <w:p w14:paraId="604D6E3B">
      <w:pPr>
        <w:numPr>
          <w:ilvl w:val="-1"/>
          <w:numId w:val="0"/>
        </w:numPr>
        <w:spacing w:line="360"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3．本合同履行期间，因不可抗力不能履行民事义务的，不承担民事责任。遭遇不可抗力的一方当事人应当采取一切措施避免损失的扩大，如未能及时采取措施导致损失扩大的，责任方应就扩大部分的损失承担赔偿责任；还应及时向对方履行告知、披露的义务，在不可抗力因素消失后五天内，提供遭遇不可抗力的证明材料。</w:t>
      </w:r>
    </w:p>
    <w:p w14:paraId="319B67D8">
      <w:pPr>
        <w:numPr>
          <w:ilvl w:val="-1"/>
          <w:numId w:val="0"/>
        </w:numPr>
        <w:spacing w:line="360" w:lineRule="auto"/>
        <w:rPr>
          <w:rFonts w:hint="eastAsia" w:ascii="宋体" w:hAnsi="宋体" w:eastAsia="宋体" w:cs="宋体"/>
          <w:b w:val="0"/>
          <w:bCs w:val="0"/>
          <w:color w:val="auto"/>
          <w:sz w:val="21"/>
          <w:szCs w:val="21"/>
          <w:highlight w:val="none"/>
        </w:rPr>
      </w:pPr>
    </w:p>
    <w:p w14:paraId="28A20E73">
      <w:pPr>
        <w:numPr>
          <w:ilvl w:val="0"/>
          <w:numId w:val="27"/>
        </w:num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合同争议的解决方式</w:t>
      </w:r>
    </w:p>
    <w:p w14:paraId="4D1073F4">
      <w:pPr>
        <w:spacing w:line="360" w:lineRule="auto"/>
        <w:rPr>
          <w:rFonts w:hint="eastAsia" w:ascii="宋体" w:hAnsi="宋体" w:eastAsia="宋体" w:cs="宋体"/>
          <w:color w:val="auto"/>
          <w:sz w:val="21"/>
          <w:szCs w:val="21"/>
          <w:highlight w:val="none"/>
          <w:lang w:val="en-US" w:eastAsia="zh-CN"/>
        </w:rPr>
      </w:pPr>
      <w:bookmarkStart w:id="306" w:name="auto_fouce_33"/>
      <w:r>
        <w:rPr>
          <w:rFonts w:hint="eastAsia" w:ascii="宋体" w:hAnsi="宋体" w:eastAsia="宋体" w:cs="宋体"/>
          <w:color w:val="auto"/>
          <w:sz w:val="21"/>
          <w:szCs w:val="21"/>
          <w:highlight w:val="none"/>
          <w:lang w:val="en-US" w:eastAsia="zh-CN"/>
        </w:rPr>
        <w:t>1．凡与本合同有关的一切争议，甲、乙双方应首先通过友好协商解决，如经协商后仍不能达成协议时，任何一方可以向甲方所在地有管辖权的人民法院提起诉讼。</w:t>
      </w:r>
    </w:p>
    <w:p w14:paraId="5D5FBB39">
      <w:pPr>
        <w:spacing w:line="360" w:lineRule="auto"/>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lang w:val="en-US" w:eastAsia="zh-CN"/>
        </w:rPr>
        <w:t>2．法院审理期间，除提交法院审理的事项外，合同其他部分仍继续履行。</w:t>
      </w:r>
      <w:bookmarkEnd w:id="306"/>
    </w:p>
    <w:p w14:paraId="238975CD">
      <w:pPr>
        <w:spacing w:line="360" w:lineRule="auto"/>
        <w:rPr>
          <w:rFonts w:hint="eastAsia" w:ascii="宋体" w:hAnsi="宋体" w:eastAsia="宋体" w:cs="宋体"/>
          <w:b/>
          <w:bCs/>
          <w:color w:val="auto"/>
          <w:sz w:val="21"/>
          <w:szCs w:val="21"/>
          <w:highlight w:val="none"/>
        </w:rPr>
      </w:pPr>
    </w:p>
    <w:p w14:paraId="359F9649">
      <w:pPr>
        <w:numPr>
          <w:ilvl w:val="0"/>
          <w:numId w:val="27"/>
        </w:numPr>
        <w:spacing w:line="360" w:lineRule="auto"/>
        <w:ind w:left="0" w:leftChars="0" w:firstLine="0" w:firstLineChars="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bidi="ar"/>
        </w:rPr>
        <w:t>其它</w:t>
      </w:r>
    </w:p>
    <w:p w14:paraId="203C7FB2">
      <w:pPr>
        <w:spacing w:line="360" w:lineRule="auto"/>
        <w:ind w:firstLine="0" w:firstLineChars="0"/>
        <w:rPr>
          <w:rFonts w:hint="eastAsia" w:ascii="宋体" w:hAnsi="宋体" w:eastAsia="宋体" w:cs="宋体"/>
          <w:color w:val="auto"/>
          <w:kern w:val="0"/>
          <w:sz w:val="21"/>
          <w:szCs w:val="21"/>
          <w:highlight w:val="none"/>
          <w:lang w:val="en-US" w:eastAsia="zh-CN"/>
        </w:rPr>
      </w:pPr>
      <w:bookmarkStart w:id="307" w:name="auto_fouce_34"/>
      <w:bookmarkEnd w:id="307"/>
      <w:r>
        <w:rPr>
          <w:rFonts w:hint="eastAsia" w:ascii="宋体" w:hAnsi="宋体" w:eastAsia="宋体" w:cs="宋体"/>
          <w:color w:val="auto"/>
          <w:kern w:val="0"/>
          <w:sz w:val="21"/>
          <w:szCs w:val="21"/>
          <w:highlight w:val="none"/>
          <w:lang w:val="en-US" w:eastAsia="zh-CN"/>
        </w:rPr>
        <w:t>1．本合同自双方法定代表人或授权代表签字盖章之日起生效。</w:t>
      </w:r>
    </w:p>
    <w:p w14:paraId="38EFB14A">
      <w:pPr>
        <w:spacing w:line="360" w:lineRule="auto"/>
        <w:ind w:firstLine="0" w:firstLineChars="0"/>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2．本合同正本一式   份，双方各执   份，具有同等法律效力。</w:t>
      </w:r>
    </w:p>
    <w:p w14:paraId="633991B0">
      <w:pPr>
        <w:spacing w:line="360" w:lineRule="auto"/>
        <w:ind w:firstLine="0" w:firstLineChars="0"/>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3．本合同未尽事宜，双方可签订补充合同，补充合同与所有附件均为合同的有效组成部分，与本合同具有同等法律效力。</w:t>
      </w:r>
    </w:p>
    <w:p w14:paraId="63C0E339">
      <w:pPr>
        <w:spacing w:line="360" w:lineRule="auto"/>
        <w:ind w:firstLine="0" w:firstLineChars="0"/>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4．未经甲方书面同意，乙方不得将本合同服务工作转让或委托第三人承担，任何未经授权转让本合同项下服务的行为均属无效。</w:t>
      </w:r>
    </w:p>
    <w:p w14:paraId="66332576">
      <w:pPr>
        <w:spacing w:line="360" w:lineRule="auto"/>
        <w:ind w:firstLine="0" w:firstLineChars="0"/>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5.乙方应无条件满足xx关于信息化开发运维安全管控的有关要求，并不得以此要求增加任何费用。</w:t>
      </w:r>
    </w:p>
    <w:p w14:paraId="72A2D316">
      <w:pPr>
        <w:spacing w:line="360" w:lineRule="auto"/>
        <w:ind w:firstLine="0" w:firstLineChars="0"/>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6．在执行本合同的过程中，所有经双方签署确认的文件（包括会议纪要、补充协议、往来信函）即成为本合同的有效组成部分，其生效日期为双方签字盖章或确认之日期。</w:t>
      </w:r>
    </w:p>
    <w:p w14:paraId="1A30D4B0">
      <w:pPr>
        <w:spacing w:line="360" w:lineRule="auto"/>
        <w:ind w:firstLine="0" w:firstLineChars="0"/>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7．送达有关文书时，如采用邮寄送达的方式，发生收件人拒绝签收或其他无法送达情形的，则从发件人寄出文书之日起3日即视为已经送达。如一方地址、电话、传真号码有变更，应在变更当日内书面通知对方，否则，应承担相应责任。</w:t>
      </w:r>
    </w:p>
    <w:p w14:paraId="734D5717">
      <w:pPr>
        <w:spacing w:line="360" w:lineRule="auto"/>
        <w:ind w:firstLine="0" w:firstLineChars="0"/>
        <w:rPr>
          <w:rFonts w:hint="eastAsia" w:ascii="宋体" w:hAnsi="宋体" w:eastAsia="宋体" w:cs="宋体"/>
          <w:color w:val="auto"/>
          <w:kern w:val="0"/>
          <w:sz w:val="21"/>
          <w:szCs w:val="21"/>
          <w:highlight w:val="none"/>
          <w:lang w:val="en-US" w:eastAsia="zh-CN"/>
        </w:rPr>
      </w:pPr>
    </w:p>
    <w:p w14:paraId="18B49517">
      <w:pPr>
        <w:spacing w:line="360" w:lineRule="auto"/>
        <w:ind w:right="-907" w:rightChars="-432"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rPr>
        <w:t>附件：xxx</w:t>
      </w:r>
    </w:p>
    <w:p w14:paraId="620DC1C1">
      <w:pPr>
        <w:spacing w:line="360" w:lineRule="auto"/>
        <w:ind w:right="-907" w:rightChars="-432"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（以下无正文）</w:t>
      </w:r>
    </w:p>
    <w:p w14:paraId="497559E7">
      <w:pPr>
        <w:spacing w:line="360" w:lineRule="auto"/>
        <w:rPr>
          <w:rFonts w:hint="eastAsia" w:ascii="宋体" w:hAnsi="宋体" w:eastAsia="宋体" w:cs="宋体"/>
          <w:color w:val="auto"/>
          <w:sz w:val="21"/>
          <w:szCs w:val="21"/>
          <w:highlight w:val="none"/>
        </w:rPr>
      </w:pPr>
    </w:p>
    <w:p w14:paraId="05A8DB23">
      <w:pPr>
        <w:spacing w:line="360" w:lineRule="auto"/>
        <w:rPr>
          <w:rFonts w:hint="eastAsia" w:ascii="宋体" w:hAnsi="宋体" w:eastAsia="宋体" w:cs="宋体"/>
          <w:color w:val="auto"/>
          <w:sz w:val="21"/>
          <w:szCs w:val="21"/>
          <w:highlight w:val="none"/>
        </w:rPr>
      </w:pPr>
    </w:p>
    <w:p w14:paraId="34EB8D0B">
      <w:pPr>
        <w:spacing w:line="360" w:lineRule="auto"/>
        <w:rPr>
          <w:rFonts w:hint="eastAsia" w:ascii="宋体" w:hAnsi="宋体" w:eastAsia="宋体" w:cs="宋体"/>
          <w:color w:val="auto"/>
          <w:sz w:val="21"/>
          <w:szCs w:val="21"/>
          <w:highlight w:val="none"/>
        </w:rPr>
      </w:pPr>
    </w:p>
    <w:tbl>
      <w:tblPr>
        <w:tblStyle w:val="4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185"/>
        <w:gridCol w:w="5185"/>
      </w:tblGrid>
      <w:tr w14:paraId="4E985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500" w:type="pct"/>
          </w:tcPr>
          <w:p w14:paraId="7356D25E">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甲方（盖章）：</w:t>
            </w:r>
          </w:p>
        </w:tc>
        <w:tc>
          <w:tcPr>
            <w:tcW w:w="2500" w:type="pct"/>
          </w:tcPr>
          <w:p w14:paraId="64D15AE1">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乙方(盖章)：</w:t>
            </w:r>
          </w:p>
        </w:tc>
      </w:tr>
      <w:tr w14:paraId="78036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5733343">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甲方代表人(签字)：</w:t>
            </w:r>
          </w:p>
        </w:tc>
        <w:tc>
          <w:tcPr>
            <w:tcW w:w="2500" w:type="pct"/>
          </w:tcPr>
          <w:p w14:paraId="6F826256">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乙方代表人(签字)：</w:t>
            </w:r>
          </w:p>
        </w:tc>
      </w:tr>
      <w:tr w14:paraId="618CE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538DAE5">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签字日期：</w:t>
            </w:r>
          </w:p>
        </w:tc>
        <w:tc>
          <w:tcPr>
            <w:tcW w:w="2500" w:type="pct"/>
          </w:tcPr>
          <w:p w14:paraId="61324BA5">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签字日期：</w:t>
            </w:r>
          </w:p>
        </w:tc>
      </w:tr>
      <w:tr w14:paraId="211D4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6368985">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p>
        </w:tc>
        <w:tc>
          <w:tcPr>
            <w:tcW w:w="2500" w:type="pct"/>
          </w:tcPr>
          <w:p w14:paraId="25469DB7">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p>
        </w:tc>
      </w:tr>
      <w:tr w14:paraId="23929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C11531D">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p>
        </w:tc>
        <w:tc>
          <w:tcPr>
            <w:tcW w:w="2500" w:type="pct"/>
          </w:tcPr>
          <w:p w14:paraId="3FAE7A31">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p>
        </w:tc>
      </w:tr>
      <w:tr w14:paraId="7A1DB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8D0A53B">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传真：</w:t>
            </w:r>
          </w:p>
        </w:tc>
        <w:tc>
          <w:tcPr>
            <w:tcW w:w="2500" w:type="pct"/>
          </w:tcPr>
          <w:p w14:paraId="075F9D2E">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传真：</w:t>
            </w:r>
          </w:p>
        </w:tc>
      </w:tr>
      <w:tr w14:paraId="58BB9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03E8345">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开户银行：</w:t>
            </w:r>
          </w:p>
        </w:tc>
        <w:tc>
          <w:tcPr>
            <w:tcW w:w="2500" w:type="pct"/>
          </w:tcPr>
          <w:p w14:paraId="593EC941">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开户银行：</w:t>
            </w:r>
          </w:p>
        </w:tc>
      </w:tr>
      <w:tr w14:paraId="6752F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0C13C10">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银行账户：</w:t>
            </w:r>
          </w:p>
        </w:tc>
        <w:tc>
          <w:tcPr>
            <w:tcW w:w="2500" w:type="pct"/>
          </w:tcPr>
          <w:p w14:paraId="002A06C9">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银行账户：</w:t>
            </w:r>
          </w:p>
        </w:tc>
      </w:tr>
    </w:tbl>
    <w:p w14:paraId="062747D0">
      <w:pPr>
        <w:pageBreakBefore/>
        <w:spacing w:before="120" w:beforeLines="50" w:after="120" w:afterLines="50" w:line="360" w:lineRule="auto"/>
        <w:ind w:firstLine="640"/>
        <w:jc w:val="center"/>
        <w:outlineLvl w:val="2"/>
        <w:rPr>
          <w:rFonts w:hint="eastAsia" w:ascii="宋体" w:hAnsi="宋体" w:eastAsia="宋体" w:cs="宋体"/>
          <w:b/>
          <w:bCs/>
          <w:color w:val="auto"/>
          <w:sz w:val="32"/>
          <w:szCs w:val="32"/>
          <w:highlight w:val="none"/>
          <w:lang w:val="zh-CN"/>
        </w:rPr>
      </w:pPr>
      <w:r>
        <w:rPr>
          <w:rFonts w:hint="eastAsia" w:ascii="宋体" w:hAnsi="宋体" w:eastAsia="宋体" w:cs="宋体"/>
          <w:b/>
          <w:bCs/>
          <w:color w:val="auto"/>
          <w:sz w:val="32"/>
          <w:szCs w:val="32"/>
          <w:highlight w:val="none"/>
          <w:lang w:val="zh-CN"/>
        </w:rPr>
        <w:t>第五篇 相关保函格式</w:t>
      </w:r>
      <w:bookmarkEnd w:id="298"/>
      <w:bookmarkEnd w:id="299"/>
      <w:bookmarkEnd w:id="300"/>
      <w:bookmarkEnd w:id="301"/>
      <w:bookmarkEnd w:id="302"/>
      <w:bookmarkEnd w:id="303"/>
      <w:bookmarkEnd w:id="304"/>
      <w:bookmarkEnd w:id="305"/>
      <w:bookmarkStart w:id="308" w:name="_Toc447045091"/>
      <w:bookmarkStart w:id="309" w:name="_Toc447044480"/>
      <w:bookmarkStart w:id="310" w:name="_Toc447044604"/>
    </w:p>
    <w:bookmarkEnd w:id="308"/>
    <w:bookmarkEnd w:id="309"/>
    <w:bookmarkEnd w:id="310"/>
    <w:p w14:paraId="54D84795">
      <w:pPr>
        <w:autoSpaceDE w:val="0"/>
        <w:autoSpaceDN w:val="0"/>
        <w:adjustRightInd w:val="0"/>
        <w:spacing w:after="120" w:afterLines="50" w:line="360" w:lineRule="auto"/>
        <w:jc w:val="left"/>
        <w:rPr>
          <w:rFonts w:hint="eastAsia" w:ascii="宋体" w:hAnsi="宋体" w:eastAsia="宋体" w:cs="宋体"/>
          <w:b/>
          <w:color w:val="auto"/>
          <w:kern w:val="0"/>
          <w:sz w:val="28"/>
          <w:szCs w:val="28"/>
          <w:highlight w:val="none"/>
        </w:rPr>
      </w:pPr>
      <w:bookmarkStart w:id="311" w:name="_Toc26521_WPSOffice_Level2"/>
      <w:r>
        <w:rPr>
          <w:rFonts w:hint="eastAsia" w:ascii="宋体" w:hAnsi="宋体" w:eastAsia="宋体" w:cs="宋体"/>
          <w:b/>
          <w:color w:val="auto"/>
          <w:kern w:val="0"/>
          <w:sz w:val="28"/>
          <w:szCs w:val="28"/>
          <w:highlight w:val="none"/>
        </w:rPr>
        <w:t>一、不可撤销银行履约保函格式</w:t>
      </w:r>
      <w:bookmarkEnd w:id="311"/>
    </w:p>
    <w:p w14:paraId="78A96AE6">
      <w:pPr>
        <w:autoSpaceDE w:val="0"/>
        <w:autoSpaceDN w:val="0"/>
        <w:adjustRightInd w:val="0"/>
        <w:jc w:val="center"/>
        <w:rPr>
          <w:rFonts w:hint="eastAsia"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rPr>
        <w:t>不可撤销银行履约保函</w:t>
      </w:r>
    </w:p>
    <w:p w14:paraId="564F84BE">
      <w:pPr>
        <w:widowControl/>
        <w:autoSpaceDE w:val="0"/>
        <w:autoSpaceDN w:val="0"/>
        <w:adjustRightInd w:val="0"/>
        <w:spacing w:line="360" w:lineRule="auto"/>
        <w:jc w:val="left"/>
        <w:rPr>
          <w:rFonts w:hint="eastAsia" w:ascii="宋体" w:hAnsi="宋体" w:eastAsia="宋体" w:cs="宋体"/>
          <w:color w:val="auto"/>
          <w:kern w:val="0"/>
          <w:szCs w:val="21"/>
          <w:highlight w:val="none"/>
        </w:rPr>
      </w:pPr>
    </w:p>
    <w:p w14:paraId="1DEE1554">
      <w:pPr>
        <w:autoSpaceDE w:val="0"/>
        <w:autoSpaceDN w:val="0"/>
        <w:adjustRightInd w:val="0"/>
        <w:spacing w:line="360" w:lineRule="auto"/>
        <w:ind w:firstLine="63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银行编号：</w:t>
      </w:r>
    </w:p>
    <w:p w14:paraId="675D4DD7">
      <w:pPr>
        <w:widowControl/>
        <w:autoSpaceDE w:val="0"/>
        <w:autoSpaceDN w:val="0"/>
        <w:adjustRightInd w:val="0"/>
        <w:spacing w:line="360" w:lineRule="auto"/>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致：</w:t>
      </w:r>
      <w:r>
        <w:rPr>
          <w:rFonts w:hint="eastAsia" w:ascii="宋体" w:hAnsi="宋体" w:eastAsia="宋体" w:cs="宋体"/>
          <w:b/>
          <w:color w:val="auto"/>
          <w:kern w:val="0"/>
          <w:szCs w:val="21"/>
          <w:highlight w:val="none"/>
          <w:u w:val="single"/>
        </w:rPr>
        <w:t xml:space="preserve">                    </w:t>
      </w:r>
      <w:r>
        <w:rPr>
          <w:rFonts w:hint="eastAsia" w:ascii="宋体" w:hAnsi="宋体" w:eastAsia="宋体" w:cs="宋体"/>
          <w:color w:val="auto"/>
          <w:kern w:val="0"/>
          <w:szCs w:val="21"/>
          <w:highlight w:val="none"/>
        </w:rPr>
        <w:t>（下称“受益人”）</w:t>
      </w:r>
    </w:p>
    <w:p w14:paraId="63B99CA9">
      <w:pPr>
        <w:widowControl/>
        <w:autoSpaceDE w:val="0"/>
        <w:autoSpaceDN w:val="0"/>
        <w:adjustRightInd w:val="0"/>
        <w:spacing w:line="360" w:lineRule="auto"/>
        <w:ind w:firstLine="567" w:firstLineChars="27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鉴于</w:t>
      </w:r>
      <w:r>
        <w:rPr>
          <w:rFonts w:hint="eastAsia" w:ascii="宋体" w:hAnsi="宋体" w:eastAsia="宋体" w:cs="宋体"/>
          <w:color w:val="auto"/>
          <w:kern w:val="0"/>
          <w:szCs w:val="21"/>
          <w:highlight w:val="none"/>
          <w:u w:val="single"/>
        </w:rPr>
        <w:t xml:space="preserve">  （申请人的名称与地址）  </w:t>
      </w:r>
      <w:r>
        <w:rPr>
          <w:rFonts w:hint="eastAsia" w:ascii="宋体" w:hAnsi="宋体" w:eastAsia="宋体" w:cs="宋体"/>
          <w:color w:val="auto"/>
          <w:kern w:val="0"/>
          <w:szCs w:val="21"/>
          <w:highlight w:val="none"/>
        </w:rPr>
        <w:t>（下称“申请人”），已保证按拟签订的</w:t>
      </w:r>
      <w:r>
        <w:rPr>
          <w:rFonts w:hint="eastAsia" w:ascii="宋体" w:hAnsi="宋体" w:eastAsia="宋体" w:cs="宋体"/>
          <w:color w:val="auto"/>
          <w:kern w:val="0"/>
          <w:szCs w:val="21"/>
          <w:highlight w:val="none"/>
          <w:u w:val="single"/>
        </w:rPr>
        <w:t xml:space="preserve"> 项目名称       （招标编号：         ）</w:t>
      </w:r>
      <w:r>
        <w:rPr>
          <w:rFonts w:hint="eastAsia" w:ascii="宋体" w:hAnsi="宋体" w:eastAsia="宋体" w:cs="宋体"/>
          <w:color w:val="auto"/>
          <w:kern w:val="0"/>
          <w:szCs w:val="21"/>
          <w:highlight w:val="none"/>
        </w:rPr>
        <w:t>合同（招标文件）中规定的义务履行合同。</w:t>
      </w:r>
    </w:p>
    <w:p w14:paraId="35E59231">
      <w:pPr>
        <w:widowControl/>
        <w:autoSpaceDE w:val="0"/>
        <w:autoSpaceDN w:val="0"/>
        <w:adjustRightInd w:val="0"/>
        <w:spacing w:line="360" w:lineRule="auto"/>
        <w:ind w:firstLine="567" w:firstLineChars="27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根据上述合同（招标文件）规定，申请人应向受益人提供一份金额为人民币（大写）</w:t>
      </w:r>
      <w:r>
        <w:rPr>
          <w:rFonts w:hint="eastAsia" w:ascii="宋体" w:hAnsi="宋体" w:eastAsia="宋体" w:cs="宋体"/>
          <w:color w:val="auto"/>
          <w:kern w:val="0"/>
          <w:szCs w:val="21"/>
          <w:highlight w:val="none"/>
          <w:u w:val="single"/>
        </w:rPr>
        <w:t xml:space="preserve">      （RMB元）</w:t>
      </w:r>
      <w:r>
        <w:rPr>
          <w:rFonts w:hint="eastAsia" w:ascii="宋体" w:hAnsi="宋体" w:eastAsia="宋体" w:cs="宋体"/>
          <w:color w:val="auto"/>
          <w:kern w:val="0"/>
          <w:szCs w:val="21"/>
          <w:highlight w:val="none"/>
        </w:rPr>
        <w:t>的无条件、不可撤销银行履约保函，作为申请人履行上述合同的担保。</w:t>
      </w:r>
    </w:p>
    <w:p w14:paraId="6BD88F34">
      <w:pPr>
        <w:widowControl/>
        <w:autoSpaceDE w:val="0"/>
        <w:autoSpaceDN w:val="0"/>
        <w:adjustRightInd w:val="0"/>
        <w:spacing w:line="360" w:lineRule="auto"/>
        <w:ind w:firstLine="567" w:firstLineChars="27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我方</w:t>
      </w:r>
      <w:r>
        <w:rPr>
          <w:rFonts w:hint="eastAsia" w:ascii="宋体" w:hAnsi="宋体" w:eastAsia="宋体" w:cs="宋体"/>
          <w:color w:val="auto"/>
          <w:kern w:val="0"/>
          <w:szCs w:val="21"/>
          <w:highlight w:val="none"/>
          <w:u w:val="single"/>
        </w:rPr>
        <w:t xml:space="preserve">     （银行名称）</w:t>
      </w:r>
      <w:r>
        <w:rPr>
          <w:rFonts w:hint="eastAsia" w:ascii="宋体" w:hAnsi="宋体" w:eastAsia="宋体" w:cs="宋体"/>
          <w:color w:val="auto"/>
          <w:kern w:val="0"/>
          <w:szCs w:val="21"/>
          <w:highlight w:val="none"/>
        </w:rPr>
        <w:t>，受申请人的委托，无条件和不可撤销地在受益人出具本保函原件且提出因申请人没有履行上述合同规定，而要求我方承担保证责任</w:t>
      </w:r>
      <w:r>
        <w:rPr>
          <w:rFonts w:hint="eastAsia" w:ascii="宋体" w:hAnsi="宋体" w:eastAsia="宋体" w:cs="宋体"/>
          <w:color w:val="auto"/>
          <w:kern w:val="0"/>
          <w:szCs w:val="21"/>
          <w:highlight w:val="none"/>
          <w:lang w:val="en-US" w:eastAsia="zh-CN"/>
        </w:rPr>
        <w:t>后，</w:t>
      </w:r>
      <w:r>
        <w:rPr>
          <w:rFonts w:hint="eastAsia" w:ascii="宋体" w:hAnsi="宋体" w:eastAsia="宋体" w:cs="宋体"/>
          <w:color w:val="auto"/>
          <w:kern w:val="0"/>
          <w:szCs w:val="21"/>
          <w:highlight w:val="none"/>
        </w:rPr>
        <w:t>在保函限额内向受益人支付不超过人民币（大写）_________（¥_______元）的款项。</w:t>
      </w:r>
    </w:p>
    <w:p w14:paraId="6800ED50">
      <w:pPr>
        <w:widowControl/>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在向我行提出要求前，我行将不坚持要求受益人首先向申请人提出上述款项的索赔。</w:t>
      </w:r>
    </w:p>
    <w:p w14:paraId="45BBB1EA">
      <w:pPr>
        <w:widowControl/>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我方还同意，任何受益人与申请人之间可能对合同条款的修改、规范或其他合同文件的变动补充，都不能免除我方按本保函所承担的责任。因此，有关上述变动、补充和修改无须通知或征得我方同意。</w:t>
      </w:r>
    </w:p>
    <w:p w14:paraId="12C7251D">
      <w:pPr>
        <w:widowControl/>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本保函应自合同签订之日起至合同期限届满并履行完毕相关服务义务且结算完毕之后二十八（28）日内保持有效。</w:t>
      </w:r>
    </w:p>
    <w:p w14:paraId="7ACFCDB9">
      <w:pPr>
        <w:widowControl/>
        <w:autoSpaceDE w:val="0"/>
        <w:autoSpaceDN w:val="0"/>
        <w:adjustRightInd w:val="0"/>
        <w:spacing w:line="360" w:lineRule="auto"/>
        <w:ind w:firstLine="437"/>
        <w:jc w:val="left"/>
        <w:rPr>
          <w:rFonts w:hint="eastAsia" w:ascii="宋体" w:hAnsi="宋体" w:eastAsia="宋体" w:cs="宋体"/>
          <w:color w:val="auto"/>
          <w:kern w:val="0"/>
          <w:szCs w:val="21"/>
          <w:highlight w:val="none"/>
        </w:rPr>
      </w:pPr>
    </w:p>
    <w:p w14:paraId="70385981">
      <w:pPr>
        <w:widowControl/>
        <w:autoSpaceDE w:val="0"/>
        <w:autoSpaceDN w:val="0"/>
        <w:adjustRightInd w:val="0"/>
        <w:spacing w:line="360" w:lineRule="auto"/>
        <w:ind w:firstLine="2520" w:firstLineChars="1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担 保 银 行：</w:t>
      </w:r>
      <w:r>
        <w:rPr>
          <w:rFonts w:hint="eastAsia" w:ascii="宋体" w:hAnsi="宋体" w:eastAsia="宋体" w:cs="宋体"/>
          <w:color w:val="auto"/>
          <w:kern w:val="0"/>
          <w:szCs w:val="21"/>
          <w:highlight w:val="none"/>
          <w:u w:val="single"/>
        </w:rPr>
        <w:t xml:space="preserve">          银行全称          (盖章)   </w:t>
      </w:r>
    </w:p>
    <w:p w14:paraId="39ED0A1A">
      <w:pPr>
        <w:widowControl/>
        <w:autoSpaceDE w:val="0"/>
        <w:autoSpaceDN w:val="0"/>
        <w:adjustRightInd w:val="0"/>
        <w:spacing w:line="360" w:lineRule="auto"/>
        <w:ind w:firstLine="2520" w:firstLineChars="1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法定代表人或其授权的代表人：</w:t>
      </w:r>
      <w:r>
        <w:rPr>
          <w:rFonts w:hint="eastAsia" w:ascii="宋体" w:hAnsi="宋体" w:eastAsia="宋体" w:cs="宋体"/>
          <w:color w:val="auto"/>
          <w:kern w:val="0"/>
          <w:szCs w:val="21"/>
          <w:highlight w:val="none"/>
          <w:u w:val="single"/>
        </w:rPr>
        <w:t xml:space="preserve">       (职务)         </w:t>
      </w:r>
    </w:p>
    <w:p w14:paraId="13D50EC8">
      <w:pPr>
        <w:widowControl/>
        <w:autoSpaceDE w:val="0"/>
        <w:autoSpaceDN w:val="0"/>
        <w:adjustRightInd w:val="0"/>
        <w:spacing w:line="360" w:lineRule="auto"/>
        <w:ind w:firstLine="5502" w:firstLineChars="262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u w:val="single"/>
        </w:rPr>
        <w:t xml:space="preserve">       (姓名)         </w:t>
      </w:r>
    </w:p>
    <w:p w14:paraId="7380DE38">
      <w:pPr>
        <w:widowControl/>
        <w:autoSpaceDE w:val="0"/>
        <w:autoSpaceDN w:val="0"/>
        <w:adjustRightInd w:val="0"/>
        <w:spacing w:line="360" w:lineRule="auto"/>
        <w:ind w:firstLine="5502" w:firstLineChars="262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u w:val="single"/>
        </w:rPr>
        <w:t xml:space="preserve">       (签章)         </w:t>
      </w:r>
    </w:p>
    <w:p w14:paraId="5D73A284">
      <w:pPr>
        <w:autoSpaceDE w:val="0"/>
        <w:autoSpaceDN w:val="0"/>
        <w:adjustRightInd w:val="0"/>
        <w:spacing w:line="360" w:lineRule="auto"/>
        <w:ind w:left="840"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 xml:space="preserve">                                 </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年</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月</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日</w:t>
      </w:r>
    </w:p>
    <w:p w14:paraId="27B2A1F7">
      <w:pPr>
        <w:widowControl/>
        <w:autoSpaceDE w:val="0"/>
        <w:autoSpaceDN w:val="0"/>
        <w:adjustRightInd w:val="0"/>
        <w:spacing w:line="360" w:lineRule="auto"/>
        <w:jc w:val="left"/>
        <w:rPr>
          <w:rFonts w:hint="eastAsia" w:ascii="宋体" w:hAnsi="宋体" w:eastAsia="宋体" w:cs="宋体"/>
          <w:color w:val="auto"/>
          <w:kern w:val="0"/>
          <w:szCs w:val="21"/>
          <w:highlight w:val="none"/>
        </w:rPr>
      </w:pPr>
    </w:p>
    <w:p w14:paraId="0C45AF04">
      <w:pPr>
        <w:widowControl/>
        <w:autoSpaceDE w:val="0"/>
        <w:autoSpaceDN w:val="0"/>
        <w:adjustRightInd w:val="0"/>
        <w:spacing w:line="360" w:lineRule="auto"/>
        <w:jc w:val="left"/>
        <w:rPr>
          <w:rFonts w:hint="eastAsia" w:ascii="宋体" w:hAnsi="宋体" w:eastAsia="宋体" w:cs="宋体"/>
          <w:color w:val="auto"/>
          <w:kern w:val="0"/>
          <w:szCs w:val="21"/>
          <w:highlight w:val="none"/>
        </w:rPr>
      </w:pPr>
    </w:p>
    <w:p w14:paraId="6D572407">
      <w:pPr>
        <w:autoSpaceDE w:val="0"/>
        <w:autoSpaceDN w:val="0"/>
        <w:adjustRightInd w:val="0"/>
        <w:spacing w:line="360" w:lineRule="auto"/>
        <w:ind w:right="368" w:rightChars="175"/>
        <w:jc w:val="left"/>
        <w:rPr>
          <w:rFonts w:hint="eastAsia" w:ascii="宋体" w:hAnsi="宋体" w:eastAsia="宋体" w:cs="宋体"/>
          <w:color w:val="auto"/>
          <w:kern w:val="0"/>
          <w:szCs w:val="21"/>
          <w:highlight w:val="none"/>
        </w:rPr>
        <w:sectPr>
          <w:footerReference r:id="rId4" w:type="first"/>
          <w:footerReference r:id="rId3" w:type="default"/>
          <w:pgSz w:w="12240" w:h="15840"/>
          <w:pgMar w:top="1191" w:right="1043" w:bottom="1191" w:left="1043" w:header="720" w:footer="720" w:gutter="0"/>
          <w:cols w:space="720" w:num="1"/>
          <w:titlePg/>
          <w:docGrid w:linePitch="326" w:charSpace="0"/>
        </w:sectPr>
      </w:pPr>
    </w:p>
    <w:p w14:paraId="5CC2E35D">
      <w:pPr>
        <w:numPr>
          <w:ilvl w:val="0"/>
          <w:numId w:val="0"/>
        </w:numPr>
        <w:rPr>
          <w:rFonts w:hint="eastAsia" w:ascii="宋体" w:hAnsi="宋体" w:eastAsia="宋体" w:cs="宋体"/>
          <w:b/>
          <w:color w:val="auto"/>
          <w:kern w:val="0"/>
          <w:sz w:val="28"/>
          <w:szCs w:val="28"/>
          <w:highlight w:val="none"/>
          <w:lang w:val="en-US" w:eastAsia="zh-CN"/>
        </w:rPr>
      </w:pPr>
      <w:r>
        <w:rPr>
          <w:rFonts w:hint="eastAsia" w:ascii="宋体" w:hAnsi="宋体" w:eastAsia="宋体" w:cs="宋体"/>
          <w:b/>
          <w:color w:val="auto"/>
          <w:kern w:val="0"/>
          <w:sz w:val="28"/>
          <w:szCs w:val="28"/>
          <w:highlight w:val="none"/>
          <w:lang w:val="en-US" w:eastAsia="zh-CN" w:bidi="ar-SA"/>
        </w:rPr>
        <w:t>二、</w:t>
      </w:r>
      <w:r>
        <w:rPr>
          <w:rFonts w:hint="eastAsia" w:ascii="宋体" w:hAnsi="宋体" w:eastAsia="宋体" w:cs="宋体"/>
          <w:b/>
          <w:color w:val="auto"/>
          <w:kern w:val="0"/>
          <w:sz w:val="28"/>
          <w:szCs w:val="28"/>
          <w:highlight w:val="none"/>
          <w:lang w:val="en-US" w:eastAsia="zh-CN"/>
        </w:rPr>
        <w:t>履约保证保险凭证格式</w:t>
      </w:r>
    </w:p>
    <w:p w14:paraId="284DDCD9">
      <w:pPr>
        <w:autoSpaceDE w:val="0"/>
        <w:autoSpaceDN w:val="0"/>
        <w:adjustRightInd w:val="0"/>
        <w:jc w:val="center"/>
        <w:rPr>
          <w:rFonts w:hint="eastAsia" w:ascii="宋体" w:hAnsi="宋体" w:eastAsia="宋体" w:cs="宋体"/>
          <w:b/>
          <w:color w:val="auto"/>
          <w:kern w:val="0"/>
          <w:sz w:val="30"/>
          <w:szCs w:val="30"/>
          <w:highlight w:val="none"/>
          <w:lang w:val="en-US" w:eastAsia="zh-CN"/>
        </w:rPr>
      </w:pPr>
    </w:p>
    <w:p w14:paraId="1D494380">
      <w:pPr>
        <w:autoSpaceDE w:val="0"/>
        <w:autoSpaceDN w:val="0"/>
        <w:adjustRightInd w:val="0"/>
        <w:jc w:val="center"/>
        <w:rPr>
          <w:rFonts w:hint="eastAsia" w:ascii="宋体" w:hAnsi="宋体" w:eastAsia="宋体" w:cs="宋体"/>
          <w:b/>
          <w:color w:val="auto"/>
          <w:kern w:val="0"/>
          <w:sz w:val="30"/>
          <w:szCs w:val="30"/>
          <w:highlight w:val="none"/>
          <w:lang w:val="en-US" w:eastAsia="zh-CN"/>
        </w:rPr>
      </w:pPr>
      <w:r>
        <w:rPr>
          <w:rFonts w:hint="eastAsia" w:ascii="宋体" w:hAnsi="宋体" w:eastAsia="宋体" w:cs="宋体"/>
          <w:b/>
          <w:color w:val="auto"/>
          <w:kern w:val="0"/>
          <w:sz w:val="30"/>
          <w:szCs w:val="30"/>
          <w:highlight w:val="none"/>
          <w:lang w:val="en-US" w:eastAsia="zh-CN"/>
        </w:rPr>
        <w:t>履约保证保险凭证</w:t>
      </w:r>
    </w:p>
    <w:p w14:paraId="49359066">
      <w:pPr>
        <w:autoSpaceDE w:val="0"/>
        <w:autoSpaceDN w:val="0"/>
        <w:adjustRightInd w:val="0"/>
        <w:spacing w:line="360" w:lineRule="auto"/>
        <w:ind w:firstLine="437"/>
        <w:jc w:val="cente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 xml:space="preserve">                                      </w:t>
      </w:r>
    </w:p>
    <w:p w14:paraId="3792565F">
      <w:pPr>
        <w:autoSpaceDE w:val="0"/>
        <w:autoSpaceDN w:val="0"/>
        <w:adjustRightInd w:val="0"/>
        <w:spacing w:line="360" w:lineRule="auto"/>
        <w:ind w:firstLine="437"/>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                               编号：</w:t>
      </w:r>
    </w:p>
    <w:p w14:paraId="16829255">
      <w:pPr>
        <w:autoSpaceDE w:val="0"/>
        <w:autoSpaceDN w:val="0"/>
        <w:adjustRightInd w:val="0"/>
        <w:spacing w:line="360" w:lineRule="auto"/>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致：</w:t>
      </w:r>
      <w:r>
        <w:rPr>
          <w:rFonts w:hint="eastAsia" w:ascii="宋体" w:hAnsi="宋体" w:eastAsia="宋体" w:cs="宋体"/>
          <w:b/>
          <w:color w:val="auto"/>
          <w:kern w:val="0"/>
          <w:szCs w:val="21"/>
          <w:highlight w:val="none"/>
          <w:u w:val="single"/>
        </w:rPr>
        <w:t xml:space="preserve">                    </w:t>
      </w:r>
      <w:r>
        <w:rPr>
          <w:rFonts w:hint="eastAsia" w:ascii="宋体" w:hAnsi="宋体" w:eastAsia="宋体" w:cs="宋体"/>
          <w:color w:val="auto"/>
          <w:kern w:val="0"/>
          <w:szCs w:val="21"/>
          <w:highlight w:val="none"/>
          <w:lang w:val="en-US" w:eastAsia="zh-CN"/>
        </w:rPr>
        <w:t xml:space="preserve">（下称“受益人”）： </w:t>
      </w:r>
    </w:p>
    <w:p w14:paraId="56043074">
      <w:pPr>
        <w:autoSpaceDE w:val="0"/>
        <w:autoSpaceDN w:val="0"/>
        <w:adjustRightInd w:val="0"/>
        <w:spacing w:line="360" w:lineRule="auto"/>
        <w:ind w:firstLine="437"/>
        <w:jc w:val="left"/>
        <w:rPr>
          <w:rFonts w:hint="eastAsia" w:ascii="宋体" w:hAnsi="宋体" w:eastAsia="宋体" w:cs="宋体"/>
          <w:color w:val="auto"/>
          <w:kern w:val="0"/>
          <w:szCs w:val="21"/>
          <w:highlight w:val="none"/>
          <w:lang w:val="en-US" w:eastAsia="zh-CN"/>
        </w:rPr>
      </w:pPr>
    </w:p>
    <w:p w14:paraId="48D33ABC">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鉴于</w:t>
      </w:r>
      <w:r>
        <w:rPr>
          <w:rFonts w:hint="eastAsia" w:ascii="宋体" w:hAnsi="宋体" w:eastAsia="宋体" w:cs="宋体"/>
          <w:b/>
          <w:color w:val="auto"/>
          <w:kern w:val="0"/>
          <w:szCs w:val="21"/>
          <w:highlight w:val="none"/>
          <w:u w:val="single"/>
        </w:rPr>
        <w:t xml:space="preserve">                    </w:t>
      </w:r>
      <w:r>
        <w:rPr>
          <w:rFonts w:hint="eastAsia" w:ascii="宋体" w:hAnsi="宋体" w:eastAsia="宋体" w:cs="宋体"/>
          <w:color w:val="auto"/>
          <w:kern w:val="0"/>
          <w:szCs w:val="21"/>
          <w:highlight w:val="none"/>
          <w:lang w:val="en-US" w:eastAsia="zh-CN"/>
        </w:rPr>
        <w:t>（下称“申请人”）已与贵方签订了</w:t>
      </w:r>
      <w:r>
        <w:rPr>
          <w:rFonts w:hint="eastAsia" w:ascii="宋体" w:hAnsi="宋体" w:eastAsia="宋体" w:cs="宋体"/>
          <w:color w:val="auto"/>
          <w:kern w:val="0"/>
          <w:szCs w:val="21"/>
          <w:highlight w:val="none"/>
          <w:u w:val="single"/>
        </w:rPr>
        <w:t xml:space="preserve">         项目（招标编号：        ）</w:t>
      </w:r>
      <w:r>
        <w:rPr>
          <w:rFonts w:hint="eastAsia" w:ascii="宋体" w:hAnsi="宋体" w:eastAsia="宋体" w:cs="宋体"/>
          <w:color w:val="auto"/>
          <w:kern w:val="0"/>
          <w:szCs w:val="21"/>
          <w:highlight w:val="none"/>
        </w:rPr>
        <w:t>合同</w:t>
      </w:r>
      <w:r>
        <w:rPr>
          <w:rFonts w:hint="eastAsia" w:ascii="宋体" w:hAnsi="宋体" w:eastAsia="宋体" w:cs="宋体"/>
          <w:color w:val="auto"/>
          <w:kern w:val="0"/>
          <w:szCs w:val="21"/>
          <w:highlight w:val="none"/>
          <w:lang w:val="en-US" w:eastAsia="zh-CN"/>
        </w:rPr>
        <w:t xml:space="preserve">。我方已接受申请人的请求，并出具《履约保证保险》保险单。 </w:t>
      </w:r>
    </w:p>
    <w:p w14:paraId="1EFEDC95">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一、保证保险金额 </w:t>
      </w:r>
    </w:p>
    <w:p w14:paraId="060AE405">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我方承担的履约保证保险的保险金额（最高限额）为人民币（大写）</w:t>
      </w:r>
      <w:r>
        <w:rPr>
          <w:rFonts w:hint="eastAsia" w:ascii="宋体" w:hAnsi="宋体" w:eastAsia="宋体" w:cs="宋体"/>
          <w:b/>
          <w:color w:val="auto"/>
          <w:kern w:val="0"/>
          <w:szCs w:val="21"/>
          <w:highlight w:val="none"/>
          <w:u w:val="single"/>
        </w:rPr>
        <w:t xml:space="preserve">                </w:t>
      </w:r>
      <w:r>
        <w:rPr>
          <w:rFonts w:hint="eastAsia" w:ascii="宋体" w:hAnsi="宋体" w:eastAsia="宋体" w:cs="宋体"/>
          <w:color w:val="auto"/>
          <w:kern w:val="0"/>
          <w:szCs w:val="21"/>
          <w:highlight w:val="none"/>
          <w:lang w:val="en-US" w:eastAsia="zh-CN"/>
        </w:rPr>
        <w:t>元 （¥</w:t>
      </w:r>
      <w:r>
        <w:rPr>
          <w:rFonts w:hint="eastAsia" w:ascii="宋体" w:hAnsi="宋体" w:eastAsia="宋体" w:cs="宋体"/>
          <w:b/>
          <w:color w:val="auto"/>
          <w:kern w:val="0"/>
          <w:szCs w:val="21"/>
          <w:highlight w:val="none"/>
          <w:u w:val="single"/>
        </w:rPr>
        <w:t xml:space="preserve">               </w:t>
      </w:r>
      <w:r>
        <w:rPr>
          <w:rFonts w:hint="eastAsia" w:ascii="宋体" w:hAnsi="宋体" w:eastAsia="宋体" w:cs="宋体"/>
          <w:color w:val="auto"/>
          <w:kern w:val="0"/>
          <w:szCs w:val="21"/>
          <w:highlight w:val="none"/>
          <w:lang w:val="en-US" w:eastAsia="zh-CN"/>
        </w:rPr>
        <w:t xml:space="preserve"> ）。 </w:t>
      </w:r>
    </w:p>
    <w:p w14:paraId="7FED5F98">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二、保证保险的责任范围 </w:t>
      </w:r>
    </w:p>
    <w:p w14:paraId="0AAE4A27">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在保险期间内，申请人因自身原因未按照与贵方签订的</w:t>
      </w:r>
      <w:r>
        <w:rPr>
          <w:rFonts w:hint="eastAsia" w:ascii="宋体" w:hAnsi="宋体" w:eastAsia="宋体" w:cs="宋体"/>
          <w:color w:val="auto"/>
          <w:kern w:val="0"/>
          <w:szCs w:val="21"/>
          <w:highlight w:val="none"/>
          <w:u w:val="single"/>
        </w:rPr>
        <w:t xml:space="preserve">         项目（招标编号：        ）</w:t>
      </w:r>
      <w:r>
        <w:rPr>
          <w:rFonts w:hint="eastAsia" w:ascii="宋体" w:hAnsi="宋体" w:eastAsia="宋体" w:cs="宋体"/>
          <w:color w:val="auto"/>
          <w:kern w:val="0"/>
          <w:szCs w:val="21"/>
          <w:highlight w:val="none"/>
        </w:rPr>
        <w:t>合同</w:t>
      </w:r>
      <w:r>
        <w:rPr>
          <w:rFonts w:hint="eastAsia" w:ascii="宋体" w:hAnsi="宋体" w:eastAsia="宋体" w:cs="宋体"/>
          <w:color w:val="auto"/>
          <w:kern w:val="0"/>
          <w:szCs w:val="21"/>
          <w:highlight w:val="none"/>
          <w:lang w:val="en-US" w:eastAsia="zh-CN"/>
        </w:rPr>
        <w:t xml:space="preserve">履行相关义务，给贵方造成损失的，贵方可向我方提出索赔，我方按照保险合同的约定承担损失赔偿责任。 </w:t>
      </w:r>
    </w:p>
    <w:p w14:paraId="16933508">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三、代偿的安排 </w:t>
      </w:r>
    </w:p>
    <w:p w14:paraId="3E10B7D1">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贵方要求我方承担保证保险责任的，我方无条件和不可撤销地在贵方出具本履约保证保险原件且提出因申请人没有履行上述合同规定，而要求我方承担保证责任后，在保险限额内向贵方支付不超过人民币（大写）_________（¥_______元）的款项。</w:t>
      </w:r>
    </w:p>
    <w:p w14:paraId="3CED9710">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四、生效时间 </w:t>
      </w:r>
    </w:p>
    <w:p w14:paraId="27968CF8">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本保险凭证自我方法定代表人（或其授权代理人）签字并加盖保险承保章之日起生效。 </w:t>
      </w:r>
    </w:p>
    <w:p w14:paraId="37490FFF">
      <w:pPr>
        <w:numPr>
          <w:ilvl w:val="0"/>
          <w:numId w:val="0"/>
        </w:numPr>
        <w:autoSpaceDE w:val="0"/>
        <w:autoSpaceDN w:val="0"/>
        <w:adjustRightInd w:val="0"/>
        <w:spacing w:line="360" w:lineRule="auto"/>
        <w:ind w:firstLine="437" w:firstLineChars="0"/>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 w:val="21"/>
          <w:szCs w:val="21"/>
          <w:highlight w:val="none"/>
          <w:lang w:val="en-US" w:eastAsia="zh-CN" w:bidi="ar-SA"/>
        </w:rPr>
        <w:t>五、</w:t>
      </w:r>
      <w:r>
        <w:rPr>
          <w:rFonts w:hint="eastAsia" w:ascii="宋体" w:hAnsi="宋体" w:eastAsia="宋体" w:cs="宋体"/>
          <w:color w:val="auto"/>
          <w:kern w:val="0"/>
          <w:szCs w:val="21"/>
          <w:highlight w:val="none"/>
          <w:lang w:val="en-US" w:eastAsia="zh-CN"/>
        </w:rPr>
        <w:t>其他</w:t>
      </w:r>
    </w:p>
    <w:p w14:paraId="68E374F3">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本</w:t>
      </w:r>
      <w:r>
        <w:rPr>
          <w:rFonts w:hint="eastAsia" w:ascii="宋体" w:hAnsi="宋体" w:eastAsia="宋体" w:cs="宋体"/>
          <w:color w:val="auto"/>
          <w:kern w:val="0"/>
          <w:szCs w:val="21"/>
          <w:highlight w:val="none"/>
          <w:lang w:val="en-US" w:eastAsia="zh-CN"/>
        </w:rPr>
        <w:t>履约保证保险</w:t>
      </w:r>
      <w:r>
        <w:rPr>
          <w:rFonts w:hint="eastAsia" w:ascii="宋体" w:hAnsi="宋体" w:eastAsia="宋体" w:cs="宋体"/>
          <w:color w:val="auto"/>
          <w:kern w:val="0"/>
          <w:szCs w:val="21"/>
          <w:highlight w:val="none"/>
        </w:rPr>
        <w:t>应自合同签订之日起至合同期限届满并履行完毕相关服务义务且结算完毕之后二十八（28）日内保持有效。</w:t>
      </w:r>
    </w:p>
    <w:p w14:paraId="17691527">
      <w:pPr>
        <w:pStyle w:val="6"/>
        <w:numPr>
          <w:ilvl w:val="0"/>
          <w:numId w:val="0"/>
        </w:numPr>
        <w:rPr>
          <w:rFonts w:hint="eastAsia" w:ascii="宋体" w:hAnsi="宋体" w:eastAsia="宋体" w:cs="宋体"/>
          <w:color w:val="auto"/>
          <w:highlight w:val="none"/>
          <w:lang w:val="en-US" w:eastAsia="zh-CN"/>
        </w:rPr>
      </w:pPr>
    </w:p>
    <w:p w14:paraId="5A10C2A0">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附：《XXX 保险有限公司履约保证保险（X 款）条款》及保单 </w:t>
      </w:r>
    </w:p>
    <w:p w14:paraId="4062240A">
      <w:pPr>
        <w:autoSpaceDE w:val="0"/>
        <w:autoSpaceDN w:val="0"/>
        <w:adjustRightInd w:val="0"/>
        <w:spacing w:line="360" w:lineRule="auto"/>
        <w:ind w:firstLine="437"/>
        <w:jc w:val="cente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 xml:space="preserve">                                     </w:t>
      </w:r>
    </w:p>
    <w:p w14:paraId="5792FCFF">
      <w:pPr>
        <w:autoSpaceDE w:val="0"/>
        <w:autoSpaceDN w:val="0"/>
        <w:adjustRightInd w:val="0"/>
        <w:spacing w:line="360" w:lineRule="auto"/>
        <w:ind w:firstLine="437"/>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                                      保险人：（盖章）</w:t>
      </w:r>
    </w:p>
    <w:p w14:paraId="4263CDFF">
      <w:pPr>
        <w:autoSpaceDE w:val="0"/>
        <w:autoSpaceDN w:val="0"/>
        <w:adjustRightInd w:val="0"/>
        <w:spacing w:line="360" w:lineRule="auto"/>
        <w:ind w:firstLine="437"/>
        <w:jc w:val="righ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法定代表人或授权代理人：________ </w:t>
      </w:r>
    </w:p>
    <w:p w14:paraId="03D7B551">
      <w:pPr>
        <w:autoSpaceDE w:val="0"/>
        <w:autoSpaceDN w:val="0"/>
        <w:adjustRightInd w:val="0"/>
        <w:spacing w:line="360" w:lineRule="auto"/>
        <w:ind w:firstLine="437"/>
        <w:jc w:val="righ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年 月 日</w:t>
      </w:r>
    </w:p>
    <w:p w14:paraId="48617486">
      <w:pPr>
        <w:widowControl/>
        <w:autoSpaceDE w:val="0"/>
        <w:autoSpaceDN w:val="0"/>
        <w:adjustRightInd w:val="0"/>
        <w:spacing w:before="100" w:beforeAutospacing="1" w:after="100" w:afterAutospacing="1" w:line="360" w:lineRule="auto"/>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br w:type="page"/>
      </w:r>
    </w:p>
    <w:p w14:paraId="551CD494">
      <w:pPr>
        <w:autoSpaceDE w:val="0"/>
        <w:autoSpaceDN w:val="0"/>
        <w:adjustRightInd w:val="0"/>
        <w:spacing w:after="120" w:afterLines="50" w:line="360" w:lineRule="auto"/>
        <w:jc w:val="left"/>
        <w:rPr>
          <w:rFonts w:hint="eastAsia"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rPr>
        <w:t>三</w:t>
      </w:r>
      <w:r>
        <w:rPr>
          <w:rFonts w:hint="eastAsia" w:ascii="宋体" w:hAnsi="宋体" w:eastAsia="宋体" w:cs="宋体"/>
          <w:b/>
          <w:color w:val="auto"/>
          <w:kern w:val="0"/>
          <w:sz w:val="28"/>
          <w:szCs w:val="28"/>
          <w:highlight w:val="none"/>
        </w:rPr>
        <w:t>、担保公司履约担保书格式</w:t>
      </w:r>
    </w:p>
    <w:p w14:paraId="7B19E212">
      <w:pPr>
        <w:autoSpaceDE w:val="0"/>
        <w:autoSpaceDN w:val="0"/>
        <w:adjustRightInd w:val="0"/>
        <w:jc w:val="center"/>
        <w:rPr>
          <w:rFonts w:hint="eastAsia"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rPr>
        <w:t>担保公司履约担保书</w:t>
      </w:r>
    </w:p>
    <w:p w14:paraId="146A6786">
      <w:pPr>
        <w:widowControl/>
        <w:autoSpaceDE w:val="0"/>
        <w:autoSpaceDN w:val="0"/>
        <w:adjustRightInd w:val="0"/>
        <w:spacing w:before="100" w:beforeAutospacing="1" w:after="100" w:afterAutospacing="1" w:line="360" w:lineRule="auto"/>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致：</w:t>
      </w:r>
      <w:r>
        <w:rPr>
          <w:rFonts w:hint="eastAsia" w:ascii="宋体" w:hAnsi="宋体" w:eastAsia="宋体" w:cs="宋体"/>
          <w:b/>
          <w:color w:val="auto"/>
          <w:kern w:val="0"/>
          <w:szCs w:val="21"/>
          <w:highlight w:val="none"/>
          <w:u w:val="single"/>
        </w:rPr>
        <w:t xml:space="preserve">                    </w:t>
      </w:r>
      <w:r>
        <w:rPr>
          <w:rFonts w:hint="eastAsia" w:ascii="宋体" w:hAnsi="宋体" w:eastAsia="宋体" w:cs="宋体"/>
          <w:color w:val="auto"/>
          <w:kern w:val="0"/>
          <w:szCs w:val="21"/>
          <w:highlight w:val="none"/>
        </w:rPr>
        <w:t>（下称“受益人”）</w:t>
      </w:r>
    </w:p>
    <w:p w14:paraId="50566E89">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鉴于</w:t>
      </w:r>
      <w:r>
        <w:rPr>
          <w:rFonts w:hint="eastAsia" w:ascii="宋体" w:hAnsi="宋体" w:eastAsia="宋体" w:cs="宋体"/>
          <w:color w:val="auto"/>
          <w:kern w:val="0"/>
          <w:szCs w:val="21"/>
          <w:highlight w:val="none"/>
          <w:u w:val="single"/>
        </w:rPr>
        <w:t xml:space="preserve">  （申请人的名称与地址）  </w:t>
      </w:r>
      <w:r>
        <w:rPr>
          <w:rFonts w:hint="eastAsia" w:ascii="宋体" w:hAnsi="宋体" w:eastAsia="宋体" w:cs="宋体"/>
          <w:color w:val="auto"/>
          <w:kern w:val="0"/>
          <w:szCs w:val="21"/>
          <w:highlight w:val="none"/>
        </w:rPr>
        <w:t>（下称“申请人”），已保证按拟签订的</w:t>
      </w:r>
      <w:r>
        <w:rPr>
          <w:rFonts w:hint="eastAsia" w:ascii="宋体" w:hAnsi="宋体" w:eastAsia="宋体" w:cs="宋体"/>
          <w:color w:val="auto"/>
          <w:kern w:val="0"/>
          <w:szCs w:val="21"/>
          <w:highlight w:val="none"/>
          <w:u w:val="single"/>
        </w:rPr>
        <w:t xml:space="preserve">          项目（招标编号：        ）</w:t>
      </w:r>
      <w:r>
        <w:rPr>
          <w:rFonts w:hint="eastAsia" w:ascii="宋体" w:hAnsi="宋体" w:eastAsia="宋体" w:cs="宋体"/>
          <w:color w:val="auto"/>
          <w:kern w:val="0"/>
          <w:szCs w:val="21"/>
          <w:highlight w:val="none"/>
        </w:rPr>
        <w:t>合同（招标文件）中规定的义务履行合同。</w:t>
      </w:r>
    </w:p>
    <w:p w14:paraId="74DE6C5A">
      <w:pPr>
        <w:widowControl/>
        <w:autoSpaceDE w:val="0"/>
        <w:autoSpaceDN w:val="0"/>
        <w:adjustRightInd w:val="0"/>
        <w:spacing w:line="360" w:lineRule="auto"/>
        <w:ind w:firstLine="567" w:firstLineChars="27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根据上述合同（招标文件）规定，申请人应向受益人提供一份金额为人民币（大写）</w:t>
      </w:r>
      <w:r>
        <w:rPr>
          <w:rFonts w:hint="eastAsia" w:ascii="宋体" w:hAnsi="宋体" w:eastAsia="宋体" w:cs="宋体"/>
          <w:color w:val="auto"/>
          <w:kern w:val="0"/>
          <w:szCs w:val="21"/>
          <w:highlight w:val="none"/>
          <w:u w:val="single"/>
        </w:rPr>
        <w:t xml:space="preserve">     （RMB元）</w:t>
      </w:r>
      <w:r>
        <w:rPr>
          <w:rFonts w:hint="eastAsia" w:ascii="宋体" w:hAnsi="宋体" w:eastAsia="宋体" w:cs="宋体"/>
          <w:color w:val="auto"/>
          <w:kern w:val="0"/>
          <w:szCs w:val="21"/>
          <w:highlight w:val="none"/>
        </w:rPr>
        <w:t>的无条件、</w:t>
      </w:r>
      <w:r>
        <w:rPr>
          <w:rFonts w:hint="eastAsia" w:ascii="宋体" w:hAnsi="宋体" w:eastAsia="宋体" w:cs="宋体"/>
          <w:bCs/>
          <w:color w:val="auto"/>
          <w:kern w:val="0"/>
          <w:szCs w:val="21"/>
          <w:highlight w:val="none"/>
        </w:rPr>
        <w:t>不可撤销</w:t>
      </w:r>
      <w:r>
        <w:rPr>
          <w:rFonts w:hint="eastAsia" w:ascii="宋体" w:hAnsi="宋体" w:eastAsia="宋体" w:cs="宋体"/>
          <w:color w:val="auto"/>
          <w:kern w:val="0"/>
          <w:szCs w:val="21"/>
          <w:highlight w:val="none"/>
        </w:rPr>
        <w:t>履约担保，作为申请人履行上述合同的担保，</w:t>
      </w:r>
      <w:r>
        <w:rPr>
          <w:rFonts w:hint="eastAsia" w:ascii="宋体" w:hAnsi="宋体" w:eastAsia="宋体" w:cs="宋体"/>
          <w:color w:val="auto"/>
          <w:kern w:val="0"/>
          <w:szCs w:val="21"/>
          <w:highlight w:val="none"/>
          <w:lang w:eastAsia="zh-Hans"/>
        </w:rPr>
        <w:t>我方</w:t>
      </w:r>
      <w:r>
        <w:rPr>
          <w:rFonts w:hint="eastAsia" w:ascii="宋体" w:hAnsi="宋体" w:eastAsia="宋体" w:cs="宋体"/>
          <w:color w:val="auto"/>
          <w:kern w:val="0"/>
          <w:szCs w:val="21"/>
          <w:highlight w:val="none"/>
          <w:u w:val="single"/>
        </w:rPr>
        <w:t xml:space="preserve">  （担保公司名称）  </w:t>
      </w:r>
      <w:r>
        <w:rPr>
          <w:rFonts w:hint="eastAsia" w:ascii="宋体" w:hAnsi="宋体" w:eastAsia="宋体" w:cs="宋体"/>
          <w:color w:val="auto"/>
          <w:kern w:val="0"/>
          <w:szCs w:val="21"/>
          <w:highlight w:val="none"/>
        </w:rPr>
        <w:t>在</w:t>
      </w:r>
      <w:r>
        <w:rPr>
          <w:rFonts w:hint="eastAsia" w:ascii="宋体" w:hAnsi="宋体" w:eastAsia="宋体" w:cs="宋体"/>
          <w:color w:val="auto"/>
          <w:kern w:val="0"/>
          <w:szCs w:val="21"/>
          <w:highlight w:val="none"/>
          <w:lang w:eastAsia="zh-Hans"/>
        </w:rPr>
        <w:t>本合同项下的保证责任为连带责任保证</w:t>
      </w:r>
      <w:r>
        <w:rPr>
          <w:rFonts w:hint="eastAsia" w:ascii="宋体" w:hAnsi="宋体" w:eastAsia="宋体" w:cs="宋体"/>
          <w:color w:val="auto"/>
          <w:kern w:val="0"/>
          <w:szCs w:val="21"/>
          <w:highlight w:val="none"/>
        </w:rPr>
        <w:t>。</w:t>
      </w:r>
    </w:p>
    <w:p w14:paraId="20397852">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我方</w:t>
      </w:r>
      <w:r>
        <w:rPr>
          <w:rFonts w:hint="eastAsia" w:ascii="宋体" w:hAnsi="宋体" w:eastAsia="宋体" w:cs="宋体"/>
          <w:color w:val="auto"/>
          <w:kern w:val="0"/>
          <w:szCs w:val="21"/>
          <w:highlight w:val="none"/>
          <w:u w:val="single"/>
        </w:rPr>
        <w:t xml:space="preserve">  （担保公司名称）  </w:t>
      </w:r>
      <w:r>
        <w:rPr>
          <w:rFonts w:hint="eastAsia" w:ascii="宋体" w:hAnsi="宋体" w:eastAsia="宋体" w:cs="宋体"/>
          <w:color w:val="auto"/>
          <w:kern w:val="0"/>
          <w:szCs w:val="21"/>
          <w:highlight w:val="none"/>
        </w:rPr>
        <w:t>，受申请人的委托，无条件和不可撤销地在受益人出具本担保书原件且提出因申请人没有履行上述合同规定，在担保书限额内向受益人支付不超过人民币（大写）_________（¥_______元）的款项。</w:t>
      </w:r>
    </w:p>
    <w:p w14:paraId="2934D44E">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我方还同意，任何受益人与申请人之间可能对合同条款的修改、规范或其他合同文件的变动补充，都不能免除我方按本担保函所承担的责任。因此，有关上述变动、补充和修改无须通知或征得我方同意。</w:t>
      </w:r>
    </w:p>
    <w:p w14:paraId="470DC199">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本保函应自合同签订之日起至合同期限届满并履行完毕相关服务义务且结算完毕之后二十八（28）日内保持有效。</w:t>
      </w:r>
    </w:p>
    <w:p w14:paraId="7542A791">
      <w:pPr>
        <w:autoSpaceDE w:val="0"/>
        <w:autoSpaceDN w:val="0"/>
        <w:adjustRightInd w:val="0"/>
        <w:spacing w:line="360" w:lineRule="auto"/>
        <w:jc w:val="left"/>
        <w:rPr>
          <w:rFonts w:hint="eastAsia" w:ascii="宋体" w:hAnsi="宋体" w:eastAsia="宋体" w:cs="宋体"/>
          <w:color w:val="auto"/>
          <w:kern w:val="0"/>
          <w:szCs w:val="21"/>
          <w:highlight w:val="none"/>
        </w:rPr>
      </w:pPr>
    </w:p>
    <w:p w14:paraId="2167B402">
      <w:pPr>
        <w:autoSpaceDE w:val="0"/>
        <w:autoSpaceDN w:val="0"/>
        <w:adjustRightInd w:val="0"/>
        <w:spacing w:line="360" w:lineRule="auto"/>
        <w:ind w:firstLine="3990" w:firstLineChars="19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法定代表人或其授权的代理人：（签字或盖私章）</w:t>
      </w:r>
    </w:p>
    <w:p w14:paraId="093C186B">
      <w:pPr>
        <w:autoSpaceDE w:val="0"/>
        <w:autoSpaceDN w:val="0"/>
        <w:adjustRightInd w:val="0"/>
        <w:spacing w:line="360" w:lineRule="auto"/>
        <w:ind w:firstLine="3990" w:firstLineChars="19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担保公司盖章：</w:t>
      </w:r>
    </w:p>
    <w:p w14:paraId="663EEB8F">
      <w:pPr>
        <w:autoSpaceDE w:val="0"/>
        <w:autoSpaceDN w:val="0"/>
        <w:adjustRightInd w:val="0"/>
        <w:spacing w:line="360" w:lineRule="auto"/>
        <w:ind w:firstLine="3990" w:firstLineChars="19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联系电话：</w:t>
      </w:r>
    </w:p>
    <w:p w14:paraId="7D88350B">
      <w:pPr>
        <w:autoSpaceDE w:val="0"/>
        <w:autoSpaceDN w:val="0"/>
        <w:adjustRightInd w:val="0"/>
        <w:spacing w:line="360" w:lineRule="auto"/>
        <w:ind w:firstLine="3990" w:firstLineChars="19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地址：</w:t>
      </w:r>
    </w:p>
    <w:p w14:paraId="4D7AD0D5">
      <w:pPr>
        <w:autoSpaceDE w:val="0"/>
        <w:autoSpaceDN w:val="0"/>
        <w:adjustRightInd w:val="0"/>
        <w:spacing w:line="360" w:lineRule="auto"/>
        <w:ind w:firstLine="3990" w:firstLineChars="19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日期：    年   月   日</w:t>
      </w:r>
    </w:p>
    <w:p w14:paraId="7C4F3144">
      <w:pPr>
        <w:autoSpaceDE w:val="0"/>
        <w:autoSpaceDN w:val="0"/>
        <w:adjustRightInd w:val="0"/>
        <w:spacing w:line="360" w:lineRule="auto"/>
        <w:ind w:right="368" w:rightChars="175"/>
        <w:jc w:val="left"/>
        <w:rPr>
          <w:rFonts w:hint="eastAsia" w:ascii="宋体" w:hAnsi="宋体" w:eastAsia="宋体" w:cs="宋体"/>
          <w:color w:val="auto"/>
          <w:kern w:val="0"/>
          <w:szCs w:val="21"/>
          <w:highlight w:val="none"/>
        </w:rPr>
      </w:pPr>
    </w:p>
    <w:p w14:paraId="7763BBE2">
      <w:pPr>
        <w:autoSpaceDE w:val="0"/>
        <w:autoSpaceDN w:val="0"/>
        <w:adjustRightInd w:val="0"/>
        <w:spacing w:line="360" w:lineRule="auto"/>
        <w:jc w:val="left"/>
        <w:rPr>
          <w:rFonts w:hint="eastAsia" w:ascii="宋体" w:hAnsi="宋体" w:eastAsia="宋体" w:cs="宋体"/>
          <w:color w:val="auto"/>
          <w:kern w:val="0"/>
          <w:szCs w:val="21"/>
          <w:highlight w:val="none"/>
        </w:rPr>
      </w:pPr>
    </w:p>
    <w:p w14:paraId="28ABE867">
      <w:pPr>
        <w:autoSpaceDE w:val="0"/>
        <w:autoSpaceDN w:val="0"/>
        <w:adjustRightInd w:val="0"/>
        <w:spacing w:line="360" w:lineRule="auto"/>
        <w:ind w:firstLine="5775" w:firstLineChars="2750"/>
        <w:jc w:val="left"/>
        <w:rPr>
          <w:rFonts w:hint="eastAsia" w:ascii="宋体" w:hAnsi="宋体" w:eastAsia="宋体" w:cs="宋体"/>
          <w:color w:val="auto"/>
          <w:kern w:val="0"/>
          <w:szCs w:val="21"/>
          <w:highlight w:val="none"/>
        </w:rPr>
      </w:pPr>
    </w:p>
    <w:p w14:paraId="6863D084">
      <w:pPr>
        <w:autoSpaceDE w:val="0"/>
        <w:autoSpaceDN w:val="0"/>
        <w:adjustRightInd w:val="0"/>
        <w:spacing w:line="360" w:lineRule="auto"/>
        <w:ind w:firstLine="5775" w:firstLineChars="2750"/>
        <w:jc w:val="left"/>
        <w:rPr>
          <w:rFonts w:hint="eastAsia" w:ascii="宋体" w:hAnsi="宋体" w:eastAsia="宋体" w:cs="宋体"/>
          <w:color w:val="auto"/>
          <w:kern w:val="0"/>
          <w:szCs w:val="21"/>
          <w:highlight w:val="none"/>
        </w:rPr>
      </w:pPr>
    </w:p>
    <w:p w14:paraId="37589F45">
      <w:pPr>
        <w:autoSpaceDE w:val="0"/>
        <w:autoSpaceDN w:val="0"/>
        <w:adjustRightInd w:val="0"/>
        <w:spacing w:line="360" w:lineRule="auto"/>
        <w:ind w:firstLine="5775" w:firstLineChars="2750"/>
        <w:jc w:val="left"/>
        <w:rPr>
          <w:rFonts w:hint="eastAsia" w:ascii="宋体" w:hAnsi="宋体" w:eastAsia="宋体" w:cs="宋体"/>
          <w:color w:val="auto"/>
          <w:kern w:val="0"/>
          <w:szCs w:val="21"/>
          <w:highlight w:val="none"/>
        </w:rPr>
      </w:pPr>
    </w:p>
    <w:p w14:paraId="6BA72142">
      <w:pPr>
        <w:autoSpaceDE w:val="0"/>
        <w:autoSpaceDN w:val="0"/>
        <w:adjustRightInd w:val="0"/>
        <w:spacing w:line="360" w:lineRule="auto"/>
        <w:ind w:firstLine="5775" w:firstLineChars="2750"/>
        <w:jc w:val="left"/>
        <w:rPr>
          <w:rFonts w:hint="eastAsia" w:ascii="宋体" w:hAnsi="宋体" w:eastAsia="宋体" w:cs="宋体"/>
          <w:color w:val="auto"/>
          <w:kern w:val="0"/>
          <w:szCs w:val="21"/>
          <w:highlight w:val="none"/>
        </w:rPr>
      </w:pPr>
    </w:p>
    <w:p w14:paraId="20CA3B95">
      <w:pPr>
        <w:autoSpaceDE w:val="0"/>
        <w:autoSpaceDN w:val="0"/>
        <w:adjustRightInd w:val="0"/>
        <w:spacing w:line="360" w:lineRule="auto"/>
        <w:ind w:firstLine="5775" w:firstLineChars="2750"/>
        <w:jc w:val="left"/>
        <w:rPr>
          <w:rFonts w:hint="eastAsia" w:ascii="宋体" w:hAnsi="宋体" w:eastAsia="宋体" w:cs="宋体"/>
          <w:color w:val="auto"/>
          <w:kern w:val="0"/>
          <w:szCs w:val="21"/>
          <w:highlight w:val="none"/>
        </w:rPr>
      </w:pPr>
    </w:p>
    <w:p w14:paraId="64B9588D">
      <w:pPr>
        <w:autoSpaceDE w:val="0"/>
        <w:autoSpaceDN w:val="0"/>
        <w:adjustRightInd w:val="0"/>
        <w:spacing w:line="360" w:lineRule="auto"/>
        <w:ind w:firstLine="5775" w:firstLineChars="2750"/>
        <w:jc w:val="left"/>
        <w:rPr>
          <w:rFonts w:hint="eastAsia" w:ascii="宋体" w:hAnsi="宋体" w:eastAsia="宋体" w:cs="宋体"/>
          <w:color w:val="auto"/>
          <w:kern w:val="0"/>
          <w:szCs w:val="21"/>
          <w:highlight w:val="none"/>
        </w:rPr>
      </w:pPr>
    </w:p>
    <w:p w14:paraId="709731BC">
      <w:pPr>
        <w:autoSpaceDE w:val="0"/>
        <w:autoSpaceDN w:val="0"/>
        <w:adjustRightInd w:val="0"/>
        <w:spacing w:line="360" w:lineRule="auto"/>
        <w:jc w:val="left"/>
        <w:rPr>
          <w:rFonts w:hint="eastAsia" w:ascii="宋体" w:hAnsi="宋体" w:eastAsia="宋体" w:cs="宋体"/>
          <w:color w:val="auto"/>
          <w:kern w:val="0"/>
          <w:szCs w:val="21"/>
          <w:highlight w:val="none"/>
        </w:rPr>
      </w:pPr>
    </w:p>
    <w:p w14:paraId="5626BB92">
      <w:pPr>
        <w:widowControl/>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br w:type="page"/>
      </w:r>
    </w:p>
    <w:p w14:paraId="3A3A4C17">
      <w:pPr>
        <w:pageBreakBefore/>
        <w:tabs>
          <w:tab w:val="left" w:pos="1080"/>
        </w:tabs>
        <w:autoSpaceDE w:val="0"/>
        <w:autoSpaceDN w:val="0"/>
        <w:adjustRightInd w:val="0"/>
        <w:spacing w:line="360" w:lineRule="auto"/>
        <w:ind w:left="357" w:leftChars="-100" w:hanging="567"/>
        <w:jc w:val="center"/>
        <w:outlineLvl w:val="0"/>
        <w:rPr>
          <w:rFonts w:hint="eastAsia" w:ascii="宋体" w:hAnsi="宋体" w:eastAsia="宋体" w:cs="宋体"/>
          <w:b/>
          <w:bCs/>
          <w:color w:val="auto"/>
          <w:kern w:val="44"/>
          <w:sz w:val="32"/>
          <w:szCs w:val="32"/>
          <w:highlight w:val="none"/>
        </w:rPr>
      </w:pPr>
      <w:bookmarkStart w:id="312" w:name="_Toc486167708"/>
      <w:bookmarkStart w:id="313" w:name="_Toc12794"/>
      <w:bookmarkStart w:id="314" w:name="_Toc16858"/>
      <w:bookmarkStart w:id="315" w:name="_Toc450662895"/>
      <w:bookmarkStart w:id="316" w:name="_Toc32761_WPSOffice_Level1"/>
      <w:bookmarkStart w:id="317" w:name="_Toc142508361"/>
      <w:r>
        <w:rPr>
          <w:rFonts w:hint="eastAsia" w:ascii="宋体" w:hAnsi="宋体" w:eastAsia="宋体" w:cs="宋体"/>
          <w:b/>
          <w:bCs/>
          <w:color w:val="auto"/>
          <w:kern w:val="44"/>
          <w:sz w:val="32"/>
          <w:szCs w:val="32"/>
          <w:highlight w:val="none"/>
          <w:lang w:val="zh-CN"/>
        </w:rPr>
        <w:t>第六篇 投标文件格式</w:t>
      </w:r>
      <w:bookmarkEnd w:id="312"/>
      <w:bookmarkEnd w:id="313"/>
      <w:bookmarkEnd w:id="314"/>
      <w:bookmarkEnd w:id="315"/>
      <w:bookmarkEnd w:id="316"/>
      <w:bookmarkEnd w:id="317"/>
    </w:p>
    <w:p w14:paraId="47D270EF">
      <w:pPr>
        <w:pStyle w:val="21"/>
        <w:spacing w:line="360" w:lineRule="auto"/>
        <w:jc w:val="center"/>
        <w:outlineLvl w:val="9"/>
        <w:rPr>
          <w:rFonts w:hint="eastAsia" w:ascii="宋体" w:hAnsi="宋体" w:eastAsia="宋体" w:cs="宋体"/>
          <w:b/>
          <w:color w:val="auto"/>
          <w:kern w:val="0"/>
          <w:sz w:val="32"/>
          <w:szCs w:val="32"/>
          <w:highlight w:val="none"/>
        </w:rPr>
      </w:pPr>
      <w:bookmarkStart w:id="318" w:name="_Toc102860411"/>
      <w:bookmarkStart w:id="319" w:name="_Toc533708121"/>
      <w:bookmarkStart w:id="320" w:name="_Toc21133_WPSOffice_Level2"/>
      <w:bookmarkStart w:id="321" w:name="_Toc140596921"/>
      <w:bookmarkStart w:id="322" w:name="_Toc94107202"/>
      <w:bookmarkStart w:id="323" w:name="_Toc142508362"/>
      <w:bookmarkStart w:id="324" w:name="_Toc1977721"/>
      <w:bookmarkStart w:id="325" w:name="_Toc102860067"/>
      <w:bookmarkStart w:id="326" w:name="_Toc486167709"/>
      <w:bookmarkStart w:id="327" w:name="_Toc104991868"/>
    </w:p>
    <w:p w14:paraId="0B35DCC1">
      <w:pPr>
        <w:pStyle w:val="21"/>
        <w:spacing w:line="360" w:lineRule="auto"/>
        <w:jc w:val="center"/>
        <w:outlineLvl w:val="9"/>
        <w:rPr>
          <w:rFonts w:hint="eastAsia" w:ascii="宋体" w:hAnsi="宋体" w:eastAsia="宋体" w:cs="宋体"/>
          <w:b/>
          <w:color w:val="auto"/>
          <w:kern w:val="0"/>
          <w:sz w:val="32"/>
          <w:szCs w:val="32"/>
          <w:highlight w:val="none"/>
        </w:rPr>
      </w:pPr>
    </w:p>
    <w:p w14:paraId="79E3F971">
      <w:pPr>
        <w:pStyle w:val="21"/>
        <w:spacing w:line="360" w:lineRule="auto"/>
        <w:jc w:val="center"/>
        <w:outlineLvl w:val="9"/>
        <w:rPr>
          <w:rFonts w:hint="eastAsia" w:ascii="宋体" w:hAnsi="宋体" w:eastAsia="宋体" w:cs="宋体"/>
          <w:b/>
          <w:color w:val="auto"/>
          <w:kern w:val="0"/>
          <w:sz w:val="32"/>
          <w:szCs w:val="32"/>
          <w:highlight w:val="none"/>
        </w:rPr>
      </w:pPr>
    </w:p>
    <w:p w14:paraId="1A8B7E07">
      <w:pPr>
        <w:pStyle w:val="21"/>
        <w:spacing w:line="360" w:lineRule="auto"/>
        <w:jc w:val="center"/>
        <w:outlineLvl w:val="9"/>
        <w:rPr>
          <w:rFonts w:hint="eastAsia" w:ascii="宋体" w:hAnsi="宋体" w:eastAsia="宋体" w:cs="宋体"/>
          <w:color w:val="auto"/>
          <w:sz w:val="84"/>
          <w:highlight w:val="none"/>
        </w:rPr>
      </w:pPr>
    </w:p>
    <w:p w14:paraId="2755023D">
      <w:pPr>
        <w:pStyle w:val="21"/>
        <w:spacing w:line="360" w:lineRule="auto"/>
        <w:jc w:val="center"/>
        <w:outlineLvl w:val="9"/>
        <w:rPr>
          <w:rFonts w:hint="eastAsia" w:ascii="宋体" w:hAnsi="宋体" w:eastAsia="宋体" w:cs="宋体"/>
          <w:color w:val="auto"/>
          <w:sz w:val="84"/>
          <w:highlight w:val="none"/>
        </w:rPr>
      </w:pPr>
      <w:r>
        <w:rPr>
          <w:rFonts w:hint="eastAsia" w:ascii="宋体" w:hAnsi="宋体" w:eastAsia="宋体" w:cs="宋体"/>
          <w:color w:val="auto"/>
          <w:sz w:val="84"/>
          <w:highlight w:val="none"/>
        </w:rPr>
        <w:t>投 标 文 件</w:t>
      </w:r>
    </w:p>
    <w:p w14:paraId="109E98C8">
      <w:pPr>
        <w:pStyle w:val="21"/>
        <w:spacing w:line="360" w:lineRule="auto"/>
        <w:outlineLvl w:val="9"/>
        <w:rPr>
          <w:rFonts w:hint="eastAsia" w:ascii="宋体" w:hAnsi="宋体" w:eastAsia="宋体" w:cs="宋体"/>
          <w:color w:val="auto"/>
          <w:highlight w:val="none"/>
        </w:rPr>
      </w:pPr>
    </w:p>
    <w:p w14:paraId="72A3F0AC">
      <w:pPr>
        <w:pStyle w:val="21"/>
        <w:spacing w:line="360" w:lineRule="auto"/>
        <w:outlineLvl w:val="9"/>
        <w:rPr>
          <w:rFonts w:hint="eastAsia" w:ascii="宋体" w:hAnsi="宋体" w:eastAsia="宋体" w:cs="宋体"/>
          <w:color w:val="auto"/>
          <w:highlight w:val="none"/>
        </w:rPr>
      </w:pPr>
    </w:p>
    <w:p w14:paraId="0AB3AD92">
      <w:pPr>
        <w:pStyle w:val="21"/>
        <w:spacing w:line="360" w:lineRule="auto"/>
        <w:outlineLvl w:val="9"/>
        <w:rPr>
          <w:rFonts w:hint="eastAsia" w:ascii="宋体" w:hAnsi="宋体" w:eastAsia="宋体" w:cs="宋体"/>
          <w:color w:val="auto"/>
          <w:highlight w:val="none"/>
        </w:rPr>
      </w:pPr>
    </w:p>
    <w:p w14:paraId="7BFEE4AD">
      <w:pPr>
        <w:pStyle w:val="21"/>
        <w:spacing w:line="360" w:lineRule="auto"/>
        <w:outlineLvl w:val="9"/>
        <w:rPr>
          <w:rFonts w:hint="eastAsia" w:ascii="宋体" w:hAnsi="宋体" w:eastAsia="宋体" w:cs="宋体"/>
          <w:color w:val="auto"/>
          <w:highlight w:val="none"/>
        </w:rPr>
      </w:pPr>
    </w:p>
    <w:p w14:paraId="4D9C1D71">
      <w:pPr>
        <w:pStyle w:val="21"/>
        <w:spacing w:line="360" w:lineRule="auto"/>
        <w:outlineLvl w:val="9"/>
        <w:rPr>
          <w:rFonts w:hint="eastAsia" w:ascii="宋体" w:hAnsi="宋体" w:eastAsia="宋体" w:cs="宋体"/>
          <w:color w:val="auto"/>
          <w:highlight w:val="none"/>
        </w:rPr>
      </w:pPr>
    </w:p>
    <w:p w14:paraId="4472D3E1">
      <w:pPr>
        <w:pStyle w:val="21"/>
        <w:spacing w:line="360" w:lineRule="auto"/>
        <w:outlineLvl w:val="9"/>
        <w:rPr>
          <w:rFonts w:hint="eastAsia" w:ascii="宋体" w:hAnsi="宋体" w:eastAsia="宋体" w:cs="宋体"/>
          <w:color w:val="auto"/>
          <w:highlight w:val="none"/>
        </w:rPr>
      </w:pPr>
    </w:p>
    <w:p w14:paraId="37E5CB42">
      <w:pPr>
        <w:pStyle w:val="21"/>
        <w:spacing w:line="360" w:lineRule="auto"/>
        <w:ind w:firstLine="1875" w:firstLineChars="625"/>
        <w:outlineLvl w:val="9"/>
        <w:rPr>
          <w:rFonts w:hint="eastAsia" w:ascii="宋体" w:hAnsi="宋体" w:eastAsia="宋体" w:cs="宋体"/>
          <w:color w:val="auto"/>
          <w:sz w:val="30"/>
          <w:highlight w:val="none"/>
        </w:rPr>
      </w:pPr>
      <w:r>
        <w:rPr>
          <w:rFonts w:hint="eastAsia" w:ascii="宋体" w:hAnsi="宋体" w:eastAsia="宋体" w:cs="宋体"/>
          <w:color w:val="auto"/>
          <w:sz w:val="30"/>
          <w:highlight w:val="none"/>
        </w:rPr>
        <w:t>招标编号：</w:t>
      </w:r>
      <w:r>
        <w:rPr>
          <w:rFonts w:hint="eastAsia" w:ascii="宋体" w:hAnsi="宋体" w:eastAsia="宋体" w:cs="宋体"/>
          <w:color w:val="auto"/>
          <w:sz w:val="30"/>
          <w:highlight w:val="none"/>
          <w:u w:val="single"/>
        </w:rPr>
        <w:t xml:space="preserve">                      </w:t>
      </w:r>
    </w:p>
    <w:p w14:paraId="1014DC93">
      <w:pPr>
        <w:pStyle w:val="21"/>
        <w:spacing w:line="360" w:lineRule="auto"/>
        <w:ind w:firstLine="1875" w:firstLineChars="625"/>
        <w:outlineLvl w:val="9"/>
        <w:rPr>
          <w:rFonts w:hint="eastAsia" w:ascii="宋体" w:hAnsi="宋体" w:eastAsia="宋体" w:cs="宋体"/>
          <w:color w:val="auto"/>
          <w:sz w:val="30"/>
          <w:highlight w:val="none"/>
          <w:u w:val="single"/>
        </w:rPr>
      </w:pPr>
      <w:r>
        <w:rPr>
          <w:rFonts w:hint="eastAsia" w:ascii="宋体" w:hAnsi="宋体" w:eastAsia="宋体" w:cs="宋体"/>
          <w:color w:val="auto"/>
          <w:sz w:val="30"/>
          <w:highlight w:val="none"/>
        </w:rPr>
        <w:t>项目名称：</w:t>
      </w:r>
      <w:r>
        <w:rPr>
          <w:rFonts w:hint="eastAsia" w:ascii="宋体" w:hAnsi="宋体" w:eastAsia="宋体" w:cs="宋体"/>
          <w:color w:val="auto"/>
          <w:sz w:val="30"/>
          <w:highlight w:val="none"/>
          <w:u w:val="single"/>
        </w:rPr>
        <w:t xml:space="preserve">                      </w:t>
      </w:r>
    </w:p>
    <w:p w14:paraId="08D40ABE">
      <w:pPr>
        <w:pStyle w:val="21"/>
        <w:spacing w:line="360" w:lineRule="auto"/>
        <w:ind w:firstLine="1875" w:firstLineChars="625"/>
        <w:outlineLvl w:val="9"/>
        <w:rPr>
          <w:rFonts w:hint="eastAsia" w:ascii="宋体" w:hAnsi="宋体" w:eastAsia="宋体" w:cs="宋体"/>
          <w:color w:val="auto"/>
          <w:sz w:val="30"/>
          <w:highlight w:val="none"/>
          <w:u w:val="single"/>
        </w:rPr>
      </w:pPr>
      <w:r>
        <w:rPr>
          <w:rFonts w:hint="eastAsia" w:ascii="宋体" w:hAnsi="宋体" w:eastAsia="宋体" w:cs="宋体"/>
          <w:color w:val="auto"/>
          <w:sz w:val="30"/>
          <w:highlight w:val="none"/>
        </w:rPr>
        <w:t>投标文件内容：</w:t>
      </w:r>
      <w:r>
        <w:rPr>
          <w:rFonts w:hint="eastAsia" w:ascii="宋体" w:hAnsi="宋体" w:eastAsia="宋体" w:cs="宋体"/>
          <w:color w:val="auto"/>
          <w:sz w:val="30"/>
          <w:highlight w:val="none"/>
          <w:u w:val="single"/>
        </w:rPr>
        <w:t xml:space="preserve"> 投标文件商务部分 </w:t>
      </w:r>
    </w:p>
    <w:p w14:paraId="441E5ED0">
      <w:pPr>
        <w:pStyle w:val="21"/>
        <w:spacing w:line="360" w:lineRule="auto"/>
        <w:ind w:firstLine="1875" w:firstLineChars="625"/>
        <w:outlineLvl w:val="9"/>
        <w:rPr>
          <w:rFonts w:hint="eastAsia" w:ascii="宋体" w:hAnsi="宋体" w:eastAsia="宋体" w:cs="宋体"/>
          <w:color w:val="auto"/>
          <w:sz w:val="30"/>
          <w:highlight w:val="none"/>
        </w:rPr>
      </w:pPr>
      <w:r>
        <w:rPr>
          <w:rFonts w:hint="eastAsia" w:ascii="宋体" w:hAnsi="宋体" w:eastAsia="宋体" w:cs="宋体"/>
          <w:color w:val="auto"/>
          <w:sz w:val="30"/>
          <w:highlight w:val="none"/>
        </w:rPr>
        <w:t>招标人：</w:t>
      </w:r>
      <w:r>
        <w:rPr>
          <w:rFonts w:hint="eastAsia" w:ascii="宋体" w:hAnsi="宋体" w:eastAsia="宋体" w:cs="宋体"/>
          <w:color w:val="auto"/>
          <w:sz w:val="30"/>
          <w:highlight w:val="none"/>
          <w:u w:val="single"/>
        </w:rPr>
        <w:t xml:space="preserve">                        </w:t>
      </w:r>
    </w:p>
    <w:p w14:paraId="54975E52">
      <w:pPr>
        <w:pStyle w:val="21"/>
        <w:spacing w:line="360" w:lineRule="auto"/>
        <w:ind w:firstLine="1875" w:firstLineChars="625"/>
        <w:outlineLvl w:val="9"/>
        <w:rPr>
          <w:rFonts w:hint="eastAsia" w:ascii="宋体" w:hAnsi="宋体" w:eastAsia="宋体" w:cs="宋体"/>
          <w:color w:val="auto"/>
          <w:sz w:val="30"/>
          <w:highlight w:val="none"/>
          <w:u w:val="single"/>
        </w:rPr>
      </w:pPr>
      <w:r>
        <w:rPr>
          <w:rFonts w:hint="eastAsia" w:ascii="宋体" w:hAnsi="宋体" w:eastAsia="宋体" w:cs="宋体"/>
          <w:color w:val="auto"/>
          <w:sz w:val="30"/>
          <w:highlight w:val="none"/>
        </w:rPr>
        <w:t>投标人：</w:t>
      </w:r>
      <w:r>
        <w:rPr>
          <w:rFonts w:hint="eastAsia" w:ascii="宋体" w:hAnsi="宋体" w:eastAsia="宋体" w:cs="宋体"/>
          <w:color w:val="auto"/>
          <w:sz w:val="30"/>
          <w:highlight w:val="none"/>
          <w:u w:val="single"/>
        </w:rPr>
        <w:t xml:space="preserve">                        </w:t>
      </w:r>
    </w:p>
    <w:p w14:paraId="51FB0C89">
      <w:pPr>
        <w:pStyle w:val="21"/>
        <w:spacing w:line="360" w:lineRule="auto"/>
        <w:ind w:firstLine="1875" w:firstLineChars="625"/>
        <w:outlineLvl w:val="9"/>
        <w:rPr>
          <w:rFonts w:hint="eastAsia" w:ascii="宋体" w:hAnsi="宋体" w:eastAsia="宋体" w:cs="宋体"/>
          <w:color w:val="auto"/>
          <w:sz w:val="30"/>
          <w:highlight w:val="none"/>
        </w:rPr>
      </w:pPr>
      <w:r>
        <w:rPr>
          <w:rFonts w:hint="eastAsia" w:ascii="宋体" w:hAnsi="宋体" w:eastAsia="宋体" w:cs="宋体"/>
          <w:color w:val="auto"/>
          <w:sz w:val="30"/>
          <w:highlight w:val="none"/>
        </w:rPr>
        <w:t>日  期：</w:t>
      </w:r>
      <w:r>
        <w:rPr>
          <w:rFonts w:hint="eastAsia" w:ascii="宋体" w:hAnsi="宋体" w:eastAsia="宋体" w:cs="宋体"/>
          <w:color w:val="auto"/>
          <w:sz w:val="30"/>
          <w:highlight w:val="none"/>
          <w:u w:val="single"/>
        </w:rPr>
        <w:t xml:space="preserve">     </w:t>
      </w:r>
      <w:r>
        <w:rPr>
          <w:rFonts w:hint="eastAsia" w:ascii="宋体" w:hAnsi="宋体" w:eastAsia="宋体" w:cs="宋体"/>
          <w:color w:val="auto"/>
          <w:sz w:val="30"/>
          <w:highlight w:val="none"/>
        </w:rPr>
        <w:t>年</w:t>
      </w:r>
      <w:r>
        <w:rPr>
          <w:rFonts w:hint="eastAsia" w:ascii="宋体" w:hAnsi="宋体" w:eastAsia="宋体" w:cs="宋体"/>
          <w:color w:val="auto"/>
          <w:sz w:val="30"/>
          <w:highlight w:val="none"/>
          <w:u w:val="single"/>
        </w:rPr>
        <w:t xml:space="preserve">    </w:t>
      </w:r>
      <w:r>
        <w:rPr>
          <w:rFonts w:hint="eastAsia" w:ascii="宋体" w:hAnsi="宋体" w:eastAsia="宋体" w:cs="宋体"/>
          <w:color w:val="auto"/>
          <w:sz w:val="30"/>
          <w:highlight w:val="none"/>
        </w:rPr>
        <w:t>月</w:t>
      </w:r>
      <w:r>
        <w:rPr>
          <w:rFonts w:hint="eastAsia" w:ascii="宋体" w:hAnsi="宋体" w:eastAsia="宋体" w:cs="宋体"/>
          <w:color w:val="auto"/>
          <w:sz w:val="30"/>
          <w:highlight w:val="none"/>
          <w:u w:val="single"/>
        </w:rPr>
        <w:t xml:space="preserve">    </w:t>
      </w:r>
      <w:r>
        <w:rPr>
          <w:rFonts w:hint="eastAsia" w:ascii="宋体" w:hAnsi="宋体" w:eastAsia="宋体" w:cs="宋体"/>
          <w:color w:val="auto"/>
          <w:sz w:val="30"/>
          <w:highlight w:val="none"/>
        </w:rPr>
        <w:t>日</w:t>
      </w:r>
    </w:p>
    <w:p w14:paraId="0F2E2677">
      <w:pPr>
        <w:pStyle w:val="21"/>
        <w:spacing w:line="360" w:lineRule="auto"/>
        <w:outlineLvl w:val="9"/>
        <w:rPr>
          <w:rFonts w:hint="eastAsia" w:ascii="宋体" w:hAnsi="宋体" w:eastAsia="宋体" w:cs="宋体"/>
          <w:color w:val="auto"/>
          <w:highlight w:val="none"/>
        </w:rPr>
      </w:pPr>
    </w:p>
    <w:p w14:paraId="743122FD">
      <w:pPr>
        <w:pStyle w:val="21"/>
        <w:spacing w:line="360" w:lineRule="auto"/>
        <w:outlineLvl w:val="9"/>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4BE23D06">
      <w:pPr>
        <w:pStyle w:val="21"/>
        <w:spacing w:line="360" w:lineRule="auto"/>
        <w:outlineLvl w:val="9"/>
        <w:rPr>
          <w:rFonts w:hint="eastAsia" w:ascii="宋体" w:hAnsi="宋体" w:eastAsia="宋体" w:cs="宋体"/>
          <w:color w:val="auto"/>
          <w:highlight w:val="none"/>
        </w:rPr>
      </w:pPr>
    </w:p>
    <w:p w14:paraId="2B4BBCDA">
      <w:pPr>
        <w:pBdr>
          <w:bottom w:val="single" w:color="auto" w:sz="6" w:space="0"/>
        </w:pBdr>
        <w:spacing w:line="360" w:lineRule="auto"/>
        <w:ind w:firstLine="472" w:firstLineChars="224"/>
        <w:jc w:val="center"/>
        <w:outlineLvl w:val="9"/>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投标文件商务评审部分索引表</w:t>
      </w:r>
    </w:p>
    <w:tbl>
      <w:tblPr>
        <w:tblStyle w:val="41"/>
        <w:tblW w:w="103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9"/>
        <w:gridCol w:w="2773"/>
        <w:gridCol w:w="1786"/>
        <w:gridCol w:w="4430"/>
      </w:tblGrid>
      <w:tr w14:paraId="19E36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4" w:hRule="atLeast"/>
          <w:jc w:val="center"/>
        </w:trPr>
        <w:tc>
          <w:tcPr>
            <w:tcW w:w="1379" w:type="dxa"/>
            <w:vAlign w:val="center"/>
          </w:tcPr>
          <w:p w14:paraId="5593D9C7">
            <w:pPr>
              <w:adjustRightInd w:val="0"/>
              <w:snapToGrid w:val="0"/>
              <w:spacing w:line="360" w:lineRule="auto"/>
              <w:jc w:val="center"/>
              <w:outlineLvl w:val="9"/>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序号</w:t>
            </w:r>
          </w:p>
        </w:tc>
        <w:tc>
          <w:tcPr>
            <w:tcW w:w="2773" w:type="dxa"/>
            <w:vAlign w:val="center"/>
          </w:tcPr>
          <w:p w14:paraId="077ED026">
            <w:pPr>
              <w:adjustRightInd w:val="0"/>
              <w:snapToGrid w:val="0"/>
              <w:spacing w:line="360" w:lineRule="auto"/>
              <w:jc w:val="center"/>
              <w:outlineLvl w:val="9"/>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评标项目</w:t>
            </w:r>
          </w:p>
        </w:tc>
        <w:tc>
          <w:tcPr>
            <w:tcW w:w="1786" w:type="dxa"/>
            <w:vAlign w:val="center"/>
          </w:tcPr>
          <w:p w14:paraId="7E212F9F">
            <w:pPr>
              <w:adjustRightInd w:val="0"/>
              <w:snapToGrid w:val="0"/>
              <w:spacing w:line="360" w:lineRule="auto"/>
              <w:jc w:val="center"/>
              <w:outlineLvl w:val="9"/>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招标文件上的满分值</w:t>
            </w:r>
          </w:p>
        </w:tc>
        <w:tc>
          <w:tcPr>
            <w:tcW w:w="4430" w:type="dxa"/>
            <w:vAlign w:val="center"/>
          </w:tcPr>
          <w:p w14:paraId="71980406">
            <w:pPr>
              <w:adjustRightInd w:val="0"/>
              <w:snapToGrid w:val="0"/>
              <w:spacing w:line="360" w:lineRule="auto"/>
              <w:jc w:val="center"/>
              <w:outlineLvl w:val="9"/>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页码索引</w:t>
            </w:r>
          </w:p>
        </w:tc>
      </w:tr>
      <w:tr w14:paraId="77BDE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1" w:hRule="atLeast"/>
          <w:jc w:val="center"/>
        </w:trPr>
        <w:tc>
          <w:tcPr>
            <w:tcW w:w="1379" w:type="dxa"/>
            <w:vAlign w:val="center"/>
          </w:tcPr>
          <w:p w14:paraId="5691AF55">
            <w:pPr>
              <w:adjustRightInd w:val="0"/>
              <w:snapToGrid w:val="0"/>
              <w:spacing w:line="360" w:lineRule="auto"/>
              <w:jc w:val="center"/>
              <w:outlineLvl w:val="9"/>
              <w:rPr>
                <w:rFonts w:hint="eastAsia" w:ascii="宋体" w:hAnsi="宋体" w:eastAsia="宋体" w:cs="宋体"/>
                <w:bCs/>
                <w:color w:val="auto"/>
                <w:szCs w:val="21"/>
                <w:highlight w:val="none"/>
              </w:rPr>
            </w:pPr>
          </w:p>
        </w:tc>
        <w:tc>
          <w:tcPr>
            <w:tcW w:w="2773" w:type="dxa"/>
            <w:vAlign w:val="center"/>
          </w:tcPr>
          <w:p w14:paraId="28FBF917">
            <w:pPr>
              <w:adjustRightInd w:val="0"/>
              <w:snapToGrid w:val="0"/>
              <w:spacing w:line="360" w:lineRule="auto"/>
              <w:jc w:val="center"/>
              <w:outlineLvl w:val="9"/>
              <w:rPr>
                <w:rFonts w:hint="eastAsia" w:ascii="宋体" w:hAnsi="宋体" w:eastAsia="宋体" w:cs="宋体"/>
                <w:bCs/>
                <w:color w:val="auto"/>
                <w:szCs w:val="21"/>
                <w:highlight w:val="none"/>
              </w:rPr>
            </w:pPr>
          </w:p>
        </w:tc>
        <w:tc>
          <w:tcPr>
            <w:tcW w:w="1786" w:type="dxa"/>
            <w:vAlign w:val="center"/>
          </w:tcPr>
          <w:p w14:paraId="46160DAD">
            <w:pPr>
              <w:adjustRightInd w:val="0"/>
              <w:snapToGrid w:val="0"/>
              <w:spacing w:line="360" w:lineRule="auto"/>
              <w:jc w:val="center"/>
              <w:outlineLvl w:val="9"/>
              <w:rPr>
                <w:rFonts w:hint="eastAsia" w:ascii="宋体" w:hAnsi="宋体" w:eastAsia="宋体" w:cs="宋体"/>
                <w:bCs/>
                <w:color w:val="auto"/>
                <w:szCs w:val="21"/>
                <w:highlight w:val="none"/>
              </w:rPr>
            </w:pPr>
          </w:p>
        </w:tc>
        <w:tc>
          <w:tcPr>
            <w:tcW w:w="4430" w:type="dxa"/>
            <w:vAlign w:val="center"/>
          </w:tcPr>
          <w:p w14:paraId="2143A78A">
            <w:pPr>
              <w:adjustRightInd w:val="0"/>
              <w:snapToGrid w:val="0"/>
              <w:spacing w:line="360" w:lineRule="auto"/>
              <w:outlineLvl w:val="9"/>
              <w:rPr>
                <w:rFonts w:hint="eastAsia" w:ascii="宋体" w:hAnsi="宋体" w:eastAsia="宋体" w:cs="宋体"/>
                <w:bCs/>
                <w:color w:val="auto"/>
                <w:szCs w:val="21"/>
                <w:highlight w:val="none"/>
              </w:rPr>
            </w:pPr>
          </w:p>
        </w:tc>
      </w:tr>
      <w:tr w14:paraId="57395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1" w:hRule="atLeast"/>
          <w:jc w:val="center"/>
        </w:trPr>
        <w:tc>
          <w:tcPr>
            <w:tcW w:w="1379" w:type="dxa"/>
            <w:vAlign w:val="center"/>
          </w:tcPr>
          <w:p w14:paraId="273DABEA">
            <w:pPr>
              <w:spacing w:line="360" w:lineRule="auto"/>
              <w:outlineLvl w:val="9"/>
              <w:rPr>
                <w:rFonts w:hint="eastAsia" w:ascii="宋体" w:hAnsi="宋体" w:eastAsia="宋体" w:cs="宋体"/>
                <w:bCs/>
                <w:color w:val="auto"/>
                <w:szCs w:val="21"/>
                <w:highlight w:val="none"/>
              </w:rPr>
            </w:pPr>
          </w:p>
        </w:tc>
        <w:tc>
          <w:tcPr>
            <w:tcW w:w="2773" w:type="dxa"/>
            <w:vAlign w:val="center"/>
          </w:tcPr>
          <w:p w14:paraId="0BE74B24">
            <w:pPr>
              <w:spacing w:line="360" w:lineRule="auto"/>
              <w:outlineLvl w:val="9"/>
              <w:rPr>
                <w:rFonts w:hint="eastAsia" w:ascii="宋体" w:hAnsi="宋体" w:eastAsia="宋体" w:cs="宋体"/>
                <w:bCs/>
                <w:color w:val="auto"/>
                <w:szCs w:val="21"/>
                <w:highlight w:val="none"/>
              </w:rPr>
            </w:pPr>
          </w:p>
        </w:tc>
        <w:tc>
          <w:tcPr>
            <w:tcW w:w="1786" w:type="dxa"/>
            <w:vAlign w:val="center"/>
          </w:tcPr>
          <w:p w14:paraId="69D036B6">
            <w:pPr>
              <w:spacing w:line="360" w:lineRule="auto"/>
              <w:outlineLvl w:val="9"/>
              <w:rPr>
                <w:rFonts w:hint="eastAsia" w:ascii="宋体" w:hAnsi="宋体" w:eastAsia="宋体" w:cs="宋体"/>
                <w:bCs/>
                <w:color w:val="auto"/>
                <w:szCs w:val="21"/>
                <w:highlight w:val="none"/>
              </w:rPr>
            </w:pPr>
          </w:p>
        </w:tc>
        <w:tc>
          <w:tcPr>
            <w:tcW w:w="4430" w:type="dxa"/>
            <w:vAlign w:val="center"/>
          </w:tcPr>
          <w:p w14:paraId="0E9B3A8F">
            <w:pPr>
              <w:adjustRightInd w:val="0"/>
              <w:snapToGrid w:val="0"/>
              <w:spacing w:line="360" w:lineRule="auto"/>
              <w:ind w:firstLine="105" w:firstLineChars="50"/>
              <w:outlineLvl w:val="9"/>
              <w:rPr>
                <w:rFonts w:hint="eastAsia" w:ascii="宋体" w:hAnsi="宋体" w:eastAsia="宋体" w:cs="宋体"/>
                <w:bCs/>
                <w:color w:val="auto"/>
                <w:szCs w:val="21"/>
                <w:highlight w:val="none"/>
              </w:rPr>
            </w:pPr>
          </w:p>
        </w:tc>
      </w:tr>
      <w:tr w14:paraId="33A70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29" w:hRule="atLeast"/>
          <w:jc w:val="center"/>
        </w:trPr>
        <w:tc>
          <w:tcPr>
            <w:tcW w:w="1379" w:type="dxa"/>
            <w:vAlign w:val="center"/>
          </w:tcPr>
          <w:p w14:paraId="406640B3">
            <w:pPr>
              <w:adjustRightInd w:val="0"/>
              <w:snapToGrid w:val="0"/>
              <w:spacing w:line="360" w:lineRule="auto"/>
              <w:jc w:val="center"/>
              <w:outlineLvl w:val="9"/>
              <w:rPr>
                <w:rFonts w:hint="eastAsia" w:ascii="宋体" w:hAnsi="宋体" w:eastAsia="宋体" w:cs="宋体"/>
                <w:bCs/>
                <w:color w:val="auto"/>
                <w:szCs w:val="21"/>
                <w:highlight w:val="none"/>
              </w:rPr>
            </w:pPr>
          </w:p>
        </w:tc>
        <w:tc>
          <w:tcPr>
            <w:tcW w:w="2773" w:type="dxa"/>
            <w:vAlign w:val="center"/>
          </w:tcPr>
          <w:p w14:paraId="760DBFBF">
            <w:pPr>
              <w:adjustRightInd w:val="0"/>
              <w:snapToGrid w:val="0"/>
              <w:spacing w:line="360" w:lineRule="auto"/>
              <w:outlineLvl w:val="9"/>
              <w:rPr>
                <w:rFonts w:hint="eastAsia" w:ascii="宋体" w:hAnsi="宋体" w:eastAsia="宋体" w:cs="宋体"/>
                <w:bCs/>
                <w:color w:val="auto"/>
                <w:szCs w:val="21"/>
                <w:highlight w:val="none"/>
              </w:rPr>
            </w:pPr>
          </w:p>
        </w:tc>
        <w:tc>
          <w:tcPr>
            <w:tcW w:w="1786" w:type="dxa"/>
            <w:vAlign w:val="center"/>
          </w:tcPr>
          <w:p w14:paraId="654E2E0D">
            <w:pPr>
              <w:adjustRightInd w:val="0"/>
              <w:snapToGrid w:val="0"/>
              <w:spacing w:line="360" w:lineRule="auto"/>
              <w:jc w:val="center"/>
              <w:outlineLvl w:val="9"/>
              <w:rPr>
                <w:rFonts w:hint="eastAsia" w:ascii="宋体" w:hAnsi="宋体" w:eastAsia="宋体" w:cs="宋体"/>
                <w:bCs/>
                <w:color w:val="auto"/>
                <w:szCs w:val="21"/>
                <w:highlight w:val="none"/>
              </w:rPr>
            </w:pPr>
          </w:p>
        </w:tc>
        <w:tc>
          <w:tcPr>
            <w:tcW w:w="4430" w:type="dxa"/>
            <w:vAlign w:val="center"/>
          </w:tcPr>
          <w:p w14:paraId="437E4F68">
            <w:pPr>
              <w:spacing w:line="360" w:lineRule="auto"/>
              <w:ind w:firstLine="8" w:firstLineChars="4"/>
              <w:outlineLvl w:val="9"/>
              <w:rPr>
                <w:rFonts w:hint="eastAsia" w:ascii="宋体" w:hAnsi="宋体" w:eastAsia="宋体" w:cs="宋体"/>
                <w:bCs/>
                <w:color w:val="auto"/>
                <w:szCs w:val="21"/>
                <w:highlight w:val="none"/>
              </w:rPr>
            </w:pPr>
          </w:p>
        </w:tc>
      </w:tr>
      <w:tr w14:paraId="662BA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3" w:hRule="atLeast"/>
          <w:jc w:val="center"/>
        </w:trPr>
        <w:tc>
          <w:tcPr>
            <w:tcW w:w="1379" w:type="dxa"/>
            <w:vAlign w:val="center"/>
          </w:tcPr>
          <w:p w14:paraId="5F8BBC1F">
            <w:pPr>
              <w:adjustRightInd w:val="0"/>
              <w:snapToGrid w:val="0"/>
              <w:spacing w:line="360" w:lineRule="auto"/>
              <w:jc w:val="center"/>
              <w:outlineLvl w:val="9"/>
              <w:rPr>
                <w:rFonts w:hint="eastAsia" w:ascii="宋体" w:hAnsi="宋体" w:eastAsia="宋体" w:cs="宋体"/>
                <w:bCs/>
                <w:color w:val="auto"/>
                <w:szCs w:val="21"/>
                <w:highlight w:val="none"/>
              </w:rPr>
            </w:pPr>
          </w:p>
        </w:tc>
        <w:tc>
          <w:tcPr>
            <w:tcW w:w="2773" w:type="dxa"/>
            <w:vAlign w:val="center"/>
          </w:tcPr>
          <w:p w14:paraId="19A0C336">
            <w:pPr>
              <w:adjustRightInd w:val="0"/>
              <w:snapToGrid w:val="0"/>
              <w:spacing w:line="360" w:lineRule="auto"/>
              <w:outlineLvl w:val="9"/>
              <w:rPr>
                <w:rFonts w:hint="eastAsia" w:ascii="宋体" w:hAnsi="宋体" w:eastAsia="宋体" w:cs="宋体"/>
                <w:bCs/>
                <w:color w:val="auto"/>
                <w:szCs w:val="21"/>
                <w:highlight w:val="none"/>
              </w:rPr>
            </w:pPr>
          </w:p>
        </w:tc>
        <w:tc>
          <w:tcPr>
            <w:tcW w:w="1786" w:type="dxa"/>
            <w:vAlign w:val="center"/>
          </w:tcPr>
          <w:p w14:paraId="267796CB">
            <w:pPr>
              <w:adjustRightInd w:val="0"/>
              <w:snapToGrid w:val="0"/>
              <w:spacing w:line="360" w:lineRule="auto"/>
              <w:jc w:val="center"/>
              <w:outlineLvl w:val="9"/>
              <w:rPr>
                <w:rFonts w:hint="eastAsia" w:ascii="宋体" w:hAnsi="宋体" w:eastAsia="宋体" w:cs="宋体"/>
                <w:bCs/>
                <w:color w:val="auto"/>
                <w:szCs w:val="21"/>
                <w:highlight w:val="none"/>
              </w:rPr>
            </w:pPr>
          </w:p>
        </w:tc>
        <w:tc>
          <w:tcPr>
            <w:tcW w:w="4430" w:type="dxa"/>
            <w:vAlign w:val="center"/>
          </w:tcPr>
          <w:p w14:paraId="2696ABD4">
            <w:pPr>
              <w:adjustRightInd w:val="0"/>
              <w:snapToGrid w:val="0"/>
              <w:spacing w:line="360" w:lineRule="auto"/>
              <w:outlineLvl w:val="9"/>
              <w:rPr>
                <w:rFonts w:hint="eastAsia" w:ascii="宋体" w:hAnsi="宋体" w:eastAsia="宋体" w:cs="宋体"/>
                <w:bCs/>
                <w:color w:val="auto"/>
                <w:szCs w:val="21"/>
                <w:highlight w:val="none"/>
              </w:rPr>
            </w:pPr>
          </w:p>
        </w:tc>
      </w:tr>
      <w:tr w14:paraId="6EA3A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6" w:hRule="atLeast"/>
          <w:jc w:val="center"/>
        </w:trPr>
        <w:tc>
          <w:tcPr>
            <w:tcW w:w="4152" w:type="dxa"/>
            <w:gridSpan w:val="2"/>
            <w:vAlign w:val="center"/>
          </w:tcPr>
          <w:p w14:paraId="4D4725F2">
            <w:pPr>
              <w:adjustRightInd w:val="0"/>
              <w:snapToGrid w:val="0"/>
              <w:spacing w:line="360" w:lineRule="auto"/>
              <w:jc w:val="center"/>
              <w:outlineLvl w:val="9"/>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合计</w:t>
            </w:r>
          </w:p>
        </w:tc>
        <w:tc>
          <w:tcPr>
            <w:tcW w:w="1786" w:type="dxa"/>
            <w:vAlign w:val="center"/>
          </w:tcPr>
          <w:p w14:paraId="31116266">
            <w:pPr>
              <w:adjustRightInd w:val="0"/>
              <w:snapToGrid w:val="0"/>
              <w:spacing w:line="360" w:lineRule="auto"/>
              <w:jc w:val="center"/>
              <w:outlineLvl w:val="9"/>
              <w:rPr>
                <w:rFonts w:hint="eastAsia" w:ascii="宋体" w:hAnsi="宋体" w:eastAsia="宋体" w:cs="宋体"/>
                <w:bCs/>
                <w:color w:val="auto"/>
                <w:szCs w:val="21"/>
                <w:highlight w:val="none"/>
              </w:rPr>
            </w:pPr>
          </w:p>
        </w:tc>
        <w:tc>
          <w:tcPr>
            <w:tcW w:w="4430" w:type="dxa"/>
            <w:vAlign w:val="center"/>
          </w:tcPr>
          <w:p w14:paraId="40CDF214">
            <w:pPr>
              <w:spacing w:line="360" w:lineRule="auto"/>
              <w:jc w:val="center"/>
              <w:outlineLvl w:val="9"/>
              <w:rPr>
                <w:rFonts w:hint="eastAsia" w:ascii="宋体" w:hAnsi="宋体" w:eastAsia="宋体" w:cs="宋体"/>
                <w:bCs/>
                <w:color w:val="auto"/>
                <w:szCs w:val="21"/>
                <w:highlight w:val="none"/>
              </w:rPr>
            </w:pPr>
          </w:p>
        </w:tc>
      </w:tr>
    </w:tbl>
    <w:p w14:paraId="141D8D00">
      <w:pPr>
        <w:pStyle w:val="21"/>
        <w:spacing w:line="360" w:lineRule="auto"/>
        <w:outlineLvl w:val="9"/>
        <w:rPr>
          <w:rFonts w:hint="eastAsia" w:ascii="宋体" w:hAnsi="宋体" w:eastAsia="宋体" w:cs="宋体"/>
          <w:color w:val="auto"/>
          <w:highlight w:val="none"/>
        </w:rPr>
      </w:pPr>
    </w:p>
    <w:p w14:paraId="0FF367AD">
      <w:pPr>
        <w:pStyle w:val="21"/>
        <w:spacing w:line="360" w:lineRule="auto"/>
        <w:outlineLvl w:val="9"/>
        <w:rPr>
          <w:rFonts w:hint="eastAsia" w:ascii="宋体" w:hAnsi="宋体" w:eastAsia="宋体" w:cs="宋体"/>
          <w:color w:val="auto"/>
          <w:highlight w:val="none"/>
        </w:rPr>
      </w:pPr>
    </w:p>
    <w:p w14:paraId="2615656A">
      <w:pPr>
        <w:widowControl/>
        <w:spacing w:line="360" w:lineRule="auto"/>
        <w:jc w:val="left"/>
        <w:outlineLvl w:val="9"/>
        <w:rPr>
          <w:rFonts w:hint="eastAsia" w:ascii="宋体" w:hAnsi="宋体" w:eastAsia="宋体" w:cs="宋体"/>
          <w:b/>
          <w:color w:val="auto"/>
          <w:kern w:val="0"/>
          <w:sz w:val="32"/>
          <w:szCs w:val="32"/>
          <w:highlight w:val="none"/>
        </w:rPr>
      </w:pPr>
      <w:r>
        <w:rPr>
          <w:rFonts w:hint="eastAsia" w:ascii="宋体" w:hAnsi="宋体" w:eastAsia="宋体" w:cs="宋体"/>
          <w:color w:val="auto"/>
          <w:highlight w:val="none"/>
        </w:rPr>
        <w:br w:type="page"/>
      </w:r>
    </w:p>
    <w:p w14:paraId="3BB9FFBB">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b/>
          <w:color w:val="auto"/>
          <w:kern w:val="0"/>
          <w:sz w:val="32"/>
          <w:szCs w:val="32"/>
          <w:highlight w:val="none"/>
        </w:rPr>
      </w:pPr>
      <w:bookmarkStart w:id="328" w:name="_Toc18706"/>
      <w:bookmarkStart w:id="329" w:name="_Toc13331"/>
      <w:r>
        <w:rPr>
          <w:rFonts w:hint="eastAsia" w:ascii="宋体" w:hAnsi="宋体" w:eastAsia="宋体" w:cs="宋体"/>
          <w:b/>
          <w:color w:val="auto"/>
          <w:kern w:val="0"/>
          <w:sz w:val="32"/>
          <w:szCs w:val="32"/>
          <w:highlight w:val="none"/>
        </w:rPr>
        <w:t>一、投标函格式</w:t>
      </w:r>
      <w:bookmarkEnd w:id="318"/>
      <w:bookmarkEnd w:id="319"/>
      <w:bookmarkEnd w:id="320"/>
      <w:bookmarkEnd w:id="321"/>
      <w:bookmarkEnd w:id="322"/>
      <w:bookmarkEnd w:id="323"/>
      <w:bookmarkEnd w:id="324"/>
      <w:bookmarkEnd w:id="325"/>
      <w:bookmarkEnd w:id="326"/>
      <w:bookmarkEnd w:id="327"/>
      <w:bookmarkEnd w:id="328"/>
      <w:bookmarkEnd w:id="329"/>
    </w:p>
    <w:p w14:paraId="273D1BD8">
      <w:pPr>
        <w:spacing w:after="240" w:afterLines="100" w:line="360" w:lineRule="auto"/>
        <w:jc w:val="center"/>
        <w:outlineLvl w:val="9"/>
        <w:rPr>
          <w:rFonts w:hint="eastAsia" w:ascii="宋体" w:hAnsi="宋体" w:eastAsia="宋体" w:cs="宋体"/>
          <w:b/>
          <w:color w:val="auto"/>
          <w:spacing w:val="20"/>
          <w:sz w:val="36"/>
          <w:szCs w:val="36"/>
          <w:highlight w:val="none"/>
        </w:rPr>
      </w:pPr>
      <w:r>
        <w:rPr>
          <w:rFonts w:hint="eastAsia" w:ascii="宋体" w:hAnsi="宋体" w:eastAsia="宋体" w:cs="宋体"/>
          <w:b/>
          <w:color w:val="auto"/>
          <w:spacing w:val="20"/>
          <w:sz w:val="36"/>
          <w:szCs w:val="36"/>
          <w:highlight w:val="none"/>
        </w:rPr>
        <w:t>投标函</w:t>
      </w:r>
    </w:p>
    <w:p w14:paraId="3B832CBB">
      <w:pPr>
        <w:spacing w:before="240" w:beforeLines="100" w:after="120" w:afterLines="50" w:line="360" w:lineRule="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zh-CN"/>
        </w:rPr>
        <w:t>致：</w:t>
      </w:r>
      <w:r>
        <w:rPr>
          <w:rFonts w:hint="eastAsia" w:ascii="宋体" w:hAnsi="宋体" w:eastAsia="宋体" w:cs="宋体"/>
          <w:color w:val="auto"/>
          <w:szCs w:val="21"/>
          <w:highlight w:val="none"/>
        </w:rPr>
        <w:t>广东有德招标采购有限公司</w:t>
      </w:r>
    </w:p>
    <w:p w14:paraId="02CF0D84">
      <w:pPr>
        <w:spacing w:before="240" w:beforeLines="100" w:after="120" w:afterLines="50" w:line="360" w:lineRule="auto"/>
        <w:ind w:firstLine="420" w:firstLineChars="20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根据贵方为</w:t>
      </w:r>
      <w:r>
        <w:rPr>
          <w:rFonts w:hint="eastAsia" w:ascii="宋体" w:hAnsi="宋体" w:eastAsia="宋体" w:cs="宋体"/>
          <w:color w:val="auto"/>
          <w:szCs w:val="32"/>
          <w:highlight w:val="none"/>
          <w:u w:val="single"/>
        </w:rPr>
        <w:t xml:space="preserve">            项目</w:t>
      </w:r>
      <w:r>
        <w:rPr>
          <w:rFonts w:hint="eastAsia" w:ascii="宋体" w:hAnsi="宋体" w:eastAsia="宋体" w:cs="宋体"/>
          <w:color w:val="auto"/>
          <w:szCs w:val="21"/>
          <w:highlight w:val="none"/>
          <w:lang w:val="zh-CN"/>
        </w:rPr>
        <w:t>(招标编号：</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u w:val="single"/>
          <w:lang w:val="zh-CN"/>
        </w:rPr>
        <w:t xml:space="preserve">          </w:t>
      </w:r>
      <w:r>
        <w:rPr>
          <w:rFonts w:hint="eastAsia" w:ascii="宋体" w:hAnsi="宋体" w:eastAsia="宋体" w:cs="宋体"/>
          <w:color w:val="auto"/>
          <w:szCs w:val="21"/>
          <w:highlight w:val="none"/>
          <w:lang w:val="zh-CN"/>
        </w:rPr>
        <w:t>)的投标邀请，我方</w:t>
      </w:r>
      <w:r>
        <w:rPr>
          <w:rFonts w:hint="eastAsia" w:ascii="宋体" w:hAnsi="宋体" w:eastAsia="宋体" w:cs="宋体"/>
          <w:color w:val="auto"/>
          <w:szCs w:val="21"/>
          <w:highlight w:val="none"/>
          <w:u w:val="single"/>
          <w:lang w:val="zh-CN"/>
        </w:rPr>
        <w:t xml:space="preserve"> （投标人名称）</w:t>
      </w:r>
      <w:r>
        <w:rPr>
          <w:rFonts w:hint="eastAsia" w:ascii="宋体" w:hAnsi="宋体" w:eastAsia="宋体" w:cs="宋体"/>
          <w:color w:val="auto"/>
          <w:szCs w:val="21"/>
          <w:highlight w:val="none"/>
          <w:lang w:val="zh-CN"/>
        </w:rPr>
        <w:t>作为投标人正式授权</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u w:val="single"/>
          <w:lang w:val="zh-CN"/>
        </w:rPr>
        <w:t>（授权代表全名，职务）</w:t>
      </w:r>
      <w:r>
        <w:rPr>
          <w:rFonts w:hint="eastAsia" w:ascii="宋体" w:hAnsi="宋体" w:eastAsia="宋体" w:cs="宋体"/>
          <w:color w:val="auto"/>
          <w:szCs w:val="21"/>
          <w:highlight w:val="none"/>
          <w:lang w:val="zh-CN"/>
        </w:rPr>
        <w:t>代表我方进行有关本次投标的一切事宜。</w:t>
      </w:r>
    </w:p>
    <w:p w14:paraId="0501A3A4">
      <w:pPr>
        <w:spacing w:line="360" w:lineRule="auto"/>
        <w:ind w:firstLine="42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在此提交的投标文件，包括如下等内容，并已单独密封封装：</w:t>
      </w:r>
    </w:p>
    <w:p w14:paraId="4E353957">
      <w:pPr>
        <w:numPr>
          <w:ilvl w:val="0"/>
          <w:numId w:val="29"/>
        </w:numPr>
        <w:spacing w:line="360" w:lineRule="auto"/>
        <w:ind w:hanging="309"/>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投标文件（</w:t>
      </w:r>
      <w:r>
        <w:rPr>
          <w:rFonts w:hint="eastAsia" w:ascii="宋体" w:hAnsi="宋体" w:eastAsia="宋体" w:cs="宋体"/>
          <w:color w:val="auto"/>
          <w:kern w:val="0"/>
          <w:szCs w:val="21"/>
          <w:highlight w:val="none"/>
        </w:rPr>
        <w:t>商务技术文件）</w:t>
      </w:r>
      <w:r>
        <w:rPr>
          <w:rFonts w:hint="eastAsia" w:ascii="宋体" w:hAnsi="宋体" w:eastAsia="宋体" w:cs="宋体"/>
          <w:color w:val="auto"/>
          <w:szCs w:val="21"/>
          <w:highlight w:val="none"/>
          <w:lang w:val="zh-CN"/>
        </w:rPr>
        <w:t>[正本</w:t>
      </w:r>
      <w:r>
        <w:rPr>
          <w:rFonts w:hint="eastAsia" w:ascii="宋体" w:hAnsi="宋体" w:eastAsia="宋体" w:cs="宋体"/>
          <w:color w:val="auto"/>
          <w:szCs w:val="21"/>
          <w:highlight w:val="none"/>
          <w:u w:val="single"/>
          <w:lang w:val="zh-CN"/>
        </w:rPr>
        <w:t xml:space="preserve">        </w:t>
      </w:r>
      <w:r>
        <w:rPr>
          <w:rFonts w:hint="eastAsia" w:ascii="宋体" w:hAnsi="宋体" w:eastAsia="宋体" w:cs="宋体"/>
          <w:color w:val="auto"/>
          <w:szCs w:val="21"/>
          <w:highlight w:val="none"/>
          <w:lang w:val="zh-CN"/>
        </w:rPr>
        <w:t>份，副本</w:t>
      </w:r>
      <w:r>
        <w:rPr>
          <w:rFonts w:hint="eastAsia" w:ascii="宋体" w:hAnsi="宋体" w:eastAsia="宋体" w:cs="宋体"/>
          <w:color w:val="auto"/>
          <w:szCs w:val="21"/>
          <w:highlight w:val="none"/>
          <w:u w:val="single"/>
          <w:lang w:val="zh-CN"/>
        </w:rPr>
        <w:t xml:space="preserve">        </w:t>
      </w:r>
      <w:r>
        <w:rPr>
          <w:rFonts w:hint="eastAsia" w:ascii="宋体" w:hAnsi="宋体" w:eastAsia="宋体" w:cs="宋体"/>
          <w:color w:val="auto"/>
          <w:szCs w:val="21"/>
          <w:highlight w:val="none"/>
          <w:lang w:val="zh-CN"/>
        </w:rPr>
        <w:t>份]；</w:t>
      </w:r>
    </w:p>
    <w:p w14:paraId="553AEEDB">
      <w:pPr>
        <w:numPr>
          <w:ilvl w:val="0"/>
          <w:numId w:val="29"/>
        </w:numPr>
        <w:spacing w:line="360" w:lineRule="auto"/>
        <w:ind w:hanging="309"/>
        <w:outlineLvl w:val="9"/>
        <w:rPr>
          <w:rFonts w:hint="eastAsia" w:ascii="宋体" w:hAnsi="宋体" w:eastAsia="宋体" w:cs="宋体"/>
          <w:color w:val="auto"/>
          <w:kern w:val="0"/>
          <w:sz w:val="20"/>
          <w:szCs w:val="20"/>
          <w:highlight w:val="none"/>
          <w:lang w:val="zh-CN"/>
        </w:rPr>
      </w:pPr>
      <w:r>
        <w:rPr>
          <w:rFonts w:hint="eastAsia" w:ascii="宋体" w:hAnsi="宋体" w:eastAsia="宋体" w:cs="宋体"/>
          <w:color w:val="auto"/>
          <w:szCs w:val="21"/>
          <w:highlight w:val="none"/>
          <w:lang w:val="zh-CN"/>
        </w:rPr>
        <w:t>唱标信封[</w:t>
      </w:r>
      <w:r>
        <w:rPr>
          <w:rFonts w:hint="eastAsia" w:ascii="宋体" w:hAnsi="宋体" w:eastAsia="宋体" w:cs="宋体"/>
          <w:color w:val="auto"/>
          <w:szCs w:val="21"/>
          <w:highlight w:val="none"/>
          <w:u w:val="single"/>
          <w:lang w:val="zh-CN"/>
        </w:rPr>
        <w:t xml:space="preserve">        </w:t>
      </w:r>
      <w:r>
        <w:rPr>
          <w:rFonts w:hint="eastAsia" w:ascii="宋体" w:hAnsi="宋体" w:eastAsia="宋体" w:cs="宋体"/>
          <w:color w:val="auto"/>
          <w:szCs w:val="21"/>
          <w:highlight w:val="none"/>
          <w:lang w:val="zh-CN"/>
        </w:rPr>
        <w:t>份]；</w:t>
      </w:r>
    </w:p>
    <w:p w14:paraId="1FE5B674">
      <w:pPr>
        <w:numPr>
          <w:ilvl w:val="0"/>
          <w:numId w:val="29"/>
        </w:numPr>
        <w:spacing w:line="360" w:lineRule="auto"/>
        <w:ind w:hanging="309"/>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价格文件[正本</w:t>
      </w:r>
      <w:r>
        <w:rPr>
          <w:rFonts w:hint="eastAsia" w:ascii="宋体" w:hAnsi="宋体" w:eastAsia="宋体" w:cs="宋体"/>
          <w:color w:val="auto"/>
          <w:szCs w:val="21"/>
          <w:highlight w:val="none"/>
          <w:u w:val="single"/>
          <w:lang w:val="zh-CN"/>
        </w:rPr>
        <w:t xml:space="preserve">        </w:t>
      </w:r>
      <w:r>
        <w:rPr>
          <w:rFonts w:hint="eastAsia" w:ascii="宋体" w:hAnsi="宋体" w:eastAsia="宋体" w:cs="宋体"/>
          <w:color w:val="auto"/>
          <w:szCs w:val="21"/>
          <w:highlight w:val="none"/>
          <w:lang w:val="zh-CN"/>
        </w:rPr>
        <w:t>份，副本</w:t>
      </w:r>
      <w:r>
        <w:rPr>
          <w:rFonts w:hint="eastAsia" w:ascii="宋体" w:hAnsi="宋体" w:eastAsia="宋体" w:cs="宋体"/>
          <w:color w:val="auto"/>
          <w:szCs w:val="21"/>
          <w:highlight w:val="none"/>
          <w:u w:val="single"/>
          <w:lang w:val="zh-CN"/>
        </w:rPr>
        <w:t xml:space="preserve">        </w:t>
      </w:r>
      <w:r>
        <w:rPr>
          <w:rFonts w:hint="eastAsia" w:ascii="宋体" w:hAnsi="宋体" w:eastAsia="宋体" w:cs="宋体"/>
          <w:color w:val="auto"/>
          <w:szCs w:val="21"/>
          <w:highlight w:val="none"/>
          <w:lang w:val="zh-CN"/>
        </w:rPr>
        <w:t>份]；</w:t>
      </w:r>
    </w:p>
    <w:p w14:paraId="06C96D6A">
      <w:pPr>
        <w:numPr>
          <w:ilvl w:val="0"/>
          <w:numId w:val="29"/>
        </w:numPr>
        <w:spacing w:line="360" w:lineRule="auto"/>
        <w:ind w:hanging="309"/>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投标文件电子文件[</w:t>
      </w:r>
      <w:r>
        <w:rPr>
          <w:rFonts w:hint="eastAsia" w:ascii="宋体" w:hAnsi="宋体" w:eastAsia="宋体" w:cs="宋体"/>
          <w:color w:val="auto"/>
          <w:szCs w:val="21"/>
          <w:highlight w:val="none"/>
          <w:u w:val="single"/>
          <w:lang w:val="zh-CN"/>
        </w:rPr>
        <w:t xml:space="preserve">        </w:t>
      </w:r>
      <w:r>
        <w:rPr>
          <w:rFonts w:hint="eastAsia" w:ascii="宋体" w:hAnsi="宋体" w:eastAsia="宋体" w:cs="宋体"/>
          <w:color w:val="auto"/>
          <w:szCs w:val="21"/>
          <w:highlight w:val="none"/>
          <w:lang w:val="zh-CN"/>
        </w:rPr>
        <w:t>份]。</w:t>
      </w:r>
    </w:p>
    <w:p w14:paraId="6DB2A3E6">
      <w:pPr>
        <w:spacing w:before="120" w:beforeLines="50" w:line="360" w:lineRule="auto"/>
        <w:ind w:firstLine="420"/>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我方</w:t>
      </w:r>
      <w:r>
        <w:rPr>
          <w:rFonts w:hint="eastAsia" w:ascii="宋体" w:hAnsi="宋体" w:eastAsia="宋体" w:cs="宋体"/>
          <w:color w:val="auto"/>
          <w:szCs w:val="21"/>
          <w:highlight w:val="none"/>
        </w:rPr>
        <w:t>已</w:t>
      </w:r>
      <w:r>
        <w:rPr>
          <w:rFonts w:hint="eastAsia" w:ascii="宋体" w:hAnsi="宋体" w:eastAsia="宋体" w:cs="宋体"/>
          <w:color w:val="auto"/>
          <w:szCs w:val="21"/>
          <w:highlight w:val="none"/>
          <w:lang w:val="zh-CN"/>
        </w:rPr>
        <w:t>完全明白招标文件的所有条款要求，并重申以下几点：</w:t>
      </w:r>
    </w:p>
    <w:p w14:paraId="0B1C0477">
      <w:pPr>
        <w:numPr>
          <w:ilvl w:val="0"/>
          <w:numId w:val="30"/>
        </w:numPr>
        <w:spacing w:line="360" w:lineRule="auto"/>
        <w:ind w:left="851" w:hanging="425"/>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我方决定参加招标编号为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lang w:val="zh-CN"/>
        </w:rPr>
        <w:t>的投标；</w:t>
      </w:r>
    </w:p>
    <w:p w14:paraId="6061734D">
      <w:pPr>
        <w:numPr>
          <w:ilvl w:val="0"/>
          <w:numId w:val="30"/>
        </w:numPr>
        <w:spacing w:line="360" w:lineRule="auto"/>
        <w:ind w:left="851" w:hanging="425"/>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本投标文件的有效期自递交投标文件截止时间后90日有效，如中标，有效期将延至合同终止日为止；</w:t>
      </w:r>
    </w:p>
    <w:p w14:paraId="05777BEC">
      <w:pPr>
        <w:numPr>
          <w:ilvl w:val="0"/>
          <w:numId w:val="30"/>
        </w:numPr>
        <w:spacing w:line="360" w:lineRule="auto"/>
        <w:ind w:left="851" w:hanging="425"/>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我方已详细研究了招标文件的所有内容包括修正文（如有）和所有已提供的参考资料以及有关附件并完全明白，我方放弃在此方面提出含糊意见或误解的一切权力；</w:t>
      </w:r>
    </w:p>
    <w:p w14:paraId="68EEECA7">
      <w:pPr>
        <w:numPr>
          <w:ilvl w:val="0"/>
          <w:numId w:val="30"/>
        </w:numPr>
        <w:spacing w:line="360" w:lineRule="auto"/>
        <w:ind w:left="851" w:hanging="425"/>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我方明白并愿意在规定的递交投标文件截止时间和日期之后，投标有效期之内撤销投标，则投标保证金将被贵方没收；</w:t>
      </w:r>
    </w:p>
    <w:p w14:paraId="584ABABE">
      <w:pPr>
        <w:numPr>
          <w:ilvl w:val="0"/>
          <w:numId w:val="30"/>
        </w:numPr>
        <w:spacing w:line="360" w:lineRule="auto"/>
        <w:ind w:left="851" w:hanging="425"/>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我方同意按照贵方可能提出的要求而提供与投标有关的任何其它数据或信息；</w:t>
      </w:r>
    </w:p>
    <w:p w14:paraId="3006A5F6">
      <w:pPr>
        <w:numPr>
          <w:ilvl w:val="0"/>
          <w:numId w:val="30"/>
        </w:numPr>
        <w:spacing w:line="360" w:lineRule="auto"/>
        <w:ind w:left="851" w:hanging="425"/>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我方如果中标，将保证履行招标文件以及招标文件修改书（如有）中的全部责任和义务，按质、按量、按期完成《合同书》中的全部任务；</w:t>
      </w:r>
    </w:p>
    <w:p w14:paraId="40AD406C">
      <w:pPr>
        <w:numPr>
          <w:ilvl w:val="0"/>
          <w:numId w:val="30"/>
        </w:numPr>
        <w:spacing w:line="360" w:lineRule="auto"/>
        <w:ind w:left="851" w:hanging="425"/>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保证投标文件中所有资料均真实有效，否则按无效投标处理或可取消中标资格，并愿意接受按弄虚作假骗取中标的有关规定进行处理，并没收我方投标保证金；</w:t>
      </w:r>
    </w:p>
    <w:p w14:paraId="02DFFFE9">
      <w:pPr>
        <w:numPr>
          <w:ilvl w:val="0"/>
          <w:numId w:val="30"/>
        </w:numPr>
        <w:spacing w:line="360" w:lineRule="auto"/>
        <w:ind w:left="851" w:hanging="425"/>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若我方中标后，我方一定按照招标文件的要求和投标文件的承诺签订和履行合同，否则贵方可取消我方中标资格，并依法没收我方投标保证金或履约保证金，我方愿意接受违约处罚；</w:t>
      </w:r>
    </w:p>
    <w:p w14:paraId="16E89607">
      <w:pPr>
        <w:numPr>
          <w:ilvl w:val="0"/>
          <w:numId w:val="30"/>
        </w:numPr>
        <w:spacing w:line="360" w:lineRule="auto"/>
        <w:ind w:left="851" w:hanging="425"/>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若我方中标后，核查出投标文件内容前后不一致，我方愿按最高标准的承诺履约义务；</w:t>
      </w:r>
    </w:p>
    <w:p w14:paraId="71CAACF2">
      <w:pPr>
        <w:numPr>
          <w:ilvl w:val="0"/>
          <w:numId w:val="30"/>
        </w:numPr>
        <w:spacing w:line="360" w:lineRule="auto"/>
        <w:ind w:left="851" w:hanging="425"/>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所有与本投标有关的函件请发往下列地址：</w:t>
      </w:r>
    </w:p>
    <w:tbl>
      <w:tblPr>
        <w:tblStyle w:val="41"/>
        <w:tblW w:w="10080" w:type="dxa"/>
        <w:jc w:val="center"/>
        <w:tblLayout w:type="fixed"/>
        <w:tblCellMar>
          <w:top w:w="0" w:type="dxa"/>
          <w:left w:w="108" w:type="dxa"/>
          <w:bottom w:w="0" w:type="dxa"/>
          <w:right w:w="108" w:type="dxa"/>
        </w:tblCellMar>
      </w:tblPr>
      <w:tblGrid>
        <w:gridCol w:w="5040"/>
        <w:gridCol w:w="5040"/>
      </w:tblGrid>
      <w:tr w14:paraId="75FAB433">
        <w:tblPrEx>
          <w:tblCellMar>
            <w:top w:w="0" w:type="dxa"/>
            <w:left w:w="108" w:type="dxa"/>
            <w:bottom w:w="0" w:type="dxa"/>
            <w:right w:w="108" w:type="dxa"/>
          </w:tblCellMar>
        </w:tblPrEx>
        <w:trPr>
          <w:jc w:val="center"/>
        </w:trPr>
        <w:tc>
          <w:tcPr>
            <w:tcW w:w="5040" w:type="dxa"/>
          </w:tcPr>
          <w:p w14:paraId="73603FED">
            <w:pPr>
              <w:spacing w:before="600" w:beforeLines="250" w:line="360" w:lineRule="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投标人地址：</w:t>
            </w:r>
            <w:r>
              <w:rPr>
                <w:rFonts w:hint="eastAsia" w:ascii="宋体" w:hAnsi="宋体" w:eastAsia="宋体" w:cs="宋体"/>
                <w:color w:val="auto"/>
                <w:szCs w:val="21"/>
                <w:highlight w:val="none"/>
                <w:u w:val="single"/>
              </w:rPr>
              <w:t xml:space="preserve">                          </w:t>
            </w:r>
          </w:p>
        </w:tc>
        <w:tc>
          <w:tcPr>
            <w:tcW w:w="5040" w:type="dxa"/>
          </w:tcPr>
          <w:p w14:paraId="6D39B519">
            <w:pPr>
              <w:spacing w:before="600" w:beforeLines="250" w:line="360" w:lineRule="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邮编：</w:t>
            </w:r>
            <w:r>
              <w:rPr>
                <w:rFonts w:hint="eastAsia" w:ascii="宋体" w:hAnsi="宋体" w:eastAsia="宋体" w:cs="宋体"/>
                <w:color w:val="auto"/>
                <w:szCs w:val="21"/>
                <w:highlight w:val="none"/>
                <w:u w:val="single"/>
              </w:rPr>
              <w:t xml:space="preserve">                                </w:t>
            </w:r>
          </w:p>
        </w:tc>
      </w:tr>
      <w:tr w14:paraId="77A7A98C">
        <w:tblPrEx>
          <w:tblCellMar>
            <w:top w:w="0" w:type="dxa"/>
            <w:left w:w="108" w:type="dxa"/>
            <w:bottom w:w="0" w:type="dxa"/>
            <w:right w:w="108" w:type="dxa"/>
          </w:tblCellMar>
        </w:tblPrEx>
        <w:trPr>
          <w:jc w:val="center"/>
        </w:trPr>
        <w:tc>
          <w:tcPr>
            <w:tcW w:w="5040" w:type="dxa"/>
          </w:tcPr>
          <w:p w14:paraId="6F835A45">
            <w:pPr>
              <w:spacing w:line="360" w:lineRule="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联系电话：</w:t>
            </w:r>
            <w:r>
              <w:rPr>
                <w:rFonts w:hint="eastAsia" w:ascii="宋体" w:hAnsi="宋体" w:eastAsia="宋体" w:cs="宋体"/>
                <w:color w:val="auto"/>
                <w:szCs w:val="21"/>
                <w:highlight w:val="none"/>
                <w:u w:val="single"/>
              </w:rPr>
              <w:t xml:space="preserve">                            </w:t>
            </w:r>
          </w:p>
        </w:tc>
        <w:tc>
          <w:tcPr>
            <w:tcW w:w="5040" w:type="dxa"/>
          </w:tcPr>
          <w:p w14:paraId="18AF86F6">
            <w:pPr>
              <w:spacing w:line="360" w:lineRule="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传真：</w:t>
            </w:r>
            <w:r>
              <w:rPr>
                <w:rFonts w:hint="eastAsia" w:ascii="宋体" w:hAnsi="宋体" w:eastAsia="宋体" w:cs="宋体"/>
                <w:color w:val="auto"/>
                <w:szCs w:val="21"/>
                <w:highlight w:val="none"/>
                <w:u w:val="single"/>
              </w:rPr>
              <w:t xml:space="preserve">                                </w:t>
            </w:r>
          </w:p>
        </w:tc>
      </w:tr>
      <w:tr w14:paraId="36305C25">
        <w:tblPrEx>
          <w:tblCellMar>
            <w:top w:w="0" w:type="dxa"/>
            <w:left w:w="108" w:type="dxa"/>
            <w:bottom w:w="0" w:type="dxa"/>
            <w:right w:w="108" w:type="dxa"/>
          </w:tblCellMar>
        </w:tblPrEx>
        <w:trPr>
          <w:jc w:val="center"/>
        </w:trPr>
        <w:tc>
          <w:tcPr>
            <w:tcW w:w="5040" w:type="dxa"/>
          </w:tcPr>
          <w:p w14:paraId="4FDD90EB">
            <w:pPr>
              <w:spacing w:line="360" w:lineRule="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项目联系人：</w:t>
            </w:r>
            <w:r>
              <w:rPr>
                <w:rFonts w:hint="eastAsia" w:ascii="宋体" w:hAnsi="宋体" w:eastAsia="宋体" w:cs="宋体"/>
                <w:color w:val="auto"/>
                <w:szCs w:val="21"/>
                <w:highlight w:val="none"/>
                <w:u w:val="single"/>
              </w:rPr>
              <w:t xml:space="preserve">                          </w:t>
            </w:r>
          </w:p>
        </w:tc>
        <w:tc>
          <w:tcPr>
            <w:tcW w:w="5040" w:type="dxa"/>
          </w:tcPr>
          <w:p w14:paraId="72A586CC">
            <w:pPr>
              <w:spacing w:line="360" w:lineRule="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手机：</w:t>
            </w:r>
            <w:r>
              <w:rPr>
                <w:rFonts w:hint="eastAsia" w:ascii="宋体" w:hAnsi="宋体" w:eastAsia="宋体" w:cs="宋体"/>
                <w:color w:val="auto"/>
                <w:szCs w:val="21"/>
                <w:highlight w:val="none"/>
                <w:u w:val="single"/>
              </w:rPr>
              <w:t xml:space="preserve">                                </w:t>
            </w:r>
          </w:p>
        </w:tc>
      </w:tr>
      <w:tr w14:paraId="3294AF12">
        <w:tblPrEx>
          <w:tblCellMar>
            <w:top w:w="0" w:type="dxa"/>
            <w:left w:w="108" w:type="dxa"/>
            <w:bottom w:w="0" w:type="dxa"/>
            <w:right w:w="108" w:type="dxa"/>
          </w:tblCellMar>
        </w:tblPrEx>
        <w:trPr>
          <w:jc w:val="center"/>
        </w:trPr>
        <w:tc>
          <w:tcPr>
            <w:tcW w:w="10080" w:type="dxa"/>
            <w:gridSpan w:val="2"/>
          </w:tcPr>
          <w:p w14:paraId="2D94D932">
            <w:pPr>
              <w:spacing w:line="360" w:lineRule="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w:t>
            </w:r>
            <w:r>
              <w:rPr>
                <w:rFonts w:hint="eastAsia" w:ascii="宋体" w:hAnsi="宋体" w:eastAsia="宋体" w:cs="宋体"/>
                <w:color w:val="auto"/>
                <w:szCs w:val="21"/>
                <w:highlight w:val="none"/>
                <w:lang w:val="zh-CN"/>
              </w:rPr>
              <w:t>加盖投标人公章</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single"/>
              </w:rPr>
              <w:t xml:space="preserve">                                                       </w:t>
            </w:r>
          </w:p>
        </w:tc>
      </w:tr>
      <w:tr w14:paraId="20186BB7">
        <w:tblPrEx>
          <w:tblCellMar>
            <w:top w:w="0" w:type="dxa"/>
            <w:left w:w="108" w:type="dxa"/>
            <w:bottom w:w="0" w:type="dxa"/>
            <w:right w:w="108" w:type="dxa"/>
          </w:tblCellMar>
        </w:tblPrEx>
        <w:trPr>
          <w:jc w:val="center"/>
        </w:trPr>
        <w:tc>
          <w:tcPr>
            <w:tcW w:w="10080" w:type="dxa"/>
            <w:gridSpan w:val="2"/>
          </w:tcPr>
          <w:p w14:paraId="093B0BE4">
            <w:pPr>
              <w:spacing w:line="360" w:lineRule="auto"/>
              <w:jc w:val="left"/>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投标人法定代表人或其授权代表（签名或盖私章）：</w:t>
            </w:r>
            <w:r>
              <w:rPr>
                <w:rFonts w:hint="eastAsia" w:ascii="宋体" w:hAnsi="宋体" w:eastAsia="宋体" w:cs="宋体"/>
                <w:color w:val="auto"/>
                <w:szCs w:val="21"/>
                <w:highlight w:val="none"/>
                <w:u w:val="single"/>
              </w:rPr>
              <w:t xml:space="preserve">                                   </w:t>
            </w:r>
          </w:p>
        </w:tc>
      </w:tr>
      <w:tr w14:paraId="0BD4BD38">
        <w:tblPrEx>
          <w:tblCellMar>
            <w:top w:w="0" w:type="dxa"/>
            <w:left w:w="108" w:type="dxa"/>
            <w:bottom w:w="0" w:type="dxa"/>
            <w:right w:w="108" w:type="dxa"/>
          </w:tblCellMar>
        </w:tblPrEx>
        <w:trPr>
          <w:jc w:val="center"/>
        </w:trPr>
        <w:tc>
          <w:tcPr>
            <w:tcW w:w="10080" w:type="dxa"/>
            <w:gridSpan w:val="2"/>
          </w:tcPr>
          <w:p w14:paraId="0C944698">
            <w:pPr>
              <w:spacing w:line="360" w:lineRule="auto"/>
              <w:jc w:val="left"/>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w:t>
            </w:r>
            <w:r>
              <w:rPr>
                <w:rFonts w:hint="eastAsia" w:ascii="宋体" w:hAnsi="宋体" w:eastAsia="宋体" w:cs="宋体"/>
                <w:color w:val="auto"/>
                <w:szCs w:val="21"/>
                <w:highlight w:val="none"/>
                <w:u w:val="single"/>
              </w:rPr>
              <w:t xml:space="preserve">        年        月         日</w:t>
            </w:r>
          </w:p>
        </w:tc>
      </w:tr>
    </w:tbl>
    <w:p w14:paraId="3068A108">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b/>
          <w:color w:val="auto"/>
          <w:kern w:val="0"/>
          <w:sz w:val="32"/>
          <w:szCs w:val="32"/>
          <w:highlight w:val="none"/>
        </w:rPr>
      </w:pPr>
      <w:r>
        <w:rPr>
          <w:rFonts w:hint="eastAsia" w:ascii="宋体" w:hAnsi="宋体" w:eastAsia="宋体" w:cs="宋体"/>
          <w:color w:val="auto"/>
          <w:kern w:val="0"/>
          <w:sz w:val="24"/>
          <w:szCs w:val="24"/>
          <w:highlight w:val="none"/>
        </w:rPr>
        <w:br w:type="page"/>
      </w:r>
      <w:bookmarkStart w:id="330" w:name="_Toc26795"/>
      <w:bookmarkStart w:id="331" w:name="_Toc102860068"/>
      <w:bookmarkStart w:id="332" w:name="_Toc28613_WPSOffice_Level2"/>
      <w:bookmarkStart w:id="333" w:name="_Toc102860412"/>
      <w:bookmarkStart w:id="334" w:name="_Toc104991869"/>
      <w:bookmarkStart w:id="335" w:name="_Toc8696"/>
      <w:bookmarkStart w:id="336" w:name="_Toc140596922"/>
      <w:bookmarkStart w:id="337" w:name="_Toc94107203"/>
      <w:bookmarkStart w:id="338" w:name="_Toc486167710"/>
      <w:bookmarkStart w:id="339" w:name="_Toc533708122"/>
      <w:bookmarkStart w:id="340" w:name="_Toc142508363"/>
      <w:bookmarkStart w:id="341" w:name="_Toc1977722"/>
      <w:r>
        <w:rPr>
          <w:rFonts w:hint="eastAsia" w:ascii="宋体" w:hAnsi="宋体" w:eastAsia="宋体" w:cs="宋体"/>
          <w:b/>
          <w:color w:val="auto"/>
          <w:kern w:val="0"/>
          <w:sz w:val="32"/>
          <w:szCs w:val="32"/>
          <w:highlight w:val="none"/>
        </w:rPr>
        <w:t>二、投标承诺书格式</w:t>
      </w:r>
      <w:bookmarkEnd w:id="330"/>
      <w:bookmarkEnd w:id="331"/>
      <w:bookmarkEnd w:id="332"/>
      <w:bookmarkEnd w:id="333"/>
      <w:bookmarkEnd w:id="334"/>
      <w:bookmarkEnd w:id="335"/>
      <w:bookmarkEnd w:id="336"/>
      <w:bookmarkEnd w:id="337"/>
      <w:bookmarkEnd w:id="338"/>
      <w:bookmarkEnd w:id="339"/>
      <w:bookmarkEnd w:id="340"/>
      <w:bookmarkEnd w:id="341"/>
    </w:p>
    <w:p w14:paraId="059CE3AB">
      <w:pPr>
        <w:spacing w:before="240" w:beforeLines="100" w:after="360" w:afterLines="150" w:line="360" w:lineRule="auto"/>
        <w:jc w:val="center"/>
        <w:outlineLvl w:val="9"/>
        <w:rPr>
          <w:rFonts w:hint="eastAsia" w:ascii="宋体" w:hAnsi="宋体" w:eastAsia="宋体" w:cs="宋体"/>
          <w:b/>
          <w:color w:val="auto"/>
          <w:spacing w:val="20"/>
          <w:sz w:val="36"/>
          <w:szCs w:val="36"/>
          <w:highlight w:val="none"/>
        </w:rPr>
      </w:pPr>
      <w:r>
        <w:rPr>
          <w:rFonts w:hint="eastAsia" w:ascii="宋体" w:hAnsi="宋体" w:eastAsia="宋体" w:cs="宋体"/>
          <w:b/>
          <w:color w:val="auto"/>
          <w:spacing w:val="20"/>
          <w:sz w:val="36"/>
          <w:szCs w:val="36"/>
          <w:highlight w:val="none"/>
        </w:rPr>
        <w:t>投标承诺书</w:t>
      </w:r>
    </w:p>
    <w:p w14:paraId="4A558363">
      <w:pPr>
        <w:spacing w:line="360" w:lineRule="auto"/>
        <w:ind w:firstLine="440" w:firstLineChars="206"/>
        <w:outlineLvl w:val="9"/>
        <w:rPr>
          <w:rFonts w:hint="eastAsia" w:ascii="宋体" w:hAnsi="宋体" w:eastAsia="宋体" w:cs="宋体"/>
          <w:color w:val="auto"/>
          <w:spacing w:val="2"/>
          <w:kern w:val="0"/>
          <w:szCs w:val="21"/>
          <w:highlight w:val="none"/>
          <w:lang w:eastAsia="zh-CN"/>
        </w:rPr>
      </w:pPr>
      <w:bookmarkStart w:id="342" w:name="auto_fouce_39"/>
      <w:r>
        <w:rPr>
          <w:rFonts w:hint="eastAsia" w:ascii="宋体" w:hAnsi="宋体" w:eastAsia="宋体" w:cs="宋体"/>
          <w:color w:val="auto"/>
          <w:spacing w:val="2"/>
          <w:kern w:val="0"/>
          <w:szCs w:val="21"/>
          <w:highlight w:val="none"/>
        </w:rPr>
        <w:t>我方已完整阅读了</w:t>
      </w:r>
      <w:r>
        <w:rPr>
          <w:rFonts w:hint="eastAsia" w:ascii="宋体" w:hAnsi="宋体" w:eastAsia="宋体" w:cs="宋体"/>
          <w:color w:val="auto"/>
          <w:spacing w:val="2"/>
          <w:kern w:val="0"/>
          <w:szCs w:val="21"/>
          <w:highlight w:val="none"/>
          <w:u w:val="single"/>
        </w:rPr>
        <w:t xml:space="preserve">    （</w:t>
      </w:r>
      <w:r>
        <w:rPr>
          <w:rFonts w:hint="eastAsia" w:ascii="宋体" w:hAnsi="宋体" w:eastAsia="宋体" w:cs="宋体"/>
          <w:b/>
          <w:color w:val="auto"/>
          <w:spacing w:val="2"/>
          <w:kern w:val="0"/>
          <w:szCs w:val="21"/>
          <w:highlight w:val="none"/>
          <w:u w:val="single"/>
        </w:rPr>
        <w:t>项目名称</w:t>
      </w:r>
      <w:r>
        <w:rPr>
          <w:rFonts w:hint="eastAsia" w:ascii="宋体" w:hAnsi="宋体" w:eastAsia="宋体" w:cs="宋体"/>
          <w:color w:val="auto"/>
          <w:spacing w:val="2"/>
          <w:kern w:val="0"/>
          <w:szCs w:val="21"/>
          <w:highlight w:val="none"/>
          <w:u w:val="single"/>
        </w:rPr>
        <w:t xml:space="preserve">）   </w:t>
      </w:r>
      <w:r>
        <w:rPr>
          <w:rFonts w:hint="eastAsia" w:ascii="宋体" w:hAnsi="宋体" w:eastAsia="宋体" w:cs="宋体"/>
          <w:color w:val="auto"/>
          <w:spacing w:val="2"/>
          <w:kern w:val="0"/>
          <w:szCs w:val="21"/>
          <w:highlight w:val="none"/>
        </w:rPr>
        <w:t>项目（招标编号：</w:t>
      </w:r>
      <w:r>
        <w:rPr>
          <w:rFonts w:hint="eastAsia" w:ascii="宋体" w:hAnsi="宋体" w:eastAsia="宋体" w:cs="宋体"/>
          <w:color w:val="auto"/>
          <w:spacing w:val="2"/>
          <w:kern w:val="0"/>
          <w:szCs w:val="21"/>
          <w:highlight w:val="none"/>
          <w:u w:val="single"/>
        </w:rPr>
        <w:t xml:space="preserve">            </w:t>
      </w:r>
      <w:r>
        <w:rPr>
          <w:rFonts w:hint="eastAsia" w:ascii="宋体" w:hAnsi="宋体" w:eastAsia="宋体" w:cs="宋体"/>
          <w:color w:val="auto"/>
          <w:spacing w:val="2"/>
          <w:kern w:val="0"/>
          <w:szCs w:val="21"/>
          <w:highlight w:val="none"/>
        </w:rPr>
        <w:t>）招标文件的所有内容（包括澄清，以及所有已提供的参考资料和有关附件），并完全理解上述文件所表达的意思，该项目递交投标文件时间截止后，</w:t>
      </w:r>
      <w:r>
        <w:rPr>
          <w:rFonts w:hint="eastAsia" w:ascii="宋体" w:hAnsi="宋体" w:eastAsia="宋体" w:cs="宋体"/>
          <w:color w:val="auto"/>
          <w:kern w:val="0"/>
          <w:szCs w:val="21"/>
          <w:highlight w:val="none"/>
        </w:rPr>
        <w:t>我方承诺不再对上述文件内容进行询问或异议。</w:t>
      </w:r>
      <w:bookmarkEnd w:id="342"/>
    </w:p>
    <w:p w14:paraId="73C9EDD2">
      <w:pPr>
        <w:spacing w:line="360" w:lineRule="auto"/>
        <w:outlineLvl w:val="9"/>
        <w:rPr>
          <w:rFonts w:hint="eastAsia" w:ascii="宋体" w:hAnsi="宋体" w:eastAsia="宋体" w:cs="宋体"/>
          <w:color w:val="auto"/>
          <w:spacing w:val="2"/>
          <w:kern w:val="0"/>
          <w:szCs w:val="21"/>
          <w:highlight w:val="none"/>
        </w:rPr>
      </w:pPr>
    </w:p>
    <w:p w14:paraId="34776936">
      <w:pPr>
        <w:spacing w:line="360" w:lineRule="auto"/>
        <w:outlineLvl w:val="9"/>
        <w:rPr>
          <w:rFonts w:hint="eastAsia" w:ascii="宋体" w:hAnsi="宋体" w:eastAsia="宋体" w:cs="宋体"/>
          <w:color w:val="auto"/>
          <w:szCs w:val="21"/>
          <w:highlight w:val="none"/>
        </w:rPr>
      </w:pPr>
    </w:p>
    <w:tbl>
      <w:tblPr>
        <w:tblStyle w:val="41"/>
        <w:tblW w:w="8528" w:type="dxa"/>
        <w:jc w:val="right"/>
        <w:tblLayout w:type="fixed"/>
        <w:tblCellMar>
          <w:top w:w="0" w:type="dxa"/>
          <w:left w:w="108" w:type="dxa"/>
          <w:bottom w:w="0" w:type="dxa"/>
          <w:right w:w="108" w:type="dxa"/>
        </w:tblCellMar>
      </w:tblPr>
      <w:tblGrid>
        <w:gridCol w:w="1668"/>
        <w:gridCol w:w="6860"/>
      </w:tblGrid>
      <w:tr w14:paraId="48C201DF">
        <w:tblPrEx>
          <w:tblCellMar>
            <w:top w:w="0" w:type="dxa"/>
            <w:left w:w="108" w:type="dxa"/>
            <w:bottom w:w="0" w:type="dxa"/>
            <w:right w:w="108" w:type="dxa"/>
          </w:tblCellMar>
        </w:tblPrEx>
        <w:trPr>
          <w:jc w:val="right"/>
        </w:trPr>
        <w:tc>
          <w:tcPr>
            <w:tcW w:w="1668" w:type="dxa"/>
          </w:tcPr>
          <w:p w14:paraId="5AD3422F">
            <w:pPr>
              <w:spacing w:line="360" w:lineRule="auto"/>
              <w:outlineLvl w:val="9"/>
              <w:rPr>
                <w:rFonts w:hint="eastAsia" w:ascii="宋体" w:hAnsi="宋体" w:eastAsia="宋体" w:cs="宋体"/>
                <w:color w:val="auto"/>
                <w:szCs w:val="21"/>
                <w:highlight w:val="none"/>
              </w:rPr>
            </w:pPr>
          </w:p>
        </w:tc>
        <w:tc>
          <w:tcPr>
            <w:tcW w:w="6860" w:type="dxa"/>
          </w:tcPr>
          <w:p w14:paraId="37E7217E">
            <w:pPr>
              <w:spacing w:line="360" w:lineRule="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w:t>
            </w:r>
            <w:r>
              <w:rPr>
                <w:rFonts w:hint="eastAsia" w:ascii="宋体" w:hAnsi="宋体" w:eastAsia="宋体" w:cs="宋体"/>
                <w:color w:val="auto"/>
                <w:szCs w:val="21"/>
                <w:highlight w:val="none"/>
                <w:lang w:val="zh-CN"/>
              </w:rPr>
              <w:t>加盖投标人公章</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single"/>
              </w:rPr>
              <w:t xml:space="preserve">                             </w:t>
            </w:r>
          </w:p>
        </w:tc>
      </w:tr>
      <w:tr w14:paraId="52BBA0A3">
        <w:tblPrEx>
          <w:tblCellMar>
            <w:top w:w="0" w:type="dxa"/>
            <w:left w:w="108" w:type="dxa"/>
            <w:bottom w:w="0" w:type="dxa"/>
            <w:right w:w="108" w:type="dxa"/>
          </w:tblCellMar>
        </w:tblPrEx>
        <w:trPr>
          <w:jc w:val="right"/>
        </w:trPr>
        <w:tc>
          <w:tcPr>
            <w:tcW w:w="1668" w:type="dxa"/>
          </w:tcPr>
          <w:p w14:paraId="75EC1F39">
            <w:pPr>
              <w:spacing w:line="360" w:lineRule="auto"/>
              <w:outlineLvl w:val="9"/>
              <w:rPr>
                <w:rFonts w:hint="eastAsia" w:ascii="宋体" w:hAnsi="宋体" w:eastAsia="宋体" w:cs="宋体"/>
                <w:color w:val="auto"/>
                <w:szCs w:val="21"/>
                <w:highlight w:val="none"/>
              </w:rPr>
            </w:pPr>
          </w:p>
        </w:tc>
        <w:tc>
          <w:tcPr>
            <w:tcW w:w="6860" w:type="dxa"/>
          </w:tcPr>
          <w:p w14:paraId="46B763FA">
            <w:pPr>
              <w:spacing w:line="360" w:lineRule="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投标人法定代表人或其授权代表（签名或盖私章）：</w:t>
            </w:r>
            <w:r>
              <w:rPr>
                <w:rFonts w:hint="eastAsia" w:ascii="宋体" w:hAnsi="宋体" w:eastAsia="宋体" w:cs="宋体"/>
                <w:color w:val="auto"/>
                <w:szCs w:val="21"/>
                <w:highlight w:val="none"/>
                <w:u w:val="single"/>
              </w:rPr>
              <w:t xml:space="preserve">         </w:t>
            </w:r>
          </w:p>
        </w:tc>
      </w:tr>
      <w:tr w14:paraId="7FB78222">
        <w:tblPrEx>
          <w:tblCellMar>
            <w:top w:w="0" w:type="dxa"/>
            <w:left w:w="108" w:type="dxa"/>
            <w:bottom w:w="0" w:type="dxa"/>
            <w:right w:w="108" w:type="dxa"/>
          </w:tblCellMar>
        </w:tblPrEx>
        <w:trPr>
          <w:jc w:val="right"/>
        </w:trPr>
        <w:tc>
          <w:tcPr>
            <w:tcW w:w="1668" w:type="dxa"/>
          </w:tcPr>
          <w:p w14:paraId="40BB5BDD">
            <w:pPr>
              <w:spacing w:line="360" w:lineRule="auto"/>
              <w:outlineLvl w:val="9"/>
              <w:rPr>
                <w:rFonts w:hint="eastAsia" w:ascii="宋体" w:hAnsi="宋体" w:eastAsia="宋体" w:cs="宋体"/>
                <w:color w:val="auto"/>
                <w:szCs w:val="21"/>
                <w:highlight w:val="none"/>
              </w:rPr>
            </w:pPr>
          </w:p>
        </w:tc>
        <w:tc>
          <w:tcPr>
            <w:tcW w:w="6860" w:type="dxa"/>
          </w:tcPr>
          <w:p w14:paraId="17B3838A">
            <w:pPr>
              <w:spacing w:line="360" w:lineRule="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w:t>
            </w:r>
            <w:r>
              <w:rPr>
                <w:rFonts w:hint="eastAsia" w:ascii="宋体" w:hAnsi="宋体" w:eastAsia="宋体" w:cs="宋体"/>
                <w:color w:val="auto"/>
                <w:szCs w:val="21"/>
                <w:highlight w:val="none"/>
                <w:u w:val="single"/>
              </w:rPr>
              <w:t xml:space="preserve">              年            月              日</w:t>
            </w:r>
          </w:p>
        </w:tc>
      </w:tr>
    </w:tbl>
    <w:p w14:paraId="3B4D50D1">
      <w:pPr>
        <w:autoSpaceDE w:val="0"/>
        <w:autoSpaceDN w:val="0"/>
        <w:adjustRightInd w:val="0"/>
        <w:spacing w:line="360" w:lineRule="auto"/>
        <w:ind w:firstLine="480" w:firstLineChars="200"/>
        <w:jc w:val="left"/>
        <w:outlineLvl w:val="9"/>
        <w:rPr>
          <w:rFonts w:hint="eastAsia" w:ascii="宋体" w:hAnsi="宋体" w:eastAsia="宋体" w:cs="宋体"/>
          <w:color w:val="auto"/>
          <w:kern w:val="0"/>
          <w:sz w:val="24"/>
          <w:szCs w:val="24"/>
          <w:highlight w:val="none"/>
        </w:rPr>
      </w:pPr>
    </w:p>
    <w:p w14:paraId="253F3A25">
      <w:pPr>
        <w:autoSpaceDE w:val="0"/>
        <w:autoSpaceDN w:val="0"/>
        <w:adjustRightInd w:val="0"/>
        <w:spacing w:line="360" w:lineRule="auto"/>
        <w:jc w:val="left"/>
        <w:outlineLvl w:val="9"/>
        <w:rPr>
          <w:rFonts w:hint="eastAsia" w:ascii="宋体" w:hAnsi="宋体" w:eastAsia="宋体" w:cs="宋体"/>
          <w:color w:val="auto"/>
          <w:kern w:val="0"/>
          <w:sz w:val="24"/>
          <w:szCs w:val="24"/>
          <w:highlight w:val="none"/>
        </w:rPr>
      </w:pPr>
    </w:p>
    <w:p w14:paraId="5EFA7EE1">
      <w:pPr>
        <w:autoSpaceDE w:val="0"/>
        <w:autoSpaceDN w:val="0"/>
        <w:adjustRightInd w:val="0"/>
        <w:spacing w:line="360" w:lineRule="auto"/>
        <w:jc w:val="left"/>
        <w:outlineLvl w:val="9"/>
        <w:rPr>
          <w:rFonts w:hint="eastAsia" w:ascii="宋体" w:hAnsi="宋体" w:eastAsia="宋体" w:cs="宋体"/>
          <w:color w:val="auto"/>
          <w:kern w:val="0"/>
          <w:sz w:val="24"/>
          <w:szCs w:val="24"/>
          <w:highlight w:val="none"/>
        </w:rPr>
      </w:pPr>
      <w:bookmarkStart w:id="343" w:name="_Toc316896755"/>
      <w:bookmarkStart w:id="344" w:name="_Toc311032584"/>
      <w:bookmarkStart w:id="345" w:name="_Toc326768876"/>
    </w:p>
    <w:p w14:paraId="4C2E7398">
      <w:pPr>
        <w:pageBreakBefore/>
        <w:autoSpaceDE w:val="0"/>
        <w:autoSpaceDN w:val="0"/>
        <w:adjustRightInd w:val="0"/>
        <w:spacing w:line="360" w:lineRule="auto"/>
        <w:jc w:val="left"/>
        <w:outlineLvl w:val="9"/>
        <w:rPr>
          <w:rFonts w:hint="eastAsia" w:ascii="宋体" w:hAnsi="宋体" w:eastAsia="宋体" w:cs="宋体"/>
          <w:b/>
          <w:color w:val="auto"/>
          <w:kern w:val="0"/>
          <w:sz w:val="32"/>
          <w:szCs w:val="32"/>
          <w:highlight w:val="none"/>
        </w:rPr>
      </w:pPr>
      <w:bookmarkStart w:id="346" w:name="_Toc533708123"/>
      <w:bookmarkStart w:id="347" w:name="_Toc3993"/>
      <w:bookmarkStart w:id="348" w:name="_Toc6287"/>
      <w:bookmarkStart w:id="349" w:name="_Toc140596925"/>
      <w:bookmarkStart w:id="350" w:name="_Toc142508366"/>
      <w:bookmarkStart w:id="351" w:name="_Toc102860071"/>
      <w:bookmarkStart w:id="352" w:name="_Toc94107206"/>
      <w:bookmarkStart w:id="353" w:name="_Toc102860415"/>
      <w:bookmarkStart w:id="354" w:name="_Toc1977723"/>
      <w:bookmarkStart w:id="355" w:name="_Toc7024_WPSOffice_Level2"/>
      <w:bookmarkStart w:id="356" w:name="_Toc486167711"/>
      <w:bookmarkStart w:id="357" w:name="_Toc104991872"/>
      <w:r>
        <w:rPr>
          <w:rFonts w:hint="eastAsia" w:ascii="宋体" w:hAnsi="宋体" w:eastAsia="宋体" w:cs="宋体"/>
          <w:b/>
          <w:color w:val="auto"/>
          <w:kern w:val="44"/>
          <w:sz w:val="32"/>
          <w:szCs w:val="32"/>
          <w:highlight w:val="none"/>
        </w:rPr>
        <w:t>三</w:t>
      </w:r>
      <w:r>
        <w:rPr>
          <w:rFonts w:hint="eastAsia" w:ascii="宋体" w:hAnsi="宋体" w:eastAsia="宋体" w:cs="宋体"/>
          <w:b/>
          <w:color w:val="auto"/>
          <w:kern w:val="0"/>
          <w:sz w:val="32"/>
          <w:szCs w:val="32"/>
          <w:highlight w:val="none"/>
        </w:rPr>
        <w:t>、投标报价表格式</w:t>
      </w:r>
      <w:bookmarkEnd w:id="346"/>
      <w:bookmarkEnd w:id="347"/>
      <w:bookmarkEnd w:id="348"/>
      <w:bookmarkEnd w:id="349"/>
      <w:bookmarkEnd w:id="350"/>
      <w:bookmarkEnd w:id="351"/>
      <w:bookmarkEnd w:id="352"/>
      <w:bookmarkEnd w:id="353"/>
      <w:bookmarkEnd w:id="354"/>
      <w:bookmarkEnd w:id="355"/>
      <w:bookmarkEnd w:id="356"/>
      <w:bookmarkEnd w:id="357"/>
    </w:p>
    <w:p w14:paraId="0AF45D91">
      <w:pPr>
        <w:tabs>
          <w:tab w:val="left" w:pos="567"/>
        </w:tabs>
        <w:autoSpaceDE w:val="0"/>
        <w:autoSpaceDN w:val="0"/>
        <w:adjustRightInd w:val="0"/>
        <w:spacing w:line="360" w:lineRule="auto"/>
        <w:ind w:left="708" w:hanging="711" w:hangingChars="236"/>
        <w:jc w:val="left"/>
        <w:outlineLvl w:val="9"/>
        <w:rPr>
          <w:rFonts w:hint="eastAsia" w:ascii="宋体" w:hAnsi="宋体" w:eastAsia="宋体" w:cs="宋体"/>
          <w:b/>
          <w:color w:val="auto"/>
          <w:kern w:val="0"/>
          <w:sz w:val="30"/>
          <w:szCs w:val="30"/>
          <w:highlight w:val="none"/>
        </w:rPr>
      </w:pPr>
      <w:bookmarkStart w:id="358" w:name="_Toc102860416"/>
      <w:bookmarkStart w:id="359" w:name="_Toc18589"/>
      <w:bookmarkStart w:id="360" w:name="_Toc102860072"/>
      <w:bookmarkStart w:id="361" w:name="_Toc104991873"/>
      <w:bookmarkStart w:id="362" w:name="_Toc140596926"/>
      <w:bookmarkStart w:id="363" w:name="_Toc94107207"/>
      <w:bookmarkStart w:id="364" w:name="_Toc2395_WPSOffice_Level3"/>
      <w:bookmarkStart w:id="365" w:name="_Toc142508367"/>
      <w:bookmarkStart w:id="366" w:name="_Toc1105"/>
      <w:r>
        <w:rPr>
          <w:rFonts w:hint="eastAsia" w:ascii="宋体" w:hAnsi="宋体" w:eastAsia="宋体" w:cs="宋体"/>
          <w:b/>
          <w:color w:val="auto"/>
          <w:kern w:val="0"/>
          <w:sz w:val="30"/>
          <w:szCs w:val="30"/>
          <w:highlight w:val="none"/>
        </w:rPr>
        <w:t>3.1 投标报价表</w:t>
      </w:r>
      <w:bookmarkEnd w:id="358"/>
      <w:bookmarkEnd w:id="359"/>
      <w:bookmarkEnd w:id="360"/>
      <w:bookmarkEnd w:id="361"/>
      <w:bookmarkEnd w:id="362"/>
      <w:bookmarkEnd w:id="363"/>
      <w:bookmarkEnd w:id="364"/>
      <w:bookmarkEnd w:id="365"/>
      <w:bookmarkEnd w:id="366"/>
    </w:p>
    <w:p w14:paraId="5E9068C0">
      <w:pPr>
        <w:spacing w:line="360" w:lineRule="auto"/>
        <w:jc w:val="center"/>
        <w:outlineLvl w:val="9"/>
        <w:rPr>
          <w:rFonts w:hint="eastAsia" w:ascii="宋体" w:hAnsi="宋体" w:eastAsia="宋体" w:cs="宋体"/>
          <w:b/>
          <w:bCs/>
          <w:color w:val="auto"/>
          <w:kern w:val="0"/>
          <w:sz w:val="30"/>
          <w:szCs w:val="30"/>
          <w:highlight w:val="none"/>
        </w:rPr>
      </w:pPr>
      <w:r>
        <w:rPr>
          <w:rFonts w:hint="eastAsia" w:ascii="宋体" w:hAnsi="宋体" w:eastAsia="宋体" w:cs="宋体"/>
          <w:b/>
          <w:bCs/>
          <w:color w:val="auto"/>
          <w:sz w:val="30"/>
          <w:szCs w:val="30"/>
          <w:highlight w:val="none"/>
          <w:lang w:val="zh-CN"/>
        </w:rPr>
        <w:t>投标报价表</w:t>
      </w:r>
    </w:p>
    <w:p w14:paraId="1FC3481C">
      <w:pPr>
        <w:spacing w:line="360" w:lineRule="auto"/>
        <w:outlineLvl w:val="9"/>
        <w:rPr>
          <w:rFonts w:hint="eastAsia" w:ascii="宋体" w:hAnsi="宋体" w:eastAsia="宋体" w:cs="宋体"/>
          <w:color w:val="auto"/>
          <w:kern w:val="0"/>
          <w:szCs w:val="21"/>
          <w:highlight w:val="none"/>
          <w:u w:val="single"/>
        </w:rPr>
      </w:pPr>
    </w:p>
    <w:tbl>
      <w:tblPr>
        <w:tblStyle w:val="41"/>
        <w:tblW w:w="1037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36"/>
        <w:gridCol w:w="4044"/>
        <w:gridCol w:w="3958"/>
        <w:gridCol w:w="1332"/>
      </w:tblGrid>
      <w:tr w14:paraId="3C0946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trPr>
        <w:tc>
          <w:tcPr>
            <w:tcW w:w="1036" w:type="dxa"/>
            <w:tcBorders>
              <w:top w:val="single" w:color="auto" w:sz="4" w:space="0"/>
              <w:left w:val="single" w:color="auto" w:sz="4" w:space="0"/>
              <w:bottom w:val="single" w:color="auto" w:sz="4" w:space="0"/>
              <w:right w:val="single" w:color="auto" w:sz="4" w:space="0"/>
            </w:tcBorders>
            <w:vAlign w:val="center"/>
          </w:tcPr>
          <w:p w14:paraId="76DA6399">
            <w:pPr>
              <w:autoSpaceDE w:val="0"/>
              <w:autoSpaceDN w:val="0"/>
              <w:spacing w:line="360" w:lineRule="auto"/>
              <w:jc w:val="center"/>
              <w:outlineLvl w:val="9"/>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序号</w:t>
            </w:r>
          </w:p>
        </w:tc>
        <w:tc>
          <w:tcPr>
            <w:tcW w:w="4044" w:type="dxa"/>
            <w:tcBorders>
              <w:top w:val="single" w:color="auto" w:sz="4" w:space="0"/>
              <w:left w:val="single" w:color="auto" w:sz="4" w:space="0"/>
              <w:bottom w:val="single" w:color="auto" w:sz="4" w:space="0"/>
              <w:right w:val="single" w:color="auto" w:sz="4" w:space="0"/>
            </w:tcBorders>
            <w:vAlign w:val="center"/>
          </w:tcPr>
          <w:p w14:paraId="360E1371">
            <w:pPr>
              <w:autoSpaceDE w:val="0"/>
              <w:autoSpaceDN w:val="0"/>
              <w:spacing w:line="360" w:lineRule="auto"/>
              <w:jc w:val="center"/>
              <w:outlineLvl w:val="9"/>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项目名称及招标编号</w:t>
            </w:r>
          </w:p>
        </w:tc>
        <w:tc>
          <w:tcPr>
            <w:tcW w:w="3958" w:type="dxa"/>
            <w:tcBorders>
              <w:top w:val="single" w:color="auto" w:sz="4" w:space="0"/>
              <w:left w:val="single" w:color="auto" w:sz="4" w:space="0"/>
              <w:bottom w:val="single" w:color="auto" w:sz="4" w:space="0"/>
              <w:right w:val="single" w:color="auto" w:sz="4" w:space="0"/>
            </w:tcBorders>
            <w:vAlign w:val="center"/>
          </w:tcPr>
          <w:p w14:paraId="3F116D88">
            <w:pPr>
              <w:autoSpaceDE w:val="0"/>
              <w:autoSpaceDN w:val="0"/>
              <w:spacing w:line="360" w:lineRule="auto"/>
              <w:jc w:val="center"/>
              <w:outlineLvl w:val="9"/>
              <w:rPr>
                <w:rFonts w:hint="eastAsia" w:ascii="宋体" w:hAnsi="宋体" w:eastAsia="宋体" w:cs="宋体"/>
                <w:b/>
                <w:color w:val="auto"/>
                <w:kern w:val="0"/>
                <w:szCs w:val="21"/>
                <w:highlight w:val="none"/>
                <w:lang w:val="en-US" w:eastAsia="zh-CN"/>
              </w:rPr>
            </w:pPr>
            <w:r>
              <w:rPr>
                <w:rFonts w:hint="eastAsia" w:ascii="宋体" w:hAnsi="宋体" w:eastAsia="宋体" w:cs="宋体"/>
                <w:b/>
                <w:color w:val="auto"/>
                <w:kern w:val="0"/>
                <w:szCs w:val="21"/>
                <w:highlight w:val="none"/>
              </w:rPr>
              <w:t>投标报价</w:t>
            </w:r>
            <w:r>
              <w:rPr>
                <w:rFonts w:hint="eastAsia" w:ascii="宋体" w:hAnsi="宋体" w:eastAsia="宋体" w:cs="宋体"/>
                <w:b/>
                <w:color w:val="auto"/>
                <w:kern w:val="0"/>
                <w:szCs w:val="21"/>
                <w:highlight w:val="none"/>
                <w:lang w:eastAsia="zh-CN"/>
              </w:rPr>
              <w:t>（</w:t>
            </w:r>
            <w:r>
              <w:rPr>
                <w:rFonts w:hint="eastAsia" w:ascii="宋体" w:hAnsi="宋体" w:eastAsia="宋体" w:cs="宋体"/>
                <w:b/>
                <w:color w:val="auto"/>
                <w:kern w:val="0"/>
                <w:szCs w:val="21"/>
                <w:highlight w:val="none"/>
                <w:lang w:val="en-US" w:eastAsia="zh-CN"/>
              </w:rPr>
              <w:t>单位：元</w:t>
            </w:r>
            <w:r>
              <w:rPr>
                <w:rFonts w:hint="eastAsia" w:ascii="宋体" w:hAnsi="宋体" w:eastAsia="宋体" w:cs="宋体"/>
                <w:b/>
                <w:color w:val="auto"/>
                <w:kern w:val="0"/>
                <w:szCs w:val="21"/>
                <w:highlight w:val="none"/>
                <w:lang w:eastAsia="zh-CN"/>
              </w:rPr>
              <w:t>）</w:t>
            </w:r>
          </w:p>
        </w:tc>
        <w:tc>
          <w:tcPr>
            <w:tcW w:w="1332" w:type="dxa"/>
            <w:tcBorders>
              <w:top w:val="single" w:color="auto" w:sz="4" w:space="0"/>
              <w:left w:val="single" w:color="auto" w:sz="4" w:space="0"/>
              <w:bottom w:val="single" w:color="auto" w:sz="4" w:space="0"/>
              <w:right w:val="single" w:color="auto" w:sz="4" w:space="0"/>
            </w:tcBorders>
            <w:vAlign w:val="center"/>
          </w:tcPr>
          <w:p w14:paraId="4DBBFA17">
            <w:pPr>
              <w:autoSpaceDE w:val="0"/>
              <w:autoSpaceDN w:val="0"/>
              <w:spacing w:line="360" w:lineRule="auto"/>
              <w:jc w:val="center"/>
              <w:outlineLvl w:val="9"/>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备注</w:t>
            </w:r>
          </w:p>
        </w:tc>
      </w:tr>
      <w:tr w14:paraId="4249A0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10" w:hRule="atLeast"/>
        </w:trPr>
        <w:tc>
          <w:tcPr>
            <w:tcW w:w="1036" w:type="dxa"/>
            <w:tcBorders>
              <w:top w:val="single" w:color="auto" w:sz="4" w:space="0"/>
              <w:left w:val="single" w:color="auto" w:sz="4" w:space="0"/>
              <w:right w:val="single" w:color="auto" w:sz="4" w:space="0"/>
            </w:tcBorders>
            <w:vAlign w:val="center"/>
          </w:tcPr>
          <w:p w14:paraId="7FA4A88B">
            <w:pPr>
              <w:autoSpaceDE w:val="0"/>
              <w:autoSpaceDN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p>
        </w:tc>
        <w:tc>
          <w:tcPr>
            <w:tcW w:w="4044" w:type="dxa"/>
            <w:tcBorders>
              <w:top w:val="single" w:color="auto" w:sz="4" w:space="0"/>
              <w:left w:val="single" w:color="auto" w:sz="4" w:space="0"/>
              <w:right w:val="single" w:color="auto" w:sz="4" w:space="0"/>
            </w:tcBorders>
            <w:vAlign w:val="center"/>
          </w:tcPr>
          <w:p w14:paraId="2A0F6659">
            <w:pPr>
              <w:autoSpaceDE w:val="0"/>
              <w:autoSpaceDN w:val="0"/>
              <w:spacing w:line="360" w:lineRule="auto"/>
              <w:jc w:val="center"/>
              <w:outlineLvl w:val="9"/>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eastAsia="zh-CN"/>
              </w:rPr>
              <w:t>2025年前端设备运维服务项目</w:t>
            </w:r>
          </w:p>
          <w:p w14:paraId="588BA5F8">
            <w:pPr>
              <w:autoSpaceDE w:val="0"/>
              <w:autoSpaceDN w:val="0"/>
              <w:spacing w:line="360" w:lineRule="auto"/>
              <w:jc w:val="center"/>
              <w:outlineLvl w:val="9"/>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eastAsia="zh-CN"/>
              </w:rPr>
              <w:t>（招标编号：YDZB25DGQY0185）</w:t>
            </w:r>
          </w:p>
        </w:tc>
        <w:tc>
          <w:tcPr>
            <w:tcW w:w="3958" w:type="dxa"/>
            <w:tcBorders>
              <w:top w:val="single" w:color="auto" w:sz="4" w:space="0"/>
              <w:left w:val="single" w:color="auto" w:sz="4" w:space="0"/>
              <w:right w:val="single" w:color="auto" w:sz="4" w:space="0"/>
            </w:tcBorders>
            <w:vAlign w:val="center"/>
          </w:tcPr>
          <w:p w14:paraId="24DAA445">
            <w:pPr>
              <w:autoSpaceDE w:val="0"/>
              <w:autoSpaceDN w:val="0"/>
              <w:spacing w:line="360" w:lineRule="auto"/>
              <w:jc w:val="left"/>
              <w:outlineLvl w:val="9"/>
              <w:rPr>
                <w:rFonts w:hint="eastAsia" w:ascii="宋体" w:hAnsi="宋体" w:eastAsia="宋体" w:cs="宋体"/>
                <w:b w:val="0"/>
                <w:bCs/>
                <w:color w:val="auto"/>
                <w:kern w:val="0"/>
                <w:szCs w:val="21"/>
                <w:highlight w:val="none"/>
                <w:lang w:val="en-US" w:eastAsia="zh-CN"/>
              </w:rPr>
            </w:pPr>
            <w:r>
              <w:rPr>
                <w:rFonts w:hint="eastAsia" w:ascii="宋体" w:hAnsi="宋体" w:eastAsia="宋体" w:cs="宋体"/>
                <w:b w:val="0"/>
                <w:bCs/>
                <w:color w:val="auto"/>
                <w:kern w:val="0"/>
                <w:szCs w:val="21"/>
                <w:highlight w:val="none"/>
              </w:rPr>
              <w:t>大写：</w:t>
            </w:r>
            <w:r>
              <w:rPr>
                <w:rFonts w:hint="eastAsia" w:ascii="宋体" w:hAnsi="宋体" w:eastAsia="宋体" w:cs="宋体"/>
                <w:b w:val="0"/>
                <w:bCs/>
                <w:color w:val="auto"/>
                <w:kern w:val="0"/>
                <w:szCs w:val="21"/>
                <w:highlight w:val="none"/>
                <w:u w:val="single"/>
                <w:lang w:val="en-US" w:eastAsia="zh-CN"/>
              </w:rPr>
              <w:t xml:space="preserve">                    </w:t>
            </w:r>
          </w:p>
          <w:p w14:paraId="49312CB8">
            <w:pPr>
              <w:autoSpaceDE w:val="0"/>
              <w:autoSpaceDN w:val="0"/>
              <w:spacing w:line="360" w:lineRule="auto"/>
              <w:jc w:val="left"/>
              <w:outlineLvl w:val="9"/>
              <w:rPr>
                <w:rFonts w:hint="eastAsia" w:ascii="宋体" w:hAnsi="宋体" w:eastAsia="宋体" w:cs="宋体"/>
                <w:b/>
                <w:color w:val="auto"/>
                <w:kern w:val="0"/>
                <w:szCs w:val="21"/>
                <w:highlight w:val="none"/>
                <w:lang w:val="en-US"/>
              </w:rPr>
            </w:pPr>
            <w:r>
              <w:rPr>
                <w:rFonts w:hint="eastAsia" w:ascii="宋体" w:hAnsi="宋体" w:eastAsia="宋体" w:cs="宋体"/>
                <w:b w:val="0"/>
                <w:bCs/>
                <w:color w:val="auto"/>
                <w:kern w:val="0"/>
                <w:szCs w:val="21"/>
                <w:highlight w:val="none"/>
              </w:rPr>
              <w:t>小写：</w:t>
            </w:r>
            <w:r>
              <w:rPr>
                <w:rFonts w:hint="eastAsia" w:ascii="宋体" w:hAnsi="宋体" w:eastAsia="宋体" w:cs="宋体"/>
                <w:b w:val="0"/>
                <w:bCs/>
                <w:color w:val="auto"/>
                <w:kern w:val="0"/>
                <w:szCs w:val="21"/>
                <w:highlight w:val="none"/>
                <w:u w:val="single"/>
                <w:lang w:val="en-US" w:eastAsia="zh-CN"/>
              </w:rPr>
              <w:t xml:space="preserve">                    </w:t>
            </w:r>
          </w:p>
        </w:tc>
        <w:tc>
          <w:tcPr>
            <w:tcW w:w="1332" w:type="dxa"/>
            <w:tcBorders>
              <w:top w:val="single" w:color="auto" w:sz="4" w:space="0"/>
              <w:left w:val="single" w:color="auto" w:sz="4" w:space="0"/>
              <w:right w:val="single" w:color="auto" w:sz="4" w:space="0"/>
            </w:tcBorders>
            <w:vAlign w:val="center"/>
          </w:tcPr>
          <w:p w14:paraId="206844F7">
            <w:pPr>
              <w:tabs>
                <w:tab w:val="left" w:pos="8610"/>
              </w:tabs>
              <w:spacing w:line="360" w:lineRule="auto"/>
              <w:jc w:val="center"/>
              <w:outlineLvl w:val="9"/>
              <w:rPr>
                <w:rFonts w:hint="eastAsia" w:ascii="宋体" w:hAnsi="宋体" w:eastAsia="宋体" w:cs="宋体"/>
                <w:color w:val="auto"/>
                <w:kern w:val="0"/>
                <w:szCs w:val="21"/>
                <w:highlight w:val="none"/>
              </w:rPr>
            </w:pPr>
          </w:p>
        </w:tc>
      </w:tr>
    </w:tbl>
    <w:p w14:paraId="04BA0289">
      <w:pPr>
        <w:spacing w:line="360" w:lineRule="auto"/>
        <w:outlineLvl w:val="9"/>
        <w:rPr>
          <w:rFonts w:hint="eastAsia" w:ascii="宋体" w:hAnsi="宋体" w:eastAsia="宋体" w:cs="宋体"/>
          <w:color w:val="auto"/>
          <w:kern w:val="0"/>
          <w:szCs w:val="21"/>
          <w:highlight w:val="none"/>
        </w:rPr>
      </w:pPr>
    </w:p>
    <w:p w14:paraId="2574CE07">
      <w:pPr>
        <w:autoSpaceDE w:val="0"/>
        <w:autoSpaceDN w:val="0"/>
        <w:adjustRightInd w:val="0"/>
        <w:spacing w:line="360" w:lineRule="auto"/>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备注：</w:t>
      </w:r>
    </w:p>
    <w:p w14:paraId="226B8C93">
      <w:pPr>
        <w:autoSpaceDE w:val="0"/>
        <w:autoSpaceDN w:val="0"/>
        <w:adjustRightInd w:val="0"/>
        <w:snapToGrid w:val="0"/>
        <w:spacing w:line="360" w:lineRule="auto"/>
        <w:ind w:left="605" w:leftChars="18"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（1）投标报价栏须用文字和数字两种方式表示的投标报价。</w:t>
      </w:r>
    </w:p>
    <w:p w14:paraId="6DD37D12">
      <w:pPr>
        <w:autoSpaceDE w:val="0"/>
        <w:autoSpaceDN w:val="0"/>
        <w:adjustRightInd w:val="0"/>
        <w:snapToGrid w:val="0"/>
        <w:spacing w:line="360" w:lineRule="auto"/>
        <w:ind w:left="605" w:leftChars="18"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（2）投标报价表内容与投标文件中相应内容不一致的，以投标报价表为准。</w:t>
      </w:r>
    </w:p>
    <w:p w14:paraId="05062997">
      <w:pPr>
        <w:autoSpaceDE w:val="0"/>
        <w:autoSpaceDN w:val="0"/>
        <w:adjustRightInd w:val="0"/>
        <w:snapToGrid w:val="0"/>
        <w:spacing w:line="360" w:lineRule="auto"/>
        <w:ind w:left="605" w:leftChars="18"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（3）大写金额和小写金额不一致的，以大写金额为准。</w:t>
      </w:r>
    </w:p>
    <w:p w14:paraId="77F7C11C">
      <w:pPr>
        <w:autoSpaceDE w:val="0"/>
        <w:autoSpaceDN w:val="0"/>
        <w:adjustRightInd w:val="0"/>
        <w:snapToGrid w:val="0"/>
        <w:spacing w:line="360" w:lineRule="auto"/>
        <w:ind w:left="605" w:leftChars="18" w:hanging="567" w:hangingChars="270"/>
        <w:jc w:val="left"/>
        <w:outlineLvl w:val="9"/>
        <w:rPr>
          <w:rFonts w:hint="eastAsia" w:ascii="宋体" w:hAnsi="宋体" w:eastAsia="宋体" w:cs="宋体"/>
          <w:color w:val="auto"/>
          <w:kern w:val="0"/>
          <w:szCs w:val="21"/>
          <w:highlight w:val="none"/>
          <w:lang w:val="zh-CN"/>
        </w:rPr>
      </w:pPr>
      <w:r>
        <w:rPr>
          <w:rFonts w:hint="eastAsia" w:ascii="宋体" w:hAnsi="宋体" w:eastAsia="宋体" w:cs="宋体"/>
          <w:color w:val="auto"/>
          <w:kern w:val="0"/>
          <w:szCs w:val="21"/>
          <w:highlight w:val="none"/>
        </w:rPr>
        <w:t>（4）</w:t>
      </w:r>
      <w:r>
        <w:rPr>
          <w:rFonts w:hint="eastAsia" w:ascii="宋体" w:hAnsi="宋体" w:eastAsia="宋体" w:cs="宋体"/>
          <w:color w:val="auto"/>
          <w:kern w:val="0"/>
          <w:szCs w:val="21"/>
          <w:highlight w:val="none"/>
          <w:lang w:val="zh-CN"/>
        </w:rPr>
        <w:t>本表一式二份，一份随唱标信封一起提交，一份编入投标文件商务文件。</w:t>
      </w:r>
    </w:p>
    <w:p w14:paraId="1FA29414">
      <w:pPr>
        <w:autoSpaceDE w:val="0"/>
        <w:autoSpaceDN w:val="0"/>
        <w:adjustRightInd w:val="0"/>
        <w:snapToGrid w:val="0"/>
        <w:spacing w:line="360" w:lineRule="auto"/>
        <w:ind w:left="605" w:leftChars="18" w:hanging="567" w:hangingChars="270"/>
        <w:jc w:val="left"/>
        <w:outlineLvl w:val="9"/>
        <w:rPr>
          <w:rFonts w:hint="eastAsia" w:ascii="宋体" w:hAnsi="宋体" w:eastAsia="宋体" w:cs="宋体"/>
          <w:color w:val="auto"/>
          <w:kern w:val="0"/>
          <w:szCs w:val="21"/>
          <w:highlight w:val="none"/>
          <w:lang w:val="zh-CN"/>
        </w:rPr>
      </w:pPr>
      <w:r>
        <w:rPr>
          <w:rFonts w:hint="eastAsia" w:ascii="宋体" w:hAnsi="宋体" w:eastAsia="宋体" w:cs="宋体"/>
          <w:color w:val="auto"/>
          <w:kern w:val="0"/>
          <w:szCs w:val="21"/>
          <w:highlight w:val="none"/>
          <w:lang w:val="zh-CN"/>
        </w:rPr>
        <w:t>（</w:t>
      </w:r>
      <w:r>
        <w:rPr>
          <w:rFonts w:hint="eastAsia" w:ascii="宋体" w:hAnsi="宋体" w:eastAsia="宋体" w:cs="宋体"/>
          <w:color w:val="auto"/>
          <w:kern w:val="0"/>
          <w:szCs w:val="21"/>
          <w:highlight w:val="none"/>
        </w:rPr>
        <w:t>5</w:t>
      </w:r>
      <w:r>
        <w:rPr>
          <w:rFonts w:hint="eastAsia" w:ascii="宋体" w:hAnsi="宋体" w:eastAsia="宋体" w:cs="宋体"/>
          <w:color w:val="auto"/>
          <w:kern w:val="0"/>
          <w:szCs w:val="21"/>
          <w:highlight w:val="none"/>
          <w:lang w:val="zh-CN"/>
        </w:rPr>
        <w:t>）</w:t>
      </w:r>
      <w:r>
        <w:rPr>
          <w:rFonts w:hint="eastAsia" w:ascii="宋体" w:hAnsi="宋体" w:eastAsia="宋体" w:cs="宋体"/>
          <w:color w:val="auto"/>
          <w:kern w:val="0"/>
          <w:szCs w:val="21"/>
          <w:highlight w:val="none"/>
        </w:rPr>
        <w:t>报价保留小数点后两位。</w:t>
      </w:r>
    </w:p>
    <w:p w14:paraId="105215C8">
      <w:pPr>
        <w:autoSpaceDE w:val="0"/>
        <w:autoSpaceDN w:val="0"/>
        <w:adjustRightInd w:val="0"/>
        <w:spacing w:line="360" w:lineRule="auto"/>
        <w:ind w:firstLine="4960" w:firstLineChars="2362"/>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投标人：（加盖投标人法人公章）</w:t>
      </w:r>
    </w:p>
    <w:p w14:paraId="38BBFC3C">
      <w:pPr>
        <w:autoSpaceDE w:val="0"/>
        <w:autoSpaceDN w:val="0"/>
        <w:adjustRightInd w:val="0"/>
        <w:spacing w:line="360" w:lineRule="auto"/>
        <w:ind w:firstLine="4960" w:firstLineChars="2362"/>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法定代表人或其授权代表签名（或盖私章）：</w:t>
      </w:r>
    </w:p>
    <w:p w14:paraId="20AEE50F">
      <w:pPr>
        <w:autoSpaceDE w:val="0"/>
        <w:autoSpaceDN w:val="0"/>
        <w:adjustRightInd w:val="0"/>
        <w:spacing w:line="360" w:lineRule="auto"/>
        <w:ind w:firstLine="4960" w:firstLineChars="2362"/>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日期：   年   月   日</w:t>
      </w:r>
    </w:p>
    <w:p w14:paraId="296A61F8">
      <w:pPr>
        <w:pStyle w:val="17"/>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zh-CN"/>
        </w:rPr>
        <w:br w:type="page"/>
      </w:r>
      <w:bookmarkStart w:id="367" w:name="_Toc18828"/>
      <w:bookmarkStart w:id="368" w:name="_Toc1977725"/>
      <w:bookmarkStart w:id="369" w:name="_Toc140596928"/>
      <w:bookmarkStart w:id="370" w:name="_Toc102860418"/>
      <w:bookmarkStart w:id="371" w:name="_Toc104991875"/>
      <w:bookmarkStart w:id="372" w:name="_Toc142508369"/>
      <w:bookmarkStart w:id="373" w:name="_Toc24015"/>
      <w:bookmarkStart w:id="374" w:name="_Toc102860074"/>
      <w:bookmarkStart w:id="375" w:name="_Toc94107209"/>
      <w:bookmarkStart w:id="376" w:name="_Toc486167712"/>
      <w:bookmarkStart w:id="377" w:name="_Toc533708124"/>
      <w:bookmarkStart w:id="378" w:name="_Toc20759_WPSOffice_Level2"/>
    </w:p>
    <w:p w14:paraId="598318CC">
      <w:pPr>
        <w:rPr>
          <w:rFonts w:hint="eastAsia"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rPr>
        <w:t>3.</w:t>
      </w:r>
      <w:r>
        <w:rPr>
          <w:rFonts w:hint="eastAsia" w:ascii="宋体" w:hAnsi="宋体" w:eastAsia="宋体" w:cs="宋体"/>
          <w:b/>
          <w:color w:val="auto"/>
          <w:kern w:val="0"/>
          <w:sz w:val="30"/>
          <w:szCs w:val="30"/>
          <w:highlight w:val="none"/>
          <w:lang w:val="en-US" w:eastAsia="zh-CN"/>
        </w:rPr>
        <w:t>2</w:t>
      </w:r>
      <w:r>
        <w:rPr>
          <w:rFonts w:hint="eastAsia" w:ascii="宋体" w:hAnsi="宋体" w:eastAsia="宋体" w:cs="宋体"/>
          <w:b/>
          <w:color w:val="auto"/>
          <w:kern w:val="0"/>
          <w:sz w:val="30"/>
          <w:szCs w:val="30"/>
          <w:highlight w:val="none"/>
        </w:rPr>
        <w:t xml:space="preserve"> </w:t>
      </w:r>
      <w:r>
        <w:rPr>
          <w:rFonts w:hint="eastAsia" w:ascii="宋体" w:hAnsi="宋体" w:eastAsia="宋体" w:cs="宋体"/>
          <w:b/>
          <w:color w:val="auto"/>
          <w:kern w:val="0"/>
          <w:sz w:val="30"/>
          <w:szCs w:val="30"/>
          <w:highlight w:val="none"/>
          <w:lang w:val="en-US" w:eastAsia="zh-CN"/>
        </w:rPr>
        <w:t>分项</w:t>
      </w:r>
      <w:r>
        <w:rPr>
          <w:rFonts w:hint="eastAsia" w:ascii="宋体" w:hAnsi="宋体" w:eastAsia="宋体" w:cs="宋体"/>
          <w:b/>
          <w:color w:val="auto"/>
          <w:kern w:val="0"/>
          <w:sz w:val="30"/>
          <w:szCs w:val="30"/>
          <w:highlight w:val="none"/>
        </w:rPr>
        <w:t>报价表</w:t>
      </w:r>
    </w:p>
    <w:p w14:paraId="2951E1AD">
      <w:pPr>
        <w:spacing w:before="312" w:beforeLines="100" w:after="312" w:afterLines="100" w:line="360" w:lineRule="auto"/>
        <w:jc w:val="center"/>
        <w:rPr>
          <w:rFonts w:hint="eastAsia" w:ascii="宋体" w:hAnsi="宋体" w:eastAsia="宋体" w:cs="宋体"/>
          <w:b/>
          <w:color w:val="auto"/>
          <w:spacing w:val="20"/>
          <w:sz w:val="28"/>
          <w:szCs w:val="28"/>
          <w:highlight w:val="none"/>
        </w:rPr>
      </w:pPr>
      <w:r>
        <w:rPr>
          <w:rFonts w:hint="eastAsia" w:ascii="宋体" w:hAnsi="宋体" w:eastAsia="宋体" w:cs="宋体"/>
          <w:b/>
          <w:color w:val="auto"/>
          <w:spacing w:val="20"/>
          <w:sz w:val="28"/>
          <w:szCs w:val="28"/>
          <w:highlight w:val="none"/>
        </w:rPr>
        <w:t>分项报价表</w:t>
      </w:r>
    </w:p>
    <w:tbl>
      <w:tblPr>
        <w:tblStyle w:val="4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4"/>
        <w:gridCol w:w="1178"/>
        <w:gridCol w:w="4"/>
        <w:gridCol w:w="1191"/>
        <w:gridCol w:w="2242"/>
        <w:gridCol w:w="2209"/>
        <w:gridCol w:w="2662"/>
      </w:tblGrid>
      <w:tr w14:paraId="19366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26" w:type="pct"/>
            <w:vAlign w:val="center"/>
          </w:tcPr>
          <w:p w14:paraId="24F2194E">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144" w:type="pct"/>
            <w:gridSpan w:val="3"/>
            <w:vAlign w:val="center"/>
          </w:tcPr>
          <w:p w14:paraId="0BA28E18">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分项名称</w:t>
            </w:r>
          </w:p>
        </w:tc>
        <w:tc>
          <w:tcPr>
            <w:tcW w:w="1081" w:type="pct"/>
            <w:vAlign w:val="center"/>
          </w:tcPr>
          <w:p w14:paraId="44115E5C">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单价（元）</w:t>
            </w:r>
          </w:p>
        </w:tc>
        <w:tc>
          <w:tcPr>
            <w:tcW w:w="1065" w:type="pct"/>
            <w:vAlign w:val="center"/>
          </w:tcPr>
          <w:p w14:paraId="362A2CE5">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数量</w:t>
            </w:r>
          </w:p>
        </w:tc>
        <w:tc>
          <w:tcPr>
            <w:tcW w:w="1283" w:type="pct"/>
            <w:vAlign w:val="center"/>
          </w:tcPr>
          <w:p w14:paraId="511E4CB6">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合价（元）</w:t>
            </w:r>
          </w:p>
        </w:tc>
      </w:tr>
      <w:tr w14:paraId="60886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26" w:type="pct"/>
            <w:vAlign w:val="center"/>
          </w:tcPr>
          <w:p w14:paraId="0317B5A5">
            <w:pPr>
              <w:spacing w:line="360" w:lineRule="auto"/>
              <w:jc w:val="center"/>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1</w:t>
            </w:r>
          </w:p>
        </w:tc>
        <w:tc>
          <w:tcPr>
            <w:tcW w:w="1144" w:type="pct"/>
            <w:gridSpan w:val="3"/>
            <w:vAlign w:val="center"/>
          </w:tcPr>
          <w:p w14:paraId="27E12F50">
            <w:pPr>
              <w:spacing w:line="360"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运维服务</w:t>
            </w:r>
          </w:p>
        </w:tc>
        <w:tc>
          <w:tcPr>
            <w:tcW w:w="1081" w:type="pct"/>
            <w:vAlign w:val="center"/>
          </w:tcPr>
          <w:p w14:paraId="59FD1436">
            <w:pPr>
              <w:spacing w:line="360" w:lineRule="auto"/>
              <w:jc w:val="center"/>
              <w:rPr>
                <w:rFonts w:hint="eastAsia" w:ascii="宋体" w:hAnsi="宋体" w:eastAsia="宋体" w:cs="宋体"/>
                <w:color w:val="auto"/>
                <w:szCs w:val="21"/>
                <w:highlight w:val="none"/>
              </w:rPr>
            </w:pPr>
          </w:p>
        </w:tc>
        <w:tc>
          <w:tcPr>
            <w:tcW w:w="1065" w:type="pct"/>
            <w:vAlign w:val="center"/>
          </w:tcPr>
          <w:p w14:paraId="5C498F0D">
            <w:pPr>
              <w:spacing w:line="360" w:lineRule="auto"/>
              <w:jc w:val="center"/>
              <w:rPr>
                <w:rFonts w:hint="eastAsia" w:ascii="宋体" w:hAnsi="宋体" w:eastAsia="宋体" w:cs="宋体"/>
                <w:color w:val="auto"/>
                <w:szCs w:val="21"/>
                <w:highlight w:val="none"/>
              </w:rPr>
            </w:pPr>
          </w:p>
        </w:tc>
        <w:tc>
          <w:tcPr>
            <w:tcW w:w="1283" w:type="pct"/>
            <w:vAlign w:val="center"/>
          </w:tcPr>
          <w:p w14:paraId="02A8EF68">
            <w:pPr>
              <w:spacing w:line="360" w:lineRule="auto"/>
              <w:jc w:val="center"/>
              <w:rPr>
                <w:rFonts w:hint="eastAsia" w:ascii="宋体" w:hAnsi="宋体" w:eastAsia="宋体" w:cs="宋体"/>
                <w:color w:val="auto"/>
                <w:szCs w:val="21"/>
                <w:highlight w:val="none"/>
              </w:rPr>
            </w:pPr>
          </w:p>
        </w:tc>
      </w:tr>
      <w:tr w14:paraId="76034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26" w:type="pct"/>
            <w:vAlign w:val="center"/>
          </w:tcPr>
          <w:p w14:paraId="6E0FA3E5">
            <w:pPr>
              <w:spacing w:line="360" w:lineRule="auto"/>
              <w:jc w:val="center"/>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2</w:t>
            </w:r>
          </w:p>
        </w:tc>
        <w:tc>
          <w:tcPr>
            <w:tcW w:w="1144" w:type="pct"/>
            <w:gridSpan w:val="3"/>
            <w:vAlign w:val="center"/>
          </w:tcPr>
          <w:p w14:paraId="1E0FB987">
            <w:pPr>
              <w:spacing w:line="360" w:lineRule="auto"/>
              <w:jc w:val="center"/>
              <w:rPr>
                <w:rFonts w:hint="eastAsia" w:ascii="宋体" w:hAnsi="宋体" w:eastAsia="宋体" w:cs="宋体"/>
                <w:b/>
                <w:bCs/>
                <w:color w:val="auto"/>
                <w:szCs w:val="21"/>
                <w:highlight w:val="none"/>
                <w:lang w:eastAsia="zh-CN"/>
              </w:rPr>
            </w:pPr>
            <w:r>
              <w:rPr>
                <w:rFonts w:hint="eastAsia" w:ascii="宋体" w:hAnsi="宋体" w:eastAsia="宋体" w:cs="宋体"/>
                <w:b/>
                <w:bCs/>
                <w:color w:val="auto"/>
                <w:szCs w:val="21"/>
                <w:highlight w:val="none"/>
                <w:lang w:val="en-US" w:eastAsia="zh-CN"/>
              </w:rPr>
              <w:t>电费</w:t>
            </w:r>
          </w:p>
        </w:tc>
        <w:tc>
          <w:tcPr>
            <w:tcW w:w="1081" w:type="pct"/>
            <w:vAlign w:val="center"/>
          </w:tcPr>
          <w:p w14:paraId="2ADF1B04">
            <w:pPr>
              <w:spacing w:line="360" w:lineRule="auto"/>
              <w:jc w:val="center"/>
              <w:rPr>
                <w:rFonts w:hint="eastAsia" w:ascii="宋体" w:hAnsi="宋体" w:eastAsia="宋体" w:cs="宋体"/>
                <w:color w:val="auto"/>
                <w:szCs w:val="21"/>
                <w:highlight w:val="none"/>
              </w:rPr>
            </w:pPr>
          </w:p>
        </w:tc>
        <w:tc>
          <w:tcPr>
            <w:tcW w:w="1065" w:type="pct"/>
            <w:vAlign w:val="center"/>
          </w:tcPr>
          <w:p w14:paraId="25C6632A">
            <w:pPr>
              <w:spacing w:line="360" w:lineRule="auto"/>
              <w:jc w:val="center"/>
              <w:rPr>
                <w:rFonts w:hint="eastAsia" w:ascii="宋体" w:hAnsi="宋体" w:eastAsia="宋体" w:cs="宋体"/>
                <w:color w:val="auto"/>
                <w:szCs w:val="21"/>
                <w:highlight w:val="none"/>
              </w:rPr>
            </w:pPr>
          </w:p>
        </w:tc>
        <w:tc>
          <w:tcPr>
            <w:tcW w:w="1283" w:type="pct"/>
            <w:vAlign w:val="center"/>
          </w:tcPr>
          <w:p w14:paraId="37BF2DFD">
            <w:pPr>
              <w:spacing w:line="360" w:lineRule="auto"/>
              <w:jc w:val="center"/>
              <w:rPr>
                <w:rFonts w:hint="eastAsia" w:ascii="宋体" w:hAnsi="宋体" w:eastAsia="宋体" w:cs="宋体"/>
                <w:color w:val="auto"/>
                <w:szCs w:val="21"/>
                <w:highlight w:val="none"/>
              </w:rPr>
            </w:pPr>
          </w:p>
        </w:tc>
      </w:tr>
      <w:tr w14:paraId="6A0FE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26" w:type="pct"/>
            <w:vAlign w:val="center"/>
          </w:tcPr>
          <w:p w14:paraId="2AB22C7B">
            <w:pPr>
              <w:spacing w:line="360" w:lineRule="auto"/>
              <w:jc w:val="center"/>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3</w:t>
            </w:r>
          </w:p>
        </w:tc>
        <w:tc>
          <w:tcPr>
            <w:tcW w:w="1144" w:type="pct"/>
            <w:gridSpan w:val="3"/>
            <w:vAlign w:val="center"/>
          </w:tcPr>
          <w:p w14:paraId="1A5C0D1B">
            <w:pPr>
              <w:spacing w:line="360" w:lineRule="auto"/>
              <w:jc w:val="center"/>
              <w:rPr>
                <w:rFonts w:hint="eastAsia" w:ascii="宋体" w:hAnsi="宋体" w:eastAsia="宋体" w:cs="宋体"/>
                <w:b/>
                <w:bCs/>
                <w:color w:val="auto"/>
                <w:szCs w:val="21"/>
                <w:highlight w:val="none"/>
                <w:lang w:eastAsia="zh-CN"/>
              </w:rPr>
            </w:pPr>
            <w:r>
              <w:rPr>
                <w:rFonts w:hint="eastAsia" w:ascii="宋体" w:hAnsi="宋体" w:eastAsia="宋体" w:cs="宋体"/>
                <w:b/>
                <w:bCs/>
                <w:color w:val="auto"/>
                <w:szCs w:val="21"/>
                <w:highlight w:val="none"/>
                <w:lang w:val="en-US" w:eastAsia="zh-CN"/>
              </w:rPr>
              <w:t>迁移费用</w:t>
            </w:r>
          </w:p>
        </w:tc>
        <w:tc>
          <w:tcPr>
            <w:tcW w:w="1081" w:type="pct"/>
            <w:vAlign w:val="center"/>
          </w:tcPr>
          <w:p w14:paraId="6FF42EFB">
            <w:pPr>
              <w:spacing w:line="360" w:lineRule="auto"/>
              <w:jc w:val="center"/>
              <w:rPr>
                <w:rFonts w:hint="eastAsia" w:ascii="宋体" w:hAnsi="宋体" w:eastAsia="宋体" w:cs="宋体"/>
                <w:color w:val="auto"/>
                <w:szCs w:val="21"/>
                <w:highlight w:val="none"/>
              </w:rPr>
            </w:pPr>
          </w:p>
        </w:tc>
        <w:tc>
          <w:tcPr>
            <w:tcW w:w="1065" w:type="pct"/>
            <w:vAlign w:val="center"/>
          </w:tcPr>
          <w:p w14:paraId="40552F90">
            <w:pPr>
              <w:spacing w:line="360" w:lineRule="auto"/>
              <w:jc w:val="center"/>
              <w:rPr>
                <w:rFonts w:hint="eastAsia" w:ascii="宋体" w:hAnsi="宋体" w:eastAsia="宋体" w:cs="宋体"/>
                <w:color w:val="auto"/>
                <w:szCs w:val="21"/>
                <w:highlight w:val="none"/>
              </w:rPr>
            </w:pPr>
          </w:p>
        </w:tc>
        <w:tc>
          <w:tcPr>
            <w:tcW w:w="1283" w:type="pct"/>
            <w:vAlign w:val="center"/>
          </w:tcPr>
          <w:p w14:paraId="094E8AEE">
            <w:pPr>
              <w:spacing w:line="360" w:lineRule="auto"/>
              <w:jc w:val="center"/>
              <w:rPr>
                <w:rFonts w:hint="eastAsia" w:ascii="宋体" w:hAnsi="宋体" w:eastAsia="宋体" w:cs="宋体"/>
                <w:color w:val="auto"/>
                <w:szCs w:val="21"/>
                <w:highlight w:val="none"/>
              </w:rPr>
            </w:pPr>
          </w:p>
        </w:tc>
      </w:tr>
      <w:tr w14:paraId="7C5F7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26" w:type="pct"/>
            <w:vAlign w:val="center"/>
          </w:tcPr>
          <w:p w14:paraId="5083C4D6">
            <w:pPr>
              <w:spacing w:line="360" w:lineRule="auto"/>
              <w:jc w:val="center"/>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3.1</w:t>
            </w:r>
          </w:p>
        </w:tc>
        <w:tc>
          <w:tcPr>
            <w:tcW w:w="568" w:type="pct"/>
            <w:vMerge w:val="restart"/>
            <w:vAlign w:val="center"/>
          </w:tcPr>
          <w:p w14:paraId="6C3FEF86">
            <w:pPr>
              <w:spacing w:line="360" w:lineRule="auto"/>
              <w:jc w:val="center"/>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图片识别单元点位迁移（客观原因更换点位）</w:t>
            </w:r>
          </w:p>
        </w:tc>
        <w:tc>
          <w:tcPr>
            <w:tcW w:w="575" w:type="pct"/>
            <w:gridSpan w:val="2"/>
            <w:vAlign w:val="center"/>
          </w:tcPr>
          <w:p w14:paraId="0174BA43">
            <w:pPr>
              <w:spacing w:line="360" w:lineRule="auto"/>
              <w:jc w:val="center"/>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立杆点位迁移</w:t>
            </w:r>
          </w:p>
        </w:tc>
        <w:tc>
          <w:tcPr>
            <w:tcW w:w="1081" w:type="pct"/>
            <w:vAlign w:val="center"/>
          </w:tcPr>
          <w:p w14:paraId="57B59BD5">
            <w:pPr>
              <w:spacing w:line="360" w:lineRule="auto"/>
              <w:jc w:val="center"/>
              <w:rPr>
                <w:rFonts w:hint="eastAsia" w:ascii="宋体" w:hAnsi="宋体" w:eastAsia="宋体" w:cs="宋体"/>
                <w:color w:val="auto"/>
                <w:szCs w:val="21"/>
                <w:highlight w:val="none"/>
              </w:rPr>
            </w:pPr>
          </w:p>
        </w:tc>
        <w:tc>
          <w:tcPr>
            <w:tcW w:w="1065" w:type="pct"/>
            <w:vAlign w:val="center"/>
          </w:tcPr>
          <w:p w14:paraId="0187C253">
            <w:pPr>
              <w:spacing w:line="360" w:lineRule="auto"/>
              <w:jc w:val="center"/>
              <w:rPr>
                <w:rFonts w:hint="eastAsia" w:ascii="宋体" w:hAnsi="宋体" w:eastAsia="宋体" w:cs="宋体"/>
                <w:color w:val="auto"/>
                <w:szCs w:val="21"/>
                <w:highlight w:val="none"/>
              </w:rPr>
            </w:pPr>
          </w:p>
        </w:tc>
        <w:tc>
          <w:tcPr>
            <w:tcW w:w="1283" w:type="pct"/>
            <w:vAlign w:val="center"/>
          </w:tcPr>
          <w:p w14:paraId="434DC58B">
            <w:pPr>
              <w:spacing w:line="360" w:lineRule="auto"/>
              <w:jc w:val="center"/>
              <w:rPr>
                <w:rFonts w:hint="eastAsia" w:ascii="宋体" w:hAnsi="宋体" w:eastAsia="宋体" w:cs="宋体"/>
                <w:color w:val="auto"/>
                <w:szCs w:val="21"/>
                <w:highlight w:val="none"/>
              </w:rPr>
            </w:pPr>
          </w:p>
        </w:tc>
      </w:tr>
      <w:tr w14:paraId="0963F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26" w:type="pct"/>
            <w:vAlign w:val="center"/>
          </w:tcPr>
          <w:p w14:paraId="0343CCAE">
            <w:pPr>
              <w:spacing w:line="360" w:lineRule="auto"/>
              <w:jc w:val="center"/>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3.2</w:t>
            </w:r>
          </w:p>
        </w:tc>
        <w:tc>
          <w:tcPr>
            <w:tcW w:w="568" w:type="pct"/>
            <w:vMerge w:val="continue"/>
            <w:vAlign w:val="center"/>
          </w:tcPr>
          <w:p w14:paraId="4C8E8685">
            <w:pPr>
              <w:spacing w:line="360" w:lineRule="auto"/>
              <w:jc w:val="center"/>
              <w:rPr>
                <w:rFonts w:hint="eastAsia" w:ascii="宋体" w:hAnsi="宋体" w:eastAsia="宋体" w:cs="宋体"/>
                <w:b/>
                <w:bCs/>
                <w:color w:val="auto"/>
                <w:szCs w:val="21"/>
                <w:highlight w:val="none"/>
                <w:lang w:val="en-US" w:eastAsia="zh-CN"/>
              </w:rPr>
            </w:pPr>
          </w:p>
        </w:tc>
        <w:tc>
          <w:tcPr>
            <w:tcW w:w="575" w:type="pct"/>
            <w:gridSpan w:val="2"/>
            <w:vAlign w:val="center"/>
          </w:tcPr>
          <w:p w14:paraId="243DAE08">
            <w:pPr>
              <w:spacing w:line="360" w:lineRule="auto"/>
              <w:jc w:val="center"/>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横臂点位迁移（以迁移结果为准）</w:t>
            </w:r>
          </w:p>
        </w:tc>
        <w:tc>
          <w:tcPr>
            <w:tcW w:w="1081" w:type="pct"/>
            <w:vAlign w:val="center"/>
          </w:tcPr>
          <w:p w14:paraId="419EE5CC">
            <w:pPr>
              <w:spacing w:line="360" w:lineRule="auto"/>
              <w:jc w:val="center"/>
              <w:rPr>
                <w:rFonts w:hint="eastAsia" w:ascii="宋体" w:hAnsi="宋体" w:eastAsia="宋体" w:cs="宋体"/>
                <w:color w:val="auto"/>
                <w:szCs w:val="21"/>
                <w:highlight w:val="none"/>
              </w:rPr>
            </w:pPr>
          </w:p>
        </w:tc>
        <w:tc>
          <w:tcPr>
            <w:tcW w:w="1065" w:type="pct"/>
            <w:vAlign w:val="center"/>
          </w:tcPr>
          <w:p w14:paraId="1DDDDCB6">
            <w:pPr>
              <w:spacing w:line="360" w:lineRule="auto"/>
              <w:jc w:val="center"/>
              <w:rPr>
                <w:rFonts w:hint="eastAsia" w:ascii="宋体" w:hAnsi="宋体" w:eastAsia="宋体" w:cs="宋体"/>
                <w:color w:val="auto"/>
                <w:szCs w:val="21"/>
                <w:highlight w:val="none"/>
              </w:rPr>
            </w:pPr>
          </w:p>
        </w:tc>
        <w:tc>
          <w:tcPr>
            <w:tcW w:w="1283" w:type="pct"/>
            <w:vAlign w:val="center"/>
          </w:tcPr>
          <w:p w14:paraId="3B14D825">
            <w:pPr>
              <w:spacing w:line="360" w:lineRule="auto"/>
              <w:jc w:val="center"/>
              <w:rPr>
                <w:rFonts w:hint="eastAsia" w:ascii="宋体" w:hAnsi="宋体" w:eastAsia="宋体" w:cs="宋体"/>
                <w:color w:val="auto"/>
                <w:szCs w:val="21"/>
                <w:highlight w:val="none"/>
              </w:rPr>
            </w:pPr>
          </w:p>
        </w:tc>
      </w:tr>
      <w:tr w14:paraId="4E117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26" w:type="pct"/>
            <w:vAlign w:val="center"/>
          </w:tcPr>
          <w:p w14:paraId="294C80BB">
            <w:pPr>
              <w:spacing w:line="360" w:lineRule="auto"/>
              <w:jc w:val="center"/>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3.3</w:t>
            </w:r>
          </w:p>
        </w:tc>
        <w:tc>
          <w:tcPr>
            <w:tcW w:w="570" w:type="pct"/>
            <w:gridSpan w:val="2"/>
            <w:vMerge w:val="restart"/>
            <w:vAlign w:val="center"/>
          </w:tcPr>
          <w:p w14:paraId="16351375">
            <w:pPr>
              <w:spacing w:line="360" w:lineRule="auto"/>
              <w:jc w:val="center"/>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卡口采集抓拍单元更换点位（客观原因更换点位）</w:t>
            </w:r>
          </w:p>
        </w:tc>
        <w:tc>
          <w:tcPr>
            <w:tcW w:w="573" w:type="pct"/>
            <w:vAlign w:val="center"/>
          </w:tcPr>
          <w:p w14:paraId="3404EE1A">
            <w:pPr>
              <w:spacing w:line="360" w:lineRule="auto"/>
              <w:jc w:val="center"/>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立杆点位迁移</w:t>
            </w:r>
          </w:p>
        </w:tc>
        <w:tc>
          <w:tcPr>
            <w:tcW w:w="1081" w:type="pct"/>
            <w:vAlign w:val="center"/>
          </w:tcPr>
          <w:p w14:paraId="755E45E8">
            <w:pPr>
              <w:spacing w:line="360" w:lineRule="auto"/>
              <w:jc w:val="center"/>
              <w:rPr>
                <w:rFonts w:hint="eastAsia" w:ascii="宋体" w:hAnsi="宋体" w:eastAsia="宋体" w:cs="宋体"/>
                <w:color w:val="auto"/>
                <w:szCs w:val="21"/>
                <w:highlight w:val="none"/>
              </w:rPr>
            </w:pPr>
          </w:p>
        </w:tc>
        <w:tc>
          <w:tcPr>
            <w:tcW w:w="1065" w:type="pct"/>
            <w:vAlign w:val="center"/>
          </w:tcPr>
          <w:p w14:paraId="67164090">
            <w:pPr>
              <w:spacing w:line="360" w:lineRule="auto"/>
              <w:jc w:val="center"/>
              <w:rPr>
                <w:rFonts w:hint="eastAsia" w:ascii="宋体" w:hAnsi="宋体" w:eastAsia="宋体" w:cs="宋体"/>
                <w:color w:val="auto"/>
                <w:szCs w:val="21"/>
                <w:highlight w:val="none"/>
              </w:rPr>
            </w:pPr>
          </w:p>
        </w:tc>
        <w:tc>
          <w:tcPr>
            <w:tcW w:w="1283" w:type="pct"/>
            <w:vAlign w:val="center"/>
          </w:tcPr>
          <w:p w14:paraId="7408CA4C">
            <w:pPr>
              <w:spacing w:line="360" w:lineRule="auto"/>
              <w:jc w:val="center"/>
              <w:rPr>
                <w:rFonts w:hint="eastAsia" w:ascii="宋体" w:hAnsi="宋体" w:eastAsia="宋体" w:cs="宋体"/>
                <w:color w:val="auto"/>
                <w:szCs w:val="21"/>
                <w:highlight w:val="none"/>
              </w:rPr>
            </w:pPr>
          </w:p>
        </w:tc>
      </w:tr>
      <w:tr w14:paraId="445AF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26" w:type="pct"/>
            <w:vAlign w:val="center"/>
          </w:tcPr>
          <w:p w14:paraId="40056D5B">
            <w:pPr>
              <w:spacing w:line="360" w:lineRule="auto"/>
              <w:jc w:val="center"/>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3.4</w:t>
            </w:r>
          </w:p>
        </w:tc>
        <w:tc>
          <w:tcPr>
            <w:tcW w:w="570" w:type="pct"/>
            <w:gridSpan w:val="2"/>
            <w:vMerge w:val="continue"/>
            <w:vAlign w:val="center"/>
          </w:tcPr>
          <w:p w14:paraId="1E238D43">
            <w:pPr>
              <w:spacing w:line="360" w:lineRule="auto"/>
              <w:jc w:val="center"/>
              <w:rPr>
                <w:rFonts w:hint="eastAsia" w:ascii="宋体" w:hAnsi="宋体" w:eastAsia="宋体" w:cs="宋体"/>
                <w:b/>
                <w:bCs/>
                <w:color w:val="auto"/>
                <w:szCs w:val="21"/>
                <w:highlight w:val="none"/>
                <w:lang w:val="en-US" w:eastAsia="zh-CN"/>
              </w:rPr>
            </w:pPr>
          </w:p>
        </w:tc>
        <w:tc>
          <w:tcPr>
            <w:tcW w:w="573" w:type="pct"/>
            <w:vAlign w:val="center"/>
          </w:tcPr>
          <w:p w14:paraId="2131658D">
            <w:pPr>
              <w:spacing w:line="360" w:lineRule="auto"/>
              <w:jc w:val="center"/>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非立杆点位迁移</w:t>
            </w:r>
          </w:p>
        </w:tc>
        <w:tc>
          <w:tcPr>
            <w:tcW w:w="1081" w:type="pct"/>
            <w:vAlign w:val="center"/>
          </w:tcPr>
          <w:p w14:paraId="493FB19E">
            <w:pPr>
              <w:spacing w:line="360" w:lineRule="auto"/>
              <w:jc w:val="center"/>
              <w:rPr>
                <w:rFonts w:hint="eastAsia" w:ascii="宋体" w:hAnsi="宋体" w:eastAsia="宋体" w:cs="宋体"/>
                <w:color w:val="auto"/>
                <w:szCs w:val="21"/>
                <w:highlight w:val="none"/>
              </w:rPr>
            </w:pPr>
          </w:p>
        </w:tc>
        <w:tc>
          <w:tcPr>
            <w:tcW w:w="1065" w:type="pct"/>
            <w:vAlign w:val="center"/>
          </w:tcPr>
          <w:p w14:paraId="59DCA10A">
            <w:pPr>
              <w:spacing w:line="360" w:lineRule="auto"/>
              <w:jc w:val="center"/>
              <w:rPr>
                <w:rFonts w:hint="eastAsia" w:ascii="宋体" w:hAnsi="宋体" w:eastAsia="宋体" w:cs="宋体"/>
                <w:color w:val="auto"/>
                <w:szCs w:val="21"/>
                <w:highlight w:val="none"/>
              </w:rPr>
            </w:pPr>
          </w:p>
        </w:tc>
        <w:tc>
          <w:tcPr>
            <w:tcW w:w="1283" w:type="pct"/>
            <w:vAlign w:val="center"/>
          </w:tcPr>
          <w:p w14:paraId="69DD8170">
            <w:pPr>
              <w:spacing w:line="360" w:lineRule="auto"/>
              <w:jc w:val="center"/>
              <w:rPr>
                <w:rFonts w:hint="eastAsia" w:ascii="宋体" w:hAnsi="宋体" w:eastAsia="宋体" w:cs="宋体"/>
                <w:color w:val="auto"/>
                <w:szCs w:val="21"/>
                <w:highlight w:val="none"/>
              </w:rPr>
            </w:pPr>
          </w:p>
        </w:tc>
      </w:tr>
      <w:tr w14:paraId="4E9E7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26" w:type="pct"/>
            <w:vAlign w:val="center"/>
          </w:tcPr>
          <w:p w14:paraId="77D5FD00">
            <w:pPr>
              <w:spacing w:line="360" w:lineRule="auto"/>
              <w:jc w:val="center"/>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4</w:t>
            </w:r>
          </w:p>
        </w:tc>
        <w:tc>
          <w:tcPr>
            <w:tcW w:w="1144" w:type="pct"/>
            <w:gridSpan w:val="3"/>
            <w:vAlign w:val="center"/>
          </w:tcPr>
          <w:p w14:paraId="225A95AA">
            <w:pPr>
              <w:spacing w:line="360" w:lineRule="auto"/>
              <w:jc w:val="center"/>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备品备件</w:t>
            </w:r>
          </w:p>
        </w:tc>
        <w:tc>
          <w:tcPr>
            <w:tcW w:w="1081" w:type="pct"/>
            <w:vAlign w:val="center"/>
          </w:tcPr>
          <w:p w14:paraId="603F4E44">
            <w:pPr>
              <w:spacing w:line="360" w:lineRule="auto"/>
              <w:jc w:val="center"/>
              <w:rPr>
                <w:rFonts w:hint="eastAsia" w:ascii="宋体" w:hAnsi="宋体" w:eastAsia="宋体" w:cs="宋体"/>
                <w:color w:val="auto"/>
                <w:szCs w:val="21"/>
                <w:highlight w:val="none"/>
              </w:rPr>
            </w:pPr>
          </w:p>
        </w:tc>
        <w:tc>
          <w:tcPr>
            <w:tcW w:w="1065" w:type="pct"/>
            <w:vAlign w:val="center"/>
          </w:tcPr>
          <w:p w14:paraId="01CCEFC6">
            <w:pPr>
              <w:spacing w:line="360" w:lineRule="auto"/>
              <w:jc w:val="center"/>
              <w:rPr>
                <w:rFonts w:hint="eastAsia" w:ascii="宋体" w:hAnsi="宋体" w:eastAsia="宋体" w:cs="宋体"/>
                <w:color w:val="auto"/>
                <w:szCs w:val="21"/>
                <w:highlight w:val="none"/>
              </w:rPr>
            </w:pPr>
          </w:p>
        </w:tc>
        <w:tc>
          <w:tcPr>
            <w:tcW w:w="1283" w:type="pct"/>
            <w:vAlign w:val="center"/>
          </w:tcPr>
          <w:p w14:paraId="594342B1">
            <w:pPr>
              <w:spacing w:line="360" w:lineRule="auto"/>
              <w:jc w:val="center"/>
              <w:rPr>
                <w:rFonts w:hint="eastAsia" w:ascii="宋体" w:hAnsi="宋体" w:eastAsia="宋体" w:cs="宋体"/>
                <w:color w:val="auto"/>
                <w:szCs w:val="21"/>
                <w:highlight w:val="none"/>
              </w:rPr>
            </w:pPr>
          </w:p>
        </w:tc>
      </w:tr>
      <w:tr w14:paraId="08745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26" w:type="pct"/>
            <w:vAlign w:val="center"/>
          </w:tcPr>
          <w:p w14:paraId="772B68ED">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w:t>
            </w:r>
          </w:p>
        </w:tc>
        <w:tc>
          <w:tcPr>
            <w:tcW w:w="1144" w:type="pct"/>
            <w:gridSpan w:val="3"/>
            <w:vAlign w:val="center"/>
          </w:tcPr>
          <w:p w14:paraId="71039BEF">
            <w:pPr>
              <w:spacing w:line="360" w:lineRule="auto"/>
              <w:jc w:val="center"/>
              <w:rPr>
                <w:rFonts w:hint="eastAsia" w:ascii="宋体" w:hAnsi="宋体" w:eastAsia="宋体" w:cs="宋体"/>
                <w:color w:val="auto"/>
                <w:szCs w:val="21"/>
                <w:highlight w:val="none"/>
              </w:rPr>
            </w:pPr>
          </w:p>
        </w:tc>
        <w:tc>
          <w:tcPr>
            <w:tcW w:w="1081" w:type="pct"/>
            <w:vAlign w:val="center"/>
          </w:tcPr>
          <w:p w14:paraId="2AAD59B0">
            <w:pPr>
              <w:spacing w:line="360" w:lineRule="auto"/>
              <w:jc w:val="center"/>
              <w:rPr>
                <w:rFonts w:hint="eastAsia" w:ascii="宋体" w:hAnsi="宋体" w:eastAsia="宋体" w:cs="宋体"/>
                <w:color w:val="auto"/>
                <w:szCs w:val="21"/>
                <w:highlight w:val="none"/>
              </w:rPr>
            </w:pPr>
          </w:p>
        </w:tc>
        <w:tc>
          <w:tcPr>
            <w:tcW w:w="1065" w:type="pct"/>
            <w:vAlign w:val="center"/>
          </w:tcPr>
          <w:p w14:paraId="47139F66">
            <w:pPr>
              <w:spacing w:line="360" w:lineRule="auto"/>
              <w:jc w:val="center"/>
              <w:rPr>
                <w:rFonts w:hint="eastAsia" w:ascii="宋体" w:hAnsi="宋体" w:eastAsia="宋体" w:cs="宋体"/>
                <w:color w:val="auto"/>
                <w:szCs w:val="21"/>
                <w:highlight w:val="none"/>
              </w:rPr>
            </w:pPr>
          </w:p>
        </w:tc>
        <w:tc>
          <w:tcPr>
            <w:tcW w:w="1283" w:type="pct"/>
            <w:vAlign w:val="center"/>
          </w:tcPr>
          <w:p w14:paraId="4EC03B59">
            <w:pPr>
              <w:spacing w:line="360" w:lineRule="auto"/>
              <w:jc w:val="center"/>
              <w:rPr>
                <w:rFonts w:hint="eastAsia" w:ascii="宋体" w:hAnsi="宋体" w:eastAsia="宋体" w:cs="宋体"/>
                <w:color w:val="auto"/>
                <w:szCs w:val="21"/>
                <w:highlight w:val="none"/>
              </w:rPr>
            </w:pPr>
          </w:p>
        </w:tc>
      </w:tr>
      <w:tr w14:paraId="5D73D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26" w:type="pct"/>
            <w:vAlign w:val="center"/>
          </w:tcPr>
          <w:p w14:paraId="33934DF9">
            <w:pPr>
              <w:spacing w:line="360" w:lineRule="auto"/>
              <w:jc w:val="center"/>
              <w:rPr>
                <w:rFonts w:hint="eastAsia" w:ascii="宋体" w:hAnsi="宋体" w:eastAsia="宋体" w:cs="宋体"/>
                <w:color w:val="auto"/>
                <w:szCs w:val="21"/>
                <w:highlight w:val="none"/>
              </w:rPr>
            </w:pPr>
          </w:p>
        </w:tc>
        <w:tc>
          <w:tcPr>
            <w:tcW w:w="1144" w:type="pct"/>
            <w:gridSpan w:val="3"/>
            <w:vAlign w:val="center"/>
          </w:tcPr>
          <w:p w14:paraId="253F9237">
            <w:pPr>
              <w:spacing w:line="360" w:lineRule="auto"/>
              <w:jc w:val="center"/>
              <w:rPr>
                <w:rFonts w:hint="eastAsia" w:ascii="宋体" w:hAnsi="宋体" w:eastAsia="宋体" w:cs="宋体"/>
                <w:color w:val="auto"/>
                <w:szCs w:val="21"/>
                <w:highlight w:val="none"/>
              </w:rPr>
            </w:pPr>
          </w:p>
        </w:tc>
        <w:tc>
          <w:tcPr>
            <w:tcW w:w="1081" w:type="pct"/>
            <w:vAlign w:val="center"/>
          </w:tcPr>
          <w:p w14:paraId="02BEF076">
            <w:pPr>
              <w:spacing w:line="360" w:lineRule="auto"/>
              <w:jc w:val="center"/>
              <w:rPr>
                <w:rFonts w:hint="eastAsia" w:ascii="宋体" w:hAnsi="宋体" w:eastAsia="宋体" w:cs="宋体"/>
                <w:color w:val="auto"/>
                <w:szCs w:val="21"/>
                <w:highlight w:val="none"/>
              </w:rPr>
            </w:pPr>
          </w:p>
        </w:tc>
        <w:tc>
          <w:tcPr>
            <w:tcW w:w="1065" w:type="pct"/>
            <w:vAlign w:val="center"/>
          </w:tcPr>
          <w:p w14:paraId="22F1FFBC">
            <w:pPr>
              <w:spacing w:line="360" w:lineRule="auto"/>
              <w:jc w:val="center"/>
              <w:rPr>
                <w:rFonts w:hint="eastAsia" w:ascii="宋体" w:hAnsi="宋体" w:eastAsia="宋体" w:cs="宋体"/>
                <w:color w:val="auto"/>
                <w:szCs w:val="21"/>
                <w:highlight w:val="none"/>
              </w:rPr>
            </w:pPr>
          </w:p>
        </w:tc>
        <w:tc>
          <w:tcPr>
            <w:tcW w:w="1283" w:type="pct"/>
            <w:vAlign w:val="center"/>
          </w:tcPr>
          <w:p w14:paraId="52A93BB3">
            <w:pPr>
              <w:spacing w:line="360" w:lineRule="auto"/>
              <w:jc w:val="center"/>
              <w:rPr>
                <w:rFonts w:hint="eastAsia" w:ascii="宋体" w:hAnsi="宋体" w:eastAsia="宋体" w:cs="宋体"/>
                <w:color w:val="auto"/>
                <w:szCs w:val="21"/>
                <w:highlight w:val="none"/>
              </w:rPr>
            </w:pPr>
          </w:p>
        </w:tc>
      </w:tr>
      <w:tr w14:paraId="37D7F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2651" w:type="pct"/>
            <w:gridSpan w:val="5"/>
            <w:vAlign w:val="center"/>
          </w:tcPr>
          <w:p w14:paraId="28095114">
            <w:pPr>
              <w:spacing w:line="360" w:lineRule="auto"/>
              <w:jc w:val="right"/>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总价（元）</w:t>
            </w:r>
          </w:p>
        </w:tc>
        <w:tc>
          <w:tcPr>
            <w:tcW w:w="2348" w:type="pct"/>
            <w:gridSpan w:val="2"/>
            <w:vAlign w:val="center"/>
          </w:tcPr>
          <w:p w14:paraId="74C155CF">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大写：</w:t>
            </w:r>
            <w:r>
              <w:rPr>
                <w:rFonts w:hint="eastAsia" w:ascii="宋体" w:hAnsi="宋体" w:eastAsia="宋体" w:cs="宋体"/>
                <w:color w:val="auto"/>
                <w:szCs w:val="21"/>
                <w:highlight w:val="none"/>
                <w:u w:val="single"/>
              </w:rPr>
              <w:t xml:space="preserve">                       元</w:t>
            </w:r>
          </w:p>
          <w:p w14:paraId="1B6FAA39">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小写：</w:t>
            </w:r>
            <w:r>
              <w:rPr>
                <w:rFonts w:hint="eastAsia" w:ascii="宋体" w:hAnsi="宋体" w:eastAsia="宋体" w:cs="宋体"/>
                <w:color w:val="auto"/>
                <w:szCs w:val="21"/>
                <w:highlight w:val="none"/>
                <w:u w:val="single"/>
              </w:rPr>
              <w:t xml:space="preserve">                       元</w:t>
            </w:r>
          </w:p>
        </w:tc>
      </w:tr>
    </w:tbl>
    <w:p w14:paraId="3DA1A40D">
      <w:pPr>
        <w:spacing w:before="312" w:beforeLines="100"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注明：</w:t>
      </w:r>
    </w:p>
    <w:p w14:paraId="7D1F644E">
      <w:pPr>
        <w:pStyle w:val="222"/>
        <w:numPr>
          <w:ilvl w:val="0"/>
          <w:numId w:val="31"/>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此表为报价总表的分项报价表。</w:t>
      </w:r>
    </w:p>
    <w:p w14:paraId="3857FF85">
      <w:pPr>
        <w:pStyle w:val="222"/>
        <w:numPr>
          <w:ilvl w:val="0"/>
          <w:numId w:val="31"/>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如果单价和总价不符时，以单价为准，修正总价。</w:t>
      </w:r>
    </w:p>
    <w:p w14:paraId="22F25C79">
      <w:pPr>
        <w:pStyle w:val="222"/>
        <w:numPr>
          <w:ilvl w:val="0"/>
          <w:numId w:val="31"/>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投标人应列明按“采购需求”所要求提供的所有报价项的价格明细。</w:t>
      </w:r>
    </w:p>
    <w:p w14:paraId="0972F843">
      <w:pPr>
        <w:rPr>
          <w:rFonts w:hint="eastAsia" w:ascii="宋体" w:hAnsi="宋体" w:eastAsia="宋体" w:cs="宋体"/>
          <w:b/>
          <w:color w:val="auto"/>
          <w:kern w:val="0"/>
          <w:sz w:val="30"/>
          <w:szCs w:val="30"/>
          <w:highlight w:val="none"/>
        </w:rPr>
      </w:pPr>
    </w:p>
    <w:p w14:paraId="753738AB">
      <w:pPr>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br w:type="page"/>
      </w:r>
    </w:p>
    <w:p w14:paraId="44551A77">
      <w:pPr>
        <w:tabs>
          <w:tab w:val="left" w:pos="567"/>
        </w:tabs>
        <w:autoSpaceDE w:val="0"/>
        <w:autoSpaceDN w:val="0"/>
        <w:adjustRightInd w:val="0"/>
        <w:spacing w:line="360" w:lineRule="auto"/>
        <w:jc w:val="left"/>
        <w:outlineLvl w:val="9"/>
        <w:rPr>
          <w:rFonts w:hint="eastAsia" w:ascii="宋体" w:hAnsi="宋体" w:eastAsia="宋体" w:cs="宋体"/>
          <w:b/>
          <w:color w:val="auto"/>
          <w:kern w:val="0"/>
          <w:sz w:val="32"/>
          <w:szCs w:val="32"/>
          <w:highlight w:val="none"/>
        </w:rPr>
      </w:pPr>
      <w:r>
        <w:rPr>
          <w:rFonts w:hint="eastAsia" w:ascii="宋体" w:hAnsi="宋体" w:eastAsia="宋体" w:cs="宋体"/>
          <w:b/>
          <w:bCs/>
          <w:color w:val="auto"/>
          <w:sz w:val="30"/>
          <w:szCs w:val="30"/>
          <w:highlight w:val="none"/>
        </w:rPr>
        <w:t>四</w:t>
      </w:r>
      <w:r>
        <w:rPr>
          <w:rFonts w:hint="eastAsia" w:ascii="宋体" w:hAnsi="宋体" w:eastAsia="宋体" w:cs="宋体"/>
          <w:b/>
          <w:color w:val="auto"/>
          <w:kern w:val="0"/>
          <w:sz w:val="32"/>
          <w:szCs w:val="32"/>
          <w:highlight w:val="none"/>
        </w:rPr>
        <w:t>、投标人资格证明文件</w:t>
      </w:r>
      <w:bookmarkEnd w:id="367"/>
      <w:bookmarkEnd w:id="368"/>
      <w:bookmarkEnd w:id="369"/>
      <w:bookmarkEnd w:id="370"/>
      <w:bookmarkEnd w:id="371"/>
      <w:bookmarkEnd w:id="372"/>
      <w:bookmarkEnd w:id="373"/>
      <w:bookmarkEnd w:id="374"/>
      <w:bookmarkEnd w:id="375"/>
    </w:p>
    <w:p w14:paraId="24B2F2F0">
      <w:pPr>
        <w:tabs>
          <w:tab w:val="left" w:pos="567"/>
        </w:tabs>
        <w:autoSpaceDE w:val="0"/>
        <w:autoSpaceDN w:val="0"/>
        <w:adjustRightInd w:val="0"/>
        <w:spacing w:line="360" w:lineRule="auto"/>
        <w:jc w:val="left"/>
        <w:outlineLvl w:val="9"/>
        <w:rPr>
          <w:rFonts w:hint="eastAsia" w:ascii="宋体" w:hAnsi="宋体" w:eastAsia="宋体" w:cs="宋体"/>
          <w:b/>
          <w:color w:val="auto"/>
          <w:kern w:val="0"/>
          <w:sz w:val="30"/>
          <w:szCs w:val="30"/>
          <w:highlight w:val="none"/>
          <w:lang w:eastAsia="zh-CN"/>
        </w:rPr>
      </w:pPr>
      <w:bookmarkStart w:id="379" w:name="_Toc28382"/>
      <w:bookmarkStart w:id="380" w:name="_Toc102860419"/>
      <w:bookmarkStart w:id="381" w:name="_Toc94107210"/>
      <w:bookmarkStart w:id="382" w:name="_Toc102860075"/>
      <w:bookmarkStart w:id="383" w:name="_Toc31420"/>
      <w:bookmarkStart w:id="384" w:name="_Toc140596929"/>
      <w:bookmarkStart w:id="385" w:name="_Toc104991876"/>
      <w:bookmarkStart w:id="386" w:name="_Toc142508370"/>
      <w:bookmarkStart w:id="387" w:name="_Toc1977726"/>
      <w:r>
        <w:rPr>
          <w:rFonts w:hint="eastAsia" w:ascii="宋体" w:hAnsi="宋体" w:eastAsia="宋体" w:cs="宋体"/>
          <w:b/>
          <w:color w:val="auto"/>
          <w:kern w:val="0"/>
          <w:sz w:val="30"/>
          <w:szCs w:val="30"/>
          <w:highlight w:val="none"/>
        </w:rPr>
        <w:t xml:space="preserve">4.1 </w:t>
      </w:r>
      <w:bookmarkStart w:id="388" w:name="_Hlk159948269"/>
      <w:r>
        <w:rPr>
          <w:rFonts w:hint="eastAsia" w:ascii="宋体" w:hAnsi="宋体" w:eastAsia="宋体" w:cs="宋体"/>
          <w:b/>
          <w:color w:val="auto"/>
          <w:kern w:val="0"/>
          <w:sz w:val="30"/>
          <w:szCs w:val="30"/>
          <w:highlight w:val="none"/>
        </w:rPr>
        <w:t>法人或其他组织营业执照</w:t>
      </w:r>
      <w:bookmarkEnd w:id="388"/>
      <w:r>
        <w:rPr>
          <w:rFonts w:hint="eastAsia" w:ascii="宋体" w:hAnsi="宋体" w:eastAsia="宋体" w:cs="宋体"/>
          <w:b/>
          <w:color w:val="auto"/>
          <w:kern w:val="0"/>
          <w:sz w:val="30"/>
          <w:szCs w:val="30"/>
          <w:highlight w:val="none"/>
        </w:rPr>
        <w:t>（或事业单位法人证书或社会团体法人登记证书或自然人身份证明）复印件</w:t>
      </w:r>
      <w:bookmarkEnd w:id="379"/>
      <w:bookmarkEnd w:id="380"/>
      <w:bookmarkEnd w:id="381"/>
      <w:bookmarkEnd w:id="382"/>
      <w:bookmarkEnd w:id="383"/>
      <w:bookmarkEnd w:id="384"/>
      <w:bookmarkEnd w:id="385"/>
      <w:bookmarkEnd w:id="386"/>
      <w:r>
        <w:rPr>
          <w:rFonts w:hint="eastAsia" w:ascii="宋体" w:hAnsi="宋体" w:eastAsia="宋体" w:cs="宋体"/>
          <w:b/>
          <w:color w:val="auto"/>
          <w:kern w:val="0"/>
          <w:sz w:val="30"/>
          <w:szCs w:val="30"/>
          <w:highlight w:val="none"/>
          <w:lang w:eastAsia="zh-CN"/>
        </w:rPr>
        <w:t>；若投标人为非独立法人（即由合法法人依法建立的分支机构），还必须同时提供：①总公司的多证合一营业执照（或事业单位法人证书）复印件；②总公司对分支机构出具的独家授权其参加本次投标的授权书，同一总公司只能授权一家分支机构参加本项目投标（授权一家以上分支机构参与投标的，将同时作无效投标处理），授权书需加盖总公司公章；</w:t>
      </w:r>
    </w:p>
    <w:p w14:paraId="3CDC85DD">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color w:val="auto"/>
          <w:szCs w:val="24"/>
          <w:highlight w:val="none"/>
        </w:rPr>
      </w:pPr>
    </w:p>
    <w:p w14:paraId="27B8844C">
      <w:pPr>
        <w:tabs>
          <w:tab w:val="left" w:pos="567"/>
        </w:tabs>
        <w:autoSpaceDE w:val="0"/>
        <w:autoSpaceDN w:val="0"/>
        <w:adjustRightInd w:val="0"/>
        <w:spacing w:line="360" w:lineRule="auto"/>
        <w:ind w:firstLine="316" w:firstLineChars="150"/>
        <w:jc w:val="left"/>
        <w:outlineLvl w:val="9"/>
        <w:rPr>
          <w:rFonts w:hint="eastAsia" w:ascii="宋体" w:hAnsi="宋体" w:eastAsia="宋体" w:cs="宋体"/>
          <w:b/>
          <w:color w:val="auto"/>
          <w:kern w:val="0"/>
          <w:szCs w:val="21"/>
          <w:highlight w:val="none"/>
        </w:rPr>
        <w:sectPr>
          <w:footerReference r:id="rId6" w:type="first"/>
          <w:footerReference r:id="rId5" w:type="default"/>
          <w:pgSz w:w="12240" w:h="15840"/>
          <w:pgMar w:top="1191" w:right="1043" w:bottom="1191" w:left="1043" w:header="720" w:footer="720" w:gutter="0"/>
          <w:cols w:space="720" w:num="1"/>
          <w:titlePg/>
          <w:docGrid w:linePitch="326" w:charSpace="0"/>
        </w:sectPr>
      </w:pPr>
    </w:p>
    <w:p w14:paraId="114C1822">
      <w:pPr>
        <w:tabs>
          <w:tab w:val="left" w:pos="567"/>
        </w:tabs>
        <w:autoSpaceDE w:val="0"/>
        <w:autoSpaceDN w:val="0"/>
        <w:adjustRightInd w:val="0"/>
        <w:spacing w:line="360" w:lineRule="auto"/>
        <w:jc w:val="left"/>
        <w:outlineLvl w:val="9"/>
        <w:rPr>
          <w:rFonts w:hint="eastAsia" w:ascii="宋体" w:hAnsi="宋体" w:eastAsia="宋体" w:cs="宋体"/>
          <w:b/>
          <w:color w:val="auto"/>
          <w:kern w:val="0"/>
          <w:szCs w:val="21"/>
          <w:highlight w:val="none"/>
        </w:rPr>
      </w:pPr>
      <w:bookmarkStart w:id="389" w:name="_Toc104991877"/>
      <w:bookmarkStart w:id="390" w:name="_Toc94107211"/>
      <w:bookmarkStart w:id="391" w:name="_Toc140596930"/>
      <w:bookmarkStart w:id="392" w:name="_Toc26345"/>
      <w:bookmarkStart w:id="393" w:name="_Toc102860420"/>
      <w:bookmarkStart w:id="394" w:name="_Toc9489"/>
      <w:bookmarkStart w:id="395" w:name="_Toc102860076"/>
      <w:bookmarkStart w:id="396" w:name="_Toc142508371"/>
      <w:r>
        <w:rPr>
          <w:rFonts w:hint="eastAsia" w:ascii="宋体" w:hAnsi="宋体" w:eastAsia="宋体" w:cs="宋体"/>
          <w:b/>
          <w:color w:val="auto"/>
          <w:kern w:val="0"/>
          <w:sz w:val="30"/>
          <w:szCs w:val="30"/>
          <w:highlight w:val="none"/>
        </w:rPr>
        <w:t xml:space="preserve">4.2 </w:t>
      </w:r>
      <w:bookmarkEnd w:id="389"/>
      <w:bookmarkEnd w:id="390"/>
      <w:bookmarkEnd w:id="391"/>
      <w:bookmarkEnd w:id="392"/>
      <w:bookmarkEnd w:id="393"/>
      <w:bookmarkEnd w:id="394"/>
      <w:bookmarkEnd w:id="395"/>
      <w:bookmarkEnd w:id="396"/>
      <w:r>
        <w:rPr>
          <w:rFonts w:hint="eastAsia" w:ascii="宋体" w:hAnsi="宋体" w:eastAsia="宋体" w:cs="宋体"/>
          <w:b/>
          <w:color w:val="auto"/>
          <w:kern w:val="0"/>
          <w:sz w:val="30"/>
          <w:szCs w:val="30"/>
          <w:highlight w:val="none"/>
        </w:rPr>
        <w:t>法定代表人（或法定负责人）身份证明书原件、法定代表人（或法定负责人）授权书原件格式（法定代表人（或法定负责人）投标时只需提供法定代表人（或法定负责人）身份证明书，委托他人为投标代表或签署投标文件时需同时提供法定代表人（或法定负责人）授权书）</w:t>
      </w:r>
    </w:p>
    <w:p w14:paraId="204EE57B">
      <w:pPr>
        <w:spacing w:before="120" w:after="120" w:line="360" w:lineRule="auto"/>
        <w:ind w:firstLine="426" w:firstLineChars="202"/>
        <w:outlineLvl w:val="9"/>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（1）法定代表人身份证明书格式</w:t>
      </w:r>
      <w:r>
        <w:rPr>
          <w:rFonts w:hint="eastAsia" w:ascii="宋体" w:hAnsi="宋体" w:eastAsia="宋体" w:cs="宋体"/>
          <w:b/>
          <w:color w:val="auto"/>
          <w:szCs w:val="24"/>
          <w:highlight w:val="none"/>
          <w:lang w:eastAsia="zh-CN"/>
        </w:rPr>
        <w:t>（</w:t>
      </w:r>
      <w:r>
        <w:rPr>
          <w:rFonts w:hint="eastAsia" w:ascii="宋体" w:hAnsi="宋体" w:eastAsia="宋体" w:cs="宋体"/>
          <w:b/>
          <w:color w:val="auto"/>
          <w:szCs w:val="24"/>
          <w:highlight w:val="none"/>
          <w:lang w:val="en-US" w:eastAsia="zh-CN"/>
        </w:rPr>
        <w:t>以总公司名义参与投标时提供</w:t>
      </w:r>
      <w:r>
        <w:rPr>
          <w:rFonts w:hint="eastAsia" w:ascii="宋体" w:hAnsi="宋体" w:eastAsia="宋体" w:cs="宋体"/>
          <w:b/>
          <w:color w:val="auto"/>
          <w:szCs w:val="24"/>
          <w:highlight w:val="none"/>
          <w:lang w:eastAsia="zh-CN"/>
        </w:rPr>
        <w:t>）</w:t>
      </w:r>
    </w:p>
    <w:p w14:paraId="19C349B7">
      <w:pPr>
        <w:spacing w:before="120" w:after="120" w:line="360" w:lineRule="auto"/>
        <w:ind w:firstLine="608" w:firstLineChars="202"/>
        <w:jc w:val="center"/>
        <w:outlineLvl w:val="9"/>
        <w:rPr>
          <w:rFonts w:hint="eastAsia" w:ascii="宋体" w:hAnsi="宋体" w:eastAsia="宋体" w:cs="宋体"/>
          <w:b/>
          <w:color w:val="auto"/>
          <w:sz w:val="30"/>
          <w:szCs w:val="30"/>
          <w:highlight w:val="none"/>
        </w:rPr>
      </w:pPr>
    </w:p>
    <w:p w14:paraId="63209B09">
      <w:pPr>
        <w:spacing w:before="120" w:after="120" w:line="360" w:lineRule="auto"/>
        <w:ind w:firstLine="608" w:firstLineChars="202"/>
        <w:jc w:val="center"/>
        <w:outlineLvl w:val="9"/>
        <w:rPr>
          <w:rFonts w:hint="eastAsia" w:ascii="宋体" w:hAnsi="宋体" w:eastAsia="宋体" w:cs="宋体"/>
          <w:b/>
          <w:bCs/>
          <w:color w:val="auto"/>
          <w:sz w:val="30"/>
          <w:szCs w:val="30"/>
          <w:highlight w:val="none"/>
        </w:rPr>
      </w:pPr>
      <w:bookmarkStart w:id="397" w:name="_Toc11033_WPSOffice_Level3"/>
      <w:r>
        <w:rPr>
          <w:rFonts w:hint="eastAsia" w:ascii="宋体" w:hAnsi="宋体" w:eastAsia="宋体" w:cs="宋体"/>
          <w:b/>
          <w:color w:val="auto"/>
          <w:sz w:val="30"/>
          <w:szCs w:val="30"/>
          <w:highlight w:val="none"/>
        </w:rPr>
        <w:t>法定代</w:t>
      </w:r>
      <w:bookmarkStart w:id="398" w:name="_Toc36971359"/>
      <w:bookmarkStart w:id="399" w:name="_Toc45995270"/>
      <w:r>
        <w:rPr>
          <w:rFonts w:hint="eastAsia" w:ascii="宋体" w:hAnsi="宋体" w:eastAsia="宋体" w:cs="宋体"/>
          <w:b/>
          <w:color w:val="auto"/>
          <w:sz w:val="30"/>
          <w:szCs w:val="30"/>
          <w:highlight w:val="none"/>
        </w:rPr>
        <w:t>表人身份证明书</w:t>
      </w:r>
      <w:bookmarkEnd w:id="397"/>
    </w:p>
    <w:bookmarkEnd w:id="398"/>
    <w:bookmarkEnd w:id="399"/>
    <w:p w14:paraId="486875FD">
      <w:pPr>
        <w:spacing w:before="120" w:after="120" w:line="360" w:lineRule="auto"/>
        <w:ind w:firstLine="420" w:firstLineChars="200"/>
        <w:outlineLvl w:val="9"/>
        <w:rPr>
          <w:rFonts w:hint="eastAsia" w:ascii="宋体" w:hAnsi="宋体" w:eastAsia="宋体" w:cs="宋体"/>
          <w:color w:val="auto"/>
          <w:szCs w:val="24"/>
          <w:highlight w:val="none"/>
        </w:rPr>
      </w:pP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先生／女士：现任我单位</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职务，为法定代表人，特此证明。</w:t>
      </w:r>
    </w:p>
    <w:p w14:paraId="73C30CE6">
      <w:pPr>
        <w:spacing w:before="120" w:after="120" w:line="360" w:lineRule="auto"/>
        <w:ind w:firstLine="424" w:firstLineChars="202"/>
        <w:outlineLvl w:val="9"/>
        <w:rPr>
          <w:rFonts w:hint="eastAsia" w:ascii="宋体" w:hAnsi="宋体" w:eastAsia="宋体" w:cs="宋体"/>
          <w:color w:val="auto"/>
          <w:szCs w:val="24"/>
          <w:highlight w:val="none"/>
        </w:rPr>
      </w:pPr>
      <w:r>
        <w:rPr>
          <w:rFonts w:hint="eastAsia" w:ascii="宋体" w:hAnsi="宋体" w:eastAsia="宋体" w:cs="宋体"/>
          <w:color w:val="auto"/>
          <w:szCs w:val="24"/>
          <w:highlight w:val="none"/>
        </w:rPr>
        <w:t>有效日期：</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签发日期：</w:t>
      </w:r>
      <w:r>
        <w:rPr>
          <w:rFonts w:hint="eastAsia" w:ascii="宋体" w:hAnsi="宋体" w:eastAsia="宋体" w:cs="宋体"/>
          <w:color w:val="auto"/>
          <w:szCs w:val="24"/>
          <w:highlight w:val="none"/>
          <w:u w:val="single"/>
        </w:rPr>
        <w:t xml:space="preserve">           </w:t>
      </w:r>
    </w:p>
    <w:p w14:paraId="205C22D7">
      <w:pPr>
        <w:spacing w:before="120" w:after="120" w:line="360" w:lineRule="auto"/>
        <w:ind w:firstLine="424" w:firstLineChars="202"/>
        <w:outlineLvl w:val="9"/>
        <w:rPr>
          <w:rFonts w:hint="eastAsia" w:ascii="宋体" w:hAnsi="宋体" w:eastAsia="宋体" w:cs="宋体"/>
          <w:color w:val="auto"/>
          <w:szCs w:val="24"/>
          <w:highlight w:val="none"/>
          <w:u w:val="single"/>
        </w:rPr>
      </w:pPr>
      <w:r>
        <w:rPr>
          <w:rFonts w:hint="eastAsia" w:ascii="宋体" w:hAnsi="宋体" w:eastAsia="宋体" w:cs="宋体"/>
          <w:color w:val="auto"/>
          <w:szCs w:val="24"/>
          <w:highlight w:val="none"/>
        </w:rPr>
        <w:t>附：代表人性别：</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 xml:space="preserve"> 年龄：</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身份证号码：</w:t>
      </w:r>
      <w:r>
        <w:rPr>
          <w:rFonts w:hint="eastAsia" w:ascii="宋体" w:hAnsi="宋体" w:eastAsia="宋体" w:cs="宋体"/>
          <w:color w:val="auto"/>
          <w:szCs w:val="24"/>
          <w:highlight w:val="none"/>
          <w:u w:val="single"/>
        </w:rPr>
        <w:t xml:space="preserve">            </w:t>
      </w:r>
    </w:p>
    <w:p w14:paraId="3AA144DC">
      <w:pPr>
        <w:spacing w:before="120" w:after="120" w:line="360" w:lineRule="auto"/>
        <w:ind w:firstLine="424" w:firstLineChars="202"/>
        <w:outlineLvl w:val="9"/>
        <w:rPr>
          <w:rFonts w:hint="eastAsia" w:ascii="宋体" w:hAnsi="宋体" w:eastAsia="宋体" w:cs="宋体"/>
          <w:color w:val="auto"/>
          <w:szCs w:val="24"/>
          <w:highlight w:val="none"/>
        </w:rPr>
      </w:pPr>
      <w:r>
        <w:rPr>
          <w:rFonts w:hint="eastAsia" w:ascii="宋体" w:hAnsi="宋体" w:eastAsia="宋体" w:cs="宋体"/>
          <w:color w:val="auto"/>
          <w:szCs w:val="24"/>
          <w:highlight w:val="none"/>
        </w:rPr>
        <w:t>营业执照号码：</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 xml:space="preserve">经济性质： </w:t>
      </w:r>
    </w:p>
    <w:p w14:paraId="7C6AA200">
      <w:pPr>
        <w:spacing w:before="120" w:after="120" w:line="360" w:lineRule="auto"/>
        <w:ind w:firstLine="424" w:firstLineChars="202"/>
        <w:outlineLvl w:val="9"/>
        <w:rPr>
          <w:rFonts w:hint="eastAsia" w:ascii="宋体" w:hAnsi="宋体" w:eastAsia="宋体" w:cs="宋体"/>
          <w:color w:val="auto"/>
          <w:szCs w:val="24"/>
          <w:highlight w:val="none"/>
          <w:u w:val="single"/>
        </w:rPr>
      </w:pPr>
      <w:r>
        <w:rPr>
          <w:rFonts w:hint="eastAsia" w:ascii="宋体" w:hAnsi="宋体" w:eastAsia="宋体" w:cs="宋体"/>
          <w:color w:val="auto"/>
          <w:szCs w:val="24"/>
          <w:highlight w:val="none"/>
        </w:rPr>
        <w:t>主营（产）：</w:t>
      </w:r>
    </w:p>
    <w:p w14:paraId="48A378D5">
      <w:pPr>
        <w:spacing w:before="120" w:after="120" w:line="360" w:lineRule="auto"/>
        <w:ind w:firstLine="424" w:firstLineChars="202"/>
        <w:outlineLvl w:val="9"/>
        <w:rPr>
          <w:rFonts w:hint="eastAsia" w:ascii="宋体" w:hAnsi="宋体" w:eastAsia="宋体" w:cs="宋体"/>
          <w:color w:val="auto"/>
          <w:szCs w:val="24"/>
          <w:highlight w:val="none"/>
          <w:u w:val="single"/>
        </w:rPr>
      </w:pPr>
      <w:r>
        <w:rPr>
          <w:rFonts w:hint="eastAsia" w:ascii="宋体" w:hAnsi="宋体" w:eastAsia="宋体" w:cs="宋体"/>
          <w:color w:val="auto"/>
          <w:szCs w:val="24"/>
          <w:highlight w:val="none"/>
        </w:rPr>
        <w:t>兼营（产）：</w:t>
      </w:r>
    </w:p>
    <w:p w14:paraId="721E094C">
      <w:pPr>
        <w:spacing w:before="120" w:after="120" w:line="360" w:lineRule="auto"/>
        <w:ind w:firstLine="424" w:firstLineChars="202"/>
        <w:outlineLvl w:val="9"/>
        <w:rPr>
          <w:rFonts w:hint="eastAsia" w:ascii="宋体" w:hAnsi="宋体" w:eastAsia="宋体" w:cs="宋体"/>
          <w:color w:val="auto"/>
          <w:szCs w:val="24"/>
          <w:highlight w:val="none"/>
        </w:rPr>
      </w:pPr>
      <w:r>
        <w:rPr>
          <w:rFonts w:hint="eastAsia" w:ascii="宋体" w:hAnsi="宋体" w:eastAsia="宋体" w:cs="宋体"/>
          <w:color w:val="auto"/>
          <w:szCs w:val="24"/>
          <w:highlight w:val="none"/>
        </w:rPr>
        <w:t xml:space="preserve">附 法定代表人身份证复印件 </w:t>
      </w:r>
    </w:p>
    <w:p w14:paraId="67CAFDCE">
      <w:pPr>
        <w:spacing w:before="120" w:after="120" w:line="360" w:lineRule="auto"/>
        <w:ind w:left="340" w:leftChars="162" w:firstLine="4740"/>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zh-CN"/>
        </w:rPr>
        <w:t>投标人：（加盖投标人法人公章）</w:t>
      </w:r>
    </w:p>
    <w:p w14:paraId="481BF64C">
      <w:pPr>
        <w:autoSpaceDE w:val="0"/>
        <w:autoSpaceDN w:val="0"/>
        <w:adjustRightInd w:val="0"/>
        <w:spacing w:line="360" w:lineRule="auto"/>
        <w:ind w:right="1010" w:rightChars="481" w:firstLine="6090" w:firstLineChars="290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日期：   年   月   日</w:t>
      </w:r>
    </w:p>
    <w:p w14:paraId="53204155">
      <w:pPr>
        <w:autoSpaceDE w:val="0"/>
        <w:autoSpaceDN w:val="0"/>
        <w:adjustRightInd w:val="0"/>
        <w:spacing w:line="360" w:lineRule="auto"/>
        <w:jc w:val="left"/>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mc:AlternateContent>
          <mc:Choice Requires="wps">
            <w:drawing>
              <wp:anchor distT="0" distB="0" distL="114300" distR="114300" simplePos="0" relativeHeight="251661312" behindDoc="0" locked="0" layoutInCell="1" allowOverlap="1">
                <wp:simplePos x="0" y="0"/>
                <wp:positionH relativeFrom="column">
                  <wp:posOffset>61595</wp:posOffset>
                </wp:positionH>
                <wp:positionV relativeFrom="paragraph">
                  <wp:posOffset>109220</wp:posOffset>
                </wp:positionV>
                <wp:extent cx="2790825" cy="1962150"/>
                <wp:effectExtent l="9525" t="6985" r="9525" b="12065"/>
                <wp:wrapNone/>
                <wp:docPr id="96796020" name="文本框 7"/>
                <wp:cNvGraphicFramePr/>
                <a:graphic xmlns:a="http://schemas.openxmlformats.org/drawingml/2006/main">
                  <a:graphicData uri="http://schemas.microsoft.com/office/word/2010/wordprocessingShape">
                    <wps:wsp>
                      <wps:cNvSpPr>
                        <a:spLocks noChangeArrowheads="1"/>
                      </wps:cNvSpPr>
                      <wps:spPr bwMode="auto">
                        <a:xfrm>
                          <a:off x="0" y="0"/>
                          <a:ext cx="2790825" cy="1962150"/>
                        </a:xfrm>
                        <a:prstGeom prst="rect">
                          <a:avLst/>
                        </a:prstGeom>
                        <a:solidFill>
                          <a:srgbClr val="FFFFFF"/>
                        </a:solidFill>
                        <a:ln w="9525">
                          <a:solidFill>
                            <a:srgbClr val="000000"/>
                          </a:solidFill>
                          <a:miter lim="200000"/>
                        </a:ln>
                      </wps:spPr>
                      <wps:txbx>
                        <w:txbxContent>
                          <w:p w14:paraId="3F9475DD"/>
                          <w:p w14:paraId="4CF146A4"/>
                          <w:p w14:paraId="56FEFF80"/>
                          <w:p w14:paraId="1BAB3C50"/>
                          <w:p w14:paraId="1B6FCA4A">
                            <w:pPr>
                              <w:jc w:val="center"/>
                              <w:rPr>
                                <w:szCs w:val="21"/>
                              </w:rPr>
                            </w:pPr>
                            <w:r>
                              <w:rPr>
                                <w:rFonts w:hint="eastAsia"/>
                                <w:szCs w:val="21"/>
                              </w:rPr>
                              <w:t>法定代表人身份证正面</w:t>
                            </w:r>
                          </w:p>
                        </w:txbxContent>
                      </wps:txbx>
                      <wps:bodyPr rot="0" vert="horz" wrap="square" lIns="91440" tIns="45720" rIns="91440" bIns="45720" anchor="t" anchorCtr="0" upright="1"/>
                    </wps:wsp>
                  </a:graphicData>
                </a:graphic>
              </wp:anchor>
            </w:drawing>
          </mc:Choice>
          <mc:Fallback>
            <w:pict>
              <v:rect id="文本框 7" o:spid="_x0000_s1026" o:spt="1" style="position:absolute;left:0pt;margin-left:4.85pt;margin-top:8.6pt;height:154.5pt;width:219.75pt;z-index:251661312;mso-width-relative:page;mso-height-relative:page;" fillcolor="#FFFFFF" filled="t" stroked="t" coordsize="21600,21600" o:gfxdata="UEsDBAoAAAAAAIdO4kAAAAAAAAAAAAAAAAAEAAAAZHJzL1BLAwQUAAAACACHTuJAWRUgKdcAAAAI&#10;AQAADwAAAGRycy9kb3ducmV2LnhtbE2PzU7DMBCE70i8g7VI3KgdU7U0xKkEiAuqUhFQz25sEot4&#10;bcXuD2/PcqK33Z3R7DfV+uxHdrRTcgEVFDMBzGIXjMNewefH690DsJQ1Gj0GtAp+bIJ1fX1V6dKE&#10;E77bY5t7RiGYSq1gyDmWnKdusF6nWYgWSfsKk9eZ1qnnZtInCvcjl0IsuNcO6cOgo30ebPfdHryC&#10;XURRbJqYm/ZNbjdPW7d7aZxStzeFeASW7Tn/m+EPn9ChJqZ9OKBJbFSwWpKRzksJjOT5fEXDXsG9&#10;XEjgdcUvC9S/UEsDBBQAAAAIAIdO4kAFivU3MQIAAGsEAAAOAAAAZHJzL2Uyb0RvYy54bWytVM2O&#10;0zAQviPxDpbvNGnUn23UdIVaFSEtsNLCA7iOk1j4j7HbtDwAvAEnLtx5rj4HE6fbLQtCeyAHy+MZ&#10;f57vm5nMr/dakZ0AL60p6HCQUiIMt6U0dUE/vF+/uKLEB2ZKpqwRBT0IT68Xz5/NW5eLzDZWlQII&#10;ghift66gTQguTxLPG6GZH1gnDDorC5oFNKFOSmAtomuVZGk6SVoLpQPLhfd4uuqd9IQITwG0VSW5&#10;WFm+1cKEHhWEYgEp+UY6Txcx26oSPLyrKi8CUQVFpiGu+AjuN92aLOYsr4G5RvJTCuwpKTzipJk0&#10;+OgZasUCI1uQf0BpycF6W4UBtzrpiURFkMUwfaTNXcOciFxQau/Oovv/B8vf7m6ByLKgs8l0Nkkz&#10;FMYwjXU/fvt6/P7z+OMLmXYqtc7nGHznbqHj6d2N5R89MXbZMFOLlwC2bQQrMbdhF5/8dqEzPF4l&#10;m/aNLRGdbYONgu0r0B0gSkH2sS6Hc13EPhCOh9l0ll5lY0o4+oazSTYcx8olLL+/7sCHV8Jq0m0K&#10;Clj4CM92Nz506bD8PiSmb5Us11KpaEC9WSogO4ZNso5fZIAsL8OUIS3KNMZE/g2Rxu9vEFoGnB0l&#10;NXK6DFLmJFinUa912G/2J9k3tjygdGD77sXZxU1j4TMlLXZuQf2nLQNBiXptUP7ZcDTqWj0ao/G0&#10;KylcejaXHmY4QhU0UNJvl6Efj60DWTf40kM5sQejkqd56Zr80o4cHv4Ri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ZFSAp1wAAAAgBAAAPAAAAAAAAAAEAIAAAACIAAABkcnMvZG93bnJldi54bWxQ&#10;SwECFAAUAAAACACHTuJABYr1NzECAABrBAAADgAAAAAAAAABACAAAAAmAQAAZHJzL2Uyb0RvYy54&#10;bWxQSwUGAAAAAAYABgBZAQAAyQUAAAAA&#10;">
                <v:fill on="t" focussize="0,0"/>
                <v:stroke color="#000000" miterlimit="2" joinstyle="miter"/>
                <v:imagedata o:title=""/>
                <o:lock v:ext="edit" aspectratio="f"/>
                <v:textbox>
                  <w:txbxContent>
                    <w:p w14:paraId="3F9475DD"/>
                    <w:p w14:paraId="4CF146A4"/>
                    <w:p w14:paraId="56FEFF80"/>
                    <w:p w14:paraId="1BAB3C50"/>
                    <w:p w14:paraId="1B6FCA4A">
                      <w:pPr>
                        <w:jc w:val="center"/>
                        <w:rPr>
                          <w:szCs w:val="21"/>
                        </w:rPr>
                      </w:pPr>
                      <w:r>
                        <w:rPr>
                          <w:rFonts w:hint="eastAsia"/>
                          <w:szCs w:val="21"/>
                        </w:rPr>
                        <w:t>法定代表人身份证正面</w:t>
                      </w:r>
                    </w:p>
                  </w:txbxContent>
                </v:textbox>
              </v:rect>
            </w:pict>
          </mc:Fallback>
        </mc:AlternateContent>
      </w:r>
      <w:r>
        <w:rPr>
          <w:rFonts w:hint="eastAsia" w:ascii="宋体" w:hAnsi="宋体" w:eastAsia="宋体" w:cs="宋体"/>
          <w:color w:val="auto"/>
          <w:kern w:val="0"/>
          <w:sz w:val="24"/>
          <w:szCs w:val="24"/>
          <w:highlight w:val="none"/>
        </w:rPr>
        <mc:AlternateContent>
          <mc:Choice Requires="wps">
            <w:drawing>
              <wp:anchor distT="0" distB="0" distL="114300" distR="114300" simplePos="0" relativeHeight="251660288" behindDoc="0" locked="0" layoutInCell="1" allowOverlap="1">
                <wp:simplePos x="0" y="0"/>
                <wp:positionH relativeFrom="column">
                  <wp:posOffset>3128645</wp:posOffset>
                </wp:positionH>
                <wp:positionV relativeFrom="paragraph">
                  <wp:posOffset>109220</wp:posOffset>
                </wp:positionV>
                <wp:extent cx="2790825" cy="1962150"/>
                <wp:effectExtent l="9525" t="6985" r="9525" b="12065"/>
                <wp:wrapNone/>
                <wp:docPr id="506171205" name="文本框 6"/>
                <wp:cNvGraphicFramePr/>
                <a:graphic xmlns:a="http://schemas.openxmlformats.org/drawingml/2006/main">
                  <a:graphicData uri="http://schemas.microsoft.com/office/word/2010/wordprocessingShape">
                    <wps:wsp>
                      <wps:cNvSpPr>
                        <a:spLocks noChangeArrowheads="1"/>
                      </wps:cNvSpPr>
                      <wps:spPr bwMode="auto">
                        <a:xfrm>
                          <a:off x="0" y="0"/>
                          <a:ext cx="2790825" cy="1962150"/>
                        </a:xfrm>
                        <a:prstGeom prst="rect">
                          <a:avLst/>
                        </a:prstGeom>
                        <a:solidFill>
                          <a:srgbClr val="FFFFFF"/>
                        </a:solidFill>
                        <a:ln w="9525">
                          <a:solidFill>
                            <a:srgbClr val="000000"/>
                          </a:solidFill>
                          <a:miter lim="200000"/>
                        </a:ln>
                      </wps:spPr>
                      <wps:txbx>
                        <w:txbxContent>
                          <w:p w14:paraId="0B8CA906"/>
                          <w:p w14:paraId="0A0BEDAA"/>
                          <w:p w14:paraId="234CF9F6"/>
                          <w:p w14:paraId="0642873D"/>
                          <w:p w14:paraId="0AE41561">
                            <w:pPr>
                              <w:jc w:val="center"/>
                              <w:rPr>
                                <w:szCs w:val="21"/>
                              </w:rPr>
                            </w:pPr>
                            <w:r>
                              <w:rPr>
                                <w:rFonts w:hint="eastAsia"/>
                                <w:szCs w:val="21"/>
                              </w:rPr>
                              <w:t>法定代表人身份证反面</w:t>
                            </w:r>
                          </w:p>
                          <w:p w14:paraId="30B95AC7">
                            <w:pPr>
                              <w:jc w:val="center"/>
                              <w:rPr>
                                <w:szCs w:val="21"/>
                              </w:rPr>
                            </w:pPr>
                          </w:p>
                        </w:txbxContent>
                      </wps:txbx>
                      <wps:bodyPr rot="0" vert="horz" wrap="square" lIns="91440" tIns="45720" rIns="91440" bIns="45720" anchor="t" anchorCtr="0" upright="1"/>
                    </wps:wsp>
                  </a:graphicData>
                </a:graphic>
              </wp:anchor>
            </w:drawing>
          </mc:Choice>
          <mc:Fallback>
            <w:pict>
              <v:rect id="文本框 6" o:spid="_x0000_s1026" o:spt="1" style="position:absolute;left:0pt;margin-left:246.35pt;margin-top:8.6pt;height:154.5pt;width:219.75pt;z-index:251660288;mso-width-relative:page;mso-height-relative:page;" fillcolor="#FFFFFF" filled="t" stroked="t" coordsize="21600,21600" o:gfxdata="UEsDBAoAAAAAAIdO4kAAAAAAAAAAAAAAAAAEAAAAZHJzL1BLAwQUAAAACACHTuJA7I51aNgAAAAK&#10;AQAADwAAAGRycy9kb3ducmV2LnhtbE2Py07DMBBF90j8gzVI7KgdF7U0xKkEiA2qUhFQ125sEot4&#10;bMXug79nWNHdjO7RnTPV+uxHdrRTcgEVFDMBzGIXjMNewefH690DsJQ1Gj0GtAp+bIJ1fX1V6dKE&#10;E77bY5t7RiWYSq1gyDmWnKdusF6nWYgWKfsKk9eZ1qnnZtInKvcjl0IsuNcO6cKgo30ebPfdHryC&#10;XURRbJqYm/ZNbjdPW7d7aZxStzeFeASW7Tn/w/CnT+pQk9M+HNAkNiq4X8kloRQsJTACVnNJw17B&#10;XC4k8Lrily/Uv1BLAwQUAAAACACHTuJAvLPUIjICAABsBAAADgAAAGRycy9lMm9Eb2MueG1srVRL&#10;jhMxEN0jcQfLe9If5TNppTNCiYKQBhhp4ACO25228I+yk044ANyAFRv2nCvnoNqdyYQBoVnQC8vl&#10;Kj/Xe1XVs+u9VmQnwEtrSpoNUkqE4baSZlPSD+9XL64o8YGZiilrREkPwtPr+fNns9YVIreNVZUA&#10;giDGF60raROCK5LE80Zo5gfWCYPO2oJmAU3YJBWwFtG1SvI0HSethcqB5cJ7PF32TnpChKcA2rqW&#10;XCwt32phQo8KQrGAlHwjnafzmG1dCx7e1bUXgaiSItMQV3wE9+tuTeYzVmyAuUbyUwrsKSk84qSZ&#10;NPjoGWrJAiNbkH9AacnBeluHAbc66YlERZBFlj7S5q5hTkQuKLV3Z9H9/4Plb3e3QGRV0lE6ziZZ&#10;no4oMUxj4Y/fvh6//zz++ELGnUyt8wVG37lb6Ih6d2P5R0+MXTTMbMRLANs2glWYXNbFJ79d6AyP&#10;V8m6fWMrRGfbYKNi+xp0B4hakH0szOFcGLEPhONhPpmmVzlmxtGXTcd5NoqlS1hxf92BD6+E1aTb&#10;lBSw8hGe7W586NJhxX1ITN8qWa2kUtGAzXqhgOwYdskqfpEBsrwMU4a0JZ2OMJF/Q6Tx+xuElgGH&#10;R0mNnC6DlDkJ1mnUax326/1J9rWtDigd2L59cXhx01j4TEmLrVtS/2nLQFCiXhuUf5oNh12vR2M4&#10;muRowKVnfelhhiNUSQMl/XYR+vnYOpCbBl96KCc2YVTyNDBdl1/akcPDT2L+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OyOdWjYAAAACgEAAA8AAAAAAAAAAQAgAAAAIgAAAGRycy9kb3ducmV2Lnht&#10;bFBLAQIUABQAAAAIAIdO4kC8s9QiMgIAAGwEAAAOAAAAAAAAAAEAIAAAACcBAABkcnMvZTJvRG9j&#10;LnhtbFBLBQYAAAAABgAGAFkBAADLBQAAAAA=&#10;">
                <v:fill on="t" focussize="0,0"/>
                <v:stroke color="#000000" miterlimit="2" joinstyle="miter"/>
                <v:imagedata o:title=""/>
                <o:lock v:ext="edit" aspectratio="f"/>
                <v:textbox>
                  <w:txbxContent>
                    <w:p w14:paraId="0B8CA906"/>
                    <w:p w14:paraId="0A0BEDAA"/>
                    <w:p w14:paraId="234CF9F6"/>
                    <w:p w14:paraId="0642873D"/>
                    <w:p w14:paraId="0AE41561">
                      <w:pPr>
                        <w:jc w:val="center"/>
                        <w:rPr>
                          <w:szCs w:val="21"/>
                        </w:rPr>
                      </w:pPr>
                      <w:r>
                        <w:rPr>
                          <w:rFonts w:hint="eastAsia"/>
                          <w:szCs w:val="21"/>
                        </w:rPr>
                        <w:t>法定代表人身份证反面</w:t>
                      </w:r>
                    </w:p>
                    <w:p w14:paraId="30B95AC7">
                      <w:pPr>
                        <w:jc w:val="center"/>
                        <w:rPr>
                          <w:szCs w:val="21"/>
                        </w:rPr>
                      </w:pPr>
                    </w:p>
                  </w:txbxContent>
                </v:textbox>
              </v:rect>
            </w:pict>
          </mc:Fallback>
        </mc:AlternateContent>
      </w:r>
      <w:r>
        <w:rPr>
          <w:rFonts w:hint="eastAsia" w:ascii="宋体" w:hAnsi="宋体" w:eastAsia="宋体" w:cs="宋体"/>
          <w:color w:val="auto"/>
          <w:kern w:val="0"/>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61595</wp:posOffset>
                </wp:positionH>
                <wp:positionV relativeFrom="paragraph">
                  <wp:posOffset>109220</wp:posOffset>
                </wp:positionV>
                <wp:extent cx="2790825" cy="1962150"/>
                <wp:effectExtent l="9525" t="6985" r="9525" b="12065"/>
                <wp:wrapNone/>
                <wp:docPr id="234795157" name="文本框 5"/>
                <wp:cNvGraphicFramePr/>
                <a:graphic xmlns:a="http://schemas.openxmlformats.org/drawingml/2006/main">
                  <a:graphicData uri="http://schemas.microsoft.com/office/word/2010/wordprocessingShape">
                    <wps:wsp>
                      <wps:cNvSpPr>
                        <a:spLocks noChangeArrowheads="1"/>
                      </wps:cNvSpPr>
                      <wps:spPr bwMode="auto">
                        <a:xfrm>
                          <a:off x="0" y="0"/>
                          <a:ext cx="2790825" cy="1962150"/>
                        </a:xfrm>
                        <a:prstGeom prst="rect">
                          <a:avLst/>
                        </a:prstGeom>
                        <a:solidFill>
                          <a:srgbClr val="FFFFFF"/>
                        </a:solidFill>
                        <a:ln w="9525">
                          <a:solidFill>
                            <a:srgbClr val="000000"/>
                          </a:solidFill>
                          <a:miter lim="200000"/>
                        </a:ln>
                      </wps:spPr>
                      <wps:txbx>
                        <w:txbxContent>
                          <w:p w14:paraId="6796A9DA"/>
                          <w:p w14:paraId="536040A9"/>
                          <w:p w14:paraId="44BEDD27"/>
                          <w:p w14:paraId="479C0342"/>
                          <w:p w14:paraId="3476F425">
                            <w:pPr>
                              <w:jc w:val="center"/>
                            </w:pPr>
                            <w:r>
                              <w:rPr>
                                <w:rFonts w:hint="eastAsia"/>
                              </w:rPr>
                              <w:t>身份证正面</w:t>
                            </w:r>
                          </w:p>
                        </w:txbxContent>
                      </wps:txbx>
                      <wps:bodyPr rot="0" vert="horz" wrap="square" lIns="91440" tIns="45720" rIns="91440" bIns="45720" anchor="t" anchorCtr="0" upright="1"/>
                    </wps:wsp>
                  </a:graphicData>
                </a:graphic>
              </wp:anchor>
            </w:drawing>
          </mc:Choice>
          <mc:Fallback>
            <w:pict>
              <v:rect id="文本框 5" o:spid="_x0000_s1026" o:spt="1" style="position:absolute;left:0pt;margin-left:4.85pt;margin-top:8.6pt;height:154.5pt;width:219.75pt;z-index:251659264;mso-width-relative:page;mso-height-relative:page;" fillcolor="#FFFFFF" filled="t" stroked="t" coordsize="21600,21600" o:gfxdata="UEsDBAoAAAAAAIdO4kAAAAAAAAAAAAAAAAAEAAAAZHJzL1BLAwQUAAAACACHTuJAWRUgKdcAAAAI&#10;AQAADwAAAGRycy9kb3ducmV2LnhtbE2PzU7DMBCE70i8g7VI3KgdU7U0xKkEiAuqUhFQz25sEot4&#10;bcXuD2/PcqK33Z3R7DfV+uxHdrRTcgEVFDMBzGIXjMNewefH690DsJQ1Gj0GtAp+bIJ1fX1V6dKE&#10;E77bY5t7RiGYSq1gyDmWnKdusF6nWYgWSfsKk9eZ1qnnZtInCvcjl0IsuNcO6cOgo30ebPfdHryC&#10;XURRbJqYm/ZNbjdPW7d7aZxStzeFeASW7Tn/m+EPn9ChJqZ9OKBJbFSwWpKRzksJjOT5fEXDXsG9&#10;XEjgdcUvC9S/UEsDBBQAAAAIAIdO4kBpIWQjNAIAAGwEAAAOAAAAZHJzL2Uyb0RvYy54bWytVM2O&#10;0zAQviPxDpbvNE1ottuo6Qq1KkJaYKWFB3Adp7HwH2O3aXkAeIM9ceHOc/U5mDjdblkQ2gM5WB7P&#10;+PN838xkerXTimwFeGlNSdPBkBJhuK2kWZf044fli0tKfGCmYsoaUdK98PRq9vzZtHWFyGxjVSWA&#10;IIjxRetK2oTgiiTxvBGa+YF1wqCztqBZQBPWSQWsRXStkmw4vEhaC5UDy4X3eLronfSICE8BtHUt&#10;uVhYvtHChB4VhGIBKflGOk9nMdu6Fjy8r2svAlElRaYhrvgI7lfdmsymrFgDc43kxxTYU1J4xEkz&#10;afDRE9SCBUY2IP+A0pKD9bYOA2510hOJiiCLdPhIm9uGORG5oNTenUT3/w+Wv9veAJFVSbOXo/Ek&#10;T/MxJYZpLPzh7tvh+8/Dj68k72RqnS8w+tbdQEfUu2vLP3li7LxhZi1eAdi2EazC5NIuPvntQmd4&#10;vEpW7VtbITrbBBsV29WgO0DUguxiYfanwohdIBwPs/FkeJnllHD0pZOLLM1j6RJW3F934MNrYTXp&#10;NiUFrHyEZ9trH7p0WHEfEtO3SlZLqVQ0YL2aKyBbhl2yjF9kgCzPw5QhbUknOSbyb4hh/P4GoWXA&#10;4VFSI6fzIGWOgnUa9VqH3Wp3lH1lqz1KB7ZvXxxe3DQWvlDSYuuW1H/eMBCUqDcG5Z+ko1HX69EY&#10;5eMMDTj3rM49zHCEKmmgpN/OQz8fGwdy3eBLD+XEJoxKHgem6/JzO3J4+EnMf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ZFSAp1wAAAAgBAAAPAAAAAAAAAAEAIAAAACIAAABkcnMvZG93bnJldi54&#10;bWxQSwECFAAUAAAACACHTuJAaSFkIzQCAABsBAAADgAAAAAAAAABACAAAAAmAQAAZHJzL2Uyb0Rv&#10;Yy54bWxQSwUGAAAAAAYABgBZAQAAzAUAAAAA&#10;">
                <v:fill on="t" focussize="0,0"/>
                <v:stroke color="#000000" miterlimit="2" joinstyle="miter"/>
                <v:imagedata o:title=""/>
                <o:lock v:ext="edit" aspectratio="f"/>
                <v:textbox>
                  <w:txbxContent>
                    <w:p w14:paraId="6796A9DA"/>
                    <w:p w14:paraId="536040A9"/>
                    <w:p w14:paraId="44BEDD27"/>
                    <w:p w14:paraId="479C0342"/>
                    <w:p w14:paraId="3476F425">
                      <w:pPr>
                        <w:jc w:val="center"/>
                      </w:pPr>
                      <w:r>
                        <w:rPr>
                          <w:rFonts w:hint="eastAsia"/>
                        </w:rPr>
                        <w:t>身份证正面</w:t>
                      </w:r>
                    </w:p>
                  </w:txbxContent>
                </v:textbox>
              </v:rect>
            </w:pict>
          </mc:Fallback>
        </mc:AlternateContent>
      </w:r>
    </w:p>
    <w:p w14:paraId="514D278F">
      <w:pPr>
        <w:autoSpaceDE w:val="0"/>
        <w:autoSpaceDN w:val="0"/>
        <w:adjustRightInd w:val="0"/>
        <w:spacing w:line="360" w:lineRule="auto"/>
        <w:jc w:val="left"/>
        <w:outlineLvl w:val="9"/>
        <w:rPr>
          <w:rFonts w:hint="eastAsia" w:ascii="宋体" w:hAnsi="宋体" w:eastAsia="宋体" w:cs="宋体"/>
          <w:color w:val="auto"/>
          <w:kern w:val="0"/>
          <w:sz w:val="24"/>
          <w:szCs w:val="24"/>
          <w:highlight w:val="none"/>
        </w:rPr>
      </w:pPr>
    </w:p>
    <w:p w14:paraId="709EFF52">
      <w:pPr>
        <w:autoSpaceDE w:val="0"/>
        <w:autoSpaceDN w:val="0"/>
        <w:adjustRightInd w:val="0"/>
        <w:spacing w:line="360" w:lineRule="auto"/>
        <w:jc w:val="left"/>
        <w:outlineLvl w:val="9"/>
        <w:rPr>
          <w:rFonts w:hint="eastAsia" w:ascii="宋体" w:hAnsi="宋体" w:eastAsia="宋体" w:cs="宋体"/>
          <w:color w:val="auto"/>
          <w:kern w:val="0"/>
          <w:sz w:val="24"/>
          <w:szCs w:val="24"/>
          <w:highlight w:val="none"/>
        </w:rPr>
      </w:pPr>
    </w:p>
    <w:p w14:paraId="373DB58D">
      <w:pPr>
        <w:autoSpaceDE w:val="0"/>
        <w:autoSpaceDN w:val="0"/>
        <w:adjustRightInd w:val="0"/>
        <w:spacing w:line="360" w:lineRule="auto"/>
        <w:jc w:val="left"/>
        <w:outlineLvl w:val="9"/>
        <w:rPr>
          <w:rFonts w:hint="eastAsia" w:ascii="宋体" w:hAnsi="宋体" w:eastAsia="宋体" w:cs="宋体"/>
          <w:color w:val="auto"/>
          <w:kern w:val="0"/>
          <w:sz w:val="24"/>
          <w:szCs w:val="24"/>
          <w:highlight w:val="none"/>
        </w:rPr>
      </w:pPr>
    </w:p>
    <w:p w14:paraId="6C742B24">
      <w:pPr>
        <w:autoSpaceDE w:val="0"/>
        <w:autoSpaceDN w:val="0"/>
        <w:adjustRightInd w:val="0"/>
        <w:spacing w:line="360" w:lineRule="auto"/>
        <w:jc w:val="left"/>
        <w:outlineLvl w:val="9"/>
        <w:rPr>
          <w:rFonts w:hint="eastAsia" w:ascii="宋体" w:hAnsi="宋体" w:eastAsia="宋体" w:cs="宋体"/>
          <w:color w:val="auto"/>
          <w:kern w:val="0"/>
          <w:sz w:val="24"/>
          <w:szCs w:val="24"/>
          <w:highlight w:val="none"/>
        </w:rPr>
      </w:pPr>
    </w:p>
    <w:p w14:paraId="1861D2DB">
      <w:pPr>
        <w:autoSpaceDE w:val="0"/>
        <w:autoSpaceDN w:val="0"/>
        <w:adjustRightInd w:val="0"/>
        <w:spacing w:line="360" w:lineRule="auto"/>
        <w:jc w:val="left"/>
        <w:outlineLvl w:val="9"/>
        <w:rPr>
          <w:rFonts w:hint="eastAsia" w:ascii="宋体" w:hAnsi="宋体" w:eastAsia="宋体" w:cs="宋体"/>
          <w:color w:val="auto"/>
          <w:kern w:val="0"/>
          <w:sz w:val="24"/>
          <w:szCs w:val="24"/>
          <w:highlight w:val="none"/>
        </w:rPr>
      </w:pPr>
    </w:p>
    <w:p w14:paraId="6313046F">
      <w:pPr>
        <w:autoSpaceDE w:val="0"/>
        <w:autoSpaceDN w:val="0"/>
        <w:adjustRightInd w:val="0"/>
        <w:spacing w:line="360" w:lineRule="auto"/>
        <w:jc w:val="left"/>
        <w:outlineLvl w:val="9"/>
        <w:rPr>
          <w:rFonts w:hint="eastAsia" w:ascii="宋体" w:hAnsi="宋体" w:eastAsia="宋体" w:cs="宋体"/>
          <w:color w:val="auto"/>
          <w:kern w:val="0"/>
          <w:sz w:val="24"/>
          <w:szCs w:val="24"/>
          <w:highlight w:val="none"/>
        </w:rPr>
      </w:pPr>
    </w:p>
    <w:p w14:paraId="7FD6143C">
      <w:pPr>
        <w:autoSpaceDE w:val="0"/>
        <w:autoSpaceDN w:val="0"/>
        <w:adjustRightInd w:val="0"/>
        <w:spacing w:line="360" w:lineRule="auto"/>
        <w:jc w:val="left"/>
        <w:outlineLvl w:val="9"/>
        <w:rPr>
          <w:rFonts w:hint="eastAsia" w:ascii="宋体" w:hAnsi="宋体" w:eastAsia="宋体" w:cs="宋体"/>
          <w:color w:val="auto"/>
          <w:kern w:val="0"/>
          <w:sz w:val="24"/>
          <w:szCs w:val="24"/>
          <w:highlight w:val="none"/>
        </w:rPr>
      </w:pPr>
    </w:p>
    <w:p w14:paraId="4043E8A1">
      <w:pPr>
        <w:autoSpaceDE w:val="0"/>
        <w:autoSpaceDN w:val="0"/>
        <w:adjustRightInd w:val="0"/>
        <w:spacing w:line="360" w:lineRule="auto"/>
        <w:jc w:val="left"/>
        <w:outlineLvl w:val="9"/>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注：法定代表人身份证须在有效期限内。</w:t>
      </w:r>
    </w:p>
    <w:p w14:paraId="1B7D4FC5">
      <w:pPr>
        <w:spacing w:before="120" w:after="120" w:line="360" w:lineRule="auto"/>
        <w:ind w:firstLine="424" w:firstLineChars="202"/>
        <w:outlineLvl w:val="9"/>
        <w:rPr>
          <w:rFonts w:hint="eastAsia" w:ascii="宋体" w:hAnsi="宋体" w:eastAsia="宋体" w:cs="宋体"/>
          <w:b/>
          <w:color w:val="auto"/>
          <w:kern w:val="0"/>
          <w:szCs w:val="21"/>
          <w:highlight w:val="none"/>
        </w:rPr>
      </w:pPr>
      <w:r>
        <w:rPr>
          <w:rFonts w:hint="eastAsia" w:ascii="宋体" w:hAnsi="宋体" w:eastAsia="宋体" w:cs="宋体"/>
          <w:color w:val="auto"/>
          <w:szCs w:val="24"/>
          <w:highlight w:val="none"/>
          <w:lang w:val="zh-CN"/>
        </w:rPr>
        <w:br w:type="page"/>
      </w:r>
      <w:bookmarkStart w:id="400" w:name="_Toc486167713"/>
      <w:bookmarkStart w:id="401" w:name="_Toc533708125"/>
      <w:bookmarkStart w:id="402" w:name="_Toc1977727"/>
      <w:bookmarkStart w:id="403" w:name="_Toc6240_WPSOffice_Level2"/>
      <w:r>
        <w:rPr>
          <w:rFonts w:hint="eastAsia" w:ascii="宋体" w:hAnsi="宋体" w:eastAsia="宋体" w:cs="宋体"/>
          <w:b/>
          <w:color w:val="auto"/>
          <w:szCs w:val="24"/>
          <w:highlight w:val="none"/>
        </w:rPr>
        <w:t>（2）法定代表人授权书格式</w:t>
      </w:r>
      <w:bookmarkEnd w:id="400"/>
      <w:bookmarkEnd w:id="401"/>
      <w:bookmarkEnd w:id="402"/>
      <w:bookmarkEnd w:id="403"/>
      <w:r>
        <w:rPr>
          <w:rFonts w:hint="eastAsia" w:ascii="宋体" w:hAnsi="宋体" w:eastAsia="宋体" w:cs="宋体"/>
          <w:b/>
          <w:color w:val="auto"/>
          <w:szCs w:val="24"/>
          <w:highlight w:val="none"/>
          <w:lang w:eastAsia="zh-CN"/>
        </w:rPr>
        <w:t>（</w:t>
      </w:r>
      <w:r>
        <w:rPr>
          <w:rFonts w:hint="eastAsia" w:ascii="宋体" w:hAnsi="宋体" w:eastAsia="宋体" w:cs="宋体"/>
          <w:b/>
          <w:color w:val="auto"/>
          <w:szCs w:val="24"/>
          <w:highlight w:val="none"/>
          <w:lang w:val="en-US" w:eastAsia="zh-CN"/>
        </w:rPr>
        <w:t>以总公司名义参与投标时提供</w:t>
      </w:r>
      <w:r>
        <w:rPr>
          <w:rFonts w:hint="eastAsia" w:ascii="宋体" w:hAnsi="宋体" w:eastAsia="宋体" w:cs="宋体"/>
          <w:b/>
          <w:color w:val="auto"/>
          <w:szCs w:val="24"/>
          <w:highlight w:val="none"/>
          <w:lang w:eastAsia="zh-CN"/>
        </w:rPr>
        <w:t>）</w:t>
      </w:r>
    </w:p>
    <w:p w14:paraId="3C8E0E67">
      <w:pPr>
        <w:autoSpaceDE w:val="0"/>
        <w:autoSpaceDN w:val="0"/>
        <w:adjustRightInd w:val="0"/>
        <w:spacing w:line="360" w:lineRule="auto"/>
        <w:jc w:val="center"/>
        <w:outlineLvl w:val="9"/>
        <w:rPr>
          <w:rFonts w:hint="eastAsia" w:ascii="宋体" w:hAnsi="宋体" w:eastAsia="宋体" w:cs="宋体"/>
          <w:b/>
          <w:bCs/>
          <w:color w:val="auto"/>
          <w:sz w:val="30"/>
          <w:szCs w:val="30"/>
          <w:highlight w:val="none"/>
          <w:lang w:val="zh-CN"/>
        </w:rPr>
      </w:pPr>
    </w:p>
    <w:p w14:paraId="0AF7E685">
      <w:pPr>
        <w:autoSpaceDE w:val="0"/>
        <w:autoSpaceDN w:val="0"/>
        <w:adjustRightInd w:val="0"/>
        <w:spacing w:line="360" w:lineRule="auto"/>
        <w:jc w:val="center"/>
        <w:outlineLvl w:val="9"/>
        <w:rPr>
          <w:rFonts w:hint="eastAsia" w:ascii="宋体" w:hAnsi="宋体" w:eastAsia="宋体" w:cs="宋体"/>
          <w:b/>
          <w:bCs/>
          <w:color w:val="auto"/>
          <w:sz w:val="30"/>
          <w:szCs w:val="30"/>
          <w:highlight w:val="none"/>
          <w:lang w:val="zh-CN"/>
        </w:rPr>
      </w:pPr>
      <w:bookmarkStart w:id="404" w:name="_Toc29146_WPSOffice_Level3"/>
      <w:r>
        <w:rPr>
          <w:rFonts w:hint="eastAsia" w:ascii="宋体" w:hAnsi="宋体" w:eastAsia="宋体" w:cs="宋体"/>
          <w:b/>
          <w:bCs/>
          <w:color w:val="auto"/>
          <w:sz w:val="30"/>
          <w:szCs w:val="30"/>
          <w:highlight w:val="none"/>
          <w:lang w:val="zh-CN"/>
        </w:rPr>
        <w:t>法定代表人授权书</w:t>
      </w:r>
      <w:bookmarkEnd w:id="404"/>
    </w:p>
    <w:p w14:paraId="755EA953">
      <w:pPr>
        <w:autoSpaceDE w:val="0"/>
        <w:autoSpaceDN w:val="0"/>
        <w:adjustRightInd w:val="0"/>
        <w:spacing w:line="360" w:lineRule="auto"/>
        <w:jc w:val="center"/>
        <w:outlineLvl w:val="9"/>
        <w:rPr>
          <w:rFonts w:hint="eastAsia" w:ascii="宋体" w:hAnsi="宋体" w:eastAsia="宋体" w:cs="宋体"/>
          <w:color w:val="auto"/>
          <w:szCs w:val="28"/>
          <w:highlight w:val="none"/>
          <w:lang w:val="zh-CN"/>
        </w:rPr>
      </w:pPr>
    </w:p>
    <w:p w14:paraId="51B1BA0E">
      <w:pPr>
        <w:spacing w:before="120" w:after="120" w:line="360" w:lineRule="auto"/>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致：东莞数字城市科技有限公司</w:t>
      </w:r>
    </w:p>
    <w:p w14:paraId="20680341">
      <w:pPr>
        <w:spacing w:before="120" w:after="120" w:line="360" w:lineRule="auto"/>
        <w:ind w:firstLine="630" w:firstLineChars="300"/>
        <w:outlineLvl w:val="9"/>
        <w:rPr>
          <w:rFonts w:hint="eastAsia" w:ascii="宋体" w:hAnsi="宋体" w:eastAsia="宋体" w:cs="宋体"/>
          <w:color w:val="auto"/>
          <w:szCs w:val="21"/>
          <w:highlight w:val="none"/>
        </w:rPr>
      </w:pPr>
      <w:r>
        <w:rPr>
          <w:rFonts w:hint="eastAsia" w:ascii="宋体" w:hAnsi="宋体" w:eastAsia="宋体" w:cs="宋体"/>
          <w:color w:val="auto"/>
          <w:szCs w:val="24"/>
          <w:highlight w:val="none"/>
          <w:lang w:val="zh-CN"/>
        </w:rPr>
        <w:t>本授权书声明：注册于</w:t>
      </w:r>
      <w:r>
        <w:rPr>
          <w:rFonts w:hint="eastAsia" w:ascii="宋体" w:hAnsi="宋体" w:eastAsia="宋体" w:cs="宋体"/>
          <w:color w:val="auto"/>
          <w:szCs w:val="24"/>
          <w:highlight w:val="none"/>
          <w:u w:val="single"/>
          <w:lang w:val="zh-CN"/>
        </w:rPr>
        <w:t xml:space="preserve">       </w:t>
      </w:r>
      <w:r>
        <w:rPr>
          <w:rFonts w:hint="eastAsia" w:ascii="宋体" w:hAnsi="宋体" w:eastAsia="宋体" w:cs="宋体"/>
          <w:color w:val="auto"/>
          <w:szCs w:val="24"/>
          <w:highlight w:val="none"/>
          <w:lang w:val="zh-CN"/>
        </w:rPr>
        <w:t>（投标人地址）的</w:t>
      </w:r>
      <w:r>
        <w:rPr>
          <w:rFonts w:hint="eastAsia" w:ascii="宋体" w:hAnsi="宋体" w:eastAsia="宋体" w:cs="宋体"/>
          <w:color w:val="auto"/>
          <w:szCs w:val="24"/>
          <w:highlight w:val="none"/>
          <w:u w:val="single"/>
          <w:lang w:val="zh-CN"/>
        </w:rPr>
        <w:t xml:space="preserve">           </w:t>
      </w:r>
      <w:r>
        <w:rPr>
          <w:rFonts w:hint="eastAsia" w:ascii="宋体" w:hAnsi="宋体" w:eastAsia="宋体" w:cs="宋体"/>
          <w:color w:val="auto"/>
          <w:szCs w:val="24"/>
          <w:highlight w:val="none"/>
          <w:lang w:val="zh-CN"/>
        </w:rPr>
        <w:t>（投标人名称）在下面签字或盖私章的</w:t>
      </w:r>
      <w:r>
        <w:rPr>
          <w:rFonts w:hint="eastAsia" w:ascii="宋体" w:hAnsi="宋体" w:eastAsia="宋体" w:cs="宋体"/>
          <w:color w:val="auto"/>
          <w:szCs w:val="24"/>
          <w:highlight w:val="none"/>
          <w:u w:val="single"/>
          <w:lang w:val="zh-CN"/>
        </w:rPr>
        <w:t xml:space="preserve">                          </w:t>
      </w:r>
      <w:r>
        <w:rPr>
          <w:rFonts w:hint="eastAsia" w:ascii="宋体" w:hAnsi="宋体" w:eastAsia="宋体" w:cs="宋体"/>
          <w:color w:val="auto"/>
          <w:szCs w:val="24"/>
          <w:highlight w:val="none"/>
          <w:lang w:val="zh-CN"/>
        </w:rPr>
        <w:t>（法定代表人姓名、职务、身份证号码）代表本公司授权在下面签字或盖私章的</w:t>
      </w:r>
      <w:r>
        <w:rPr>
          <w:rFonts w:hint="eastAsia" w:ascii="宋体" w:hAnsi="宋体" w:eastAsia="宋体" w:cs="宋体"/>
          <w:color w:val="auto"/>
          <w:szCs w:val="24"/>
          <w:highlight w:val="none"/>
          <w:u w:val="single"/>
          <w:lang w:val="zh-CN"/>
        </w:rPr>
        <w:t xml:space="preserve">        </w:t>
      </w:r>
      <w:r>
        <w:rPr>
          <w:rFonts w:hint="eastAsia" w:ascii="宋体" w:hAnsi="宋体" w:eastAsia="宋体" w:cs="宋体"/>
          <w:color w:val="auto"/>
          <w:szCs w:val="24"/>
          <w:highlight w:val="none"/>
          <w:lang w:val="zh-CN"/>
        </w:rPr>
        <w:t>（被授权人的姓名、职务、身份证号码）为本公司的合法代表人，签署</w:t>
      </w:r>
      <w:r>
        <w:rPr>
          <w:rFonts w:hint="eastAsia" w:ascii="宋体" w:hAnsi="宋体" w:eastAsia="宋体" w:cs="宋体"/>
          <w:color w:val="auto"/>
          <w:szCs w:val="21"/>
          <w:highlight w:val="none"/>
          <w:u w:val="single"/>
        </w:rPr>
        <w:t>XXXXX项目</w:t>
      </w:r>
      <w:r>
        <w:rPr>
          <w:rFonts w:hint="eastAsia" w:ascii="宋体" w:hAnsi="宋体" w:eastAsia="宋体" w:cs="宋体"/>
          <w:color w:val="auto"/>
          <w:szCs w:val="21"/>
          <w:highlight w:val="none"/>
          <w:lang w:val="zh-CN"/>
        </w:rPr>
        <w:t>（招标编号：</w:t>
      </w:r>
      <w:r>
        <w:rPr>
          <w:rFonts w:hint="eastAsia" w:ascii="宋体" w:hAnsi="宋体" w:eastAsia="宋体" w:cs="宋体"/>
          <w:color w:val="auto"/>
          <w:szCs w:val="21"/>
          <w:highlight w:val="none"/>
          <w:u w:val="single"/>
          <w:lang w:val="zh-CN"/>
        </w:rPr>
        <w:t>XXXXX号</w:t>
      </w:r>
      <w:r>
        <w:rPr>
          <w:rFonts w:hint="eastAsia" w:ascii="宋体" w:hAnsi="宋体" w:eastAsia="宋体" w:cs="宋体"/>
          <w:color w:val="auto"/>
          <w:szCs w:val="21"/>
          <w:highlight w:val="none"/>
          <w:lang w:val="zh-CN"/>
        </w:rPr>
        <w:t>）的投标文件，</w:t>
      </w:r>
      <w:r>
        <w:rPr>
          <w:rFonts w:hint="eastAsia" w:ascii="宋体" w:hAnsi="宋体" w:eastAsia="宋体" w:cs="宋体"/>
          <w:color w:val="auto"/>
          <w:szCs w:val="21"/>
          <w:highlight w:val="none"/>
        </w:rPr>
        <w:t>代表我公司</w:t>
      </w:r>
      <w:r>
        <w:rPr>
          <w:rFonts w:hint="eastAsia" w:ascii="宋体" w:hAnsi="宋体" w:eastAsia="宋体" w:cs="宋体"/>
          <w:color w:val="auto"/>
          <w:szCs w:val="24"/>
          <w:highlight w:val="none"/>
          <w:lang w:val="zh-CN"/>
        </w:rPr>
        <w:t>递交投标文件、参与开标会、代表我公司应评标委员会的要求对投标文件进行澄清、进行合同谈判和签署合同，以我公司的名义处理一切与之有关的事宜，</w:t>
      </w:r>
      <w:r>
        <w:rPr>
          <w:rFonts w:hint="eastAsia" w:ascii="宋体" w:hAnsi="宋体" w:eastAsia="宋体" w:cs="宋体"/>
          <w:color w:val="auto"/>
          <w:szCs w:val="21"/>
          <w:highlight w:val="none"/>
        </w:rPr>
        <w:t>我承认代理人全权代表我所签署的本项目投标文件的内容及</w:t>
      </w:r>
      <w:r>
        <w:rPr>
          <w:rFonts w:hint="eastAsia" w:ascii="宋体" w:hAnsi="宋体" w:eastAsia="宋体" w:cs="宋体"/>
          <w:color w:val="auto"/>
          <w:szCs w:val="24"/>
          <w:highlight w:val="none"/>
          <w:lang w:val="zh-CN"/>
        </w:rPr>
        <w:t>所进行的上述活动。</w:t>
      </w:r>
    </w:p>
    <w:p w14:paraId="0F47BFA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lang w:eastAsia="zh-CN"/>
        </w:rPr>
      </w:pPr>
      <w:bookmarkStart w:id="405" w:name="auto_fouce_40"/>
      <w:r>
        <w:rPr>
          <w:rFonts w:hint="eastAsia" w:ascii="宋体" w:hAnsi="宋体" w:eastAsia="宋体" w:cs="宋体"/>
          <w:color w:val="auto"/>
          <w:sz w:val="21"/>
          <w:szCs w:val="21"/>
          <w:highlight w:val="none"/>
          <w:lang w:val="zh-CN"/>
        </w:rPr>
        <w:t>本授权书于</w:t>
      </w:r>
      <w:r>
        <w:rPr>
          <w:rFonts w:hint="eastAsia" w:ascii="宋体" w:hAnsi="宋体" w:eastAsia="宋体" w:cs="宋体"/>
          <w:color w:val="auto"/>
          <w:sz w:val="21"/>
          <w:szCs w:val="21"/>
          <w:highlight w:val="none"/>
          <w:u w:val="single"/>
          <w:lang w:val="zh-CN"/>
        </w:rPr>
        <w:t xml:space="preserve">      </w:t>
      </w:r>
      <w:r>
        <w:rPr>
          <w:rFonts w:hint="eastAsia" w:ascii="宋体" w:hAnsi="宋体" w:eastAsia="宋体" w:cs="宋体"/>
          <w:color w:val="auto"/>
          <w:sz w:val="21"/>
          <w:szCs w:val="21"/>
          <w:highlight w:val="none"/>
          <w:lang w:val="zh-CN"/>
        </w:rPr>
        <w:t>年</w:t>
      </w:r>
      <w:r>
        <w:rPr>
          <w:rFonts w:hint="eastAsia" w:ascii="宋体" w:hAnsi="宋体" w:eastAsia="宋体" w:cs="宋体"/>
          <w:color w:val="auto"/>
          <w:sz w:val="21"/>
          <w:szCs w:val="21"/>
          <w:highlight w:val="none"/>
          <w:u w:val="single"/>
          <w:lang w:val="zh-CN"/>
        </w:rPr>
        <w:t xml:space="preserve">     </w:t>
      </w:r>
      <w:r>
        <w:rPr>
          <w:rFonts w:hint="eastAsia" w:ascii="宋体" w:hAnsi="宋体" w:eastAsia="宋体" w:cs="宋体"/>
          <w:color w:val="auto"/>
          <w:sz w:val="21"/>
          <w:szCs w:val="21"/>
          <w:highlight w:val="none"/>
          <w:lang w:val="zh-CN"/>
        </w:rPr>
        <w:t>月</w:t>
      </w:r>
      <w:r>
        <w:rPr>
          <w:rFonts w:hint="eastAsia" w:ascii="宋体" w:hAnsi="宋体" w:eastAsia="宋体" w:cs="宋体"/>
          <w:color w:val="auto"/>
          <w:sz w:val="21"/>
          <w:szCs w:val="21"/>
          <w:highlight w:val="none"/>
          <w:u w:val="single"/>
          <w:lang w:val="zh-CN"/>
        </w:rPr>
        <w:t xml:space="preserve">     </w:t>
      </w:r>
      <w:r>
        <w:rPr>
          <w:rFonts w:hint="eastAsia" w:ascii="宋体" w:hAnsi="宋体" w:eastAsia="宋体" w:cs="宋体"/>
          <w:color w:val="auto"/>
          <w:sz w:val="21"/>
          <w:szCs w:val="21"/>
          <w:highlight w:val="none"/>
          <w:lang w:val="zh-CN"/>
        </w:rPr>
        <w:t>日签字生效，有效期至投标文件失效期止，</w:t>
      </w:r>
      <w:r>
        <w:rPr>
          <w:rFonts w:hint="eastAsia" w:ascii="宋体" w:hAnsi="宋体" w:eastAsia="宋体" w:cs="宋体"/>
          <w:color w:val="auto"/>
          <w:sz w:val="21"/>
          <w:szCs w:val="21"/>
          <w:highlight w:val="none"/>
        </w:rPr>
        <w:t>代理人无转委托权，</w:t>
      </w:r>
      <w:r>
        <w:rPr>
          <w:rFonts w:hint="eastAsia" w:ascii="宋体" w:hAnsi="宋体" w:eastAsia="宋体" w:cs="宋体"/>
          <w:color w:val="auto"/>
          <w:sz w:val="21"/>
          <w:szCs w:val="21"/>
          <w:highlight w:val="none"/>
          <w:lang w:val="zh-CN"/>
        </w:rPr>
        <w:t>特此声明。</w:t>
      </w:r>
      <w:bookmarkEnd w:id="405"/>
      <w:r>
        <w:rPr>
          <w:rFonts w:hint="eastAsia" w:ascii="宋体" w:hAnsi="宋体" w:eastAsia="宋体" w:cs="宋体"/>
          <w:color w:val="auto"/>
          <w:kern w:val="0"/>
          <w:sz w:val="21"/>
          <w:szCs w:val="21"/>
          <w:highlight w:val="none"/>
        </w:rPr>
        <w:t>被授权人变更需提前5个工作日书面通知招标代理机构。</w:t>
      </w:r>
    </w:p>
    <w:p w14:paraId="113A3BB9">
      <w:pPr>
        <w:spacing w:before="120" w:after="120" w:line="360" w:lineRule="auto"/>
        <w:ind w:left="348" w:leftChars="136" w:hanging="62"/>
        <w:outlineLvl w:val="9"/>
        <w:rPr>
          <w:rFonts w:hint="eastAsia" w:ascii="宋体" w:hAnsi="宋体" w:eastAsia="宋体" w:cs="宋体"/>
          <w:color w:val="auto"/>
          <w:szCs w:val="24"/>
          <w:highlight w:val="none"/>
        </w:rPr>
      </w:pPr>
    </w:p>
    <w:p w14:paraId="06689B7F">
      <w:pPr>
        <w:spacing w:before="120" w:after="120" w:line="360" w:lineRule="auto"/>
        <w:ind w:left="4200" w:leftChars="2000" w:firstLine="425"/>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投  标  人：（加盖投标人法人公章）</w:t>
      </w:r>
    </w:p>
    <w:p w14:paraId="5032928C">
      <w:pPr>
        <w:spacing w:before="120" w:after="120" w:line="360" w:lineRule="auto"/>
        <w:ind w:left="4200" w:leftChars="2000" w:firstLine="425"/>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投标人地址：</w:t>
      </w:r>
    </w:p>
    <w:p w14:paraId="287D4899">
      <w:pPr>
        <w:spacing w:before="120" w:after="120" w:line="360" w:lineRule="auto"/>
        <w:ind w:left="4200" w:leftChars="2000" w:firstLine="425"/>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法定代表人（签名或盖私章）：</w:t>
      </w:r>
    </w:p>
    <w:p w14:paraId="38140D5E">
      <w:pPr>
        <w:spacing w:before="120" w:after="120" w:line="360" w:lineRule="auto"/>
        <w:ind w:left="4200" w:leftChars="2000" w:firstLine="425"/>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职　　　务：</w:t>
      </w:r>
    </w:p>
    <w:p w14:paraId="114BB256">
      <w:pPr>
        <w:spacing w:before="120" w:after="120" w:line="360" w:lineRule="auto"/>
        <w:ind w:left="4200" w:leftChars="2000" w:firstLine="425"/>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被授权人（签名或盖私章）：</w:t>
      </w:r>
    </w:p>
    <w:p w14:paraId="181F5704">
      <w:pPr>
        <w:spacing w:before="120" w:after="120" w:line="360" w:lineRule="auto"/>
        <w:ind w:left="4200" w:leftChars="2000" w:firstLine="425"/>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职　　　务：</w:t>
      </w:r>
    </w:p>
    <w:p w14:paraId="604B284F">
      <w:pPr>
        <w:spacing w:before="120" w:after="120" w:line="360" w:lineRule="auto"/>
        <w:ind w:left="4200" w:leftChars="2000" w:firstLine="425"/>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被授权人联系手机：</w:t>
      </w:r>
    </w:p>
    <w:p w14:paraId="2FB343C6">
      <w:pPr>
        <w:spacing w:before="120" w:after="120" w:line="360" w:lineRule="auto"/>
        <w:ind w:left="4200" w:leftChars="2000" w:firstLine="425"/>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电 子 邮 箱：</w:t>
      </w:r>
    </w:p>
    <w:p w14:paraId="1090E431">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color w:val="auto"/>
          <w:szCs w:val="24"/>
          <w:highlight w:val="none"/>
        </w:rPr>
      </w:pPr>
      <w:r>
        <w:rPr>
          <w:rFonts w:hint="eastAsia" w:ascii="宋体" w:hAnsi="宋体" w:eastAsia="宋体" w:cs="宋体"/>
          <w:color w:val="auto"/>
          <w:szCs w:val="24"/>
          <w:highlight w:val="none"/>
          <w:lang w:val="zh-CN"/>
        </w:rPr>
        <w:br w:type="page"/>
      </w:r>
      <w:r>
        <w:rPr>
          <w:rFonts w:hint="eastAsia" w:ascii="宋体" w:hAnsi="宋体" w:eastAsia="宋体" w:cs="宋体"/>
          <w:color w:val="auto"/>
          <w:szCs w:val="24"/>
          <w:highlight w:val="none"/>
        </w:rPr>
        <w:t>附 法定代表人、被授权人身份证复印件</w:t>
      </w:r>
    </w:p>
    <w:p w14:paraId="385D099A">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color w:val="auto"/>
          <w:szCs w:val="24"/>
          <w:highlight w:val="none"/>
        </w:rPr>
      </w:pPr>
      <w:r>
        <w:rPr>
          <w:rFonts w:hint="eastAsia" w:ascii="宋体" w:hAnsi="宋体" w:eastAsia="宋体" w:cs="宋体"/>
          <w:color w:val="auto"/>
          <w:szCs w:val="21"/>
          <w:highlight w:val="none"/>
        </w:rPr>
        <mc:AlternateContent>
          <mc:Choice Requires="wps">
            <w:drawing>
              <wp:anchor distT="0" distB="0" distL="114300" distR="114300" simplePos="0" relativeHeight="251664384" behindDoc="0" locked="0" layoutInCell="1" allowOverlap="1">
                <wp:simplePos x="0" y="0"/>
                <wp:positionH relativeFrom="column">
                  <wp:posOffset>3366770</wp:posOffset>
                </wp:positionH>
                <wp:positionV relativeFrom="paragraph">
                  <wp:posOffset>69850</wp:posOffset>
                </wp:positionV>
                <wp:extent cx="2790825" cy="1762125"/>
                <wp:effectExtent l="9525" t="9525" r="9525" b="9525"/>
                <wp:wrapNone/>
                <wp:docPr id="2057908861" name="文本框 4"/>
                <wp:cNvGraphicFramePr/>
                <a:graphic xmlns:a="http://schemas.openxmlformats.org/drawingml/2006/main">
                  <a:graphicData uri="http://schemas.microsoft.com/office/word/2010/wordprocessingShape">
                    <wps:wsp>
                      <wps:cNvSpPr>
                        <a:spLocks noChangeArrowheads="1"/>
                      </wps:cNvSpPr>
                      <wps:spPr bwMode="auto">
                        <a:xfrm>
                          <a:off x="0" y="0"/>
                          <a:ext cx="2790825" cy="1762125"/>
                        </a:xfrm>
                        <a:prstGeom prst="rect">
                          <a:avLst/>
                        </a:prstGeom>
                        <a:solidFill>
                          <a:srgbClr val="FFFFFF"/>
                        </a:solidFill>
                        <a:ln w="9525">
                          <a:solidFill>
                            <a:srgbClr val="000000"/>
                          </a:solidFill>
                          <a:miter lim="200000"/>
                        </a:ln>
                      </wps:spPr>
                      <wps:txbx>
                        <w:txbxContent>
                          <w:p w14:paraId="4CDC8B71"/>
                          <w:p w14:paraId="03424BD1"/>
                          <w:p w14:paraId="3E5B9126"/>
                          <w:p w14:paraId="08DF9791"/>
                          <w:p w14:paraId="7ADDCB45">
                            <w:pPr>
                              <w:jc w:val="center"/>
                              <w:rPr>
                                <w:rFonts w:hAnsi="宋体"/>
                              </w:rPr>
                            </w:pPr>
                            <w:r>
                              <w:rPr>
                                <w:rFonts w:hint="eastAsia" w:hAnsi="宋体"/>
                              </w:rPr>
                              <w:t>法定代表人身份证反面</w:t>
                            </w:r>
                          </w:p>
                        </w:txbxContent>
                      </wps:txbx>
                      <wps:bodyPr rot="0" vert="horz" wrap="square" lIns="91440" tIns="45720" rIns="91440" bIns="45720" anchor="t" anchorCtr="0" upright="1"/>
                    </wps:wsp>
                  </a:graphicData>
                </a:graphic>
              </wp:anchor>
            </w:drawing>
          </mc:Choice>
          <mc:Fallback>
            <w:pict>
              <v:rect id="文本框 4" o:spid="_x0000_s1026" o:spt="1" style="position:absolute;left:0pt;margin-left:265.1pt;margin-top:5.5pt;height:138.75pt;width:219.75pt;z-index:251664384;mso-width-relative:page;mso-height-relative:page;" fillcolor="#FFFFFF" filled="t" stroked="t" coordsize="21600,21600" o:gfxdata="UEsDBAoAAAAAAIdO4kAAAAAAAAAAAAAAAAAEAAAAZHJzL1BLAwQUAAAACACHTuJAENsewNkAAAAK&#10;AQAADwAAAGRycy9kb3ducmV2LnhtbE2Py07DMBBF90j8gzVI7KidoJY0jVMJEBtUpSKgrt3YTSzi&#10;sRW7D/6eYUWXo3t059xqfXEjO5kpWo8SspkAZrDz2mIv4evz7aEAFpNCrUaPRsKPibCub28qVWp/&#10;xg9zalPPqARjqSQMKYWS89gNxqk488EgZQc/OZXonHquJ3WmcjfyXIgFd8oifRhUMC+D6b7bo5Ow&#10;CyiyTRNS077n283z1u5eGyvl/V0mVsCSuaR/GP70SR1qctr7I+rIRgnzR5ETSkFGmwhYLpZPwPYS&#10;8qKYA68rfj2h/gVQSwMEFAAAAAgAh07iQPCt1QgxAgAAbQQAAA4AAABkcnMvZTJvRG9jLnhtbK1U&#10;zW4TMRC+I/EOlu9kf5SkTdRNhRIFIRWoVHgAx+vNWviPsZNNeQB4A05cuPNceQ7G3m0bCkI94IM1&#10;szP+Zuabmb24PGhF9gK8tKaixSinRBhua2m2Ff3wfv3inBIfmKmZskZU9FZ4erl4/uyic3NR2taq&#10;WgBBEOPnnatoG4KbZ5nnrdDMj6wTBo2NBc0CqrDNamAdomuVlXk+zToLtQPLhff4ddUb6YAITwG0&#10;TSO5WFm+08KEHhWEYgFL8q10ni5Stk0jeHjXNF4EoiqKlYZ0YxCUN/HOFhdsvgXmWsmHFNhTUnhU&#10;k2bSYNB7qBULjOxA/gGlJQfrbRNG3OqsLyQxglUU+SNublrmRKoFqfbunnT//2D52/01EFlXtMwn&#10;Z7P8/HxaUGKYxs4fv309fv95/PGFjCNPnfNzdL9x1xAr9e7K8o+eGLtsmdmKlwC2awWrMbsi+me/&#10;PYiKx6dk072xNaKzXbCJskMDOgIiGeSQOnN73xlxCITjxzKmVk4o4WgrzqZlgUqMweZ3zx348EpY&#10;TaJQUcDWJ3i2v/Khd71zSelbJeu1VCopsN0sFZA9wzFZpzOg+1M3ZUhX0dkEY/8bIk/nbxBaBtwe&#10;JXUkPJ7BSZmBsMhRz3U4bA4D7Rtb3yJ1YPv5xe1FobXwmZIOZ7ei/tOOgaBEvTZI/6wYj+OwJ2U8&#10;OStRgVPL5tTCDEeoigZKenEZ+gXZOZDbFiM9tBOnMJE+bEwc81M91fDwl1j8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BDbHsDZAAAACgEAAA8AAAAAAAAAAQAgAAAAIgAAAGRycy9kb3ducmV2Lnht&#10;bFBLAQIUABQAAAAIAIdO4kDwrdUIMQIAAG0EAAAOAAAAAAAAAAEAIAAAACgBAABkcnMvZTJvRG9j&#10;LnhtbFBLBQYAAAAABgAGAFkBAADLBQAAAAA=&#10;">
                <v:fill on="t" focussize="0,0"/>
                <v:stroke color="#000000" miterlimit="2" joinstyle="miter"/>
                <v:imagedata o:title=""/>
                <o:lock v:ext="edit" aspectratio="f"/>
                <v:textbox>
                  <w:txbxContent>
                    <w:p w14:paraId="4CDC8B71"/>
                    <w:p w14:paraId="03424BD1"/>
                    <w:p w14:paraId="3E5B9126"/>
                    <w:p w14:paraId="08DF9791"/>
                    <w:p w14:paraId="7ADDCB45">
                      <w:pPr>
                        <w:jc w:val="center"/>
                        <w:rPr>
                          <w:rFonts w:hAnsi="宋体"/>
                        </w:rPr>
                      </w:pPr>
                      <w:r>
                        <w:rPr>
                          <w:rFonts w:hint="eastAsia" w:hAnsi="宋体"/>
                        </w:rPr>
                        <w:t>法定代表人身份证反面</w:t>
                      </w:r>
                    </w:p>
                  </w:txbxContent>
                </v:textbox>
              </v:rect>
            </w:pict>
          </mc:Fallback>
        </mc:AlternateContent>
      </w:r>
      <w:r>
        <w:rPr>
          <w:rFonts w:hint="eastAsia" w:ascii="宋体" w:hAnsi="宋体" w:eastAsia="宋体" w:cs="宋体"/>
          <w:color w:val="auto"/>
          <w:szCs w:val="21"/>
          <w:highlight w:val="none"/>
        </w:rPr>
        <mc:AlternateContent>
          <mc:Choice Requires="wps">
            <w:drawing>
              <wp:anchor distT="0" distB="0" distL="114300" distR="114300" simplePos="0" relativeHeight="251662336" behindDoc="0" locked="0" layoutInCell="1" allowOverlap="1">
                <wp:simplePos x="0" y="0"/>
                <wp:positionH relativeFrom="column">
                  <wp:posOffset>309245</wp:posOffset>
                </wp:positionH>
                <wp:positionV relativeFrom="paragraph">
                  <wp:posOffset>69850</wp:posOffset>
                </wp:positionV>
                <wp:extent cx="2790825" cy="1762125"/>
                <wp:effectExtent l="9525" t="9525" r="9525" b="9525"/>
                <wp:wrapNone/>
                <wp:docPr id="766028398" name="文本框 3"/>
                <wp:cNvGraphicFramePr/>
                <a:graphic xmlns:a="http://schemas.openxmlformats.org/drawingml/2006/main">
                  <a:graphicData uri="http://schemas.microsoft.com/office/word/2010/wordprocessingShape">
                    <wps:wsp>
                      <wps:cNvSpPr>
                        <a:spLocks noChangeArrowheads="1"/>
                      </wps:cNvSpPr>
                      <wps:spPr bwMode="auto">
                        <a:xfrm>
                          <a:off x="0" y="0"/>
                          <a:ext cx="2790825" cy="1762125"/>
                        </a:xfrm>
                        <a:prstGeom prst="rect">
                          <a:avLst/>
                        </a:prstGeom>
                        <a:solidFill>
                          <a:srgbClr val="FFFFFF"/>
                        </a:solidFill>
                        <a:ln w="9525">
                          <a:solidFill>
                            <a:srgbClr val="000000"/>
                          </a:solidFill>
                          <a:miter lim="200000"/>
                        </a:ln>
                      </wps:spPr>
                      <wps:txbx>
                        <w:txbxContent>
                          <w:p w14:paraId="2D51FA9D"/>
                          <w:p w14:paraId="05218066"/>
                          <w:p w14:paraId="02E0A375"/>
                          <w:p w14:paraId="4A4CB6EA"/>
                          <w:p w14:paraId="1DC5AE95">
                            <w:pPr>
                              <w:jc w:val="center"/>
                              <w:rPr>
                                <w:rFonts w:hAnsi="宋体"/>
                              </w:rPr>
                            </w:pPr>
                            <w:r>
                              <w:rPr>
                                <w:rFonts w:hint="eastAsia" w:hAnsi="宋体"/>
                              </w:rPr>
                              <w:t>法定代表人身份证正面</w:t>
                            </w:r>
                          </w:p>
                        </w:txbxContent>
                      </wps:txbx>
                      <wps:bodyPr rot="0" vert="horz" wrap="square" lIns="91440" tIns="45720" rIns="91440" bIns="45720" anchor="t" anchorCtr="0" upright="1"/>
                    </wps:wsp>
                  </a:graphicData>
                </a:graphic>
              </wp:anchor>
            </w:drawing>
          </mc:Choice>
          <mc:Fallback>
            <w:pict>
              <v:rect id="文本框 3" o:spid="_x0000_s1026" o:spt="1" style="position:absolute;left:0pt;margin-left:24.35pt;margin-top:5.5pt;height:138.75pt;width:219.75pt;z-index:251662336;mso-width-relative:page;mso-height-relative:page;" fillcolor="#FFFFFF" filled="t" stroked="t" coordsize="21600,21600" o:gfxdata="UEsDBAoAAAAAAIdO4kAAAAAAAAAAAAAAAAAEAAAAZHJzL1BLAwQUAAAACACHTuJA1Mqur9cAAAAJ&#10;AQAADwAAAGRycy9kb3ducmV2LnhtbE2PzU7DMBCE70i8g7VI3KidqICVxqkEiAuqUhFQz27sJhbx&#10;2ordH96e5QTHnRnNflOvL35iJzsnF1BBsRDALPbBOBwUfH683klgKWs0egpoFXzbBOvm+qrWlQln&#10;fLenLg+MSjBVWsGYc6w4T/1ovU6LEC2Sdwiz15nOeeBm1mcq9xMvhXjgXjukD6OO9nm0/Vd39Ap2&#10;EUWxaWNuu7dyu3naut1L65S6vSnECli2l/wXhl98QoeGmPbhiCaxScFSPlKS9IImkb+UsgS2V1BK&#10;eQ+8qfn/Bc0PUEsDBBQAAAAIAIdO4kCs8DzfLwIAAGwEAAAOAAAAZHJzL2Uyb0RvYy54bWytVM2O&#10;0zAQviPxDpbvNGm2/2q6Qq2KkBZYaeEBHMdpLPzH2G1aHgDegBMX7jxXn4OJ0+2WBaE9kIPl8Yy/&#10;me+bcebXe63IToCX1uS030spEYbbUppNTj+8X7+YUOIDMyVT1oicHoSn14vnz+aNm4nM1laVAgiC&#10;GD9rXE7rENwsSTyvhWa+Z50w6KwsaBbQhE1SAmsQXaskS9NR0lgoHVguvMfTVeekJ0R4CqCtKsnF&#10;yvKtFiZ0qCAUC0jJ19J5uojVVpXg4V1VeRGIyikyDXHFJLgv2jVZzNlsA8zVkp9KYE8p4REnzaTB&#10;pGeoFQuMbEH+AaUlB+ttFXrc6qQjEhVBFv30kTZ3NXMickGpvTuL7v8fLH+7uwUiy5yOR6M0m1xN&#10;sf2GaWz88dvX4/efxx9fyFUrU+P8DKPv3C20RL27sfyjJ8Yua2Y24iWAbWrBSiyu38Ynv11oDY9X&#10;SdG8sSWis22wUbF9BboFRC3IPjbmcG6M2AfC8TAbT9NJNqSEo68/HmV9NNocbHZ/3YEPr4TVpN3k&#10;FLDzEZ7tbnzoQu9DYvlWyXItlYoGbIqlArJjOCXr+J3Q/WWYMqTJ6XSIuf8NkcbvbxBaBnw8Smrk&#10;dBmkzEmwVqNO67Av9ifZC1seUDqw3fji48VNbeEzJQ2Obk79py0DQYl6bVD+aX8waGc9GoPhOEMD&#10;Lj3FpYcZjlA5DZR022Xo3sfWgdzUmOmhnTiEUfTTg2mn/NKOHB5+Eot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1Mqur9cAAAAJAQAADwAAAAAAAAABACAAAAAiAAAAZHJzL2Rvd25yZXYueG1sUEsB&#10;AhQAFAAAAAgAh07iQKzwPN8vAgAAbAQAAA4AAAAAAAAAAQAgAAAAJgEAAGRycy9lMm9Eb2MueG1s&#10;UEsFBgAAAAAGAAYAWQEAAMcFAAAAAA==&#10;">
                <v:fill on="t" focussize="0,0"/>
                <v:stroke color="#000000" miterlimit="2" joinstyle="miter"/>
                <v:imagedata o:title=""/>
                <o:lock v:ext="edit" aspectratio="f"/>
                <v:textbox>
                  <w:txbxContent>
                    <w:p w14:paraId="2D51FA9D"/>
                    <w:p w14:paraId="05218066"/>
                    <w:p w14:paraId="02E0A375"/>
                    <w:p w14:paraId="4A4CB6EA"/>
                    <w:p w14:paraId="1DC5AE95">
                      <w:pPr>
                        <w:jc w:val="center"/>
                        <w:rPr>
                          <w:rFonts w:hAnsi="宋体"/>
                        </w:rPr>
                      </w:pPr>
                      <w:r>
                        <w:rPr>
                          <w:rFonts w:hint="eastAsia" w:hAnsi="宋体"/>
                        </w:rPr>
                        <w:t>法定代表人身份证正面</w:t>
                      </w:r>
                    </w:p>
                  </w:txbxContent>
                </v:textbox>
              </v:rect>
            </w:pict>
          </mc:Fallback>
        </mc:AlternateContent>
      </w:r>
    </w:p>
    <w:p w14:paraId="09BC482D">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color w:val="auto"/>
          <w:szCs w:val="24"/>
          <w:highlight w:val="none"/>
        </w:rPr>
      </w:pPr>
    </w:p>
    <w:p w14:paraId="457B8DD0">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color w:val="auto"/>
          <w:szCs w:val="24"/>
          <w:highlight w:val="none"/>
        </w:rPr>
      </w:pPr>
    </w:p>
    <w:p w14:paraId="6B1094CB">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color w:val="auto"/>
          <w:szCs w:val="24"/>
          <w:highlight w:val="none"/>
        </w:rPr>
      </w:pPr>
    </w:p>
    <w:p w14:paraId="6DF3C88A">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color w:val="auto"/>
          <w:szCs w:val="24"/>
          <w:highlight w:val="none"/>
        </w:rPr>
      </w:pPr>
    </w:p>
    <w:p w14:paraId="19A4C80F">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color w:val="auto"/>
          <w:szCs w:val="24"/>
          <w:highlight w:val="none"/>
        </w:rPr>
      </w:pPr>
    </w:p>
    <w:p w14:paraId="01D91B06">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color w:val="auto"/>
          <w:szCs w:val="24"/>
          <w:highlight w:val="none"/>
        </w:rPr>
      </w:pPr>
    </w:p>
    <w:p w14:paraId="58406188">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color w:val="auto"/>
          <w:szCs w:val="24"/>
          <w:highlight w:val="none"/>
        </w:rPr>
      </w:pPr>
    </w:p>
    <w:p w14:paraId="6BA6882F">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color w:val="auto"/>
          <w:szCs w:val="24"/>
          <w:highlight w:val="none"/>
        </w:rPr>
      </w:pPr>
    </w:p>
    <w:p w14:paraId="393E34C7">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color w:val="auto"/>
          <w:szCs w:val="24"/>
          <w:highlight w:val="none"/>
        </w:rPr>
      </w:pPr>
      <w:r>
        <w:rPr>
          <w:rFonts w:hint="eastAsia" w:ascii="宋体" w:hAnsi="宋体" w:eastAsia="宋体" w:cs="宋体"/>
          <w:color w:val="auto"/>
          <w:szCs w:val="21"/>
          <w:highlight w:val="none"/>
        </w:rPr>
        <mc:AlternateContent>
          <mc:Choice Requires="wps">
            <w:drawing>
              <wp:anchor distT="0" distB="0" distL="114300" distR="114300" simplePos="0" relativeHeight="251665408" behindDoc="0" locked="0" layoutInCell="1" allowOverlap="1">
                <wp:simplePos x="0" y="0"/>
                <wp:positionH relativeFrom="column">
                  <wp:posOffset>3366770</wp:posOffset>
                </wp:positionH>
                <wp:positionV relativeFrom="paragraph">
                  <wp:posOffset>102235</wp:posOffset>
                </wp:positionV>
                <wp:extent cx="2743200" cy="1771650"/>
                <wp:effectExtent l="9525" t="13970" r="9525" b="5080"/>
                <wp:wrapNone/>
                <wp:docPr id="1357591365" name="文本框 2"/>
                <wp:cNvGraphicFramePr/>
                <a:graphic xmlns:a="http://schemas.openxmlformats.org/drawingml/2006/main">
                  <a:graphicData uri="http://schemas.microsoft.com/office/word/2010/wordprocessingShape">
                    <wps:wsp>
                      <wps:cNvSpPr>
                        <a:spLocks noChangeArrowheads="1"/>
                      </wps:cNvSpPr>
                      <wps:spPr bwMode="auto">
                        <a:xfrm>
                          <a:off x="0" y="0"/>
                          <a:ext cx="2743200" cy="1771650"/>
                        </a:xfrm>
                        <a:prstGeom prst="rect">
                          <a:avLst/>
                        </a:prstGeom>
                        <a:solidFill>
                          <a:srgbClr val="FFFFFF"/>
                        </a:solidFill>
                        <a:ln w="9525">
                          <a:solidFill>
                            <a:srgbClr val="000000"/>
                          </a:solidFill>
                          <a:miter lim="200000"/>
                        </a:ln>
                      </wps:spPr>
                      <wps:txbx>
                        <w:txbxContent>
                          <w:p w14:paraId="16B54215"/>
                          <w:p w14:paraId="447A2AD8">
                            <w:pPr>
                              <w:jc w:val="center"/>
                              <w:rPr>
                                <w:rFonts w:hAnsi="宋体"/>
                                <w:color w:val="FF0000"/>
                              </w:rPr>
                            </w:pPr>
                          </w:p>
                          <w:p w14:paraId="1FBFD0BA">
                            <w:pPr>
                              <w:jc w:val="center"/>
                              <w:rPr>
                                <w:rFonts w:hAnsi="宋体"/>
                                <w:color w:val="FF0000"/>
                              </w:rPr>
                            </w:pPr>
                          </w:p>
                          <w:p w14:paraId="29D92FCB">
                            <w:pPr>
                              <w:jc w:val="center"/>
                              <w:rPr>
                                <w:rFonts w:hAnsi="宋体"/>
                                <w:color w:val="FF0000"/>
                              </w:rPr>
                            </w:pPr>
                          </w:p>
                          <w:p w14:paraId="32E95A7F">
                            <w:pPr>
                              <w:jc w:val="center"/>
                            </w:pPr>
                            <w:r>
                              <w:rPr>
                                <w:rFonts w:hint="eastAsia" w:hAnsi="宋体"/>
                              </w:rPr>
                              <w:t>被授权人身份证反面</w:t>
                            </w:r>
                          </w:p>
                          <w:p w14:paraId="0C16C30B"/>
                          <w:p w14:paraId="660E8A39"/>
                        </w:txbxContent>
                      </wps:txbx>
                      <wps:bodyPr rot="0" vert="horz" wrap="square" lIns="91440" tIns="45720" rIns="91440" bIns="45720" anchor="t" anchorCtr="0" upright="1"/>
                    </wps:wsp>
                  </a:graphicData>
                </a:graphic>
              </wp:anchor>
            </w:drawing>
          </mc:Choice>
          <mc:Fallback>
            <w:pict>
              <v:rect id="文本框 2" o:spid="_x0000_s1026" o:spt="1" style="position:absolute;left:0pt;margin-left:265.1pt;margin-top:8.05pt;height:139.5pt;width:216pt;z-index:251665408;mso-width-relative:page;mso-height-relative:page;" fillcolor="#FFFFFF" filled="t" stroked="t" coordsize="21600,21600" o:gfxdata="UEsDBAoAAAAAAIdO4kAAAAAAAAAAAAAAAAAEAAAAZHJzL1BLAwQUAAAACACHTuJAVR7jmtgAAAAK&#10;AQAADwAAAGRycy9kb3ducmV2LnhtbE2Py07DMBBF90j8gzVI7KgfqBENcSoBYoOqVA2oazc2SUQ8&#10;tmL3wd8zrGA5c4/unKnWFz+xk5vTGFCDXAhgDrtgR+w1fLy/3j0AS9mgNVNAp+HbJVjX11eVKW04&#10;486d2twzKsFUGg1DzrHkPHWD8yYtQnRI2WeYvck0zj23szlTuZ+4EqLg3oxIFwYT3fPguq/26DXs&#10;Iwq5aWJu2je13Txtx/1LM2p9eyPFI7DsLvkPhl99UoeanA7hiDaxScPyXihCKSgkMAJWhaLFQYNa&#10;LSXwuuL/X6h/AFBLAwQUAAAACACHTuJAPvKQEjgCAABtBAAADgAAAGRycy9lMm9Eb2MueG1srVTN&#10;jtMwEL4j8Q6W7zRN27Q0arpCrYqQFlhp4QFcx2ks/MfYbVoeAN5gT1y481x9DiZOt9tdOOyBHCyP&#10;Z/x5vm9mMrvaa0V2Ary0pqBpr0+JMNyW0mwK+vnT6tVrSnxgpmTKGlHQg/D0av7yxaxxuRjY2qpS&#10;AEEQ4/PGFbQOweVJ4nktNPM964RBZ2VBs4AmbJISWIPoWiWDfn+cNBZKB5YL7/F02TnpCRGeA2ir&#10;SnKxtHyrhQkdKgjFAlLytXSezmO2VSV4+FhVXgSiCopMQ1zxEdyv2zWZz1i+AeZqyU8psOek8IST&#10;ZtLgo2eoJQuMbEH+BaUlB+ttFXrc6qQjEhVBFmn/iTa3NXMickGpvTuL7v8fLP+wuwEiS+yEYTbJ&#10;pulwnFFimMbKH+9+HH/+Pv76TgatTo3zOYbfuhtomXp3bfkXT4xd1MxsxBsA29SClZhd2sYnjy60&#10;hserZN28tyWis22wUbJ9BboFRDHIPlbmcK6M2AfC8XAwGQ2xeSjh6Esnk3ScxdolLL+/7sCHt8Jq&#10;0m4KClj6CM921z606bD8PiSmb5UsV1KpaMBmvVBAdgzbZBW/yABZXoYpQ5qCTrNBFpEf+fwlRD9+&#10;/4LQMuD0KKmR02WQMifBWo06rcN+vT/JvrblAaUD2/UvTi9uagvfKGmwdwvqv24ZCErUO4PyT9PR&#10;qG32aIyyyQANuPSsLz3McIQqaKCk2y5CNyBbB3JT40sP5cQujEqeJqZt80s7cnj4S8z/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FUe45rYAAAACgEAAA8AAAAAAAAAAQAgAAAAIgAAAGRycy9kb3du&#10;cmV2LnhtbFBLAQIUABQAAAAIAIdO4kA+8pASOAIAAG0EAAAOAAAAAAAAAAEAIAAAACcBAABkcnMv&#10;ZTJvRG9jLnhtbFBLBQYAAAAABgAGAFkBAADRBQAAAAA=&#10;">
                <v:fill on="t" focussize="0,0"/>
                <v:stroke color="#000000" miterlimit="2" joinstyle="miter"/>
                <v:imagedata o:title=""/>
                <o:lock v:ext="edit" aspectratio="f"/>
                <v:textbox>
                  <w:txbxContent>
                    <w:p w14:paraId="16B54215"/>
                    <w:p w14:paraId="447A2AD8">
                      <w:pPr>
                        <w:jc w:val="center"/>
                        <w:rPr>
                          <w:rFonts w:hAnsi="宋体"/>
                          <w:color w:val="FF0000"/>
                        </w:rPr>
                      </w:pPr>
                    </w:p>
                    <w:p w14:paraId="1FBFD0BA">
                      <w:pPr>
                        <w:jc w:val="center"/>
                        <w:rPr>
                          <w:rFonts w:hAnsi="宋体"/>
                          <w:color w:val="FF0000"/>
                        </w:rPr>
                      </w:pPr>
                    </w:p>
                    <w:p w14:paraId="29D92FCB">
                      <w:pPr>
                        <w:jc w:val="center"/>
                        <w:rPr>
                          <w:rFonts w:hAnsi="宋体"/>
                          <w:color w:val="FF0000"/>
                        </w:rPr>
                      </w:pPr>
                    </w:p>
                    <w:p w14:paraId="32E95A7F">
                      <w:pPr>
                        <w:jc w:val="center"/>
                      </w:pPr>
                      <w:r>
                        <w:rPr>
                          <w:rFonts w:hint="eastAsia" w:hAnsi="宋体"/>
                        </w:rPr>
                        <w:t>被授权人身份证反面</w:t>
                      </w:r>
                    </w:p>
                    <w:p w14:paraId="0C16C30B"/>
                    <w:p w14:paraId="660E8A39"/>
                  </w:txbxContent>
                </v:textbox>
              </v:rect>
            </w:pict>
          </mc:Fallback>
        </mc:AlternateContent>
      </w:r>
      <w:r>
        <w:rPr>
          <w:rFonts w:hint="eastAsia" w:ascii="宋体" w:hAnsi="宋体" w:eastAsia="宋体" w:cs="宋体"/>
          <w:color w:val="auto"/>
          <w:szCs w:val="21"/>
          <w:highlight w:val="none"/>
        </w:rPr>
        <mc:AlternateContent>
          <mc:Choice Requires="wps">
            <w:drawing>
              <wp:anchor distT="0" distB="0" distL="114300" distR="114300" simplePos="0" relativeHeight="251663360" behindDoc="0" locked="0" layoutInCell="1" allowOverlap="1">
                <wp:simplePos x="0" y="0"/>
                <wp:positionH relativeFrom="column">
                  <wp:posOffset>309245</wp:posOffset>
                </wp:positionH>
                <wp:positionV relativeFrom="paragraph">
                  <wp:posOffset>102235</wp:posOffset>
                </wp:positionV>
                <wp:extent cx="2743200" cy="1771650"/>
                <wp:effectExtent l="9525" t="13970" r="9525" b="5080"/>
                <wp:wrapNone/>
                <wp:docPr id="375475963" name="文本框 1"/>
                <wp:cNvGraphicFramePr/>
                <a:graphic xmlns:a="http://schemas.openxmlformats.org/drawingml/2006/main">
                  <a:graphicData uri="http://schemas.microsoft.com/office/word/2010/wordprocessingShape">
                    <wps:wsp>
                      <wps:cNvSpPr>
                        <a:spLocks noChangeArrowheads="1"/>
                      </wps:cNvSpPr>
                      <wps:spPr bwMode="auto">
                        <a:xfrm>
                          <a:off x="0" y="0"/>
                          <a:ext cx="2743200" cy="1771650"/>
                        </a:xfrm>
                        <a:prstGeom prst="rect">
                          <a:avLst/>
                        </a:prstGeom>
                        <a:solidFill>
                          <a:srgbClr val="FFFFFF"/>
                        </a:solidFill>
                        <a:ln w="9525">
                          <a:solidFill>
                            <a:srgbClr val="000000"/>
                          </a:solidFill>
                          <a:miter lim="200000"/>
                        </a:ln>
                      </wps:spPr>
                      <wps:txbx>
                        <w:txbxContent>
                          <w:p w14:paraId="084CCBF9"/>
                          <w:p w14:paraId="5EE32502">
                            <w:pPr>
                              <w:jc w:val="center"/>
                              <w:rPr>
                                <w:rFonts w:hAnsi="宋体"/>
                                <w:color w:val="FF0000"/>
                              </w:rPr>
                            </w:pPr>
                          </w:p>
                          <w:p w14:paraId="7620F368">
                            <w:pPr>
                              <w:jc w:val="center"/>
                              <w:rPr>
                                <w:rFonts w:hAnsi="宋体"/>
                                <w:color w:val="FF0000"/>
                              </w:rPr>
                            </w:pPr>
                          </w:p>
                          <w:p w14:paraId="360B377A">
                            <w:pPr>
                              <w:jc w:val="center"/>
                              <w:rPr>
                                <w:rFonts w:hAnsi="宋体"/>
                                <w:color w:val="FF0000"/>
                              </w:rPr>
                            </w:pPr>
                          </w:p>
                          <w:p w14:paraId="2DA9E704">
                            <w:pPr>
                              <w:jc w:val="center"/>
                            </w:pPr>
                            <w:r>
                              <w:rPr>
                                <w:rFonts w:hint="eastAsia" w:hAnsi="宋体"/>
                              </w:rPr>
                              <w:t>被授权人身份证正面</w:t>
                            </w:r>
                          </w:p>
                          <w:p w14:paraId="5D7C27F6"/>
                          <w:p w14:paraId="3412CB92"/>
                        </w:txbxContent>
                      </wps:txbx>
                      <wps:bodyPr rot="0" vert="horz" wrap="square" lIns="91440" tIns="45720" rIns="91440" bIns="45720" anchor="t" anchorCtr="0" upright="1"/>
                    </wps:wsp>
                  </a:graphicData>
                </a:graphic>
              </wp:anchor>
            </w:drawing>
          </mc:Choice>
          <mc:Fallback>
            <w:pict>
              <v:rect id="文本框 1" o:spid="_x0000_s1026" o:spt="1" style="position:absolute;left:0pt;margin-left:24.35pt;margin-top:8.05pt;height:139.5pt;width:216pt;z-index:251663360;mso-width-relative:page;mso-height-relative:page;" fillcolor="#FFFFFF" filled="t" stroked="t" coordsize="21600,21600" o:gfxdata="UEsDBAoAAAAAAIdO4kAAAAAAAAAAAAAAAAAEAAAAZHJzL1BLAwQUAAAACACHTuJA/WRbUNcAAAAJ&#10;AQAADwAAAGRycy9kb3ducmV2LnhtbE2PzU7DMBCE70i8g7VI3KjtqJQQ4lQCxAVVqQioZzc2iUW8&#10;tmL3h7dnOcFxZ0az39Trs5/Y0c7JBVQgFwKYxT4Yh4OCj/eXmxJYyhqNngJaBd82wbq5vKh1ZcIJ&#10;3+yxywOjEkyVVjDmHCvOUz9ar9MiRIvkfYbZ60znPHAz6xOV+4kXQqy41w7pw6ijfRpt/9UdvIJd&#10;RCE3bcxt91psN49bt3tunVLXV1I8AMv2nP/C8ItP6NAQ0z4c0CQ2KViWd5QkfSWBkb8sBQl7BcX9&#10;rQTe1Pz/guYHUEsDBBQAAAAIAIdO4kAMB/NDNgIAAGwEAAAOAAAAZHJzL2Uyb0RvYy54bWytVM2O&#10;0zAQviPxDpbvNE1/adV0hVoVIS2w0sIDuI6TWPiPsdt0eQB4gz1x4c5z9TmYOG03u3DYAzlYHs/M&#10;5/m+GWdxddCK7AV4aU1G016fEmG4zaUpM/r50+bVa0p8YCZnyhqR0Tvh6dXy5YtF7eZiYCurcgEE&#10;QYyf1y6jVQhuniSeV0Iz37NOGHQWFjQLaEKZ5MBqRNcqGfT7k6S2kDuwXHiPp+vWSU+I8BxAWxSS&#10;i7XlOy1MaFFBKBaQkq+k83QZqy0KwcPHovAiEJVRZBriipfgftusyXLB5iUwV0l+KoE9p4QnnDST&#10;Bi+9QK1ZYGQH8i8oLTlYb4vQ41YnLZGoCLJI+0+0ua2YE5ELSu3dRXT//2D5h/0NEJlndDgdj6bj&#10;2WRIiWEaG3+8/3H8+fv46ztJG5lq5+cYfetuoCHq3bXlXzwxdlUxU4o3ALauBMuxuBifPEpoDI+p&#10;ZFu/tzmis12wUbFDAboBRC3IITbm7tIYcQiE4+FgOhri7FDC0ZdOp+lkHFuXsPk53YEPb4XVpNlk&#10;FLDzEZ7tr33A8jH0HBLLt0rmG6lUNKDcrhSQPcMp2cSvYYwpvhumDKkzOhsPxhH5kc93Ifrx+xeE&#10;lgEfj5IaOXWDlMHrzhq1WofD9nCSfWvzO5QObDu++HhxU1n4RkmNo5tR/3XHQFCi3hmUf5aORs2s&#10;R2M0ng7QgK5n2/UwwxEqo4GSdrsK7fvYOZBlhTc9tBOHMMpyejDNlHftyOHhJ7H8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P1kW1DXAAAACQEAAA8AAAAAAAAAAQAgAAAAIgAAAGRycy9kb3ducmV2&#10;LnhtbFBLAQIUABQAAAAIAIdO4kAMB/NDNgIAAGwEAAAOAAAAAAAAAAEAIAAAACYBAABkcnMvZTJv&#10;RG9jLnhtbFBLBQYAAAAABgAGAFkBAADOBQAAAAA=&#10;">
                <v:fill on="t" focussize="0,0"/>
                <v:stroke color="#000000" miterlimit="2" joinstyle="miter"/>
                <v:imagedata o:title=""/>
                <o:lock v:ext="edit" aspectratio="f"/>
                <v:textbox>
                  <w:txbxContent>
                    <w:p w14:paraId="084CCBF9"/>
                    <w:p w14:paraId="5EE32502">
                      <w:pPr>
                        <w:jc w:val="center"/>
                        <w:rPr>
                          <w:rFonts w:hAnsi="宋体"/>
                          <w:color w:val="FF0000"/>
                        </w:rPr>
                      </w:pPr>
                    </w:p>
                    <w:p w14:paraId="7620F368">
                      <w:pPr>
                        <w:jc w:val="center"/>
                        <w:rPr>
                          <w:rFonts w:hAnsi="宋体"/>
                          <w:color w:val="FF0000"/>
                        </w:rPr>
                      </w:pPr>
                    </w:p>
                    <w:p w14:paraId="360B377A">
                      <w:pPr>
                        <w:jc w:val="center"/>
                        <w:rPr>
                          <w:rFonts w:hAnsi="宋体"/>
                          <w:color w:val="FF0000"/>
                        </w:rPr>
                      </w:pPr>
                    </w:p>
                    <w:p w14:paraId="2DA9E704">
                      <w:pPr>
                        <w:jc w:val="center"/>
                      </w:pPr>
                      <w:r>
                        <w:rPr>
                          <w:rFonts w:hint="eastAsia" w:hAnsi="宋体"/>
                        </w:rPr>
                        <w:t>被授权人身份证正面</w:t>
                      </w:r>
                    </w:p>
                    <w:p w14:paraId="5D7C27F6"/>
                    <w:p w14:paraId="3412CB92"/>
                  </w:txbxContent>
                </v:textbox>
              </v:rect>
            </w:pict>
          </mc:Fallback>
        </mc:AlternateContent>
      </w:r>
    </w:p>
    <w:p w14:paraId="35361DBB">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color w:val="auto"/>
          <w:szCs w:val="24"/>
          <w:highlight w:val="none"/>
        </w:rPr>
      </w:pPr>
    </w:p>
    <w:p w14:paraId="1552F8CB">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color w:val="auto"/>
          <w:szCs w:val="24"/>
          <w:highlight w:val="none"/>
        </w:rPr>
      </w:pPr>
    </w:p>
    <w:p w14:paraId="1F5BEA18">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color w:val="auto"/>
          <w:szCs w:val="24"/>
          <w:highlight w:val="none"/>
        </w:rPr>
      </w:pPr>
    </w:p>
    <w:p w14:paraId="1E214AF9">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color w:val="auto"/>
          <w:szCs w:val="24"/>
          <w:highlight w:val="none"/>
        </w:rPr>
      </w:pPr>
    </w:p>
    <w:p w14:paraId="645EF896">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color w:val="auto"/>
          <w:szCs w:val="24"/>
          <w:highlight w:val="none"/>
        </w:rPr>
      </w:pPr>
    </w:p>
    <w:p w14:paraId="029D838A">
      <w:pPr>
        <w:tabs>
          <w:tab w:val="left" w:pos="567"/>
        </w:tabs>
        <w:autoSpaceDE w:val="0"/>
        <w:autoSpaceDN w:val="0"/>
        <w:adjustRightInd w:val="0"/>
        <w:spacing w:line="360" w:lineRule="auto"/>
        <w:jc w:val="left"/>
        <w:outlineLvl w:val="9"/>
        <w:rPr>
          <w:rFonts w:hint="eastAsia" w:ascii="宋体" w:hAnsi="宋体" w:eastAsia="宋体" w:cs="宋体"/>
          <w:b/>
          <w:color w:val="auto"/>
          <w:kern w:val="0"/>
          <w:sz w:val="30"/>
          <w:szCs w:val="30"/>
          <w:highlight w:val="none"/>
        </w:rPr>
      </w:pPr>
      <w:r>
        <w:rPr>
          <w:rFonts w:hint="eastAsia" w:ascii="宋体" w:hAnsi="宋体" w:eastAsia="宋体" w:cs="宋体"/>
          <w:b/>
          <w:color w:val="auto"/>
          <w:szCs w:val="24"/>
          <w:highlight w:val="none"/>
        </w:rPr>
        <w:t>注：上述所附身份证应在有效期限内。</w:t>
      </w:r>
    </w:p>
    <w:p w14:paraId="68B50519">
      <w:pPr>
        <w:tabs>
          <w:tab w:val="left" w:pos="567"/>
        </w:tabs>
        <w:autoSpaceDE w:val="0"/>
        <w:autoSpaceDN w:val="0"/>
        <w:adjustRightInd w:val="0"/>
        <w:spacing w:line="360" w:lineRule="auto"/>
        <w:jc w:val="left"/>
        <w:outlineLvl w:val="9"/>
        <w:rPr>
          <w:rFonts w:hint="eastAsia" w:ascii="宋体" w:hAnsi="宋体" w:eastAsia="宋体" w:cs="宋体"/>
          <w:b/>
          <w:color w:val="auto"/>
          <w:szCs w:val="24"/>
          <w:highlight w:val="none"/>
        </w:rPr>
        <w:sectPr>
          <w:footerReference r:id="rId8" w:type="first"/>
          <w:footerReference r:id="rId7" w:type="default"/>
          <w:pgSz w:w="12240" w:h="15840"/>
          <w:pgMar w:top="1191" w:right="1043" w:bottom="1191" w:left="1043" w:header="720" w:footer="720" w:gutter="0"/>
          <w:cols w:space="720" w:num="1"/>
          <w:titlePg/>
          <w:docGrid w:linePitch="326" w:charSpace="0"/>
        </w:sectPr>
      </w:pPr>
      <w:r>
        <w:rPr>
          <w:rFonts w:hint="eastAsia" w:ascii="宋体" w:hAnsi="宋体" w:eastAsia="宋体" w:cs="宋体"/>
          <w:b/>
          <w:color w:val="auto"/>
          <w:kern w:val="0"/>
          <w:sz w:val="30"/>
          <w:szCs w:val="30"/>
          <w:highlight w:val="none"/>
        </w:rPr>
        <w:br w:type="page"/>
      </w:r>
      <w:bookmarkEnd w:id="343"/>
      <w:bookmarkEnd w:id="344"/>
      <w:bookmarkEnd w:id="345"/>
      <w:bookmarkEnd w:id="376"/>
      <w:bookmarkEnd w:id="377"/>
      <w:bookmarkEnd w:id="378"/>
      <w:bookmarkEnd w:id="387"/>
    </w:p>
    <w:p w14:paraId="4991B6F4">
      <w:pPr>
        <w:widowControl/>
        <w:autoSpaceDE/>
        <w:autoSpaceDN/>
        <w:spacing w:before="120" w:after="120" w:line="360" w:lineRule="auto"/>
        <w:ind w:right="0" w:rightChars="0" w:firstLine="426" w:firstLineChars="202"/>
        <w:textAlignment w:val="auto"/>
        <w:outlineLvl w:val="9"/>
        <w:rPr>
          <w:rFonts w:hint="eastAsia" w:ascii="宋体" w:hAnsi="宋体" w:eastAsia="宋体" w:cs="宋体"/>
          <w:b/>
          <w:color w:val="auto"/>
          <w:szCs w:val="24"/>
          <w:highlight w:val="none"/>
          <w:lang w:eastAsia="zh-CN"/>
        </w:rPr>
      </w:pPr>
      <w:bookmarkStart w:id="406" w:name="_Toc8338"/>
      <w:bookmarkStart w:id="407" w:name="_Toc30070"/>
      <w:bookmarkStart w:id="408" w:name="_Toc1977730"/>
      <w:bookmarkStart w:id="409" w:name="_Toc104991880"/>
      <w:bookmarkStart w:id="410" w:name="_Toc140596933"/>
      <w:bookmarkStart w:id="411" w:name="_Toc142508373"/>
      <w:bookmarkStart w:id="412" w:name="_Toc94107214"/>
      <w:r>
        <w:rPr>
          <w:rFonts w:hint="eastAsia" w:ascii="宋体" w:hAnsi="宋体" w:eastAsia="宋体" w:cs="宋体"/>
          <w:b/>
          <w:color w:val="auto"/>
          <w:szCs w:val="24"/>
          <w:highlight w:val="none"/>
        </w:rPr>
        <w:t>（</w:t>
      </w:r>
      <w:r>
        <w:rPr>
          <w:rFonts w:hint="eastAsia" w:ascii="宋体" w:hAnsi="宋体" w:eastAsia="宋体" w:cs="宋体"/>
          <w:b/>
          <w:color w:val="auto"/>
          <w:szCs w:val="24"/>
          <w:highlight w:val="none"/>
          <w:lang w:val="en-US" w:eastAsia="zh-CN"/>
        </w:rPr>
        <w:t>3</w:t>
      </w:r>
      <w:r>
        <w:rPr>
          <w:rFonts w:hint="eastAsia" w:ascii="宋体" w:hAnsi="宋体" w:eastAsia="宋体" w:cs="宋体"/>
          <w:b/>
          <w:color w:val="auto"/>
          <w:szCs w:val="24"/>
          <w:highlight w:val="none"/>
        </w:rPr>
        <w:t>）法定</w:t>
      </w:r>
      <w:r>
        <w:rPr>
          <w:rFonts w:hint="eastAsia" w:ascii="宋体" w:hAnsi="宋体" w:eastAsia="宋体" w:cs="宋体"/>
          <w:b/>
          <w:color w:val="auto"/>
          <w:szCs w:val="24"/>
          <w:highlight w:val="none"/>
          <w:lang w:val="en-US" w:eastAsia="zh-CN"/>
        </w:rPr>
        <w:t>负责人身份证明书</w:t>
      </w:r>
      <w:r>
        <w:rPr>
          <w:rFonts w:hint="eastAsia" w:ascii="宋体" w:hAnsi="宋体" w:eastAsia="宋体" w:cs="宋体"/>
          <w:b/>
          <w:color w:val="auto"/>
          <w:szCs w:val="24"/>
          <w:highlight w:val="none"/>
        </w:rPr>
        <w:t>格式</w:t>
      </w:r>
      <w:r>
        <w:rPr>
          <w:rFonts w:hint="eastAsia" w:ascii="宋体" w:hAnsi="宋体" w:eastAsia="宋体" w:cs="宋体"/>
          <w:b/>
          <w:color w:val="auto"/>
          <w:szCs w:val="24"/>
          <w:highlight w:val="none"/>
          <w:lang w:eastAsia="zh-CN"/>
        </w:rPr>
        <w:t>（</w:t>
      </w:r>
      <w:r>
        <w:rPr>
          <w:rFonts w:hint="eastAsia" w:ascii="宋体" w:hAnsi="宋体" w:eastAsia="宋体" w:cs="宋体"/>
          <w:b/>
          <w:color w:val="auto"/>
          <w:szCs w:val="24"/>
          <w:highlight w:val="none"/>
          <w:lang w:val="en-US" w:eastAsia="zh-CN"/>
        </w:rPr>
        <w:t>以分支机构名义参与投标时提供</w:t>
      </w:r>
      <w:r>
        <w:rPr>
          <w:rFonts w:hint="eastAsia" w:ascii="宋体" w:hAnsi="宋体" w:eastAsia="宋体" w:cs="宋体"/>
          <w:b/>
          <w:color w:val="auto"/>
          <w:szCs w:val="24"/>
          <w:highlight w:val="none"/>
          <w:lang w:eastAsia="zh-CN"/>
        </w:rPr>
        <w:t>）</w:t>
      </w:r>
    </w:p>
    <w:p w14:paraId="43F8C540">
      <w:pPr>
        <w:spacing w:line="360" w:lineRule="auto"/>
        <w:jc w:val="center"/>
        <w:outlineLvl w:val="9"/>
        <w:rPr>
          <w:rFonts w:hint="eastAsia" w:ascii="宋体" w:hAnsi="宋体" w:eastAsia="宋体" w:cs="宋体"/>
          <w:b/>
          <w:bCs/>
          <w:color w:val="auto"/>
          <w:sz w:val="30"/>
          <w:szCs w:val="30"/>
          <w:highlight w:val="none"/>
        </w:rPr>
      </w:pPr>
      <w:r>
        <w:rPr>
          <w:rFonts w:hint="eastAsia" w:ascii="宋体" w:hAnsi="宋体" w:eastAsia="宋体" w:cs="宋体"/>
          <w:b/>
          <w:color w:val="auto"/>
          <w:sz w:val="30"/>
          <w:szCs w:val="30"/>
          <w:highlight w:val="none"/>
        </w:rPr>
        <w:t>法定负责人身份证明书</w:t>
      </w:r>
    </w:p>
    <w:p w14:paraId="4024A7B1">
      <w:pPr>
        <w:spacing w:line="360" w:lineRule="auto"/>
        <w:outlineLvl w:val="9"/>
        <w:rPr>
          <w:rFonts w:hint="eastAsia" w:ascii="宋体" w:hAnsi="宋体" w:eastAsia="宋体" w:cs="宋体"/>
          <w:color w:val="auto"/>
          <w:sz w:val="21"/>
          <w:szCs w:val="21"/>
          <w:highlight w:val="none"/>
          <w:u w:val="single"/>
        </w:rPr>
      </w:pPr>
    </w:p>
    <w:p w14:paraId="2461CF0F">
      <w:pPr>
        <w:autoSpaceDE/>
        <w:autoSpaceDN/>
        <w:adjustRightInd/>
        <w:spacing w:before="120" w:after="120" w:line="360" w:lineRule="auto"/>
        <w:ind w:firstLine="420" w:firstLineChars="200"/>
        <w:jc w:val="both"/>
        <w:outlineLvl w:val="9"/>
        <w:rPr>
          <w:rFonts w:hint="eastAsia" w:ascii="宋体" w:hAnsi="宋体" w:eastAsia="宋体" w:cs="宋体"/>
          <w:color w:val="auto"/>
          <w:kern w:val="2"/>
          <w:sz w:val="21"/>
          <w:highlight w:val="none"/>
        </w:rPr>
      </w:pPr>
      <w:r>
        <w:rPr>
          <w:rFonts w:hint="eastAsia" w:ascii="宋体" w:hAnsi="宋体" w:eastAsia="宋体" w:cs="宋体"/>
          <w:color w:val="auto"/>
          <w:kern w:val="2"/>
          <w:sz w:val="21"/>
          <w:highlight w:val="none"/>
          <w:u w:val="single"/>
        </w:rPr>
        <w:t xml:space="preserve">            </w:t>
      </w:r>
      <w:r>
        <w:rPr>
          <w:rFonts w:hint="eastAsia" w:ascii="宋体" w:hAnsi="宋体" w:eastAsia="宋体" w:cs="宋体"/>
          <w:color w:val="auto"/>
          <w:kern w:val="2"/>
          <w:sz w:val="21"/>
          <w:highlight w:val="none"/>
        </w:rPr>
        <w:t>先生／女士：现任我单位</w:t>
      </w:r>
      <w:r>
        <w:rPr>
          <w:rFonts w:hint="eastAsia" w:ascii="宋体" w:hAnsi="宋体" w:eastAsia="宋体" w:cs="宋体"/>
          <w:color w:val="auto"/>
          <w:kern w:val="2"/>
          <w:sz w:val="21"/>
          <w:highlight w:val="none"/>
          <w:u w:val="single"/>
        </w:rPr>
        <w:t xml:space="preserve">            </w:t>
      </w:r>
      <w:r>
        <w:rPr>
          <w:rFonts w:hint="eastAsia" w:ascii="宋体" w:hAnsi="宋体" w:eastAsia="宋体" w:cs="宋体"/>
          <w:color w:val="auto"/>
          <w:kern w:val="2"/>
          <w:sz w:val="21"/>
          <w:highlight w:val="none"/>
        </w:rPr>
        <w:t>职务，为法定负责人，特此证明。</w:t>
      </w:r>
    </w:p>
    <w:p w14:paraId="52895A06">
      <w:pPr>
        <w:autoSpaceDE/>
        <w:autoSpaceDN/>
        <w:adjustRightInd/>
        <w:spacing w:before="120" w:after="120" w:line="360" w:lineRule="auto"/>
        <w:ind w:firstLine="424" w:firstLineChars="202"/>
        <w:jc w:val="both"/>
        <w:outlineLvl w:val="9"/>
        <w:rPr>
          <w:rFonts w:hint="eastAsia" w:ascii="宋体" w:hAnsi="宋体" w:eastAsia="宋体" w:cs="宋体"/>
          <w:color w:val="auto"/>
          <w:kern w:val="2"/>
          <w:sz w:val="21"/>
          <w:highlight w:val="none"/>
        </w:rPr>
      </w:pPr>
      <w:r>
        <w:rPr>
          <w:rFonts w:hint="eastAsia" w:ascii="宋体" w:hAnsi="宋体" w:eastAsia="宋体" w:cs="宋体"/>
          <w:color w:val="auto"/>
          <w:kern w:val="2"/>
          <w:sz w:val="21"/>
          <w:highlight w:val="none"/>
        </w:rPr>
        <w:t>有效日期：</w:t>
      </w:r>
      <w:r>
        <w:rPr>
          <w:rFonts w:hint="eastAsia" w:ascii="宋体" w:hAnsi="宋体" w:eastAsia="宋体" w:cs="宋体"/>
          <w:color w:val="auto"/>
          <w:kern w:val="2"/>
          <w:sz w:val="21"/>
          <w:highlight w:val="none"/>
          <w:u w:val="single"/>
        </w:rPr>
        <w:t xml:space="preserve">          </w:t>
      </w:r>
      <w:r>
        <w:rPr>
          <w:rFonts w:hint="eastAsia" w:ascii="宋体" w:hAnsi="宋体" w:eastAsia="宋体" w:cs="宋体"/>
          <w:color w:val="auto"/>
          <w:kern w:val="2"/>
          <w:sz w:val="21"/>
          <w:highlight w:val="none"/>
        </w:rPr>
        <w:t>签发日期：</w:t>
      </w:r>
      <w:r>
        <w:rPr>
          <w:rFonts w:hint="eastAsia" w:ascii="宋体" w:hAnsi="宋体" w:eastAsia="宋体" w:cs="宋体"/>
          <w:color w:val="auto"/>
          <w:kern w:val="2"/>
          <w:sz w:val="21"/>
          <w:highlight w:val="none"/>
          <w:u w:val="single"/>
        </w:rPr>
        <w:t xml:space="preserve">           </w:t>
      </w:r>
    </w:p>
    <w:p w14:paraId="01E595B2">
      <w:pPr>
        <w:autoSpaceDE/>
        <w:autoSpaceDN/>
        <w:adjustRightInd/>
        <w:spacing w:before="120" w:after="120" w:line="360" w:lineRule="auto"/>
        <w:ind w:firstLine="424" w:firstLineChars="202"/>
        <w:jc w:val="both"/>
        <w:outlineLvl w:val="9"/>
        <w:rPr>
          <w:rFonts w:hint="eastAsia" w:ascii="宋体" w:hAnsi="宋体" w:eastAsia="宋体" w:cs="宋体"/>
          <w:color w:val="auto"/>
          <w:kern w:val="2"/>
          <w:sz w:val="21"/>
          <w:highlight w:val="none"/>
          <w:u w:val="single"/>
        </w:rPr>
      </w:pPr>
      <w:r>
        <w:rPr>
          <w:rFonts w:hint="eastAsia" w:ascii="宋体" w:hAnsi="宋体" w:eastAsia="宋体" w:cs="宋体"/>
          <w:color w:val="auto"/>
          <w:kern w:val="2"/>
          <w:sz w:val="21"/>
          <w:highlight w:val="none"/>
        </w:rPr>
        <w:t>附：负责人性别：</w:t>
      </w:r>
      <w:r>
        <w:rPr>
          <w:rFonts w:hint="eastAsia" w:ascii="宋体" w:hAnsi="宋体" w:eastAsia="宋体" w:cs="宋体"/>
          <w:color w:val="auto"/>
          <w:kern w:val="2"/>
          <w:sz w:val="21"/>
          <w:highlight w:val="none"/>
          <w:u w:val="single"/>
        </w:rPr>
        <w:t xml:space="preserve">      </w:t>
      </w:r>
      <w:r>
        <w:rPr>
          <w:rFonts w:hint="eastAsia" w:ascii="宋体" w:hAnsi="宋体" w:eastAsia="宋体" w:cs="宋体"/>
          <w:color w:val="auto"/>
          <w:kern w:val="2"/>
          <w:sz w:val="21"/>
          <w:highlight w:val="none"/>
        </w:rPr>
        <w:t xml:space="preserve"> 年龄：</w:t>
      </w:r>
      <w:r>
        <w:rPr>
          <w:rFonts w:hint="eastAsia" w:ascii="宋体" w:hAnsi="宋体" w:eastAsia="宋体" w:cs="宋体"/>
          <w:color w:val="auto"/>
          <w:kern w:val="2"/>
          <w:sz w:val="21"/>
          <w:highlight w:val="none"/>
          <w:u w:val="single"/>
        </w:rPr>
        <w:t xml:space="preserve">         </w:t>
      </w:r>
      <w:r>
        <w:rPr>
          <w:rFonts w:hint="eastAsia" w:ascii="宋体" w:hAnsi="宋体" w:eastAsia="宋体" w:cs="宋体"/>
          <w:color w:val="auto"/>
          <w:kern w:val="2"/>
          <w:sz w:val="21"/>
          <w:highlight w:val="none"/>
        </w:rPr>
        <w:t>身份证号码：</w:t>
      </w:r>
      <w:r>
        <w:rPr>
          <w:rFonts w:hint="eastAsia" w:ascii="宋体" w:hAnsi="宋体" w:eastAsia="宋体" w:cs="宋体"/>
          <w:color w:val="auto"/>
          <w:kern w:val="2"/>
          <w:sz w:val="21"/>
          <w:highlight w:val="none"/>
          <w:u w:val="single"/>
        </w:rPr>
        <w:t xml:space="preserve">            </w:t>
      </w:r>
    </w:p>
    <w:p w14:paraId="2E2B077E">
      <w:pPr>
        <w:autoSpaceDE/>
        <w:autoSpaceDN/>
        <w:adjustRightInd/>
        <w:spacing w:before="120" w:after="120" w:line="360" w:lineRule="auto"/>
        <w:ind w:firstLine="424" w:firstLineChars="202"/>
        <w:jc w:val="both"/>
        <w:outlineLvl w:val="9"/>
        <w:rPr>
          <w:rFonts w:hint="eastAsia" w:ascii="宋体" w:hAnsi="宋体" w:eastAsia="宋体" w:cs="宋体"/>
          <w:color w:val="auto"/>
          <w:kern w:val="2"/>
          <w:sz w:val="21"/>
          <w:highlight w:val="none"/>
        </w:rPr>
      </w:pPr>
      <w:r>
        <w:rPr>
          <w:rFonts w:hint="eastAsia" w:ascii="宋体" w:hAnsi="宋体" w:eastAsia="宋体" w:cs="宋体"/>
          <w:color w:val="auto"/>
          <w:kern w:val="2"/>
          <w:sz w:val="21"/>
          <w:highlight w:val="none"/>
        </w:rPr>
        <w:t>营业执照号码：</w:t>
      </w:r>
      <w:r>
        <w:rPr>
          <w:rFonts w:hint="eastAsia" w:ascii="宋体" w:hAnsi="宋体" w:eastAsia="宋体" w:cs="宋体"/>
          <w:color w:val="auto"/>
          <w:kern w:val="2"/>
          <w:sz w:val="21"/>
          <w:highlight w:val="none"/>
          <w:u w:val="single"/>
        </w:rPr>
        <w:t xml:space="preserve">           </w:t>
      </w:r>
      <w:r>
        <w:rPr>
          <w:rFonts w:hint="eastAsia" w:ascii="宋体" w:hAnsi="宋体" w:eastAsia="宋体" w:cs="宋体"/>
          <w:color w:val="auto"/>
          <w:kern w:val="2"/>
          <w:sz w:val="21"/>
          <w:highlight w:val="none"/>
        </w:rPr>
        <w:t xml:space="preserve">经济性质： </w:t>
      </w:r>
    </w:p>
    <w:p w14:paraId="6DC147E8">
      <w:pPr>
        <w:autoSpaceDE/>
        <w:autoSpaceDN/>
        <w:adjustRightInd/>
        <w:spacing w:before="120" w:after="120" w:line="360" w:lineRule="auto"/>
        <w:ind w:firstLine="424" w:firstLineChars="202"/>
        <w:jc w:val="both"/>
        <w:outlineLvl w:val="9"/>
        <w:rPr>
          <w:rFonts w:hint="eastAsia" w:ascii="宋体" w:hAnsi="宋体" w:eastAsia="宋体" w:cs="宋体"/>
          <w:color w:val="auto"/>
          <w:kern w:val="2"/>
          <w:sz w:val="21"/>
          <w:highlight w:val="none"/>
          <w:u w:val="single"/>
        </w:rPr>
      </w:pPr>
      <w:r>
        <w:rPr>
          <w:rFonts w:hint="eastAsia" w:ascii="宋体" w:hAnsi="宋体" w:eastAsia="宋体" w:cs="宋体"/>
          <w:color w:val="auto"/>
          <w:kern w:val="2"/>
          <w:sz w:val="21"/>
          <w:highlight w:val="none"/>
        </w:rPr>
        <w:t>主营（产）：</w:t>
      </w:r>
    </w:p>
    <w:p w14:paraId="5A60DF51">
      <w:pPr>
        <w:autoSpaceDE/>
        <w:autoSpaceDN/>
        <w:adjustRightInd/>
        <w:spacing w:before="120" w:after="120" w:line="360" w:lineRule="auto"/>
        <w:ind w:firstLine="424" w:firstLineChars="202"/>
        <w:jc w:val="both"/>
        <w:outlineLvl w:val="9"/>
        <w:rPr>
          <w:rFonts w:hint="eastAsia" w:ascii="宋体" w:hAnsi="宋体" w:eastAsia="宋体" w:cs="宋体"/>
          <w:b/>
          <w:bCs/>
          <w:color w:val="auto"/>
          <w:kern w:val="2"/>
          <w:sz w:val="22"/>
          <w:szCs w:val="24"/>
          <w:highlight w:val="none"/>
          <w:u w:val="single"/>
        </w:rPr>
      </w:pPr>
      <w:r>
        <w:rPr>
          <w:rFonts w:hint="eastAsia" w:ascii="宋体" w:hAnsi="宋体" w:eastAsia="宋体" w:cs="宋体"/>
          <w:color w:val="auto"/>
          <w:kern w:val="2"/>
          <w:sz w:val="21"/>
          <w:highlight w:val="none"/>
        </w:rPr>
        <w:t>兼营（产）：</w:t>
      </w:r>
    </w:p>
    <w:p w14:paraId="46F9F91D">
      <w:pPr>
        <w:spacing w:line="360" w:lineRule="auto"/>
        <w:ind w:firstLine="4859" w:firstLineChars="2200"/>
        <w:outlineLvl w:val="9"/>
        <w:rPr>
          <w:rFonts w:hint="eastAsia" w:ascii="宋体" w:hAnsi="宋体" w:eastAsia="宋体" w:cs="宋体"/>
          <w:b/>
          <w:bCs/>
          <w:color w:val="auto"/>
          <w:kern w:val="2"/>
          <w:sz w:val="22"/>
          <w:szCs w:val="24"/>
          <w:highlight w:val="none"/>
        </w:rPr>
      </w:pPr>
      <w:r>
        <w:rPr>
          <w:rFonts w:hint="eastAsia" w:ascii="宋体" w:hAnsi="宋体" w:eastAsia="宋体" w:cs="宋体"/>
          <w:b/>
          <w:bCs/>
          <w:color w:val="auto"/>
          <w:kern w:val="2"/>
          <w:sz w:val="22"/>
          <w:szCs w:val="24"/>
          <w:highlight w:val="none"/>
          <w:lang w:val="zh-CN"/>
        </w:rPr>
        <w:t>投标人：（加盖投标人公章）</w:t>
      </w:r>
    </w:p>
    <w:p w14:paraId="6111F2B8">
      <w:pPr>
        <w:spacing w:line="360" w:lineRule="auto"/>
        <w:ind w:firstLine="4859" w:firstLineChars="2200"/>
        <w:outlineLvl w:val="9"/>
        <w:rPr>
          <w:rFonts w:hint="eastAsia" w:ascii="宋体" w:hAnsi="宋体" w:eastAsia="宋体" w:cs="宋体"/>
          <w:b/>
          <w:bCs/>
          <w:color w:val="auto"/>
          <w:kern w:val="2"/>
          <w:sz w:val="22"/>
          <w:szCs w:val="24"/>
          <w:highlight w:val="none"/>
          <w:lang w:val="zh-CN"/>
        </w:rPr>
      </w:pPr>
      <w:r>
        <w:rPr>
          <w:rFonts w:hint="eastAsia" w:ascii="宋体" w:hAnsi="宋体" w:eastAsia="宋体" w:cs="宋体"/>
          <w:b/>
          <w:bCs/>
          <w:color w:val="auto"/>
          <w:kern w:val="2"/>
          <w:sz w:val="22"/>
          <w:szCs w:val="24"/>
          <w:highlight w:val="none"/>
          <w:lang w:val="zh-CN"/>
        </w:rPr>
        <w:t>日期：   年   月   日</w:t>
      </w:r>
      <w:r>
        <w:rPr>
          <w:rFonts w:hint="eastAsia" w:ascii="宋体" w:hAnsi="宋体" w:eastAsia="宋体" w:cs="宋体"/>
          <w:b/>
          <w:bCs/>
          <w:color w:val="auto"/>
          <w:kern w:val="2"/>
          <w:sz w:val="32"/>
          <w:szCs w:val="32"/>
          <w:highlight w:val="none"/>
          <w:lang w:val="zh-CN"/>
        </w:rPr>
        <w:t xml:space="preserve"> </w:t>
      </w:r>
    </w:p>
    <w:p w14:paraId="6BA268E2">
      <w:pPr>
        <w:autoSpaceDE/>
        <w:autoSpaceDN/>
        <w:adjustRightInd/>
        <w:spacing w:before="120" w:after="120" w:line="360" w:lineRule="auto"/>
        <w:ind w:firstLine="424" w:firstLineChars="202"/>
        <w:jc w:val="both"/>
        <w:outlineLvl w:val="9"/>
        <w:rPr>
          <w:rFonts w:hint="eastAsia" w:ascii="宋体" w:hAnsi="宋体" w:eastAsia="宋体" w:cs="宋体"/>
          <w:color w:val="auto"/>
          <w:kern w:val="2"/>
          <w:sz w:val="21"/>
          <w:highlight w:val="none"/>
        </w:rPr>
      </w:pPr>
    </w:p>
    <w:p w14:paraId="373BA27D">
      <w:pPr>
        <w:autoSpaceDE/>
        <w:autoSpaceDN/>
        <w:adjustRightInd/>
        <w:spacing w:before="120" w:after="120" w:line="360" w:lineRule="auto"/>
        <w:ind w:firstLine="424" w:firstLineChars="202"/>
        <w:jc w:val="both"/>
        <w:outlineLvl w:val="9"/>
        <w:rPr>
          <w:rFonts w:hint="eastAsia" w:ascii="宋体" w:hAnsi="宋体" w:eastAsia="宋体" w:cs="宋体"/>
          <w:color w:val="auto"/>
          <w:sz w:val="21"/>
          <w:szCs w:val="21"/>
          <w:highlight w:val="none"/>
        </w:rPr>
      </w:pPr>
      <w:r>
        <w:rPr>
          <w:rFonts w:hint="eastAsia" w:ascii="宋体" w:hAnsi="宋体" w:eastAsia="宋体" w:cs="宋体"/>
          <w:color w:val="auto"/>
          <w:kern w:val="2"/>
          <w:sz w:val="21"/>
          <w:highlight w:val="none"/>
        </w:rPr>
        <w:t xml:space="preserve">附 法定负责人身份证复印件 </w:t>
      </w:r>
    </w:p>
    <w:p w14:paraId="2DA0CD7C">
      <w:pPr>
        <w:spacing w:line="360" w:lineRule="auto"/>
        <w:ind w:firstLine="420" w:firstLineChars="200"/>
        <w:outlineLvl w:val="9"/>
        <w:rPr>
          <w:rFonts w:hint="eastAsia" w:ascii="宋体" w:hAnsi="宋体" w:eastAsia="宋体" w:cs="宋体"/>
          <w:color w:val="auto"/>
          <w:sz w:val="21"/>
          <w:szCs w:val="21"/>
          <w:highlight w:val="none"/>
        </w:rPr>
      </w:pPr>
    </w:p>
    <w:p w14:paraId="267ECE78">
      <w:pPr>
        <w:outlineLvl w:val="9"/>
        <w:rPr>
          <w:rFonts w:hint="eastAsia" w:ascii="宋体" w:hAnsi="宋体" w:eastAsia="宋体" w:cs="宋体"/>
          <w:color w:val="auto"/>
          <w:kern w:val="2"/>
          <w:sz w:val="21"/>
          <w:highlight w:val="none"/>
          <w:lang w:val="zh-CN"/>
        </w:rPr>
      </w:pPr>
      <w:r>
        <w:rPr>
          <w:rFonts w:hint="eastAsia" w:ascii="宋体" w:hAnsi="宋体" w:eastAsia="宋体" w:cs="宋体"/>
          <w:b/>
          <w:color w:val="auto"/>
          <w:sz w:val="21"/>
          <w:szCs w:val="21"/>
          <w:highlight w:val="none"/>
        </w:rPr>
        <w:t>注：法定负责人身份证须在有效期限内。</w:t>
      </w:r>
    </w:p>
    <w:p w14:paraId="5819AA29">
      <w:pPr>
        <w:outlineLvl w:val="9"/>
        <w:rPr>
          <w:rFonts w:hint="eastAsia" w:ascii="宋体" w:hAnsi="宋体" w:eastAsia="宋体" w:cs="宋体"/>
          <w:color w:val="auto"/>
          <w:highlight w:val="none"/>
        </w:rPr>
      </w:pPr>
      <w:r>
        <w:rPr>
          <w:rFonts w:hint="eastAsia" w:ascii="宋体" w:hAnsi="宋体" w:eastAsia="宋体" w:cs="宋体"/>
          <w:color w:val="auto"/>
          <w:highlight w:val="none"/>
        </w:rPr>
        <w:drawing>
          <wp:anchor distT="0" distB="0" distL="114300" distR="114300" simplePos="0" relativeHeight="251667456" behindDoc="0" locked="0" layoutInCell="1" allowOverlap="1">
            <wp:simplePos x="0" y="0"/>
            <wp:positionH relativeFrom="column">
              <wp:posOffset>2901950</wp:posOffset>
            </wp:positionH>
            <wp:positionV relativeFrom="paragraph">
              <wp:posOffset>256540</wp:posOffset>
            </wp:positionV>
            <wp:extent cx="2962275" cy="2095500"/>
            <wp:effectExtent l="0" t="0" r="9525" b="0"/>
            <wp:wrapSquare wrapText="bothSides"/>
            <wp:docPr id="12"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0"/>
                    <pic:cNvPicPr>
                      <a:picLocks noChangeAspect="1"/>
                    </pic:cNvPicPr>
                  </pic:nvPicPr>
                  <pic:blipFill>
                    <a:blip r:embed="rId11"/>
                    <a:stretch>
                      <a:fillRect/>
                    </a:stretch>
                  </pic:blipFill>
                  <pic:spPr>
                    <a:xfrm>
                      <a:off x="0" y="0"/>
                      <a:ext cx="2962275" cy="2095500"/>
                    </a:xfrm>
                    <a:prstGeom prst="rect">
                      <a:avLst/>
                    </a:prstGeom>
                    <a:noFill/>
                    <a:ln>
                      <a:noFill/>
                    </a:ln>
                  </pic:spPr>
                </pic:pic>
              </a:graphicData>
            </a:graphic>
          </wp:anchor>
        </w:drawing>
      </w:r>
      <w:r>
        <w:rPr>
          <w:rFonts w:hint="eastAsia" w:ascii="宋体" w:hAnsi="宋体" w:eastAsia="宋体" w:cs="宋体"/>
          <w:color w:val="auto"/>
          <w:highlight w:val="none"/>
        </w:rPr>
        <w:drawing>
          <wp:anchor distT="0" distB="0" distL="114300" distR="114300" simplePos="0" relativeHeight="251666432" behindDoc="0" locked="0" layoutInCell="1" allowOverlap="1">
            <wp:simplePos x="0" y="0"/>
            <wp:positionH relativeFrom="column">
              <wp:posOffset>-91440</wp:posOffset>
            </wp:positionH>
            <wp:positionV relativeFrom="paragraph">
              <wp:posOffset>198755</wp:posOffset>
            </wp:positionV>
            <wp:extent cx="2971800" cy="2152650"/>
            <wp:effectExtent l="0" t="0" r="0" b="0"/>
            <wp:wrapSquare wrapText="bothSides"/>
            <wp:docPr id="11"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9"/>
                    <pic:cNvPicPr>
                      <a:picLocks noChangeAspect="1"/>
                    </pic:cNvPicPr>
                  </pic:nvPicPr>
                  <pic:blipFill>
                    <a:blip r:embed="rId12"/>
                    <a:stretch>
                      <a:fillRect/>
                    </a:stretch>
                  </pic:blipFill>
                  <pic:spPr>
                    <a:xfrm>
                      <a:off x="0" y="0"/>
                      <a:ext cx="2971800" cy="2152650"/>
                    </a:xfrm>
                    <a:prstGeom prst="rect">
                      <a:avLst/>
                    </a:prstGeom>
                    <a:noFill/>
                    <a:ln>
                      <a:noFill/>
                    </a:ln>
                  </pic:spPr>
                </pic:pic>
              </a:graphicData>
            </a:graphic>
          </wp:anchor>
        </w:drawing>
      </w:r>
      <w:r>
        <w:rPr>
          <w:rFonts w:hint="eastAsia" w:ascii="宋体" w:hAnsi="宋体" w:eastAsia="宋体" w:cs="宋体"/>
          <w:color w:val="auto"/>
          <w:highlight w:val="none"/>
        </w:rPr>
        <w:br w:type="page"/>
      </w:r>
    </w:p>
    <w:p w14:paraId="78956CD4">
      <w:pPr>
        <w:spacing w:before="120" w:after="120" w:line="360" w:lineRule="auto"/>
        <w:ind w:firstLine="426" w:firstLineChars="202"/>
        <w:outlineLvl w:val="9"/>
        <w:rPr>
          <w:rFonts w:hint="eastAsia" w:ascii="宋体" w:hAnsi="宋体" w:eastAsia="宋体" w:cs="宋体"/>
          <w:b/>
          <w:color w:val="auto"/>
          <w:kern w:val="0"/>
          <w:szCs w:val="21"/>
          <w:highlight w:val="none"/>
        </w:rPr>
      </w:pPr>
      <w:r>
        <w:rPr>
          <w:rFonts w:hint="eastAsia" w:ascii="宋体" w:hAnsi="宋体" w:eastAsia="宋体" w:cs="宋体"/>
          <w:b/>
          <w:color w:val="auto"/>
          <w:szCs w:val="24"/>
          <w:highlight w:val="none"/>
        </w:rPr>
        <w:t>（</w:t>
      </w:r>
      <w:r>
        <w:rPr>
          <w:rFonts w:hint="eastAsia" w:ascii="宋体" w:hAnsi="宋体" w:eastAsia="宋体" w:cs="宋体"/>
          <w:b/>
          <w:color w:val="auto"/>
          <w:szCs w:val="24"/>
          <w:highlight w:val="none"/>
          <w:lang w:val="en-US" w:eastAsia="zh-CN"/>
        </w:rPr>
        <w:t>4</w:t>
      </w:r>
      <w:r>
        <w:rPr>
          <w:rFonts w:hint="eastAsia" w:ascii="宋体" w:hAnsi="宋体" w:eastAsia="宋体" w:cs="宋体"/>
          <w:b/>
          <w:color w:val="auto"/>
          <w:szCs w:val="24"/>
          <w:highlight w:val="none"/>
        </w:rPr>
        <w:t>）法定</w:t>
      </w:r>
      <w:r>
        <w:rPr>
          <w:rFonts w:hint="eastAsia" w:ascii="宋体" w:hAnsi="宋体" w:eastAsia="宋体" w:cs="宋体"/>
          <w:b/>
          <w:color w:val="auto"/>
          <w:szCs w:val="24"/>
          <w:highlight w:val="none"/>
          <w:lang w:val="en-US" w:eastAsia="zh-CN"/>
        </w:rPr>
        <w:t>负责人</w:t>
      </w:r>
      <w:r>
        <w:rPr>
          <w:rFonts w:hint="eastAsia" w:ascii="宋体" w:hAnsi="宋体" w:eastAsia="宋体" w:cs="宋体"/>
          <w:b/>
          <w:color w:val="auto"/>
          <w:szCs w:val="24"/>
          <w:highlight w:val="none"/>
        </w:rPr>
        <w:t>授权书格式</w:t>
      </w:r>
      <w:r>
        <w:rPr>
          <w:rFonts w:hint="eastAsia" w:ascii="宋体" w:hAnsi="宋体" w:eastAsia="宋体" w:cs="宋体"/>
          <w:b/>
          <w:color w:val="auto"/>
          <w:szCs w:val="24"/>
          <w:highlight w:val="none"/>
          <w:lang w:eastAsia="zh-CN"/>
        </w:rPr>
        <w:t>（</w:t>
      </w:r>
      <w:r>
        <w:rPr>
          <w:rFonts w:hint="eastAsia" w:ascii="宋体" w:hAnsi="宋体" w:eastAsia="宋体" w:cs="宋体"/>
          <w:b/>
          <w:color w:val="auto"/>
          <w:szCs w:val="24"/>
          <w:highlight w:val="none"/>
          <w:lang w:val="en-US" w:eastAsia="zh-CN"/>
        </w:rPr>
        <w:t>以分支机构名义参与投标时提供</w:t>
      </w:r>
      <w:r>
        <w:rPr>
          <w:rFonts w:hint="eastAsia" w:ascii="宋体" w:hAnsi="宋体" w:eastAsia="宋体" w:cs="宋体"/>
          <w:b/>
          <w:color w:val="auto"/>
          <w:szCs w:val="24"/>
          <w:highlight w:val="none"/>
          <w:lang w:eastAsia="zh-CN"/>
        </w:rPr>
        <w:t>）</w:t>
      </w:r>
    </w:p>
    <w:p w14:paraId="704B27D1">
      <w:pPr>
        <w:autoSpaceDE w:val="0"/>
        <w:autoSpaceDN w:val="0"/>
        <w:adjustRightInd w:val="0"/>
        <w:spacing w:line="360" w:lineRule="auto"/>
        <w:jc w:val="center"/>
        <w:outlineLvl w:val="9"/>
        <w:rPr>
          <w:rFonts w:hint="eastAsia" w:ascii="宋体" w:hAnsi="宋体" w:eastAsia="宋体" w:cs="宋体"/>
          <w:b/>
          <w:bCs/>
          <w:color w:val="auto"/>
          <w:sz w:val="30"/>
          <w:szCs w:val="30"/>
          <w:highlight w:val="none"/>
          <w:lang w:val="zh-CN"/>
        </w:rPr>
      </w:pPr>
    </w:p>
    <w:p w14:paraId="615A618F">
      <w:pPr>
        <w:autoSpaceDE w:val="0"/>
        <w:autoSpaceDN w:val="0"/>
        <w:adjustRightInd w:val="0"/>
        <w:spacing w:line="360" w:lineRule="auto"/>
        <w:jc w:val="center"/>
        <w:outlineLvl w:val="9"/>
        <w:rPr>
          <w:rFonts w:hint="eastAsia" w:ascii="宋体" w:hAnsi="宋体" w:eastAsia="宋体" w:cs="宋体"/>
          <w:b/>
          <w:bCs/>
          <w:color w:val="auto"/>
          <w:sz w:val="30"/>
          <w:szCs w:val="30"/>
          <w:highlight w:val="none"/>
          <w:lang w:val="zh-CN"/>
        </w:rPr>
      </w:pPr>
      <w:r>
        <w:rPr>
          <w:rFonts w:hint="eastAsia" w:ascii="宋体" w:hAnsi="宋体" w:eastAsia="宋体" w:cs="宋体"/>
          <w:b/>
          <w:bCs/>
          <w:color w:val="auto"/>
          <w:sz w:val="30"/>
          <w:szCs w:val="30"/>
          <w:highlight w:val="none"/>
          <w:lang w:val="zh-CN"/>
        </w:rPr>
        <w:t>法定</w:t>
      </w:r>
      <w:r>
        <w:rPr>
          <w:rFonts w:hint="eastAsia" w:ascii="宋体" w:hAnsi="宋体" w:eastAsia="宋体" w:cs="宋体"/>
          <w:b/>
          <w:bCs/>
          <w:color w:val="auto"/>
          <w:sz w:val="30"/>
          <w:szCs w:val="30"/>
          <w:highlight w:val="none"/>
          <w:lang w:val="en-US" w:eastAsia="zh-CN"/>
        </w:rPr>
        <w:t>负责人</w:t>
      </w:r>
      <w:r>
        <w:rPr>
          <w:rFonts w:hint="eastAsia" w:ascii="宋体" w:hAnsi="宋体" w:eastAsia="宋体" w:cs="宋体"/>
          <w:b/>
          <w:bCs/>
          <w:color w:val="auto"/>
          <w:sz w:val="30"/>
          <w:szCs w:val="30"/>
          <w:highlight w:val="none"/>
          <w:lang w:val="zh-CN"/>
        </w:rPr>
        <w:t>授权书</w:t>
      </w:r>
    </w:p>
    <w:p w14:paraId="6FB372B9">
      <w:pPr>
        <w:autoSpaceDE w:val="0"/>
        <w:autoSpaceDN w:val="0"/>
        <w:adjustRightInd w:val="0"/>
        <w:spacing w:line="360" w:lineRule="auto"/>
        <w:jc w:val="center"/>
        <w:outlineLvl w:val="9"/>
        <w:rPr>
          <w:rFonts w:hint="eastAsia" w:ascii="宋体" w:hAnsi="宋体" w:eastAsia="宋体" w:cs="宋体"/>
          <w:color w:val="auto"/>
          <w:szCs w:val="28"/>
          <w:highlight w:val="none"/>
          <w:lang w:val="zh-CN"/>
        </w:rPr>
      </w:pPr>
    </w:p>
    <w:p w14:paraId="179D092A">
      <w:pPr>
        <w:spacing w:before="120" w:after="120" w:line="360" w:lineRule="auto"/>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致：东莞数字城市科技有限公司</w:t>
      </w:r>
    </w:p>
    <w:p w14:paraId="25E195F7">
      <w:pPr>
        <w:spacing w:before="120" w:after="120" w:line="360" w:lineRule="auto"/>
        <w:ind w:firstLine="630" w:firstLineChars="300"/>
        <w:outlineLvl w:val="9"/>
        <w:rPr>
          <w:rFonts w:hint="eastAsia" w:ascii="宋体" w:hAnsi="宋体" w:eastAsia="宋体" w:cs="宋体"/>
          <w:color w:val="auto"/>
          <w:szCs w:val="21"/>
          <w:highlight w:val="none"/>
        </w:rPr>
      </w:pPr>
      <w:r>
        <w:rPr>
          <w:rFonts w:hint="eastAsia" w:ascii="宋体" w:hAnsi="宋体" w:eastAsia="宋体" w:cs="宋体"/>
          <w:color w:val="auto"/>
          <w:szCs w:val="24"/>
          <w:highlight w:val="none"/>
          <w:lang w:val="zh-CN"/>
        </w:rPr>
        <w:t>本授权书声明：注册于</w:t>
      </w:r>
      <w:r>
        <w:rPr>
          <w:rFonts w:hint="eastAsia" w:ascii="宋体" w:hAnsi="宋体" w:eastAsia="宋体" w:cs="宋体"/>
          <w:color w:val="auto"/>
          <w:szCs w:val="24"/>
          <w:highlight w:val="none"/>
          <w:u w:val="single"/>
          <w:lang w:val="zh-CN"/>
        </w:rPr>
        <w:t xml:space="preserve">       </w:t>
      </w:r>
      <w:r>
        <w:rPr>
          <w:rFonts w:hint="eastAsia" w:ascii="宋体" w:hAnsi="宋体" w:eastAsia="宋体" w:cs="宋体"/>
          <w:color w:val="auto"/>
          <w:szCs w:val="24"/>
          <w:highlight w:val="none"/>
          <w:lang w:val="zh-CN"/>
        </w:rPr>
        <w:t>（投标人地址）的</w:t>
      </w:r>
      <w:r>
        <w:rPr>
          <w:rFonts w:hint="eastAsia" w:ascii="宋体" w:hAnsi="宋体" w:eastAsia="宋体" w:cs="宋体"/>
          <w:color w:val="auto"/>
          <w:szCs w:val="24"/>
          <w:highlight w:val="none"/>
          <w:u w:val="single"/>
          <w:lang w:val="zh-CN"/>
        </w:rPr>
        <w:t xml:space="preserve">           </w:t>
      </w:r>
      <w:r>
        <w:rPr>
          <w:rFonts w:hint="eastAsia" w:ascii="宋体" w:hAnsi="宋体" w:eastAsia="宋体" w:cs="宋体"/>
          <w:color w:val="auto"/>
          <w:szCs w:val="24"/>
          <w:highlight w:val="none"/>
          <w:lang w:val="zh-CN"/>
        </w:rPr>
        <w:t>（投标人名称）在下面签字或盖私章的</w:t>
      </w:r>
      <w:r>
        <w:rPr>
          <w:rFonts w:hint="eastAsia" w:ascii="宋体" w:hAnsi="宋体" w:eastAsia="宋体" w:cs="宋体"/>
          <w:color w:val="auto"/>
          <w:szCs w:val="24"/>
          <w:highlight w:val="none"/>
          <w:u w:val="single"/>
          <w:lang w:val="zh-CN"/>
        </w:rPr>
        <w:t xml:space="preserve">                          </w:t>
      </w:r>
      <w:r>
        <w:rPr>
          <w:rFonts w:hint="eastAsia" w:ascii="宋体" w:hAnsi="宋体" w:eastAsia="宋体" w:cs="宋体"/>
          <w:color w:val="auto"/>
          <w:szCs w:val="24"/>
          <w:highlight w:val="none"/>
          <w:lang w:val="zh-CN"/>
        </w:rPr>
        <w:t>（法定</w:t>
      </w:r>
      <w:r>
        <w:rPr>
          <w:rFonts w:hint="eastAsia" w:ascii="宋体" w:hAnsi="宋体" w:eastAsia="宋体" w:cs="宋体"/>
          <w:color w:val="auto"/>
          <w:szCs w:val="24"/>
          <w:highlight w:val="none"/>
          <w:lang w:val="en-US" w:eastAsia="zh-CN"/>
        </w:rPr>
        <w:t>负责</w:t>
      </w:r>
      <w:r>
        <w:rPr>
          <w:rFonts w:hint="eastAsia" w:ascii="宋体" w:hAnsi="宋体" w:eastAsia="宋体" w:cs="宋体"/>
          <w:color w:val="auto"/>
          <w:szCs w:val="24"/>
          <w:highlight w:val="none"/>
          <w:lang w:val="zh-CN"/>
        </w:rPr>
        <w:t>人姓名、职务、身份证号码）代表本公司授权在下面签字或盖私章的</w:t>
      </w:r>
      <w:r>
        <w:rPr>
          <w:rFonts w:hint="eastAsia" w:ascii="宋体" w:hAnsi="宋体" w:eastAsia="宋体" w:cs="宋体"/>
          <w:color w:val="auto"/>
          <w:szCs w:val="24"/>
          <w:highlight w:val="none"/>
          <w:u w:val="single"/>
          <w:lang w:val="zh-CN"/>
        </w:rPr>
        <w:t xml:space="preserve">        </w:t>
      </w:r>
      <w:r>
        <w:rPr>
          <w:rFonts w:hint="eastAsia" w:ascii="宋体" w:hAnsi="宋体" w:eastAsia="宋体" w:cs="宋体"/>
          <w:color w:val="auto"/>
          <w:szCs w:val="24"/>
          <w:highlight w:val="none"/>
          <w:lang w:val="zh-CN"/>
        </w:rPr>
        <w:t>（被授权人的姓名、职务、身份证号码）为本公司的合法代表人，签署</w:t>
      </w:r>
      <w:r>
        <w:rPr>
          <w:rFonts w:hint="eastAsia" w:ascii="宋体" w:hAnsi="宋体" w:eastAsia="宋体" w:cs="宋体"/>
          <w:color w:val="auto"/>
          <w:szCs w:val="21"/>
          <w:highlight w:val="none"/>
          <w:u w:val="single"/>
        </w:rPr>
        <w:t>XXXXX项目</w:t>
      </w:r>
      <w:r>
        <w:rPr>
          <w:rFonts w:hint="eastAsia" w:ascii="宋体" w:hAnsi="宋体" w:eastAsia="宋体" w:cs="宋体"/>
          <w:color w:val="auto"/>
          <w:szCs w:val="21"/>
          <w:highlight w:val="none"/>
          <w:lang w:val="zh-CN"/>
        </w:rPr>
        <w:t>（招标编号：</w:t>
      </w:r>
      <w:r>
        <w:rPr>
          <w:rFonts w:hint="eastAsia" w:ascii="宋体" w:hAnsi="宋体" w:eastAsia="宋体" w:cs="宋体"/>
          <w:color w:val="auto"/>
          <w:szCs w:val="21"/>
          <w:highlight w:val="none"/>
          <w:u w:val="single"/>
          <w:lang w:val="zh-CN"/>
        </w:rPr>
        <w:t>XXXXX号</w:t>
      </w:r>
      <w:r>
        <w:rPr>
          <w:rFonts w:hint="eastAsia" w:ascii="宋体" w:hAnsi="宋体" w:eastAsia="宋体" w:cs="宋体"/>
          <w:color w:val="auto"/>
          <w:szCs w:val="21"/>
          <w:highlight w:val="none"/>
          <w:lang w:val="zh-CN"/>
        </w:rPr>
        <w:t>）的投标文件，</w:t>
      </w:r>
      <w:r>
        <w:rPr>
          <w:rFonts w:hint="eastAsia" w:ascii="宋体" w:hAnsi="宋体" w:eastAsia="宋体" w:cs="宋体"/>
          <w:color w:val="auto"/>
          <w:szCs w:val="21"/>
          <w:highlight w:val="none"/>
        </w:rPr>
        <w:t>代表我公司</w:t>
      </w:r>
      <w:r>
        <w:rPr>
          <w:rFonts w:hint="eastAsia" w:ascii="宋体" w:hAnsi="宋体" w:eastAsia="宋体" w:cs="宋体"/>
          <w:color w:val="auto"/>
          <w:szCs w:val="24"/>
          <w:highlight w:val="none"/>
          <w:lang w:val="zh-CN"/>
        </w:rPr>
        <w:t>递交投标文件、参与开标会、代表我公司应评标委员会的要求对投标文件进行澄清、进行合同谈判和签署合同，以我公司的名义处理一切与之有关的事宜，</w:t>
      </w:r>
      <w:r>
        <w:rPr>
          <w:rFonts w:hint="eastAsia" w:ascii="宋体" w:hAnsi="宋体" w:eastAsia="宋体" w:cs="宋体"/>
          <w:color w:val="auto"/>
          <w:szCs w:val="21"/>
          <w:highlight w:val="none"/>
        </w:rPr>
        <w:t>我承认代理人全权代表我所签署的本项目投标文件的内容及</w:t>
      </w:r>
      <w:r>
        <w:rPr>
          <w:rFonts w:hint="eastAsia" w:ascii="宋体" w:hAnsi="宋体" w:eastAsia="宋体" w:cs="宋体"/>
          <w:color w:val="auto"/>
          <w:szCs w:val="24"/>
          <w:highlight w:val="none"/>
          <w:lang w:val="zh-CN"/>
        </w:rPr>
        <w:t>所进行的上述活动。</w:t>
      </w:r>
    </w:p>
    <w:p w14:paraId="67E57665">
      <w:pPr>
        <w:spacing w:before="120" w:after="120" w:line="360" w:lineRule="auto"/>
        <w:ind w:firstLine="420" w:firstLineChars="200"/>
        <w:outlineLvl w:val="9"/>
        <w:rPr>
          <w:rFonts w:hint="eastAsia" w:ascii="宋体" w:hAnsi="宋体" w:eastAsia="宋体" w:cs="宋体"/>
          <w:color w:val="auto"/>
          <w:szCs w:val="21"/>
          <w:highlight w:val="none"/>
        </w:rPr>
      </w:pPr>
      <w:r>
        <w:rPr>
          <w:rFonts w:hint="eastAsia" w:ascii="宋体" w:hAnsi="宋体" w:eastAsia="宋体" w:cs="宋体"/>
          <w:color w:val="auto"/>
          <w:szCs w:val="24"/>
          <w:highlight w:val="none"/>
          <w:lang w:val="zh-CN"/>
        </w:rPr>
        <w:t>本授权书于</w:t>
      </w:r>
      <w:r>
        <w:rPr>
          <w:rFonts w:hint="eastAsia" w:ascii="宋体" w:hAnsi="宋体" w:eastAsia="宋体" w:cs="宋体"/>
          <w:color w:val="auto"/>
          <w:szCs w:val="24"/>
          <w:highlight w:val="none"/>
          <w:u w:val="single"/>
          <w:lang w:val="zh-CN"/>
        </w:rPr>
        <w:t xml:space="preserve">      </w:t>
      </w:r>
      <w:r>
        <w:rPr>
          <w:rFonts w:hint="eastAsia" w:ascii="宋体" w:hAnsi="宋体" w:eastAsia="宋体" w:cs="宋体"/>
          <w:color w:val="auto"/>
          <w:szCs w:val="24"/>
          <w:highlight w:val="none"/>
          <w:lang w:val="zh-CN"/>
        </w:rPr>
        <w:t>年</w:t>
      </w:r>
      <w:r>
        <w:rPr>
          <w:rFonts w:hint="eastAsia" w:ascii="宋体" w:hAnsi="宋体" w:eastAsia="宋体" w:cs="宋体"/>
          <w:color w:val="auto"/>
          <w:szCs w:val="24"/>
          <w:highlight w:val="none"/>
          <w:u w:val="single"/>
          <w:lang w:val="zh-CN"/>
        </w:rPr>
        <w:t xml:space="preserve">     </w:t>
      </w:r>
      <w:r>
        <w:rPr>
          <w:rFonts w:hint="eastAsia" w:ascii="宋体" w:hAnsi="宋体" w:eastAsia="宋体" w:cs="宋体"/>
          <w:color w:val="auto"/>
          <w:szCs w:val="24"/>
          <w:highlight w:val="none"/>
          <w:lang w:val="zh-CN"/>
        </w:rPr>
        <w:t>月</w:t>
      </w:r>
      <w:r>
        <w:rPr>
          <w:rFonts w:hint="eastAsia" w:ascii="宋体" w:hAnsi="宋体" w:eastAsia="宋体" w:cs="宋体"/>
          <w:color w:val="auto"/>
          <w:szCs w:val="24"/>
          <w:highlight w:val="none"/>
          <w:u w:val="single"/>
          <w:lang w:val="zh-CN"/>
        </w:rPr>
        <w:t xml:space="preserve">     </w:t>
      </w:r>
      <w:r>
        <w:rPr>
          <w:rFonts w:hint="eastAsia" w:ascii="宋体" w:hAnsi="宋体" w:eastAsia="宋体" w:cs="宋体"/>
          <w:color w:val="auto"/>
          <w:szCs w:val="24"/>
          <w:highlight w:val="none"/>
          <w:lang w:val="zh-CN"/>
        </w:rPr>
        <w:t>日签字生效，有效期至投标文件失效期止，</w:t>
      </w:r>
      <w:r>
        <w:rPr>
          <w:rFonts w:hint="eastAsia" w:ascii="宋体" w:hAnsi="宋体" w:eastAsia="宋体" w:cs="宋体"/>
          <w:color w:val="auto"/>
          <w:szCs w:val="21"/>
          <w:highlight w:val="none"/>
        </w:rPr>
        <w:t>代理人无转委托权，</w:t>
      </w:r>
      <w:r>
        <w:rPr>
          <w:rFonts w:hint="eastAsia" w:ascii="宋体" w:hAnsi="宋体" w:eastAsia="宋体" w:cs="宋体"/>
          <w:color w:val="auto"/>
          <w:szCs w:val="24"/>
          <w:highlight w:val="none"/>
          <w:lang w:val="zh-CN"/>
        </w:rPr>
        <w:t>特此声明。</w:t>
      </w:r>
    </w:p>
    <w:p w14:paraId="3CBAE450">
      <w:pPr>
        <w:spacing w:before="120" w:after="120" w:line="360" w:lineRule="auto"/>
        <w:ind w:left="348" w:leftChars="136" w:hanging="62"/>
        <w:outlineLvl w:val="9"/>
        <w:rPr>
          <w:rFonts w:hint="eastAsia" w:ascii="宋体" w:hAnsi="宋体" w:eastAsia="宋体" w:cs="宋体"/>
          <w:color w:val="auto"/>
          <w:szCs w:val="24"/>
          <w:highlight w:val="none"/>
        </w:rPr>
      </w:pPr>
    </w:p>
    <w:p w14:paraId="3784424D">
      <w:pPr>
        <w:spacing w:before="120" w:after="120" w:line="360" w:lineRule="auto"/>
        <w:ind w:left="4200" w:leftChars="2000" w:firstLine="425"/>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投  标  人：（加盖投标人法人公章）</w:t>
      </w:r>
    </w:p>
    <w:p w14:paraId="6B132A50">
      <w:pPr>
        <w:spacing w:before="120" w:after="120" w:line="360" w:lineRule="auto"/>
        <w:ind w:left="4200" w:leftChars="2000" w:firstLine="425"/>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投标人地址：</w:t>
      </w:r>
    </w:p>
    <w:p w14:paraId="37069978">
      <w:pPr>
        <w:spacing w:before="120" w:after="120" w:line="360" w:lineRule="auto"/>
        <w:ind w:left="4200" w:leftChars="2000" w:firstLine="425"/>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法定</w:t>
      </w:r>
      <w:r>
        <w:rPr>
          <w:rFonts w:hint="eastAsia" w:ascii="宋体" w:hAnsi="宋体" w:eastAsia="宋体" w:cs="宋体"/>
          <w:color w:val="auto"/>
          <w:szCs w:val="24"/>
          <w:highlight w:val="none"/>
          <w:lang w:val="en-US" w:eastAsia="zh-CN"/>
        </w:rPr>
        <w:t>负责</w:t>
      </w:r>
      <w:r>
        <w:rPr>
          <w:rFonts w:hint="eastAsia" w:ascii="宋体" w:hAnsi="宋体" w:eastAsia="宋体" w:cs="宋体"/>
          <w:color w:val="auto"/>
          <w:szCs w:val="24"/>
          <w:highlight w:val="none"/>
          <w:lang w:val="zh-CN"/>
        </w:rPr>
        <w:t>人（签名或盖私章）：</w:t>
      </w:r>
    </w:p>
    <w:p w14:paraId="0299155D">
      <w:pPr>
        <w:spacing w:before="120" w:after="120" w:line="360" w:lineRule="auto"/>
        <w:ind w:left="4200" w:leftChars="2000" w:firstLine="425"/>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职　　　务：</w:t>
      </w:r>
    </w:p>
    <w:p w14:paraId="72FE261B">
      <w:pPr>
        <w:spacing w:before="120" w:after="120" w:line="360" w:lineRule="auto"/>
        <w:ind w:left="4200" w:leftChars="2000" w:firstLine="425"/>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被授权人（签名或盖私章）：</w:t>
      </w:r>
    </w:p>
    <w:p w14:paraId="4E9A7FAD">
      <w:pPr>
        <w:spacing w:before="120" w:after="120" w:line="360" w:lineRule="auto"/>
        <w:ind w:left="4200" w:leftChars="2000" w:firstLine="425"/>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职　　　务：</w:t>
      </w:r>
    </w:p>
    <w:p w14:paraId="1E5B0C9E">
      <w:pPr>
        <w:spacing w:before="120" w:after="120" w:line="360" w:lineRule="auto"/>
        <w:ind w:left="4200" w:leftChars="2000" w:firstLine="425"/>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被授权人联系手机：</w:t>
      </w:r>
    </w:p>
    <w:p w14:paraId="7A2396FC">
      <w:pPr>
        <w:spacing w:before="120" w:after="120" w:line="360" w:lineRule="auto"/>
        <w:ind w:left="4200" w:leftChars="2000" w:firstLine="425"/>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电 子 邮 箱：</w:t>
      </w:r>
    </w:p>
    <w:p w14:paraId="48422D23">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color w:val="auto"/>
          <w:szCs w:val="24"/>
          <w:highlight w:val="none"/>
        </w:rPr>
      </w:pPr>
      <w:r>
        <w:rPr>
          <w:rFonts w:hint="eastAsia" w:ascii="宋体" w:hAnsi="宋体" w:eastAsia="宋体" w:cs="宋体"/>
          <w:color w:val="auto"/>
          <w:szCs w:val="24"/>
          <w:highlight w:val="none"/>
          <w:lang w:val="zh-CN"/>
        </w:rPr>
        <w:br w:type="page"/>
      </w:r>
      <w:r>
        <w:rPr>
          <w:rFonts w:hint="eastAsia" w:ascii="宋体" w:hAnsi="宋体" w:eastAsia="宋体" w:cs="宋体"/>
          <w:color w:val="auto"/>
          <w:szCs w:val="24"/>
          <w:highlight w:val="none"/>
        </w:rPr>
        <w:t>附 法定</w:t>
      </w:r>
      <w:r>
        <w:rPr>
          <w:rFonts w:hint="eastAsia" w:ascii="宋体" w:hAnsi="宋体" w:eastAsia="宋体" w:cs="宋体"/>
          <w:color w:val="auto"/>
          <w:szCs w:val="24"/>
          <w:highlight w:val="none"/>
          <w:lang w:val="en-US" w:eastAsia="zh-CN"/>
        </w:rPr>
        <w:t>负责人</w:t>
      </w:r>
      <w:r>
        <w:rPr>
          <w:rFonts w:hint="eastAsia" w:ascii="宋体" w:hAnsi="宋体" w:eastAsia="宋体" w:cs="宋体"/>
          <w:color w:val="auto"/>
          <w:szCs w:val="24"/>
          <w:highlight w:val="none"/>
        </w:rPr>
        <w:t>、被授权人身份证复印件</w:t>
      </w:r>
    </w:p>
    <w:p w14:paraId="1591F220">
      <w:pPr>
        <w:pStyle w:val="22"/>
        <w:outlineLvl w:val="9"/>
        <w:rPr>
          <w:rFonts w:hint="eastAsia" w:ascii="宋体" w:hAnsi="宋体" w:eastAsia="宋体" w:cs="宋体"/>
          <w:color w:val="auto"/>
          <w:highlight w:val="none"/>
        </w:rPr>
      </w:pPr>
      <w:r>
        <w:rPr>
          <w:rFonts w:hint="eastAsia" w:ascii="宋体" w:hAnsi="宋体" w:eastAsia="宋体" w:cs="宋体"/>
          <w:color w:val="auto"/>
          <w:highlight w:val="none"/>
        </w:rPr>
        <w:drawing>
          <wp:anchor distT="0" distB="0" distL="114300" distR="114300" simplePos="0" relativeHeight="251669504" behindDoc="0" locked="0" layoutInCell="1" allowOverlap="1">
            <wp:simplePos x="0" y="0"/>
            <wp:positionH relativeFrom="column">
              <wp:posOffset>2926080</wp:posOffset>
            </wp:positionH>
            <wp:positionV relativeFrom="paragraph">
              <wp:posOffset>118110</wp:posOffset>
            </wp:positionV>
            <wp:extent cx="2962275" cy="2095500"/>
            <wp:effectExtent l="0" t="0" r="9525" b="0"/>
            <wp:wrapSquare wrapText="bothSides"/>
            <wp:docPr id="1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20"/>
                    <pic:cNvPicPr>
                      <a:picLocks noChangeAspect="1"/>
                    </pic:cNvPicPr>
                  </pic:nvPicPr>
                  <pic:blipFill>
                    <a:blip r:embed="rId11"/>
                    <a:stretch>
                      <a:fillRect/>
                    </a:stretch>
                  </pic:blipFill>
                  <pic:spPr>
                    <a:xfrm>
                      <a:off x="0" y="0"/>
                      <a:ext cx="2962275" cy="2095500"/>
                    </a:xfrm>
                    <a:prstGeom prst="rect">
                      <a:avLst/>
                    </a:prstGeom>
                    <a:noFill/>
                    <a:ln>
                      <a:noFill/>
                    </a:ln>
                  </pic:spPr>
                </pic:pic>
              </a:graphicData>
            </a:graphic>
          </wp:anchor>
        </w:drawing>
      </w:r>
      <w:r>
        <w:rPr>
          <w:rFonts w:hint="eastAsia" w:ascii="宋体" w:hAnsi="宋体" w:eastAsia="宋体" w:cs="宋体"/>
          <w:color w:val="auto"/>
          <w:highlight w:val="none"/>
        </w:rPr>
        <w:drawing>
          <wp:anchor distT="0" distB="0" distL="114300" distR="114300" simplePos="0" relativeHeight="251668480" behindDoc="0" locked="0" layoutInCell="1" allowOverlap="1">
            <wp:simplePos x="0" y="0"/>
            <wp:positionH relativeFrom="column">
              <wp:posOffset>-123190</wp:posOffset>
            </wp:positionH>
            <wp:positionV relativeFrom="paragraph">
              <wp:posOffset>50800</wp:posOffset>
            </wp:positionV>
            <wp:extent cx="2971800" cy="2152650"/>
            <wp:effectExtent l="0" t="0" r="0" b="0"/>
            <wp:wrapSquare wrapText="bothSides"/>
            <wp:docPr id="9"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19"/>
                    <pic:cNvPicPr>
                      <a:picLocks noChangeAspect="1"/>
                    </pic:cNvPicPr>
                  </pic:nvPicPr>
                  <pic:blipFill>
                    <a:blip r:embed="rId12"/>
                    <a:stretch>
                      <a:fillRect/>
                    </a:stretch>
                  </pic:blipFill>
                  <pic:spPr>
                    <a:xfrm>
                      <a:off x="0" y="0"/>
                      <a:ext cx="2971800" cy="2152650"/>
                    </a:xfrm>
                    <a:prstGeom prst="rect">
                      <a:avLst/>
                    </a:prstGeom>
                    <a:noFill/>
                    <a:ln>
                      <a:noFill/>
                    </a:ln>
                  </pic:spPr>
                </pic:pic>
              </a:graphicData>
            </a:graphic>
          </wp:anchor>
        </w:drawing>
      </w:r>
    </w:p>
    <w:p w14:paraId="1B53D3C8">
      <w:pPr>
        <w:pStyle w:val="22"/>
        <w:outlineLvl w:val="9"/>
        <w:rPr>
          <w:rFonts w:hint="eastAsia" w:ascii="宋体" w:hAnsi="宋体" w:eastAsia="宋体" w:cs="宋体"/>
          <w:color w:val="auto"/>
          <w:highlight w:val="none"/>
          <w:lang w:eastAsia="zh-CN"/>
        </w:rPr>
      </w:pPr>
    </w:p>
    <w:p w14:paraId="1789CCF8">
      <w:pPr>
        <w:outlineLvl w:val="9"/>
        <w:rPr>
          <w:rFonts w:hint="eastAsia" w:ascii="宋体" w:hAnsi="宋体" w:eastAsia="宋体" w:cs="宋体"/>
          <w:color w:val="auto"/>
          <w:highlight w:val="none"/>
          <w:lang w:eastAsia="zh-CN"/>
        </w:rPr>
      </w:pPr>
    </w:p>
    <w:p w14:paraId="06D44892">
      <w:pPr>
        <w:pStyle w:val="22"/>
        <w:outlineLvl w:val="9"/>
        <w:rPr>
          <w:rFonts w:hint="eastAsia" w:ascii="宋体" w:hAnsi="宋体" w:eastAsia="宋体" w:cs="宋体"/>
          <w:color w:val="auto"/>
          <w:highlight w:val="none"/>
          <w:lang w:eastAsia="zh-CN"/>
        </w:rPr>
      </w:pPr>
      <w:r>
        <w:rPr>
          <w:rFonts w:hint="eastAsia" w:ascii="宋体" w:hAnsi="宋体" w:eastAsia="宋体" w:cs="宋体"/>
          <w:color w:val="auto"/>
          <w:sz w:val="21"/>
          <w:highlight w:val="none"/>
        </w:rPr>
        <mc:AlternateContent>
          <mc:Choice Requires="wps">
            <w:drawing>
              <wp:anchor distT="0" distB="0" distL="114300" distR="114300" simplePos="0" relativeHeight="251671552" behindDoc="0" locked="0" layoutInCell="1" allowOverlap="1">
                <wp:simplePos x="0" y="0"/>
                <wp:positionH relativeFrom="column">
                  <wp:posOffset>3014980</wp:posOffset>
                </wp:positionH>
                <wp:positionV relativeFrom="paragraph">
                  <wp:posOffset>135255</wp:posOffset>
                </wp:positionV>
                <wp:extent cx="2804795" cy="1946910"/>
                <wp:effectExtent l="4445" t="4445" r="10160" b="10795"/>
                <wp:wrapNone/>
                <wp:docPr id="20" name="文本框 20"/>
                <wp:cNvGraphicFramePr/>
                <a:graphic xmlns:a="http://schemas.openxmlformats.org/drawingml/2006/main">
                  <a:graphicData uri="http://schemas.microsoft.com/office/word/2010/wordprocessingShape">
                    <wps:wsp>
                      <wps:cNvSpPr txBox="1"/>
                      <wps:spPr>
                        <a:xfrm>
                          <a:off x="0" y="0"/>
                          <a:ext cx="2804795" cy="19469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86EA6B9"/>
                          <w:p w14:paraId="0AD4290C">
                            <w:pPr>
                              <w:jc w:val="center"/>
                              <w:rPr>
                                <w:rFonts w:hAnsi="宋体"/>
                                <w:color w:val="FF0000"/>
                              </w:rPr>
                            </w:pPr>
                          </w:p>
                          <w:p w14:paraId="6AD8DCFF">
                            <w:pPr>
                              <w:jc w:val="center"/>
                              <w:rPr>
                                <w:rFonts w:hAnsi="宋体"/>
                                <w:color w:val="FF0000"/>
                              </w:rPr>
                            </w:pPr>
                          </w:p>
                          <w:p w14:paraId="151C243F">
                            <w:pPr>
                              <w:jc w:val="center"/>
                              <w:rPr>
                                <w:rFonts w:hAnsi="宋体"/>
                                <w:color w:val="FF0000"/>
                              </w:rPr>
                            </w:pPr>
                          </w:p>
                          <w:p w14:paraId="7A378842">
                            <w:pPr>
                              <w:jc w:val="center"/>
                              <w:rPr>
                                <w:rFonts w:hint="eastAsia" w:hAnsi="宋体" w:eastAsiaTheme="minorEastAsia"/>
                                <w:lang w:eastAsia="zh-CN"/>
                              </w:rPr>
                            </w:pPr>
                            <w:r>
                              <w:rPr>
                                <w:rFonts w:hint="eastAsia" w:hAnsi="宋体"/>
                              </w:rPr>
                              <w:t>被授权人身份证</w:t>
                            </w:r>
                            <w:r>
                              <w:rPr>
                                <w:rFonts w:hint="eastAsia" w:hAnsi="宋体"/>
                                <w:lang w:val="en-US" w:eastAsia="zh-CN"/>
                              </w:rPr>
                              <w:t>反面</w:t>
                            </w:r>
                          </w:p>
                          <w:p w14:paraId="0D2B7877"/>
                          <w:p w14:paraId="05352BA2"/>
                          <w:p w14:paraId="7E295B55"/>
                          <w:p w14:paraId="0FC316D2"/>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7.4pt;margin-top:10.65pt;height:153.3pt;width:220.85pt;z-index:251671552;mso-width-relative:page;mso-height-relative:page;" fillcolor="#FFFFFF [3201]" filled="t" stroked="t" coordsize="21600,21600" o:gfxdata="UEsDBAoAAAAAAIdO4kAAAAAAAAAAAAAAAAAEAAAAZHJzL1BLAwQUAAAACACHTuJAXYQWW9gAAAAK&#10;AQAADwAAAGRycy9kb3ducmV2LnhtbE2PzU7DMBCE70i8g7VI3KjzU1IasqkEEhLiRsmFmxtvkwh7&#10;HdluU94ec4LjaEYz3zS7izXiTD5MjhHyVQaCuHd64gGh+3i5ewARomKtjGNC+KYAu/b6qlG1dgu/&#10;03kfB5FKONQKYYxxrqUM/UhWhZWbiZN3dN6qmKQfpPZqSeXWyCLLKmnVxGlhVDM9j9R/7U8W4bV6&#10;ip/U6TddFqVbOtn7owmItzd59ggi0iX+heEXP6FDm5gO7sQ6CIOw3qwTekQo8hJECmzz6h7EAaEs&#10;NluQbSP/X2h/AFBLAwQUAAAACACHTuJAGDV1OVwCAAC6BAAADgAAAGRycy9lMm9Eb2MueG1srVTN&#10;bhMxEL4j8Q6W73STkJYm6qYKrYKQKlqpIM6O15u18B+2k93yAPAGnLhw57n6HHz2Jukfhx7Yg3c8&#10;M/vNzDcze3LaaUU2wgdpTUmHBwNKhOG2kmZV0k8fF6+OKQmRmYopa0RJb0Sgp7OXL05aNxUj21hV&#10;CU8AYsK0dSVtYnTTogi8EZqFA+uEgbG2XrOIq18VlWct0LUqRoPBUdFaXzlvuQgB2vPeSLeI/jmA&#10;tq4lF+eWr7UwsUf1QrGIkkIjXaCznG1dCx4v6zqISFRJUWnMJ4JAXqazmJ2w6coz10i+TYE9J4VH&#10;NWkmDYLuoc5ZZGTt5RMoLbm3wdbxgFtd9IVkRlDFcPCIm+uGOZFrAdXB7UkP/w+Wf9hceSKrko5A&#10;iWEaHb/9+eP215/b398JdCCodWEKv2sHz9i9tR3GZqcPUKa6u9rr9EZFBHZg3ezpFV0kHMrR8WD8&#10;ZnJICYdtOBkfTYYZv7j73PkQ3wmrSRJK6tG/TCvbXISIVOC6c0nRglWyWkil8sWvlmfKkw1Drxf5&#10;SVnikwduypC2pEevDwcZ+YEtYe8hlorxL08RgKcMYBMrffVJit2y21K1tNUNmPK2H7bg+EIC94KF&#10;eMU8pgvkYP/iJY5aWSRjtxIljfXf/qVP/mg6rJS0mNaShq9r5gUl6r3BOEyG4zFgY76MD9+kZvr7&#10;luV9i1nrMwuShth0x7OY/KPaibW3+jPWdJ6iwsQMR+ySxp14FvsdwppzMZ9nJwy0Y/HCXDueoFNL&#10;jJ2vo61lbl2iqedmyx5GOrdnu35pZ+7fs9fdL2f2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F2E&#10;FlvYAAAACgEAAA8AAAAAAAAAAQAgAAAAIgAAAGRycy9kb3ducmV2LnhtbFBLAQIUABQAAAAIAIdO&#10;4kAYNXU5XAIAALoEAAAOAAAAAAAAAAEAIAAAACcBAABkcnMvZTJvRG9jLnhtbFBLBQYAAAAABgAG&#10;AFkBAAD1BQAAAAA=&#10;">
                <v:fill on="t" focussize="0,0"/>
                <v:stroke weight="0.5pt" color="#000000 [3204]" joinstyle="round"/>
                <v:imagedata o:title=""/>
                <o:lock v:ext="edit" aspectratio="f"/>
                <v:textbox>
                  <w:txbxContent>
                    <w:p w14:paraId="586EA6B9"/>
                    <w:p w14:paraId="0AD4290C">
                      <w:pPr>
                        <w:jc w:val="center"/>
                        <w:rPr>
                          <w:rFonts w:hAnsi="宋体"/>
                          <w:color w:val="FF0000"/>
                        </w:rPr>
                      </w:pPr>
                    </w:p>
                    <w:p w14:paraId="6AD8DCFF">
                      <w:pPr>
                        <w:jc w:val="center"/>
                        <w:rPr>
                          <w:rFonts w:hAnsi="宋体"/>
                          <w:color w:val="FF0000"/>
                        </w:rPr>
                      </w:pPr>
                    </w:p>
                    <w:p w14:paraId="151C243F">
                      <w:pPr>
                        <w:jc w:val="center"/>
                        <w:rPr>
                          <w:rFonts w:hAnsi="宋体"/>
                          <w:color w:val="FF0000"/>
                        </w:rPr>
                      </w:pPr>
                    </w:p>
                    <w:p w14:paraId="7A378842">
                      <w:pPr>
                        <w:jc w:val="center"/>
                        <w:rPr>
                          <w:rFonts w:hint="eastAsia" w:hAnsi="宋体" w:eastAsiaTheme="minorEastAsia"/>
                          <w:lang w:eastAsia="zh-CN"/>
                        </w:rPr>
                      </w:pPr>
                      <w:r>
                        <w:rPr>
                          <w:rFonts w:hint="eastAsia" w:hAnsi="宋体"/>
                        </w:rPr>
                        <w:t>被授权人身份证</w:t>
                      </w:r>
                      <w:r>
                        <w:rPr>
                          <w:rFonts w:hint="eastAsia" w:hAnsi="宋体"/>
                          <w:lang w:val="en-US" w:eastAsia="zh-CN"/>
                        </w:rPr>
                        <w:t>反面</w:t>
                      </w:r>
                    </w:p>
                    <w:p w14:paraId="0D2B7877"/>
                    <w:p w14:paraId="05352BA2"/>
                    <w:p w14:paraId="7E295B55"/>
                    <w:p w14:paraId="0FC316D2"/>
                  </w:txbxContent>
                </v:textbox>
              </v:shape>
            </w:pict>
          </mc:Fallback>
        </mc:AlternateContent>
      </w:r>
    </w:p>
    <w:p w14:paraId="77F9BC5C">
      <w:pPr>
        <w:outlineLvl w:val="9"/>
        <w:rPr>
          <w:rFonts w:hint="eastAsia" w:ascii="宋体" w:hAnsi="宋体" w:eastAsia="宋体" w:cs="宋体"/>
          <w:color w:val="auto"/>
          <w:highlight w:val="none"/>
          <w:lang w:eastAsia="zh-CN"/>
        </w:rPr>
      </w:pPr>
    </w:p>
    <w:p w14:paraId="2F760B4E">
      <w:pPr>
        <w:outlineLvl w:val="9"/>
        <w:rPr>
          <w:rFonts w:hint="eastAsia" w:ascii="宋体" w:hAnsi="宋体" w:eastAsia="宋体" w:cs="宋体"/>
          <w:color w:val="auto"/>
          <w:highlight w:val="none"/>
          <w:lang w:eastAsia="zh-CN"/>
        </w:rPr>
      </w:pPr>
    </w:p>
    <w:p w14:paraId="4EF2A2C1">
      <w:pPr>
        <w:outlineLvl w:val="9"/>
        <w:rPr>
          <w:rFonts w:hint="eastAsia" w:ascii="宋体" w:hAnsi="宋体" w:eastAsia="宋体" w:cs="宋体"/>
          <w:color w:val="auto"/>
          <w:highlight w:val="none"/>
          <w:lang w:eastAsia="zh-CN"/>
        </w:rPr>
      </w:pPr>
    </w:p>
    <w:p w14:paraId="044D3A4E">
      <w:pPr>
        <w:outlineLvl w:val="9"/>
        <w:rPr>
          <w:rFonts w:hint="eastAsia" w:ascii="宋体" w:hAnsi="宋体" w:eastAsia="宋体" w:cs="宋体"/>
          <w:color w:val="auto"/>
          <w:highlight w:val="none"/>
          <w:lang w:eastAsia="zh-CN"/>
        </w:rPr>
      </w:pPr>
    </w:p>
    <w:p w14:paraId="50379EBA">
      <w:pPr>
        <w:outlineLvl w:val="9"/>
        <w:rPr>
          <w:rFonts w:hint="eastAsia" w:ascii="宋体" w:hAnsi="宋体" w:eastAsia="宋体" w:cs="宋体"/>
          <w:color w:val="auto"/>
          <w:highlight w:val="none"/>
          <w:lang w:eastAsia="zh-CN"/>
        </w:rPr>
      </w:pPr>
    </w:p>
    <w:p w14:paraId="031F63FE">
      <w:pPr>
        <w:outlineLvl w:val="9"/>
        <w:rPr>
          <w:rFonts w:hint="eastAsia" w:ascii="宋体" w:hAnsi="宋体" w:eastAsia="宋体" w:cs="宋体"/>
          <w:color w:val="auto"/>
          <w:highlight w:val="none"/>
          <w:lang w:eastAsia="zh-CN"/>
        </w:rPr>
      </w:pPr>
    </w:p>
    <w:p w14:paraId="06A6B161">
      <w:pPr>
        <w:pStyle w:val="22"/>
        <w:outlineLvl w:val="9"/>
        <w:rPr>
          <w:rFonts w:hint="eastAsia" w:ascii="宋体" w:hAnsi="宋体" w:eastAsia="宋体" w:cs="宋体"/>
          <w:color w:val="auto"/>
          <w:highlight w:val="none"/>
          <w:lang w:eastAsia="zh-CN"/>
        </w:rPr>
      </w:pPr>
    </w:p>
    <w:p w14:paraId="4B6F0B77">
      <w:pPr>
        <w:outlineLvl w:val="9"/>
        <w:rPr>
          <w:rFonts w:hint="eastAsia" w:ascii="宋体" w:hAnsi="宋体" w:eastAsia="宋体" w:cs="宋体"/>
          <w:color w:val="auto"/>
          <w:highlight w:val="none"/>
          <w:lang w:eastAsia="zh-CN"/>
        </w:rPr>
      </w:pPr>
    </w:p>
    <w:p w14:paraId="3CCAB7DE">
      <w:pPr>
        <w:outlineLvl w:val="9"/>
        <w:rPr>
          <w:rFonts w:hint="eastAsia" w:ascii="宋体" w:hAnsi="宋体" w:eastAsia="宋体" w:cs="宋体"/>
          <w:color w:val="auto"/>
          <w:highlight w:val="none"/>
          <w:lang w:eastAsia="zh-CN"/>
        </w:rPr>
      </w:pPr>
    </w:p>
    <w:p w14:paraId="0818337C">
      <w:pPr>
        <w:outlineLvl w:val="9"/>
        <w:rPr>
          <w:rFonts w:hint="eastAsia" w:ascii="宋体" w:hAnsi="宋体" w:eastAsia="宋体" w:cs="宋体"/>
          <w:color w:val="auto"/>
          <w:highlight w:val="none"/>
          <w:lang w:eastAsia="zh-CN"/>
        </w:rPr>
      </w:pPr>
    </w:p>
    <w:p w14:paraId="0D543789">
      <w:pPr>
        <w:outlineLvl w:val="9"/>
        <w:rPr>
          <w:rFonts w:hint="eastAsia" w:ascii="宋体" w:hAnsi="宋体" w:eastAsia="宋体" w:cs="宋体"/>
          <w:color w:val="auto"/>
          <w:highlight w:val="none"/>
          <w:lang w:eastAsia="zh-CN"/>
        </w:rPr>
      </w:pPr>
      <w:r>
        <w:rPr>
          <w:rFonts w:hint="eastAsia" w:ascii="宋体" w:hAnsi="宋体" w:eastAsia="宋体" w:cs="宋体"/>
          <w:color w:val="auto"/>
          <w:sz w:val="21"/>
          <w:highlight w:val="none"/>
        </w:rPr>
        <mc:AlternateContent>
          <mc:Choice Requires="wps">
            <w:drawing>
              <wp:anchor distT="0" distB="0" distL="114300" distR="114300" simplePos="0" relativeHeight="251670528" behindDoc="0" locked="0" layoutInCell="1" allowOverlap="1">
                <wp:simplePos x="0" y="0"/>
                <wp:positionH relativeFrom="column">
                  <wp:posOffset>-10795</wp:posOffset>
                </wp:positionH>
                <wp:positionV relativeFrom="paragraph">
                  <wp:posOffset>149860</wp:posOffset>
                </wp:positionV>
                <wp:extent cx="2794000" cy="1936750"/>
                <wp:effectExtent l="5080" t="4445" r="20320" b="20955"/>
                <wp:wrapNone/>
                <wp:docPr id="19" name="文本框 19"/>
                <wp:cNvGraphicFramePr/>
                <a:graphic xmlns:a="http://schemas.openxmlformats.org/drawingml/2006/main">
                  <a:graphicData uri="http://schemas.microsoft.com/office/word/2010/wordprocessingShape">
                    <wps:wsp>
                      <wps:cNvSpPr txBox="1"/>
                      <wps:spPr>
                        <a:xfrm>
                          <a:off x="0" y="0"/>
                          <a:ext cx="2794000" cy="19367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74AC191"/>
                          <w:p w14:paraId="7CDACB03">
                            <w:pPr>
                              <w:jc w:val="center"/>
                              <w:rPr>
                                <w:rFonts w:hAnsi="宋体"/>
                                <w:color w:val="FF0000"/>
                              </w:rPr>
                            </w:pPr>
                          </w:p>
                          <w:p w14:paraId="6BCF1D9A">
                            <w:pPr>
                              <w:jc w:val="center"/>
                              <w:rPr>
                                <w:rFonts w:hAnsi="宋体"/>
                                <w:color w:val="FF0000"/>
                              </w:rPr>
                            </w:pPr>
                          </w:p>
                          <w:p w14:paraId="05D1CA2C">
                            <w:pPr>
                              <w:jc w:val="center"/>
                              <w:rPr>
                                <w:rFonts w:hAnsi="宋体"/>
                                <w:color w:val="FF0000"/>
                              </w:rPr>
                            </w:pPr>
                          </w:p>
                          <w:p w14:paraId="1020A7EF">
                            <w:pPr>
                              <w:jc w:val="center"/>
                            </w:pPr>
                            <w:r>
                              <w:rPr>
                                <w:rFonts w:hint="eastAsia" w:hAnsi="宋体"/>
                              </w:rPr>
                              <w:t>被授权人身份证正面</w:t>
                            </w:r>
                          </w:p>
                          <w:p w14:paraId="0534AF76"/>
                          <w:p w14:paraId="10EAFDF9"/>
                          <w:p w14:paraId="75958EEE"/>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85pt;margin-top:11.8pt;height:152.5pt;width:220pt;z-index:251670528;mso-width-relative:page;mso-height-relative:page;" fillcolor="#FFFFFF [3201]" filled="t" stroked="t" coordsize="21600,21600" o:gfxdata="UEsDBAoAAAAAAIdO4kAAAAAAAAAAAAAAAAAEAAAAZHJzL1BLAwQUAAAACACHTuJA6NTNBtYAAAAJ&#10;AQAADwAAAGRycy9kb3ducmV2LnhtbE2PQUvEMBSE74L/ITzB227aRmqpfV1QEMSbay97yzZv22Ly&#10;Uprsdv33xpMehxlmvml2V2fFhZYweUbItxkI4t6biQeE7vN1U4EIUbPR1jMhfFOAXXt70+ja+JU/&#10;6LKPg0glHGqNMMY411KGfiSnw9bPxMk7+cXpmOQySLPoNZU7K4ssK6XTE6eFUc/0MlL/tT87hLfy&#10;OR6oM+9GFcqvneyXkw2I93d59gQi0jX+heEXP6FDm5iO/swmCIuwyR9TEqFQJYjkP6hKgTgiqKIq&#10;QbaN/P+g/QFQSwMEFAAAAAgAh07iQCiU2rNaAgAAugQAAA4AAABkcnMvZTJvRG9jLnhtbK1UzW4T&#10;MRC+I/EOlu90kzRtSdRNFVoFIVW0UkGcHa83a+E/bCe75QHgDThx4c5z9Tn47E3S0nLogT14xzOz&#10;38x8M7OnZ51WZCN8kNaUdHgwoEQYbitpViX9+GHx6jUlITJTMWWNKOmtCPRs9vLFaeumYmQbqyrh&#10;CUBMmLaupE2MbloUgTdCs3BgnTAw1tZrFnH1q6LyrAW6VsVoMDguWusr5y0XIUB70RvpFtE/B9DW&#10;teTiwvK1Fib2qF4oFlFSaKQLdJazrWvB41VdBxGJKikqjflEEMjLdBazUzZdeeYaybcpsOek8Kgm&#10;zaRB0D3UBYuMrL18AqUl9zbYOh5wq4u+kMwIqhgOHnFz0zAnci2gOrg96eH/wfL3m2tPZIVJmFBi&#10;mEbH7358v/v5++7XNwIdCGpdmMLvxsEzdm9sB+edPkCZ6u5qr9MbFRHYQe/tnl7RRcKhHJ1MxoMB&#10;TBy24eTw+OQoN6C4/9z5EN8Kq0kSSurRv0wr21yGiFTgunNJ0YJVslpIpfLFr5bnypMNQ68X+UlZ&#10;4pO/3JQhbUmPDxH7CUTC3kMsFeOfnyIATxnAJlb66pMUu2W3pWppq1sw5W0/bMHxhQTuJQvxmnlM&#10;FxjA/sUrHLWySMZuJUoa67/+S5/80XRYKWkxrSUNX9bMC0rUO4NxmAzHY8DGfBkfnYxw8Q8ty4cW&#10;s9bnFiQNsemOZzH5R7UTa2/1J6zpPEWFiRmO2CWNO/E89juENediPs9OGGjH4qW5cTxBJ3KNna+j&#10;rWVuXaKp52bLHkY6t2e7fmlnHt6z1/0vZ/YH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6NTNBtYA&#10;AAAJAQAADwAAAAAAAAABACAAAAAiAAAAZHJzL2Rvd25yZXYueG1sUEsBAhQAFAAAAAgAh07iQCiU&#10;2rNaAgAAugQAAA4AAAAAAAAAAQAgAAAAJQEAAGRycy9lMm9Eb2MueG1sUEsFBgAAAAAGAAYAWQEA&#10;APEFAAAAAA==&#10;">
                <v:fill on="t" focussize="0,0"/>
                <v:stroke weight="0.5pt" color="#000000 [3204]" joinstyle="round"/>
                <v:imagedata o:title=""/>
                <o:lock v:ext="edit" aspectratio="f"/>
                <v:textbox>
                  <w:txbxContent>
                    <w:p w14:paraId="774AC191"/>
                    <w:p w14:paraId="7CDACB03">
                      <w:pPr>
                        <w:jc w:val="center"/>
                        <w:rPr>
                          <w:rFonts w:hAnsi="宋体"/>
                          <w:color w:val="FF0000"/>
                        </w:rPr>
                      </w:pPr>
                    </w:p>
                    <w:p w14:paraId="6BCF1D9A">
                      <w:pPr>
                        <w:jc w:val="center"/>
                        <w:rPr>
                          <w:rFonts w:hAnsi="宋体"/>
                          <w:color w:val="FF0000"/>
                        </w:rPr>
                      </w:pPr>
                    </w:p>
                    <w:p w14:paraId="05D1CA2C">
                      <w:pPr>
                        <w:jc w:val="center"/>
                        <w:rPr>
                          <w:rFonts w:hAnsi="宋体"/>
                          <w:color w:val="FF0000"/>
                        </w:rPr>
                      </w:pPr>
                    </w:p>
                    <w:p w14:paraId="1020A7EF">
                      <w:pPr>
                        <w:jc w:val="center"/>
                      </w:pPr>
                      <w:r>
                        <w:rPr>
                          <w:rFonts w:hint="eastAsia" w:hAnsi="宋体"/>
                        </w:rPr>
                        <w:t>被授权人身份证正面</w:t>
                      </w:r>
                    </w:p>
                    <w:p w14:paraId="0534AF76"/>
                    <w:p w14:paraId="10EAFDF9"/>
                    <w:p w14:paraId="75958EEE"/>
                  </w:txbxContent>
                </v:textbox>
              </v:shape>
            </w:pict>
          </mc:Fallback>
        </mc:AlternateContent>
      </w:r>
    </w:p>
    <w:p w14:paraId="34938468">
      <w:pPr>
        <w:outlineLvl w:val="9"/>
        <w:rPr>
          <w:rFonts w:hint="eastAsia" w:ascii="宋体" w:hAnsi="宋体" w:eastAsia="宋体" w:cs="宋体"/>
          <w:color w:val="auto"/>
          <w:highlight w:val="none"/>
          <w:lang w:eastAsia="zh-CN"/>
        </w:rPr>
      </w:pPr>
      <w:r>
        <w:rPr>
          <w:rFonts w:hint="eastAsia" w:ascii="宋体" w:hAnsi="宋体" w:eastAsia="宋体" w:cs="宋体"/>
          <w:color w:val="auto"/>
          <w:sz w:val="21"/>
          <w:highlight w:val="none"/>
        </w:rPr>
        <mc:AlternateContent>
          <mc:Choice Requires="wps">
            <w:drawing>
              <wp:anchor distT="0" distB="0" distL="114300" distR="114300" simplePos="0" relativeHeight="251672576" behindDoc="0" locked="0" layoutInCell="1" allowOverlap="1">
                <wp:simplePos x="0" y="0"/>
                <wp:positionH relativeFrom="column">
                  <wp:posOffset>3030855</wp:posOffset>
                </wp:positionH>
                <wp:positionV relativeFrom="paragraph">
                  <wp:posOffset>2540</wp:posOffset>
                </wp:positionV>
                <wp:extent cx="2794000" cy="1936750"/>
                <wp:effectExtent l="5080" t="4445" r="20320" b="20955"/>
                <wp:wrapNone/>
                <wp:docPr id="1" name="文本框 1"/>
                <wp:cNvGraphicFramePr/>
                <a:graphic xmlns:a="http://schemas.openxmlformats.org/drawingml/2006/main">
                  <a:graphicData uri="http://schemas.microsoft.com/office/word/2010/wordprocessingShape">
                    <wps:wsp>
                      <wps:cNvSpPr txBox="1"/>
                      <wps:spPr>
                        <a:xfrm>
                          <a:off x="0" y="0"/>
                          <a:ext cx="2794000" cy="19367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611C1AA"/>
                          <w:p w14:paraId="21725232">
                            <w:pPr>
                              <w:jc w:val="center"/>
                              <w:rPr>
                                <w:rFonts w:hAnsi="宋体"/>
                                <w:color w:val="FF0000"/>
                              </w:rPr>
                            </w:pPr>
                          </w:p>
                          <w:p w14:paraId="002F538A">
                            <w:pPr>
                              <w:jc w:val="center"/>
                              <w:rPr>
                                <w:rFonts w:hAnsi="宋体"/>
                                <w:color w:val="FF0000"/>
                              </w:rPr>
                            </w:pPr>
                          </w:p>
                          <w:p w14:paraId="72392ACA">
                            <w:pPr>
                              <w:jc w:val="center"/>
                              <w:rPr>
                                <w:rFonts w:hAnsi="宋体"/>
                                <w:color w:val="FF0000"/>
                              </w:rPr>
                            </w:pPr>
                          </w:p>
                          <w:p w14:paraId="72AE2A4B">
                            <w:pPr>
                              <w:jc w:val="center"/>
                            </w:pPr>
                            <w:r>
                              <w:rPr>
                                <w:rFonts w:hint="eastAsia" w:hAnsi="宋体"/>
                              </w:rPr>
                              <w:t>被授权人身份证</w:t>
                            </w:r>
                            <w:r>
                              <w:rPr>
                                <w:rFonts w:hint="eastAsia" w:hAnsi="宋体"/>
                                <w:lang w:val="en-US" w:eastAsia="zh-CN"/>
                              </w:rPr>
                              <w:t>反</w:t>
                            </w:r>
                            <w:r>
                              <w:rPr>
                                <w:rFonts w:hint="eastAsia" w:hAnsi="宋体"/>
                              </w:rPr>
                              <w:t>面</w:t>
                            </w:r>
                          </w:p>
                          <w:p w14:paraId="422DEA77"/>
                          <w:p w14:paraId="53B93127"/>
                          <w:p w14:paraId="7CD8982B"/>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8.65pt;margin-top:0.2pt;height:152.5pt;width:220pt;z-index:251672576;mso-width-relative:page;mso-height-relative:page;" fillcolor="#FFFFFF [3201]" filled="t" stroked="t" coordsize="21600,21600" o:gfxdata="UEsDBAoAAAAAAIdO4kAAAAAAAAAAAAAAAAAEAAAAZHJzL1BLAwQUAAAACACHTuJANpV24dUAAAAI&#10;AQAADwAAAGRycy9kb3ducmV2LnhtbE2PwU7DMBBE70j8g7VI3KidprQQ4lQCCQlxo+TCzY23SYS9&#10;jmy3KX/P9gS3Hc1o9k29PXsnThjTGEhDsVAgkLpgR+o1tJ+vdw8gUjZkjQuEGn4wwba5vqpNZcNM&#10;H3ja5V5wCaXKaBhyniopUzegN2kRJiT2DiF6k1nGXtpoZi73Ti6VWktvRuIPg5nwZcDue3f0Gt7W&#10;z/kLW/tuy2UZ5lZ28eCS1rc3hXoCkfGc/8JwwWd0aJhpH45kk3AaVptNyVE+QLD9WFzkXkOp7lcg&#10;m1r+H9D8AlBLAwQUAAAACACHTuJA4vu+sVgCAAC4BAAADgAAAGRycy9lMm9Eb2MueG1srVTNbtQw&#10;EL4j8Q6W7zS7221LV81WS6tFSBWtVBBnr+NsLPyH7d2kPAC8AScu3HmuPgefnXRbWg49kIMz45l8&#10;M/PNTE5OO63IVvggrSnpeG9EiTDcVtKsS/rxw/LVa0pCZKZiyhpR0hsR6On85YuT1s3ExDZWVcIT&#10;gJgwa11JmxjdrCgCb4RmYc86YWCsrdcsQvXrovKsBbpWxWQ0Oixa6yvnLRch4Pa8N9IB0T8H0Na1&#10;5OLc8o0WJvaoXigWUVJopAt0nrOta8HjZV0HEYkqKSqN+UQQyKt0FvMTNlt75hrJhxTYc1J4VJNm&#10;0iDoDuqcRUY2Xj6B0pJ7G2wd97jVRV9IZgRVjEePuLlumBO5FlAd3I708P9g+fvtlSeywiRQYphG&#10;w29/fL/9+fv21zcyTvS0Lszgde3gF7s3tkuuw33AZaq6q71Ob9RDYAe5NztyRRcJx+Xk6Hg6GsHE&#10;YRsf7x8eHWT6i/vPnQ/xrbCaJKGkHt3LpLLtRYgICdc7lxQtWCWrpVQqK369OlOebBk6vcxPyhKf&#10;/OWmDGlLeriP2E8gEvYOYqUY//wUAXjKADax0lefpNituoGSla1uwJS3/agFx5cSuBcsxCvmMVtg&#10;ANsXL3HUyiIZO0iUNNZ//dd98kfLYaWkxayWNHzZMC8oUe8MhuF4PJ0CNmZlenA0geIfWlYPLWaj&#10;zyxIQsORXRaTf1R3Yu2t/oQlXaSoMDHDEbuk8U48i/0GYcm5WCyyE8bZsXhhrh1P0IlcYxebaGuZ&#10;W5do6rkZ2MNA5/YMy5c25qGeve5/OPM/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NpV24dUAAAAI&#10;AQAADwAAAAAAAAABACAAAAAiAAAAZHJzL2Rvd25yZXYueG1sUEsBAhQAFAAAAAgAh07iQOL7vrFY&#10;AgAAuAQAAA4AAAAAAAAAAQAgAAAAJAEAAGRycy9lMm9Eb2MueG1sUEsFBgAAAAAGAAYAWQEAAO4F&#10;AAAAAA==&#10;">
                <v:fill on="t" focussize="0,0"/>
                <v:stroke weight="0.5pt" color="#000000 [3204]" joinstyle="round"/>
                <v:imagedata o:title=""/>
                <o:lock v:ext="edit" aspectratio="f"/>
                <v:textbox>
                  <w:txbxContent>
                    <w:p w14:paraId="6611C1AA"/>
                    <w:p w14:paraId="21725232">
                      <w:pPr>
                        <w:jc w:val="center"/>
                        <w:rPr>
                          <w:rFonts w:hAnsi="宋体"/>
                          <w:color w:val="FF0000"/>
                        </w:rPr>
                      </w:pPr>
                    </w:p>
                    <w:p w14:paraId="002F538A">
                      <w:pPr>
                        <w:jc w:val="center"/>
                        <w:rPr>
                          <w:rFonts w:hAnsi="宋体"/>
                          <w:color w:val="FF0000"/>
                        </w:rPr>
                      </w:pPr>
                    </w:p>
                    <w:p w14:paraId="72392ACA">
                      <w:pPr>
                        <w:jc w:val="center"/>
                        <w:rPr>
                          <w:rFonts w:hAnsi="宋体"/>
                          <w:color w:val="FF0000"/>
                        </w:rPr>
                      </w:pPr>
                    </w:p>
                    <w:p w14:paraId="72AE2A4B">
                      <w:pPr>
                        <w:jc w:val="center"/>
                      </w:pPr>
                      <w:r>
                        <w:rPr>
                          <w:rFonts w:hint="eastAsia" w:hAnsi="宋体"/>
                        </w:rPr>
                        <w:t>被授权人身份证</w:t>
                      </w:r>
                      <w:r>
                        <w:rPr>
                          <w:rFonts w:hint="eastAsia" w:hAnsi="宋体"/>
                          <w:lang w:val="en-US" w:eastAsia="zh-CN"/>
                        </w:rPr>
                        <w:t>反</w:t>
                      </w:r>
                      <w:r>
                        <w:rPr>
                          <w:rFonts w:hint="eastAsia" w:hAnsi="宋体"/>
                        </w:rPr>
                        <w:t>面</w:t>
                      </w:r>
                    </w:p>
                    <w:p w14:paraId="422DEA77"/>
                    <w:p w14:paraId="53B93127"/>
                    <w:p w14:paraId="7CD8982B"/>
                  </w:txbxContent>
                </v:textbox>
              </v:shape>
            </w:pict>
          </mc:Fallback>
        </mc:AlternateContent>
      </w:r>
    </w:p>
    <w:p w14:paraId="13BE9650">
      <w:pPr>
        <w:pStyle w:val="2"/>
        <w:rPr>
          <w:rFonts w:hint="eastAsia" w:ascii="宋体" w:hAnsi="宋体" w:eastAsia="宋体" w:cs="宋体"/>
          <w:color w:val="auto"/>
          <w:highlight w:val="none"/>
          <w:lang w:eastAsia="zh-CN"/>
        </w:rPr>
      </w:pPr>
    </w:p>
    <w:p w14:paraId="70B59F20">
      <w:pPr>
        <w:pStyle w:val="2"/>
        <w:rPr>
          <w:rFonts w:hint="eastAsia" w:ascii="宋体" w:hAnsi="宋体" w:eastAsia="宋体" w:cs="宋体"/>
          <w:color w:val="auto"/>
          <w:highlight w:val="none"/>
          <w:lang w:eastAsia="zh-CN"/>
        </w:rPr>
      </w:pPr>
    </w:p>
    <w:p w14:paraId="33590671">
      <w:pPr>
        <w:pStyle w:val="2"/>
        <w:rPr>
          <w:rFonts w:hint="eastAsia" w:ascii="宋体" w:hAnsi="宋体" w:eastAsia="宋体" w:cs="宋体"/>
          <w:color w:val="auto"/>
          <w:highlight w:val="none"/>
          <w:lang w:eastAsia="zh-CN"/>
        </w:rPr>
      </w:pPr>
    </w:p>
    <w:p w14:paraId="33E7D7B4">
      <w:pPr>
        <w:pStyle w:val="2"/>
        <w:rPr>
          <w:rFonts w:hint="eastAsia" w:ascii="宋体" w:hAnsi="宋体" w:eastAsia="宋体" w:cs="宋体"/>
          <w:color w:val="auto"/>
          <w:highlight w:val="none"/>
          <w:lang w:eastAsia="zh-CN"/>
        </w:rPr>
      </w:pPr>
    </w:p>
    <w:p w14:paraId="4E1B8C85">
      <w:pPr>
        <w:pStyle w:val="2"/>
        <w:rPr>
          <w:rFonts w:hint="eastAsia" w:ascii="宋体" w:hAnsi="宋体" w:eastAsia="宋体" w:cs="宋体"/>
          <w:color w:val="auto"/>
          <w:highlight w:val="none"/>
          <w:lang w:eastAsia="zh-CN"/>
        </w:rPr>
      </w:pPr>
    </w:p>
    <w:p w14:paraId="46CE01D7">
      <w:pPr>
        <w:pStyle w:val="2"/>
        <w:rPr>
          <w:rFonts w:hint="eastAsia" w:ascii="宋体" w:hAnsi="宋体" w:eastAsia="宋体" w:cs="宋体"/>
          <w:color w:val="auto"/>
          <w:highlight w:val="none"/>
          <w:lang w:eastAsia="zh-CN"/>
        </w:rPr>
      </w:pPr>
    </w:p>
    <w:p w14:paraId="63CAFA05">
      <w:pPr>
        <w:pStyle w:val="2"/>
        <w:rPr>
          <w:rFonts w:hint="eastAsia" w:ascii="宋体" w:hAnsi="宋体" w:eastAsia="宋体" w:cs="宋体"/>
          <w:color w:val="auto"/>
          <w:highlight w:val="none"/>
          <w:lang w:eastAsia="zh-CN"/>
        </w:rPr>
      </w:pPr>
    </w:p>
    <w:p w14:paraId="488298C4">
      <w:pPr>
        <w:pStyle w:val="2"/>
        <w:rPr>
          <w:rFonts w:hint="eastAsia" w:ascii="宋体" w:hAnsi="宋体" w:eastAsia="宋体" w:cs="宋体"/>
          <w:color w:val="auto"/>
          <w:highlight w:val="none"/>
          <w:lang w:eastAsia="zh-CN"/>
        </w:rPr>
      </w:pPr>
    </w:p>
    <w:p w14:paraId="792B9798">
      <w:pPr>
        <w:outlineLvl w:val="9"/>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注：上述所附身份证应在有效期限内。</w:t>
      </w:r>
    </w:p>
    <w:p w14:paraId="57B21EFA">
      <w:pPr>
        <w:autoSpaceDE/>
        <w:autoSpaceDN/>
        <w:adjustRightInd/>
        <w:spacing w:line="240" w:lineRule="auto"/>
        <w:jc w:val="left"/>
        <w:outlineLvl w:val="9"/>
        <w:rPr>
          <w:rFonts w:hint="eastAsia"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rPr>
        <w:br w:type="page"/>
      </w:r>
    </w:p>
    <w:p w14:paraId="79D8BD80">
      <w:pPr>
        <w:autoSpaceDE/>
        <w:autoSpaceDN/>
        <w:adjustRightInd/>
        <w:spacing w:line="240" w:lineRule="auto"/>
        <w:jc w:val="left"/>
        <w:outlineLvl w:val="9"/>
        <w:rPr>
          <w:rFonts w:hint="eastAsia"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rPr>
        <w:t>4.3 最近3年投标人牵涉的其他（失信和违法）处罚说明</w:t>
      </w:r>
    </w:p>
    <w:p w14:paraId="491787CF">
      <w:pPr>
        <w:autoSpaceDE w:val="0"/>
        <w:autoSpaceDN w:val="0"/>
        <w:adjustRightInd w:val="0"/>
        <w:spacing w:line="360" w:lineRule="auto"/>
        <w:jc w:val="center"/>
        <w:outlineLvl w:val="9"/>
        <w:rPr>
          <w:rFonts w:hint="eastAsia" w:ascii="宋体" w:hAnsi="宋体" w:eastAsia="宋体" w:cs="宋体"/>
          <w:color w:val="auto"/>
          <w:kern w:val="0"/>
          <w:sz w:val="24"/>
          <w:szCs w:val="24"/>
          <w:highlight w:val="none"/>
        </w:rPr>
      </w:pPr>
      <w:r>
        <w:rPr>
          <w:rFonts w:hint="eastAsia" w:ascii="宋体" w:hAnsi="宋体" w:eastAsia="宋体" w:cs="宋体"/>
          <w:b/>
          <w:color w:val="auto"/>
          <w:kern w:val="0"/>
          <w:sz w:val="30"/>
          <w:szCs w:val="30"/>
          <w:highlight w:val="none"/>
        </w:rPr>
        <w:t>最近3年投标人牵涉的其他（失信和违法）</w:t>
      </w:r>
      <w:r>
        <w:rPr>
          <w:rFonts w:hint="eastAsia" w:ascii="宋体" w:hAnsi="宋体" w:eastAsia="宋体" w:cs="宋体"/>
          <w:b/>
          <w:bCs/>
          <w:color w:val="auto"/>
          <w:sz w:val="32"/>
          <w:szCs w:val="32"/>
          <w:highlight w:val="none"/>
          <w:lang w:val="zh-CN"/>
        </w:rPr>
        <w:t>处罚说明</w:t>
      </w:r>
    </w:p>
    <w:tbl>
      <w:tblPr>
        <w:tblStyle w:val="41"/>
        <w:tblW w:w="9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3"/>
        <w:gridCol w:w="1417"/>
        <w:gridCol w:w="2268"/>
        <w:gridCol w:w="1276"/>
      </w:tblGrid>
      <w:tr w14:paraId="3B89B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4253" w:type="dxa"/>
            <w:vAlign w:val="center"/>
          </w:tcPr>
          <w:p w14:paraId="2CBE3179">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         事项名称</w:t>
            </w:r>
          </w:p>
        </w:tc>
        <w:tc>
          <w:tcPr>
            <w:tcW w:w="1417" w:type="dxa"/>
            <w:vAlign w:val="center"/>
          </w:tcPr>
          <w:p w14:paraId="1A58BAD4">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认定时间</w:t>
            </w:r>
          </w:p>
        </w:tc>
        <w:tc>
          <w:tcPr>
            <w:tcW w:w="2268" w:type="dxa"/>
          </w:tcPr>
          <w:p w14:paraId="6C102938">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处罚期届满异常名录信息失效时间</w:t>
            </w:r>
          </w:p>
        </w:tc>
        <w:tc>
          <w:tcPr>
            <w:tcW w:w="1276" w:type="dxa"/>
            <w:vAlign w:val="center"/>
          </w:tcPr>
          <w:p w14:paraId="11E8DC9C">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备注</w:t>
            </w:r>
          </w:p>
        </w:tc>
      </w:tr>
      <w:tr w14:paraId="1BB38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4253" w:type="dxa"/>
            <w:vAlign w:val="center"/>
          </w:tcPr>
          <w:p w14:paraId="5A953B6E">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是否被认定为失信被执行人</w:t>
            </w:r>
          </w:p>
        </w:tc>
        <w:tc>
          <w:tcPr>
            <w:tcW w:w="1417" w:type="dxa"/>
            <w:vAlign w:val="center"/>
          </w:tcPr>
          <w:p w14:paraId="5EBB5359">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c>
          <w:tcPr>
            <w:tcW w:w="2268" w:type="dxa"/>
            <w:vAlign w:val="center"/>
          </w:tcPr>
          <w:p w14:paraId="7247ACE8">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c>
          <w:tcPr>
            <w:tcW w:w="1276" w:type="dxa"/>
            <w:vAlign w:val="center"/>
          </w:tcPr>
          <w:p w14:paraId="647DB537">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r>
      <w:tr w14:paraId="54F72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253" w:type="dxa"/>
            <w:vAlign w:val="center"/>
          </w:tcPr>
          <w:p w14:paraId="28D98BD6">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是否被认定为重大税收违法失信主体</w:t>
            </w:r>
          </w:p>
        </w:tc>
        <w:tc>
          <w:tcPr>
            <w:tcW w:w="1417" w:type="dxa"/>
            <w:vAlign w:val="center"/>
          </w:tcPr>
          <w:p w14:paraId="6AB258B9">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c>
          <w:tcPr>
            <w:tcW w:w="2268" w:type="dxa"/>
            <w:vAlign w:val="center"/>
          </w:tcPr>
          <w:p w14:paraId="75087710">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c>
          <w:tcPr>
            <w:tcW w:w="1276" w:type="dxa"/>
            <w:vAlign w:val="center"/>
          </w:tcPr>
          <w:p w14:paraId="6ABBF097">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r>
      <w:tr w14:paraId="3AB00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4253" w:type="dxa"/>
            <w:vAlign w:val="center"/>
          </w:tcPr>
          <w:p w14:paraId="273FD2A6">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是否被认定为政府采购严重违法失信行为记录名单</w:t>
            </w:r>
          </w:p>
        </w:tc>
        <w:tc>
          <w:tcPr>
            <w:tcW w:w="1417" w:type="dxa"/>
            <w:vAlign w:val="center"/>
          </w:tcPr>
          <w:p w14:paraId="5030A54D">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c>
          <w:tcPr>
            <w:tcW w:w="2268" w:type="dxa"/>
            <w:vAlign w:val="center"/>
          </w:tcPr>
          <w:p w14:paraId="60852985">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c>
          <w:tcPr>
            <w:tcW w:w="1276" w:type="dxa"/>
            <w:vAlign w:val="center"/>
          </w:tcPr>
          <w:p w14:paraId="641D1DF3">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r>
    </w:tbl>
    <w:p w14:paraId="5DC65F29">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p w14:paraId="31D68361">
      <w:pPr>
        <w:autoSpaceDE w:val="0"/>
        <w:autoSpaceDN w:val="0"/>
        <w:adjustRightInd w:val="0"/>
        <w:spacing w:line="360" w:lineRule="auto"/>
        <w:jc w:val="left"/>
        <w:outlineLvl w:val="9"/>
        <w:rPr>
          <w:rFonts w:hint="eastAsia" w:ascii="宋体" w:hAnsi="宋体" w:eastAsia="宋体" w:cs="宋体"/>
          <w:color w:val="auto"/>
          <w:szCs w:val="21"/>
          <w:highlight w:val="none"/>
          <w:lang w:val="zh-CN"/>
        </w:rPr>
      </w:pPr>
      <w:r>
        <w:rPr>
          <w:rFonts w:hint="eastAsia" w:ascii="宋体" w:hAnsi="宋体" w:eastAsia="宋体" w:cs="宋体"/>
          <w:color w:val="auto"/>
          <w:kern w:val="0"/>
          <w:szCs w:val="21"/>
          <w:highlight w:val="none"/>
        </w:rPr>
        <w:t>备注：根据投标人及其不具有独立法人资格的分支机构的实际情况自行编写，无相关事项的，在 “认定时间”列填“无”；若受到相关处罚的应附处罚相关材料复印件；若出现相关处罚的处罚期满,但处罚公示没有及时更新的情况,投标人须提供相关材料(复印件)佐证，需原件备查</w:t>
      </w:r>
      <w:r>
        <w:rPr>
          <w:rFonts w:hint="eastAsia" w:ascii="宋体" w:hAnsi="宋体" w:eastAsia="宋体" w:cs="宋体"/>
          <w:color w:val="auto"/>
          <w:szCs w:val="21"/>
          <w:highlight w:val="none"/>
          <w:lang w:val="zh-CN"/>
        </w:rPr>
        <w:t>。</w:t>
      </w:r>
    </w:p>
    <w:p w14:paraId="22E59B83">
      <w:pPr>
        <w:autoSpaceDE w:val="0"/>
        <w:autoSpaceDN w:val="0"/>
        <w:adjustRightInd w:val="0"/>
        <w:spacing w:line="360" w:lineRule="auto"/>
        <w:ind w:right="-23" w:rightChars="-11"/>
        <w:jc w:val="left"/>
        <w:outlineLvl w:val="9"/>
        <w:rPr>
          <w:rFonts w:hint="eastAsia" w:ascii="宋体" w:hAnsi="宋体" w:eastAsia="宋体" w:cs="宋体"/>
          <w:b/>
          <w:bCs/>
          <w:color w:val="auto"/>
          <w:kern w:val="0"/>
          <w:szCs w:val="21"/>
          <w:highlight w:val="none"/>
          <w:lang w:val="zh-CN"/>
        </w:rPr>
      </w:pPr>
    </w:p>
    <w:p w14:paraId="783FA393">
      <w:pPr>
        <w:autoSpaceDE w:val="0"/>
        <w:autoSpaceDN w:val="0"/>
        <w:adjustRightInd w:val="0"/>
        <w:spacing w:line="360" w:lineRule="auto"/>
        <w:jc w:val="center"/>
        <w:outlineLvl w:val="9"/>
        <w:rPr>
          <w:rFonts w:hint="eastAsia" w:ascii="宋体" w:hAnsi="宋体" w:eastAsia="宋体" w:cs="宋体"/>
          <w:color w:val="auto"/>
          <w:kern w:val="0"/>
          <w:sz w:val="24"/>
          <w:szCs w:val="24"/>
          <w:highlight w:val="none"/>
        </w:rPr>
      </w:pPr>
    </w:p>
    <w:p w14:paraId="17D291F6">
      <w:pPr>
        <w:spacing w:line="360" w:lineRule="auto"/>
        <w:ind w:firstLine="494" w:firstLineChars="206"/>
        <w:outlineLvl w:val="9"/>
        <w:rPr>
          <w:rFonts w:hint="eastAsia" w:ascii="宋体" w:hAnsi="宋体" w:eastAsia="宋体" w:cs="宋体"/>
          <w:color w:val="auto"/>
          <w:kern w:val="0"/>
          <w:sz w:val="24"/>
          <w:szCs w:val="24"/>
          <w:highlight w:val="none"/>
        </w:rPr>
      </w:pPr>
    </w:p>
    <w:p w14:paraId="519340C0">
      <w:pPr>
        <w:spacing w:line="360" w:lineRule="auto"/>
        <w:ind w:firstLine="494" w:firstLineChars="206"/>
        <w:outlineLvl w:val="9"/>
        <w:rPr>
          <w:rFonts w:hint="eastAsia" w:ascii="宋体" w:hAnsi="宋体" w:eastAsia="宋体" w:cs="宋体"/>
          <w:color w:val="auto"/>
          <w:kern w:val="0"/>
          <w:sz w:val="24"/>
          <w:szCs w:val="24"/>
          <w:highlight w:val="none"/>
        </w:rPr>
      </w:pPr>
    </w:p>
    <w:p w14:paraId="45577153">
      <w:pPr>
        <w:spacing w:line="360" w:lineRule="auto"/>
        <w:ind w:firstLine="494" w:firstLineChars="206"/>
        <w:outlineLvl w:val="9"/>
        <w:rPr>
          <w:rFonts w:hint="eastAsia" w:ascii="宋体" w:hAnsi="宋体" w:eastAsia="宋体" w:cs="宋体"/>
          <w:color w:val="auto"/>
          <w:kern w:val="0"/>
          <w:sz w:val="24"/>
          <w:szCs w:val="24"/>
          <w:highlight w:val="none"/>
        </w:rPr>
      </w:pPr>
    </w:p>
    <w:p w14:paraId="3CE776CA">
      <w:pPr>
        <w:spacing w:line="360" w:lineRule="auto"/>
        <w:ind w:right="368" w:rightChars="175" w:firstLine="5460" w:firstLineChars="2600"/>
        <w:jc w:val="left"/>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kern w:val="0"/>
          <w:szCs w:val="21"/>
          <w:highlight w:val="none"/>
          <w:lang w:val="zh-CN"/>
        </w:rPr>
        <w:t>（加盖投标人法人公章）</w:t>
      </w:r>
    </w:p>
    <w:p w14:paraId="4C3D34CB">
      <w:pPr>
        <w:autoSpaceDE w:val="0"/>
        <w:autoSpaceDN w:val="0"/>
        <w:adjustRightInd w:val="0"/>
        <w:spacing w:line="360" w:lineRule="auto"/>
        <w:ind w:right="781" w:rightChars="372" w:firstLine="2811" w:firstLineChars="1339"/>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 xml:space="preserve">                           日  期：   年  月  日</w:t>
      </w:r>
    </w:p>
    <w:p w14:paraId="00BFB56C">
      <w:pPr>
        <w:pStyle w:val="17"/>
        <w:outlineLvl w:val="9"/>
        <w:rPr>
          <w:rFonts w:hint="eastAsia" w:ascii="宋体" w:hAnsi="宋体" w:eastAsia="宋体" w:cs="宋体"/>
          <w:color w:val="auto"/>
          <w:highlight w:val="none"/>
        </w:rPr>
      </w:pPr>
      <w:r>
        <w:rPr>
          <w:rFonts w:hint="eastAsia" w:ascii="宋体" w:hAnsi="宋体" w:eastAsia="宋体" w:cs="宋体"/>
          <w:color w:val="auto"/>
          <w:highlight w:val="none"/>
        </w:rPr>
        <w:br w:type="page"/>
      </w:r>
      <w:bookmarkEnd w:id="406"/>
      <w:bookmarkEnd w:id="407"/>
    </w:p>
    <w:bookmarkEnd w:id="408"/>
    <w:bookmarkEnd w:id="409"/>
    <w:bookmarkEnd w:id="410"/>
    <w:bookmarkEnd w:id="411"/>
    <w:bookmarkEnd w:id="412"/>
    <w:p w14:paraId="1EAA0280">
      <w:pPr>
        <w:tabs>
          <w:tab w:val="left" w:pos="567"/>
        </w:tabs>
        <w:autoSpaceDE w:val="0"/>
        <w:autoSpaceDN w:val="0"/>
        <w:adjustRightInd w:val="0"/>
        <w:spacing w:line="360" w:lineRule="auto"/>
        <w:jc w:val="left"/>
        <w:outlineLvl w:val="9"/>
        <w:rPr>
          <w:rFonts w:hint="eastAsia" w:ascii="宋体" w:hAnsi="宋体" w:eastAsia="宋体" w:cs="宋体"/>
          <w:color w:val="auto"/>
          <w:kern w:val="0"/>
          <w:szCs w:val="21"/>
          <w:highlight w:val="none"/>
          <w:u w:val="single"/>
        </w:rPr>
      </w:pPr>
      <w:bookmarkStart w:id="413" w:name="_Toc11148"/>
      <w:bookmarkStart w:id="414" w:name="_Toc533708126"/>
      <w:bookmarkStart w:id="415" w:name="_Toc486167714"/>
      <w:bookmarkStart w:id="416" w:name="_Toc94107215"/>
      <w:bookmarkStart w:id="417" w:name="_Toc102860423"/>
      <w:bookmarkStart w:id="418" w:name="_Toc102860079"/>
      <w:bookmarkStart w:id="419" w:name="_Toc2031_WPSOffice_Level2"/>
      <w:bookmarkStart w:id="420" w:name="_Toc13237"/>
      <w:bookmarkStart w:id="421" w:name="_Toc142508374"/>
      <w:bookmarkStart w:id="422" w:name="_Toc140596934"/>
      <w:bookmarkStart w:id="423" w:name="_Toc1977731"/>
      <w:bookmarkStart w:id="424" w:name="_Toc104991881"/>
      <w:r>
        <w:rPr>
          <w:rFonts w:hint="eastAsia" w:ascii="宋体" w:hAnsi="宋体" w:eastAsia="宋体" w:cs="宋体"/>
          <w:b/>
          <w:color w:val="auto"/>
          <w:sz w:val="32"/>
          <w:szCs w:val="32"/>
          <w:highlight w:val="none"/>
        </w:rPr>
        <w:t>五</w:t>
      </w:r>
      <w:r>
        <w:rPr>
          <w:rFonts w:hint="eastAsia" w:ascii="宋体" w:hAnsi="宋体" w:eastAsia="宋体" w:cs="宋体"/>
          <w:b/>
          <w:color w:val="auto"/>
          <w:kern w:val="0"/>
          <w:sz w:val="32"/>
          <w:szCs w:val="32"/>
          <w:highlight w:val="none"/>
        </w:rPr>
        <w:t>、投标人基本情况一览表</w:t>
      </w:r>
      <w:bookmarkEnd w:id="413"/>
      <w:bookmarkEnd w:id="414"/>
      <w:bookmarkEnd w:id="415"/>
      <w:bookmarkEnd w:id="416"/>
      <w:bookmarkEnd w:id="417"/>
      <w:bookmarkEnd w:id="418"/>
      <w:bookmarkEnd w:id="419"/>
      <w:bookmarkEnd w:id="420"/>
      <w:bookmarkEnd w:id="421"/>
      <w:bookmarkEnd w:id="422"/>
      <w:bookmarkEnd w:id="423"/>
      <w:bookmarkEnd w:id="424"/>
    </w:p>
    <w:p w14:paraId="7F354CCD">
      <w:pPr>
        <w:autoSpaceDE w:val="0"/>
        <w:autoSpaceDN w:val="0"/>
        <w:adjustRightInd w:val="0"/>
        <w:spacing w:line="360" w:lineRule="auto"/>
        <w:jc w:val="center"/>
        <w:outlineLvl w:val="9"/>
        <w:rPr>
          <w:rFonts w:hint="eastAsia" w:ascii="宋体" w:hAnsi="宋体" w:eastAsia="宋体" w:cs="宋体"/>
          <w:b/>
          <w:bCs/>
          <w:color w:val="auto"/>
          <w:sz w:val="30"/>
          <w:szCs w:val="30"/>
          <w:highlight w:val="none"/>
        </w:rPr>
      </w:pPr>
      <w:bookmarkStart w:id="425" w:name="_Toc2773_WPSOffice_Level3"/>
      <w:r>
        <w:rPr>
          <w:rFonts w:hint="eastAsia" w:ascii="宋体" w:hAnsi="宋体" w:eastAsia="宋体" w:cs="宋体"/>
          <w:b/>
          <w:bCs/>
          <w:color w:val="auto"/>
          <w:sz w:val="30"/>
          <w:szCs w:val="30"/>
          <w:highlight w:val="none"/>
          <w:lang w:val="zh-CN"/>
        </w:rPr>
        <w:t>投标人基本情况一览表</w:t>
      </w:r>
      <w:bookmarkEnd w:id="425"/>
    </w:p>
    <w:p w14:paraId="3DBF7205">
      <w:pPr>
        <w:autoSpaceDE w:val="0"/>
        <w:autoSpaceDN w:val="0"/>
        <w:adjustRightInd w:val="0"/>
        <w:spacing w:line="360" w:lineRule="auto"/>
        <w:ind w:firstLine="420"/>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zh-CN"/>
        </w:rPr>
        <w:t>1．名称及概况：</w:t>
      </w:r>
    </w:p>
    <w:p w14:paraId="4AFB5903">
      <w:pPr>
        <w:autoSpaceDE w:val="0"/>
        <w:autoSpaceDN w:val="0"/>
        <w:adjustRightInd w:val="0"/>
        <w:spacing w:line="360" w:lineRule="auto"/>
        <w:ind w:firstLine="42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（1）投标人名称：________________________________________</w:t>
      </w:r>
    </w:p>
    <w:p w14:paraId="224DBB69">
      <w:pPr>
        <w:autoSpaceDE w:val="0"/>
        <w:autoSpaceDN w:val="0"/>
        <w:adjustRightInd w:val="0"/>
        <w:spacing w:line="360" w:lineRule="auto"/>
        <w:ind w:firstLine="42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（2）总部地址：__________________________________________</w:t>
      </w:r>
    </w:p>
    <w:p w14:paraId="73D64DF6">
      <w:pPr>
        <w:autoSpaceDE w:val="0"/>
        <w:autoSpaceDN w:val="0"/>
        <w:adjustRightInd w:val="0"/>
        <w:spacing w:line="360" w:lineRule="auto"/>
        <w:ind w:firstLine="66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 xml:space="preserve">   邮政编码：__________________________________________</w:t>
      </w:r>
    </w:p>
    <w:p w14:paraId="0980C5B9">
      <w:pPr>
        <w:autoSpaceDE w:val="0"/>
        <w:autoSpaceDN w:val="0"/>
        <w:adjustRightInd w:val="0"/>
        <w:spacing w:line="360" w:lineRule="auto"/>
        <w:ind w:firstLine="42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 xml:space="preserve">     电话号码：__________________________________________ </w:t>
      </w:r>
    </w:p>
    <w:p w14:paraId="1F3386B9">
      <w:pPr>
        <w:autoSpaceDE w:val="0"/>
        <w:autoSpaceDN w:val="0"/>
        <w:adjustRightInd w:val="0"/>
        <w:spacing w:line="360" w:lineRule="auto"/>
        <w:ind w:firstLine="42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 xml:space="preserve">     传真号码：__________________________________________ </w:t>
      </w:r>
    </w:p>
    <w:p w14:paraId="6F9E4309">
      <w:pPr>
        <w:autoSpaceDE w:val="0"/>
        <w:autoSpaceDN w:val="0"/>
        <w:adjustRightInd w:val="0"/>
        <w:spacing w:line="360" w:lineRule="auto"/>
        <w:ind w:firstLine="42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（3）成立和／或注册日期：________________________________</w:t>
      </w:r>
    </w:p>
    <w:p w14:paraId="7CAACF50">
      <w:pPr>
        <w:autoSpaceDE w:val="0"/>
        <w:autoSpaceDN w:val="0"/>
        <w:adjustRightInd w:val="0"/>
        <w:spacing w:line="360" w:lineRule="auto"/>
        <w:ind w:firstLine="42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（4）法人代表：_____________________________________ ____</w:t>
      </w:r>
    </w:p>
    <w:p w14:paraId="5C327751">
      <w:pPr>
        <w:autoSpaceDE w:val="0"/>
        <w:autoSpaceDN w:val="0"/>
        <w:adjustRightInd w:val="0"/>
        <w:spacing w:line="360" w:lineRule="auto"/>
        <w:ind w:firstLine="42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（5）开户银行：__________________________________________</w:t>
      </w:r>
    </w:p>
    <w:p w14:paraId="0362E4DA">
      <w:pPr>
        <w:autoSpaceDE w:val="0"/>
        <w:autoSpaceDN w:val="0"/>
        <w:adjustRightInd w:val="0"/>
        <w:spacing w:line="360" w:lineRule="auto"/>
        <w:ind w:firstLine="42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（6）开户账号：__________________________________________</w:t>
      </w:r>
    </w:p>
    <w:p w14:paraId="35A88098">
      <w:pPr>
        <w:autoSpaceDE w:val="0"/>
        <w:autoSpaceDN w:val="0"/>
        <w:adjustRightInd w:val="0"/>
        <w:spacing w:line="360" w:lineRule="auto"/>
        <w:ind w:firstLine="42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（7）注册资金：__________________________________________</w:t>
      </w:r>
    </w:p>
    <w:p w14:paraId="44AE2F8B">
      <w:pPr>
        <w:autoSpaceDE w:val="0"/>
        <w:autoSpaceDN w:val="0"/>
        <w:adjustRightInd w:val="0"/>
        <w:spacing w:line="360" w:lineRule="auto"/>
        <w:ind w:firstLine="420"/>
        <w:outlineLvl w:val="9"/>
        <w:rPr>
          <w:rFonts w:hint="eastAsia" w:ascii="宋体" w:hAnsi="宋体" w:eastAsia="宋体" w:cs="宋体"/>
          <w:color w:val="auto"/>
          <w:szCs w:val="24"/>
          <w:highlight w:val="none"/>
        </w:rPr>
      </w:pPr>
      <w:r>
        <w:rPr>
          <w:rFonts w:hint="eastAsia" w:ascii="宋体" w:hAnsi="宋体" w:eastAsia="宋体" w:cs="宋体"/>
          <w:color w:val="auto"/>
          <w:szCs w:val="24"/>
          <w:highlight w:val="none"/>
          <w:lang w:val="zh-CN"/>
        </w:rPr>
        <w:t>（8）主要负责人姓名：____________________________________</w:t>
      </w:r>
    </w:p>
    <w:p w14:paraId="2C21318B">
      <w:pPr>
        <w:autoSpaceDE w:val="0"/>
        <w:autoSpaceDN w:val="0"/>
        <w:adjustRightInd w:val="0"/>
        <w:spacing w:line="360" w:lineRule="auto"/>
        <w:ind w:firstLine="420"/>
        <w:outlineLvl w:val="9"/>
        <w:rPr>
          <w:rFonts w:hint="eastAsia" w:ascii="宋体" w:hAnsi="宋体" w:eastAsia="宋体" w:cs="宋体"/>
          <w:color w:val="auto"/>
          <w:szCs w:val="24"/>
          <w:highlight w:val="none"/>
        </w:rPr>
      </w:pPr>
      <w:r>
        <w:rPr>
          <w:rFonts w:hint="eastAsia" w:ascii="宋体" w:hAnsi="宋体" w:eastAsia="宋体" w:cs="宋体"/>
          <w:color w:val="auto"/>
          <w:szCs w:val="24"/>
          <w:highlight w:val="none"/>
          <w:lang w:val="zh-CN"/>
        </w:rPr>
        <w:t xml:space="preserve">（9）项目主要联系人（姓名、职务、通讯）：_________________   </w:t>
      </w:r>
    </w:p>
    <w:p w14:paraId="6B23BC98">
      <w:pPr>
        <w:autoSpaceDE w:val="0"/>
        <w:autoSpaceDN w:val="0"/>
        <w:adjustRightInd w:val="0"/>
        <w:spacing w:line="360" w:lineRule="auto"/>
        <w:ind w:firstLine="420"/>
        <w:outlineLvl w:val="9"/>
        <w:rPr>
          <w:rFonts w:hint="eastAsia" w:ascii="宋体" w:hAnsi="宋体" w:eastAsia="宋体" w:cs="宋体"/>
          <w:color w:val="auto"/>
          <w:szCs w:val="24"/>
          <w:highlight w:val="none"/>
        </w:rPr>
      </w:pPr>
      <w:r>
        <w:rPr>
          <w:rFonts w:hint="eastAsia" w:ascii="宋体" w:hAnsi="宋体" w:eastAsia="宋体" w:cs="宋体"/>
          <w:color w:val="auto"/>
          <w:szCs w:val="24"/>
          <w:highlight w:val="none"/>
          <w:lang w:val="zh-CN"/>
        </w:rPr>
        <w:t>（10）在中国的代表的姓名和地址（如有）：__________________</w:t>
      </w:r>
    </w:p>
    <w:p w14:paraId="2D09DF32">
      <w:pPr>
        <w:autoSpaceDE w:val="0"/>
        <w:autoSpaceDN w:val="0"/>
        <w:adjustRightInd w:val="0"/>
        <w:spacing w:line="360" w:lineRule="auto"/>
        <w:ind w:firstLine="420"/>
        <w:outlineLvl w:val="9"/>
        <w:rPr>
          <w:rFonts w:hint="eastAsia" w:ascii="宋体" w:hAnsi="宋体" w:eastAsia="宋体" w:cs="宋体"/>
          <w:color w:val="auto"/>
          <w:szCs w:val="24"/>
          <w:highlight w:val="none"/>
        </w:rPr>
      </w:pPr>
      <w:r>
        <w:rPr>
          <w:rFonts w:hint="eastAsia" w:ascii="宋体" w:hAnsi="宋体" w:eastAsia="宋体" w:cs="宋体"/>
          <w:color w:val="auto"/>
          <w:szCs w:val="24"/>
          <w:highlight w:val="none"/>
          <w:lang w:val="zh-CN"/>
        </w:rPr>
        <w:t>2．供征询之银行的名称和地址：____________________________</w:t>
      </w:r>
    </w:p>
    <w:p w14:paraId="792F8DC4">
      <w:pPr>
        <w:autoSpaceDE w:val="0"/>
        <w:autoSpaceDN w:val="0"/>
        <w:adjustRightInd w:val="0"/>
        <w:spacing w:line="360" w:lineRule="auto"/>
        <w:outlineLvl w:val="9"/>
        <w:rPr>
          <w:rFonts w:hint="eastAsia" w:ascii="宋体" w:hAnsi="宋体" w:eastAsia="宋体" w:cs="宋体"/>
          <w:color w:val="auto"/>
          <w:szCs w:val="24"/>
          <w:highlight w:val="none"/>
        </w:rPr>
      </w:pPr>
      <w:r>
        <w:rPr>
          <w:rFonts w:hint="eastAsia" w:ascii="宋体" w:hAnsi="宋体" w:eastAsia="宋体" w:cs="宋体"/>
          <w:color w:val="auto"/>
          <w:szCs w:val="24"/>
          <w:highlight w:val="none"/>
          <w:lang w:val="zh-CN"/>
        </w:rPr>
        <w:t xml:space="preserve">    3．公司所隶属之国际集团名称（如果是）____________________</w:t>
      </w:r>
    </w:p>
    <w:p w14:paraId="5BA7472E">
      <w:pPr>
        <w:autoSpaceDE w:val="0"/>
        <w:autoSpaceDN w:val="0"/>
        <w:adjustRightInd w:val="0"/>
        <w:spacing w:line="360" w:lineRule="auto"/>
        <w:ind w:firstLine="420"/>
        <w:outlineLvl w:val="9"/>
        <w:rPr>
          <w:rFonts w:hint="eastAsia" w:ascii="宋体" w:hAnsi="宋体" w:eastAsia="宋体" w:cs="宋体"/>
          <w:color w:val="auto"/>
          <w:szCs w:val="24"/>
          <w:highlight w:val="none"/>
        </w:rPr>
      </w:pPr>
      <w:r>
        <w:rPr>
          <w:rFonts w:hint="eastAsia" w:ascii="宋体" w:hAnsi="宋体" w:eastAsia="宋体" w:cs="宋体"/>
          <w:color w:val="auto"/>
          <w:szCs w:val="24"/>
          <w:highlight w:val="none"/>
          <w:lang w:val="zh-CN"/>
        </w:rPr>
        <w:t>4. 提交资料（包括但不限于组织架构、公司简介等）：</w:t>
      </w:r>
    </w:p>
    <w:p w14:paraId="3A814FCB">
      <w:pPr>
        <w:autoSpaceDE w:val="0"/>
        <w:autoSpaceDN w:val="0"/>
        <w:adjustRightInd w:val="0"/>
        <w:spacing w:line="360" w:lineRule="auto"/>
        <w:ind w:firstLine="630" w:firstLineChars="30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（1）公司简介；</w:t>
      </w:r>
    </w:p>
    <w:p w14:paraId="313BFEB9">
      <w:pPr>
        <w:autoSpaceDE w:val="0"/>
        <w:autoSpaceDN w:val="0"/>
        <w:adjustRightInd w:val="0"/>
        <w:spacing w:line="360" w:lineRule="auto"/>
        <w:ind w:firstLine="1155" w:firstLineChars="55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__________________________________________________</w:t>
      </w:r>
    </w:p>
    <w:p w14:paraId="5C09D407">
      <w:pPr>
        <w:autoSpaceDE w:val="0"/>
        <w:autoSpaceDN w:val="0"/>
        <w:adjustRightInd w:val="0"/>
        <w:spacing w:line="360" w:lineRule="auto"/>
        <w:ind w:firstLine="630" w:firstLineChars="30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（2）公司组织架构；</w:t>
      </w:r>
    </w:p>
    <w:p w14:paraId="212C1255">
      <w:pPr>
        <w:autoSpaceDE w:val="0"/>
        <w:autoSpaceDN w:val="0"/>
        <w:adjustRightInd w:val="0"/>
        <w:spacing w:line="360" w:lineRule="auto"/>
        <w:ind w:firstLine="1155" w:firstLineChars="55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_______________________________________________</w:t>
      </w:r>
      <w:r>
        <w:rPr>
          <w:rFonts w:hint="eastAsia" w:ascii="宋体" w:hAnsi="宋体" w:eastAsia="宋体" w:cs="宋体"/>
          <w:color w:val="auto"/>
          <w:szCs w:val="24"/>
          <w:highlight w:val="none"/>
          <w:u w:val="single"/>
          <w:lang w:val="zh-CN"/>
        </w:rPr>
        <w:t xml:space="preserve">__ </w:t>
      </w:r>
    </w:p>
    <w:p w14:paraId="11AA0DFF">
      <w:pPr>
        <w:autoSpaceDE w:val="0"/>
        <w:autoSpaceDN w:val="0"/>
        <w:adjustRightInd w:val="0"/>
        <w:spacing w:line="360" w:lineRule="auto"/>
        <w:ind w:left="836" w:leftChars="137" w:hanging="548" w:hangingChars="261"/>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（3）东莞市内设有分支机构情况介绍[应提供该分支机构的多证合一营业执照复印件等证明材料]（若无前述分支机构的无需介绍）。</w:t>
      </w:r>
    </w:p>
    <w:p w14:paraId="0013F117">
      <w:pPr>
        <w:autoSpaceDE w:val="0"/>
        <w:autoSpaceDN w:val="0"/>
        <w:adjustRightInd w:val="0"/>
        <w:spacing w:line="360" w:lineRule="auto"/>
        <w:ind w:firstLine="420" w:firstLineChars="20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兹证明上述说明是真实、正确的，并提供了全部能提供的资料和数据，我们同意遵照贵方要求出示有关证明文件。</w:t>
      </w:r>
    </w:p>
    <w:p w14:paraId="5AFA8C28">
      <w:pPr>
        <w:autoSpaceDE w:val="0"/>
        <w:autoSpaceDN w:val="0"/>
        <w:adjustRightInd w:val="0"/>
        <w:spacing w:line="360" w:lineRule="auto"/>
        <w:ind w:firstLine="420" w:firstLineChars="200"/>
        <w:outlineLvl w:val="9"/>
        <w:rPr>
          <w:rFonts w:hint="eastAsia" w:ascii="宋体" w:hAnsi="宋体" w:eastAsia="宋体" w:cs="宋体"/>
          <w:color w:val="auto"/>
          <w:szCs w:val="24"/>
          <w:highlight w:val="none"/>
        </w:rPr>
      </w:pPr>
    </w:p>
    <w:p w14:paraId="1FD9AA4B">
      <w:pPr>
        <w:autoSpaceDE w:val="0"/>
        <w:autoSpaceDN w:val="0"/>
        <w:adjustRightInd w:val="0"/>
        <w:spacing w:line="360" w:lineRule="auto"/>
        <w:ind w:right="368" w:rightChars="175"/>
        <w:jc w:val="right"/>
        <w:outlineLvl w:val="9"/>
        <w:rPr>
          <w:rFonts w:hint="eastAsia" w:ascii="宋体" w:hAnsi="宋体" w:eastAsia="宋体" w:cs="宋体"/>
          <w:color w:val="auto"/>
          <w:szCs w:val="24"/>
          <w:highlight w:val="none"/>
        </w:rPr>
      </w:pPr>
      <w:r>
        <w:rPr>
          <w:rFonts w:hint="eastAsia" w:ascii="宋体" w:hAnsi="宋体" w:eastAsia="宋体" w:cs="宋体"/>
          <w:color w:val="auto"/>
          <w:szCs w:val="24"/>
          <w:highlight w:val="none"/>
          <w:lang w:val="zh-CN"/>
        </w:rPr>
        <w:t>投标人</w:t>
      </w:r>
      <w:r>
        <w:rPr>
          <w:rFonts w:hint="eastAsia" w:ascii="宋体" w:hAnsi="宋体" w:eastAsia="宋体" w:cs="宋体"/>
          <w:color w:val="auto"/>
          <w:szCs w:val="21"/>
          <w:highlight w:val="none"/>
          <w:lang w:val="zh-CN"/>
        </w:rPr>
        <w:t>：</w:t>
      </w:r>
      <w:r>
        <w:rPr>
          <w:rFonts w:hint="eastAsia" w:ascii="宋体" w:hAnsi="宋体" w:eastAsia="宋体" w:cs="宋体"/>
          <w:color w:val="auto"/>
          <w:kern w:val="0"/>
          <w:szCs w:val="21"/>
          <w:highlight w:val="none"/>
          <w:lang w:val="zh-CN"/>
        </w:rPr>
        <w:t>（加盖投标人法人公章）</w:t>
      </w:r>
    </w:p>
    <w:p w14:paraId="3CFC7DFB">
      <w:pPr>
        <w:autoSpaceDE w:val="0"/>
        <w:autoSpaceDN w:val="0"/>
        <w:adjustRightInd w:val="0"/>
        <w:spacing w:line="360" w:lineRule="auto"/>
        <w:ind w:right="368" w:rightChars="175" w:firstLine="6237"/>
        <w:jc w:val="left"/>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日  期：　年  月  日</w:t>
      </w:r>
    </w:p>
    <w:p w14:paraId="1CB04665">
      <w:pPr>
        <w:tabs>
          <w:tab w:val="left" w:pos="567"/>
        </w:tabs>
        <w:autoSpaceDE w:val="0"/>
        <w:autoSpaceDN w:val="0"/>
        <w:adjustRightInd w:val="0"/>
        <w:spacing w:line="360" w:lineRule="auto"/>
        <w:jc w:val="left"/>
        <w:outlineLvl w:val="9"/>
        <w:rPr>
          <w:rFonts w:hint="eastAsia" w:ascii="宋体" w:hAnsi="宋体" w:eastAsia="宋体" w:cs="宋体"/>
          <w:b/>
          <w:color w:val="auto"/>
          <w:kern w:val="0"/>
          <w:sz w:val="32"/>
          <w:szCs w:val="32"/>
          <w:highlight w:val="none"/>
          <w:lang w:eastAsia="zh-CN"/>
        </w:rPr>
      </w:pPr>
      <w:r>
        <w:rPr>
          <w:rFonts w:hint="eastAsia" w:ascii="宋体" w:hAnsi="宋体" w:eastAsia="宋体" w:cs="宋体"/>
          <w:color w:val="auto"/>
          <w:szCs w:val="24"/>
          <w:highlight w:val="none"/>
          <w:lang w:val="zh-CN"/>
        </w:rPr>
        <w:br w:type="page"/>
      </w:r>
      <w:bookmarkStart w:id="426" w:name="_Toc13348"/>
      <w:bookmarkStart w:id="427" w:name="_Toc104991884"/>
      <w:bookmarkStart w:id="428" w:name="_Toc94107218"/>
      <w:bookmarkStart w:id="429" w:name="_Toc102860426"/>
      <w:bookmarkStart w:id="430" w:name="_Toc2075"/>
      <w:bookmarkStart w:id="431" w:name="_Toc140596937"/>
      <w:bookmarkStart w:id="432" w:name="_Toc142508377"/>
      <w:bookmarkStart w:id="433" w:name="_Toc102860082"/>
      <w:bookmarkStart w:id="434" w:name="_Toc486167717"/>
      <w:bookmarkStart w:id="435" w:name="_Toc27980_WPSOffice_Level2"/>
      <w:r>
        <w:rPr>
          <w:rFonts w:hint="eastAsia" w:ascii="宋体" w:hAnsi="宋体" w:eastAsia="宋体" w:cs="宋体"/>
          <w:b/>
          <w:color w:val="auto"/>
          <w:kern w:val="0"/>
          <w:sz w:val="32"/>
          <w:szCs w:val="32"/>
          <w:highlight w:val="none"/>
          <w:lang w:val="en-US" w:eastAsia="zh-CN"/>
        </w:rPr>
        <w:t>六</w:t>
      </w:r>
      <w:r>
        <w:rPr>
          <w:rFonts w:hint="eastAsia" w:ascii="宋体" w:hAnsi="宋体" w:eastAsia="宋体" w:cs="宋体"/>
          <w:b/>
          <w:color w:val="auto"/>
          <w:kern w:val="0"/>
          <w:sz w:val="32"/>
          <w:szCs w:val="32"/>
          <w:highlight w:val="none"/>
        </w:rPr>
        <w:t>、投标人综合实力</w:t>
      </w:r>
      <w:r>
        <w:rPr>
          <w:rFonts w:hint="eastAsia" w:ascii="宋体" w:hAnsi="宋体" w:eastAsia="宋体" w:cs="宋体"/>
          <w:b/>
          <w:color w:val="auto"/>
          <w:kern w:val="0"/>
          <w:sz w:val="32"/>
          <w:szCs w:val="32"/>
          <w:highlight w:val="none"/>
          <w:lang w:eastAsia="zh-CN"/>
        </w:rPr>
        <w:t>（须提供有效证书扫描件及国家认证认可监督管理委员的“全国认证认可信息公共服务平台”（http://cx.cnca.cn）查询结果截图。因企业成立时间不足，导致未能取得相关认证，提供相关认证书面说明。）</w:t>
      </w:r>
    </w:p>
    <w:p w14:paraId="79DDC268">
      <w:pP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br w:type="page"/>
      </w:r>
    </w:p>
    <w:p w14:paraId="134378A2">
      <w:pPr>
        <w:tabs>
          <w:tab w:val="left" w:pos="567"/>
        </w:tabs>
        <w:autoSpaceDE w:val="0"/>
        <w:autoSpaceDN w:val="0"/>
        <w:adjustRightInd w:val="0"/>
        <w:spacing w:line="360" w:lineRule="auto"/>
        <w:jc w:val="left"/>
        <w:outlineLvl w:val="9"/>
        <w:rPr>
          <w:rFonts w:hint="eastAsia" w:ascii="宋体" w:hAnsi="宋体" w:eastAsia="宋体" w:cs="宋体"/>
          <w:b/>
          <w:color w:val="auto"/>
          <w:kern w:val="0"/>
          <w:sz w:val="32"/>
          <w:szCs w:val="32"/>
          <w:highlight w:val="none"/>
          <w:lang w:val="en-US" w:eastAsia="zh-CN"/>
        </w:rPr>
      </w:pPr>
      <w:r>
        <w:rPr>
          <w:rFonts w:hint="eastAsia" w:ascii="宋体" w:hAnsi="宋体" w:eastAsia="宋体" w:cs="宋体"/>
          <w:b/>
          <w:color w:val="auto"/>
          <w:kern w:val="0"/>
          <w:sz w:val="32"/>
          <w:szCs w:val="32"/>
          <w:highlight w:val="none"/>
          <w:lang w:val="en-US" w:eastAsia="zh-CN"/>
        </w:rPr>
        <w:t>七、拟投入本项目人员情况</w:t>
      </w:r>
    </w:p>
    <w:p w14:paraId="1C3D089B">
      <w:pPr>
        <w:autoSpaceDE/>
        <w:autoSpaceDN/>
        <w:adjustRightInd/>
        <w:spacing w:line="240" w:lineRule="auto"/>
        <w:jc w:val="center"/>
        <w:outlineLvl w:val="9"/>
        <w:rPr>
          <w:rFonts w:hint="eastAsia" w:ascii="宋体" w:hAnsi="宋体" w:eastAsia="宋体" w:cs="宋体"/>
          <w:b/>
          <w:color w:val="auto"/>
          <w:kern w:val="0"/>
          <w:sz w:val="32"/>
          <w:szCs w:val="32"/>
          <w:highlight w:val="none"/>
          <w:lang w:val="en-US" w:eastAsia="zh-CN"/>
        </w:rPr>
      </w:pPr>
      <w:r>
        <w:rPr>
          <w:rFonts w:hint="eastAsia" w:ascii="宋体" w:hAnsi="宋体" w:eastAsia="宋体" w:cs="宋体"/>
          <w:b/>
          <w:color w:val="auto"/>
          <w:kern w:val="0"/>
          <w:sz w:val="32"/>
          <w:szCs w:val="32"/>
          <w:highlight w:val="none"/>
          <w:lang w:val="en-US" w:eastAsia="zh-CN"/>
        </w:rPr>
        <w:t>投标人拟投入本项目人员情况表</w:t>
      </w:r>
    </w:p>
    <w:tbl>
      <w:tblPr>
        <w:tblStyle w:val="41"/>
        <w:tblW w:w="95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169"/>
        <w:gridCol w:w="677"/>
        <w:gridCol w:w="677"/>
        <w:gridCol w:w="677"/>
        <w:gridCol w:w="1456"/>
        <w:gridCol w:w="1325"/>
        <w:gridCol w:w="1939"/>
        <w:gridCol w:w="947"/>
      </w:tblGrid>
      <w:tr w14:paraId="72CC2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9" w:hRule="atLeast"/>
          <w:jc w:val="center"/>
        </w:trPr>
        <w:tc>
          <w:tcPr>
            <w:tcW w:w="648" w:type="dxa"/>
            <w:vAlign w:val="center"/>
          </w:tcPr>
          <w:p w14:paraId="4DDA4677">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1169" w:type="dxa"/>
            <w:vAlign w:val="center"/>
          </w:tcPr>
          <w:p w14:paraId="51514952">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姓名</w:t>
            </w:r>
          </w:p>
        </w:tc>
        <w:tc>
          <w:tcPr>
            <w:tcW w:w="677" w:type="dxa"/>
            <w:vAlign w:val="center"/>
          </w:tcPr>
          <w:p w14:paraId="6483ADE3">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性别</w:t>
            </w:r>
          </w:p>
        </w:tc>
        <w:tc>
          <w:tcPr>
            <w:tcW w:w="677" w:type="dxa"/>
            <w:vAlign w:val="center"/>
          </w:tcPr>
          <w:p w14:paraId="74B350A3">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年龄</w:t>
            </w:r>
          </w:p>
        </w:tc>
        <w:tc>
          <w:tcPr>
            <w:tcW w:w="677" w:type="dxa"/>
            <w:vAlign w:val="center"/>
          </w:tcPr>
          <w:p w14:paraId="53831363">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学历</w:t>
            </w:r>
          </w:p>
        </w:tc>
        <w:tc>
          <w:tcPr>
            <w:tcW w:w="1456" w:type="dxa"/>
            <w:vAlign w:val="center"/>
          </w:tcPr>
          <w:p w14:paraId="68B1CD52">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持有证书</w:t>
            </w:r>
          </w:p>
        </w:tc>
        <w:tc>
          <w:tcPr>
            <w:tcW w:w="1325" w:type="dxa"/>
            <w:vAlign w:val="center"/>
          </w:tcPr>
          <w:p w14:paraId="01BFB08B">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拟任职务</w:t>
            </w:r>
          </w:p>
        </w:tc>
        <w:tc>
          <w:tcPr>
            <w:tcW w:w="1939" w:type="dxa"/>
            <w:vAlign w:val="center"/>
          </w:tcPr>
          <w:p w14:paraId="2AB3DF7C">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从事本行业年限</w:t>
            </w:r>
          </w:p>
        </w:tc>
        <w:tc>
          <w:tcPr>
            <w:tcW w:w="947" w:type="dxa"/>
            <w:vAlign w:val="center"/>
          </w:tcPr>
          <w:p w14:paraId="5591B411">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备注</w:t>
            </w:r>
          </w:p>
        </w:tc>
      </w:tr>
      <w:tr w14:paraId="1268F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648" w:type="dxa"/>
            <w:vAlign w:val="center"/>
          </w:tcPr>
          <w:p w14:paraId="339B9475">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169" w:type="dxa"/>
            <w:vAlign w:val="center"/>
          </w:tcPr>
          <w:p w14:paraId="5EB1E5A1">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1DEA560F">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30E3CD0C">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58406D07">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456" w:type="dxa"/>
            <w:vAlign w:val="center"/>
          </w:tcPr>
          <w:p w14:paraId="35920B58">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325" w:type="dxa"/>
            <w:vAlign w:val="center"/>
          </w:tcPr>
          <w:p w14:paraId="1F8F3340">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939" w:type="dxa"/>
            <w:vAlign w:val="center"/>
          </w:tcPr>
          <w:p w14:paraId="304C4F00">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947" w:type="dxa"/>
            <w:vAlign w:val="center"/>
          </w:tcPr>
          <w:p w14:paraId="486A50ED">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r>
      <w:tr w14:paraId="65B4B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648" w:type="dxa"/>
            <w:vAlign w:val="center"/>
          </w:tcPr>
          <w:p w14:paraId="57AD3795">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169" w:type="dxa"/>
            <w:vAlign w:val="center"/>
          </w:tcPr>
          <w:p w14:paraId="621EED76">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41DB308F">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03EBA40E">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579F9AED">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456" w:type="dxa"/>
            <w:vAlign w:val="center"/>
          </w:tcPr>
          <w:p w14:paraId="2A8D457E">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325" w:type="dxa"/>
            <w:vAlign w:val="center"/>
          </w:tcPr>
          <w:p w14:paraId="27D31EB8">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939" w:type="dxa"/>
            <w:vAlign w:val="center"/>
          </w:tcPr>
          <w:p w14:paraId="4CA697E6">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947" w:type="dxa"/>
            <w:vAlign w:val="center"/>
          </w:tcPr>
          <w:p w14:paraId="44E16BB8">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r>
      <w:tr w14:paraId="4F9D5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648" w:type="dxa"/>
            <w:vAlign w:val="center"/>
          </w:tcPr>
          <w:p w14:paraId="59C26F49">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169" w:type="dxa"/>
            <w:vAlign w:val="center"/>
          </w:tcPr>
          <w:p w14:paraId="19F4D3F4">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4E1929C8">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6FD19EED">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151BE110">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456" w:type="dxa"/>
            <w:vAlign w:val="center"/>
          </w:tcPr>
          <w:p w14:paraId="44D1A235">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325" w:type="dxa"/>
            <w:vAlign w:val="center"/>
          </w:tcPr>
          <w:p w14:paraId="7390262F">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939" w:type="dxa"/>
            <w:vAlign w:val="center"/>
          </w:tcPr>
          <w:p w14:paraId="5EA5A31D">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947" w:type="dxa"/>
            <w:vAlign w:val="center"/>
          </w:tcPr>
          <w:p w14:paraId="095E4197">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r>
      <w:tr w14:paraId="1B377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648" w:type="dxa"/>
            <w:vAlign w:val="center"/>
          </w:tcPr>
          <w:p w14:paraId="096D5EA7">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169" w:type="dxa"/>
            <w:vAlign w:val="center"/>
          </w:tcPr>
          <w:p w14:paraId="5022E155">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10D1268C">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4C919BD1">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77537830">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456" w:type="dxa"/>
            <w:vAlign w:val="center"/>
          </w:tcPr>
          <w:p w14:paraId="51FCDD14">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325" w:type="dxa"/>
            <w:vAlign w:val="center"/>
          </w:tcPr>
          <w:p w14:paraId="3BB7BAEB">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939" w:type="dxa"/>
            <w:vAlign w:val="center"/>
          </w:tcPr>
          <w:p w14:paraId="1B3F3C39">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947" w:type="dxa"/>
            <w:vAlign w:val="center"/>
          </w:tcPr>
          <w:p w14:paraId="114716CD">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r>
      <w:tr w14:paraId="6B648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648" w:type="dxa"/>
            <w:vAlign w:val="center"/>
          </w:tcPr>
          <w:p w14:paraId="46B97B3D">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169" w:type="dxa"/>
            <w:vAlign w:val="center"/>
          </w:tcPr>
          <w:p w14:paraId="502EA157">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7ECF7473">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200563D4">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06DE7002">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456" w:type="dxa"/>
            <w:vAlign w:val="center"/>
          </w:tcPr>
          <w:p w14:paraId="225978D5">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325" w:type="dxa"/>
            <w:vAlign w:val="center"/>
          </w:tcPr>
          <w:p w14:paraId="4FA3611A">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939" w:type="dxa"/>
            <w:vAlign w:val="center"/>
          </w:tcPr>
          <w:p w14:paraId="587085D9">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947" w:type="dxa"/>
            <w:vAlign w:val="center"/>
          </w:tcPr>
          <w:p w14:paraId="0FD4F0EB">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r>
      <w:tr w14:paraId="2C4B0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648" w:type="dxa"/>
            <w:vAlign w:val="center"/>
          </w:tcPr>
          <w:p w14:paraId="7EA33C19">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169" w:type="dxa"/>
            <w:vAlign w:val="center"/>
          </w:tcPr>
          <w:p w14:paraId="1729079C">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74E476C1">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640C5357">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67522A39">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456" w:type="dxa"/>
            <w:vAlign w:val="center"/>
          </w:tcPr>
          <w:p w14:paraId="03BA51DD">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325" w:type="dxa"/>
            <w:vAlign w:val="center"/>
          </w:tcPr>
          <w:p w14:paraId="2745725A">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939" w:type="dxa"/>
            <w:vAlign w:val="center"/>
          </w:tcPr>
          <w:p w14:paraId="0CB47C75">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947" w:type="dxa"/>
            <w:vAlign w:val="center"/>
          </w:tcPr>
          <w:p w14:paraId="4600091E">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r>
      <w:tr w14:paraId="1C361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648" w:type="dxa"/>
            <w:vAlign w:val="center"/>
          </w:tcPr>
          <w:p w14:paraId="03642C47">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169" w:type="dxa"/>
            <w:vAlign w:val="center"/>
          </w:tcPr>
          <w:p w14:paraId="554E7210">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3C727B4F">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322765E3">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7126CA32">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456" w:type="dxa"/>
            <w:vAlign w:val="center"/>
          </w:tcPr>
          <w:p w14:paraId="5AE878CC">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325" w:type="dxa"/>
            <w:vAlign w:val="center"/>
          </w:tcPr>
          <w:p w14:paraId="1688FC17">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939" w:type="dxa"/>
            <w:vAlign w:val="center"/>
          </w:tcPr>
          <w:p w14:paraId="5A944EB4">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947" w:type="dxa"/>
            <w:vAlign w:val="center"/>
          </w:tcPr>
          <w:p w14:paraId="1A69026A">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r>
      <w:tr w14:paraId="715A6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648" w:type="dxa"/>
            <w:vAlign w:val="center"/>
          </w:tcPr>
          <w:p w14:paraId="46418675">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169" w:type="dxa"/>
            <w:vAlign w:val="center"/>
          </w:tcPr>
          <w:p w14:paraId="77BD9C3E">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11E3FCBA">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53FCB005">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0A3846CD">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456" w:type="dxa"/>
            <w:vAlign w:val="center"/>
          </w:tcPr>
          <w:p w14:paraId="467DD13D">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325" w:type="dxa"/>
            <w:vAlign w:val="center"/>
          </w:tcPr>
          <w:p w14:paraId="39EF5203">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939" w:type="dxa"/>
            <w:vAlign w:val="center"/>
          </w:tcPr>
          <w:p w14:paraId="0DE2E66F">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947" w:type="dxa"/>
            <w:vAlign w:val="center"/>
          </w:tcPr>
          <w:p w14:paraId="22BD3986">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r>
      <w:tr w14:paraId="5637D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648" w:type="dxa"/>
            <w:vAlign w:val="center"/>
          </w:tcPr>
          <w:p w14:paraId="4F19A70F">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169" w:type="dxa"/>
            <w:vAlign w:val="center"/>
          </w:tcPr>
          <w:p w14:paraId="277A6C64">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3A4EC9A2">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3F886F8F">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174FF440">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456" w:type="dxa"/>
            <w:vAlign w:val="center"/>
          </w:tcPr>
          <w:p w14:paraId="3D3B270B">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325" w:type="dxa"/>
            <w:vAlign w:val="center"/>
          </w:tcPr>
          <w:p w14:paraId="72C0F142">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939" w:type="dxa"/>
            <w:vAlign w:val="center"/>
          </w:tcPr>
          <w:p w14:paraId="62BA469A">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947" w:type="dxa"/>
            <w:vAlign w:val="center"/>
          </w:tcPr>
          <w:p w14:paraId="48E281AB">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r>
      <w:tr w14:paraId="09940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648" w:type="dxa"/>
            <w:vAlign w:val="center"/>
          </w:tcPr>
          <w:p w14:paraId="5BDCE1BC">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169" w:type="dxa"/>
            <w:vAlign w:val="center"/>
          </w:tcPr>
          <w:p w14:paraId="087DACBD">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237BA350">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698DCF86">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677" w:type="dxa"/>
            <w:vAlign w:val="center"/>
          </w:tcPr>
          <w:p w14:paraId="6A835D36">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456" w:type="dxa"/>
            <w:vAlign w:val="center"/>
          </w:tcPr>
          <w:p w14:paraId="5FB1911D">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325" w:type="dxa"/>
            <w:vAlign w:val="center"/>
          </w:tcPr>
          <w:p w14:paraId="70BBC37E">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1939" w:type="dxa"/>
            <w:vAlign w:val="center"/>
          </w:tcPr>
          <w:p w14:paraId="2273805A">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c>
          <w:tcPr>
            <w:tcW w:w="947" w:type="dxa"/>
            <w:vAlign w:val="center"/>
          </w:tcPr>
          <w:p w14:paraId="5BF9B712">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color w:val="auto"/>
                <w:szCs w:val="21"/>
                <w:highlight w:val="none"/>
              </w:rPr>
            </w:pPr>
          </w:p>
        </w:tc>
      </w:tr>
    </w:tbl>
    <w:p w14:paraId="131BC395">
      <w:pPr>
        <w:overflowPunct w:val="0"/>
        <w:spacing w:before="120" w:line="360" w:lineRule="auto"/>
        <w:ind w:left="-153" w:leftChars="-73" w:firstLine="420" w:firstLineChars="200"/>
        <w:jc w:val="left"/>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p>
    <w:p w14:paraId="6CFDCF4E">
      <w:pPr>
        <w:numPr>
          <w:ilvl w:val="0"/>
          <w:numId w:val="32"/>
        </w:numPr>
        <w:overflowPunct w:val="0"/>
        <w:spacing w:before="120" w:line="360" w:lineRule="auto"/>
        <w:ind w:left="630" w:leftChars="100" w:hanging="420" w:hangingChars="200"/>
        <w:jc w:val="left"/>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此表格式供参照，投标人可以根据本表格式内容自行划表填写。</w:t>
      </w:r>
    </w:p>
    <w:p w14:paraId="2242FE53">
      <w:pPr>
        <w:numPr>
          <w:ilvl w:val="0"/>
          <w:numId w:val="32"/>
        </w:numPr>
        <w:overflowPunct w:val="0"/>
        <w:spacing w:before="120" w:line="360" w:lineRule="auto"/>
        <w:ind w:left="630" w:leftChars="100" w:hanging="420" w:hangingChars="200"/>
        <w:jc w:val="left"/>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上述人员</w:t>
      </w:r>
      <w:r>
        <w:rPr>
          <w:rFonts w:hint="eastAsia" w:ascii="宋体" w:hAnsi="宋体" w:eastAsia="宋体" w:cs="宋体"/>
          <w:b w:val="0"/>
          <w:bCs w:val="0"/>
          <w:color w:val="auto"/>
          <w:sz w:val="21"/>
          <w:szCs w:val="21"/>
          <w:highlight w:val="none"/>
          <w:u w:val="none"/>
        </w:rPr>
        <w:t>须提供有效证书复印件及社会保障部门出具的近6个月内任意1个月（含开标当月）在投标单位缴纳社会保险的有效凭证的复印件</w:t>
      </w:r>
      <w:r>
        <w:rPr>
          <w:rFonts w:hint="eastAsia" w:ascii="宋体" w:hAnsi="宋体" w:eastAsia="宋体" w:cs="宋体"/>
          <w:b w:val="0"/>
          <w:bCs w:val="0"/>
          <w:color w:val="auto"/>
          <w:sz w:val="21"/>
          <w:szCs w:val="21"/>
          <w:highlight w:val="none"/>
          <w:u w:val="none"/>
          <w:lang w:eastAsia="zh-CN"/>
        </w:rPr>
        <w:t>。</w:t>
      </w:r>
    </w:p>
    <w:p w14:paraId="5884DB79">
      <w:pPr>
        <w:spacing w:line="360" w:lineRule="auto"/>
        <w:ind w:right="420" w:firstLine="420" w:firstLineChars="200"/>
        <w:jc w:val="left"/>
        <w:outlineLvl w:val="9"/>
        <w:rPr>
          <w:rFonts w:hint="eastAsia" w:ascii="宋体" w:hAnsi="宋体" w:eastAsia="宋体" w:cs="宋体"/>
          <w:color w:val="auto"/>
          <w:szCs w:val="21"/>
          <w:highlight w:val="none"/>
          <w:lang w:val="zh-CN"/>
        </w:rPr>
      </w:pPr>
    </w:p>
    <w:p w14:paraId="44010EA3">
      <w:pPr>
        <w:spacing w:line="360" w:lineRule="auto"/>
        <w:ind w:right="420" w:firstLine="420" w:firstLineChars="200"/>
        <w:jc w:val="right"/>
        <w:outlineLvl w:val="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投标人：（加盖投标人法人公章）</w:t>
      </w:r>
    </w:p>
    <w:p w14:paraId="77DBE532">
      <w:pPr>
        <w:spacing w:line="360" w:lineRule="auto"/>
        <w:ind w:firstLine="420" w:firstLineChars="200"/>
        <w:jc w:val="center"/>
        <w:outlineLvl w:val="9"/>
        <w:rPr>
          <w:rFonts w:hint="eastAsia" w:ascii="宋体" w:hAnsi="宋体" w:eastAsia="宋体" w:cs="宋体"/>
          <w:color w:val="auto"/>
          <w:highlight w:val="none"/>
          <w:lang w:val="zh-CN"/>
        </w:rPr>
      </w:pPr>
      <w:r>
        <w:rPr>
          <w:rFonts w:hint="eastAsia" w:ascii="宋体" w:hAnsi="宋体" w:eastAsia="宋体" w:cs="宋体"/>
          <w:color w:val="auto"/>
          <w:szCs w:val="21"/>
          <w:highlight w:val="none"/>
          <w:lang w:val="en-US" w:eastAsia="zh-CN"/>
        </w:rPr>
        <w:t xml:space="preserve">                                             </w:t>
      </w:r>
      <w:r>
        <w:rPr>
          <w:rFonts w:hint="eastAsia" w:ascii="宋体" w:hAnsi="宋体" w:eastAsia="宋体" w:cs="宋体"/>
          <w:color w:val="auto"/>
          <w:szCs w:val="21"/>
          <w:highlight w:val="none"/>
        </w:rPr>
        <w:t xml:space="preserve">日  期：  </w:t>
      </w:r>
      <w:r>
        <w:rPr>
          <w:rFonts w:hint="eastAsia" w:ascii="宋体" w:hAnsi="宋体" w:eastAsia="宋体" w:cs="宋体"/>
          <w:color w:val="auto"/>
          <w:highlight w:val="none"/>
          <w:lang w:val="zh-CN"/>
        </w:rPr>
        <w:t>年  月  日</w:t>
      </w:r>
    </w:p>
    <w:p w14:paraId="5E09D1EE">
      <w:pPr>
        <w:spacing w:line="360" w:lineRule="auto"/>
        <w:ind w:firstLine="420" w:firstLineChars="200"/>
        <w:jc w:val="left"/>
        <w:outlineLvl w:val="9"/>
        <w:rPr>
          <w:rFonts w:hint="eastAsia" w:ascii="宋体" w:hAnsi="宋体" w:eastAsia="宋体" w:cs="宋体"/>
          <w:color w:val="auto"/>
          <w:highlight w:val="none"/>
          <w:lang w:val="zh-CN"/>
        </w:rPr>
      </w:pPr>
    </w:p>
    <w:p w14:paraId="44A66A97">
      <w:pPr>
        <w:spacing w:line="360" w:lineRule="auto"/>
        <w:ind w:firstLine="420" w:firstLineChars="200"/>
        <w:jc w:val="left"/>
        <w:outlineLvl w:val="9"/>
        <w:rPr>
          <w:rFonts w:hint="eastAsia" w:ascii="宋体" w:hAnsi="宋体" w:eastAsia="宋体" w:cs="宋体"/>
          <w:color w:val="auto"/>
          <w:highlight w:val="none"/>
          <w:lang w:val="zh-CN"/>
        </w:rPr>
      </w:pPr>
    </w:p>
    <w:p w14:paraId="59190E09">
      <w:pPr>
        <w:autoSpaceDE/>
        <w:autoSpaceDN/>
        <w:adjustRightInd/>
        <w:spacing w:line="240" w:lineRule="auto"/>
        <w:jc w:val="center"/>
        <w:outlineLvl w:val="9"/>
        <w:rPr>
          <w:rFonts w:hint="eastAsia" w:ascii="宋体" w:hAnsi="宋体" w:eastAsia="宋体" w:cs="宋体"/>
          <w:b/>
          <w:color w:val="auto"/>
          <w:kern w:val="0"/>
          <w:sz w:val="32"/>
          <w:szCs w:val="32"/>
          <w:highlight w:val="none"/>
          <w:lang w:val="en-US" w:eastAsia="zh-CN"/>
        </w:rPr>
      </w:pPr>
      <w:r>
        <w:rPr>
          <w:rFonts w:hint="eastAsia" w:ascii="宋体" w:hAnsi="宋体" w:eastAsia="宋体" w:cs="宋体"/>
          <w:b/>
          <w:color w:val="auto"/>
          <w:kern w:val="0"/>
          <w:sz w:val="32"/>
          <w:szCs w:val="32"/>
          <w:highlight w:val="none"/>
          <w:lang w:val="en-US" w:eastAsia="zh-CN"/>
        </w:rPr>
        <w:br w:type="page"/>
      </w:r>
    </w:p>
    <w:p w14:paraId="7A9C7888">
      <w:pPr>
        <w:numPr>
          <w:ilvl w:val="-1"/>
          <w:numId w:val="0"/>
        </w:numPr>
        <w:autoSpaceDE/>
        <w:autoSpaceDN/>
        <w:adjustRightInd/>
        <w:spacing w:line="240" w:lineRule="auto"/>
        <w:jc w:val="left"/>
        <w:outlineLvl w:val="9"/>
        <w:rPr>
          <w:rFonts w:hint="eastAsia" w:ascii="宋体" w:hAnsi="宋体" w:eastAsia="宋体" w:cs="宋体"/>
          <w:b/>
          <w:color w:val="auto"/>
          <w:kern w:val="0"/>
          <w:sz w:val="32"/>
          <w:szCs w:val="32"/>
          <w:highlight w:val="none"/>
          <w:lang w:val="en-US" w:eastAsia="zh-CN"/>
        </w:rPr>
      </w:pPr>
      <w:r>
        <w:rPr>
          <w:rFonts w:hint="eastAsia" w:ascii="宋体" w:hAnsi="宋体" w:eastAsia="宋体" w:cs="宋体"/>
          <w:b/>
          <w:color w:val="auto"/>
          <w:kern w:val="0"/>
          <w:sz w:val="32"/>
          <w:szCs w:val="32"/>
          <w:highlight w:val="none"/>
          <w:lang w:val="en-US" w:eastAsia="zh-CN"/>
        </w:rPr>
        <w:t>7.1 拟担任本项目项目负责人简历表</w:t>
      </w:r>
    </w:p>
    <w:p w14:paraId="58020EA0">
      <w:pPr>
        <w:spacing w:before="312" w:beforeLines="100" w:after="468" w:afterLines="150" w:line="360" w:lineRule="auto"/>
        <w:jc w:val="center"/>
        <w:rPr>
          <w:rFonts w:hint="eastAsia" w:ascii="宋体" w:hAnsi="宋体" w:eastAsia="宋体" w:cs="宋体"/>
          <w:b/>
          <w:color w:val="auto"/>
          <w:spacing w:val="20"/>
          <w:sz w:val="36"/>
          <w:szCs w:val="36"/>
          <w:highlight w:val="none"/>
        </w:rPr>
      </w:pPr>
      <w:r>
        <w:rPr>
          <w:rFonts w:hint="eastAsia" w:ascii="宋体" w:hAnsi="宋体" w:eastAsia="宋体" w:cs="宋体"/>
          <w:b/>
          <w:color w:val="auto"/>
          <w:spacing w:val="20"/>
          <w:sz w:val="36"/>
          <w:szCs w:val="36"/>
          <w:highlight w:val="none"/>
        </w:rPr>
        <w:t>拟担任本项目</w:t>
      </w:r>
      <w:r>
        <w:rPr>
          <w:rFonts w:hint="eastAsia" w:ascii="宋体" w:hAnsi="宋体" w:eastAsia="宋体" w:cs="宋体"/>
          <w:b/>
          <w:color w:val="auto"/>
          <w:spacing w:val="20"/>
          <w:sz w:val="36"/>
          <w:szCs w:val="36"/>
          <w:highlight w:val="none"/>
          <w:lang w:val="en-US" w:eastAsia="zh-CN"/>
        </w:rPr>
        <w:t>项目</w:t>
      </w:r>
      <w:r>
        <w:rPr>
          <w:rFonts w:hint="eastAsia" w:ascii="宋体" w:hAnsi="宋体" w:eastAsia="宋体" w:cs="宋体"/>
          <w:b/>
          <w:color w:val="auto"/>
          <w:spacing w:val="20"/>
          <w:sz w:val="36"/>
          <w:szCs w:val="36"/>
          <w:highlight w:val="none"/>
        </w:rPr>
        <w:t>负责人简历表</w:t>
      </w:r>
    </w:p>
    <w:tbl>
      <w:tblPr>
        <w:tblStyle w:val="4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859"/>
        <w:gridCol w:w="1564"/>
        <w:gridCol w:w="373"/>
        <w:gridCol w:w="211"/>
        <w:gridCol w:w="967"/>
        <w:gridCol w:w="628"/>
        <w:gridCol w:w="1311"/>
        <w:gridCol w:w="487"/>
        <w:gridCol w:w="756"/>
        <w:gridCol w:w="475"/>
        <w:gridCol w:w="1603"/>
      </w:tblGrid>
      <w:tr w14:paraId="4850D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6" w:type="dxa"/>
            <w:noWrap w:val="0"/>
            <w:vAlign w:val="center"/>
          </w:tcPr>
          <w:p w14:paraId="21A953F2">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姓名</w:t>
            </w:r>
          </w:p>
        </w:tc>
        <w:tc>
          <w:tcPr>
            <w:tcW w:w="3007" w:type="dxa"/>
            <w:gridSpan w:val="4"/>
            <w:noWrap w:val="0"/>
            <w:vAlign w:val="center"/>
          </w:tcPr>
          <w:p w14:paraId="2A30606F">
            <w:pPr>
              <w:spacing w:line="360" w:lineRule="auto"/>
              <w:jc w:val="center"/>
              <w:rPr>
                <w:rFonts w:hint="eastAsia" w:ascii="宋体" w:hAnsi="宋体" w:eastAsia="宋体" w:cs="宋体"/>
                <w:color w:val="auto"/>
                <w:szCs w:val="21"/>
                <w:highlight w:val="none"/>
              </w:rPr>
            </w:pPr>
          </w:p>
        </w:tc>
        <w:tc>
          <w:tcPr>
            <w:tcW w:w="967" w:type="dxa"/>
            <w:noWrap w:val="0"/>
            <w:vAlign w:val="center"/>
          </w:tcPr>
          <w:p w14:paraId="67A45DA0">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性别</w:t>
            </w:r>
          </w:p>
        </w:tc>
        <w:tc>
          <w:tcPr>
            <w:tcW w:w="1939" w:type="dxa"/>
            <w:gridSpan w:val="2"/>
            <w:noWrap w:val="0"/>
            <w:vAlign w:val="center"/>
          </w:tcPr>
          <w:p w14:paraId="3CABB647">
            <w:pPr>
              <w:spacing w:line="360" w:lineRule="auto"/>
              <w:jc w:val="center"/>
              <w:rPr>
                <w:rFonts w:hint="eastAsia" w:ascii="宋体" w:hAnsi="宋体" w:eastAsia="宋体" w:cs="宋体"/>
                <w:color w:val="auto"/>
                <w:szCs w:val="21"/>
                <w:highlight w:val="none"/>
              </w:rPr>
            </w:pPr>
          </w:p>
        </w:tc>
        <w:tc>
          <w:tcPr>
            <w:tcW w:w="1243" w:type="dxa"/>
            <w:gridSpan w:val="2"/>
            <w:noWrap w:val="0"/>
            <w:vAlign w:val="center"/>
          </w:tcPr>
          <w:p w14:paraId="37E8B740">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年龄</w:t>
            </w:r>
          </w:p>
        </w:tc>
        <w:tc>
          <w:tcPr>
            <w:tcW w:w="2078" w:type="dxa"/>
            <w:gridSpan w:val="2"/>
            <w:noWrap w:val="0"/>
            <w:vAlign w:val="center"/>
          </w:tcPr>
          <w:p w14:paraId="23112F20">
            <w:pPr>
              <w:spacing w:line="360" w:lineRule="auto"/>
              <w:jc w:val="center"/>
              <w:rPr>
                <w:rFonts w:hint="eastAsia" w:ascii="宋体" w:hAnsi="宋体" w:eastAsia="宋体" w:cs="宋体"/>
                <w:color w:val="auto"/>
                <w:szCs w:val="21"/>
                <w:highlight w:val="none"/>
              </w:rPr>
            </w:pPr>
          </w:p>
        </w:tc>
      </w:tr>
      <w:tr w14:paraId="77224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846" w:type="dxa"/>
            <w:noWrap w:val="0"/>
            <w:vAlign w:val="center"/>
          </w:tcPr>
          <w:p w14:paraId="647114B0">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职务</w:t>
            </w:r>
          </w:p>
        </w:tc>
        <w:tc>
          <w:tcPr>
            <w:tcW w:w="3007" w:type="dxa"/>
            <w:gridSpan w:val="4"/>
            <w:noWrap w:val="0"/>
            <w:vAlign w:val="center"/>
          </w:tcPr>
          <w:p w14:paraId="5A88F1A5">
            <w:pPr>
              <w:spacing w:line="360" w:lineRule="auto"/>
              <w:jc w:val="center"/>
              <w:rPr>
                <w:rFonts w:hint="eastAsia" w:ascii="宋体" w:hAnsi="宋体" w:eastAsia="宋体" w:cs="宋体"/>
                <w:color w:val="auto"/>
                <w:szCs w:val="21"/>
                <w:highlight w:val="none"/>
              </w:rPr>
            </w:pPr>
          </w:p>
        </w:tc>
        <w:tc>
          <w:tcPr>
            <w:tcW w:w="967" w:type="dxa"/>
            <w:noWrap w:val="0"/>
            <w:vAlign w:val="center"/>
          </w:tcPr>
          <w:p w14:paraId="38628AE4">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职称</w:t>
            </w:r>
          </w:p>
        </w:tc>
        <w:tc>
          <w:tcPr>
            <w:tcW w:w="1939" w:type="dxa"/>
            <w:gridSpan w:val="2"/>
            <w:noWrap w:val="0"/>
            <w:vAlign w:val="center"/>
          </w:tcPr>
          <w:p w14:paraId="6B70FE6F">
            <w:pPr>
              <w:spacing w:line="360" w:lineRule="auto"/>
              <w:jc w:val="center"/>
              <w:rPr>
                <w:rFonts w:hint="eastAsia" w:ascii="宋体" w:hAnsi="宋体" w:eastAsia="宋体" w:cs="宋体"/>
                <w:color w:val="auto"/>
                <w:szCs w:val="21"/>
                <w:highlight w:val="none"/>
              </w:rPr>
            </w:pPr>
          </w:p>
        </w:tc>
        <w:tc>
          <w:tcPr>
            <w:tcW w:w="1243" w:type="dxa"/>
            <w:gridSpan w:val="2"/>
            <w:noWrap w:val="0"/>
            <w:vAlign w:val="center"/>
          </w:tcPr>
          <w:p w14:paraId="614B021C">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学历</w:t>
            </w:r>
          </w:p>
        </w:tc>
        <w:tc>
          <w:tcPr>
            <w:tcW w:w="2078" w:type="dxa"/>
            <w:gridSpan w:val="2"/>
            <w:noWrap w:val="0"/>
            <w:vAlign w:val="center"/>
          </w:tcPr>
          <w:p w14:paraId="374DD2EE">
            <w:pPr>
              <w:spacing w:line="360" w:lineRule="auto"/>
              <w:jc w:val="center"/>
              <w:rPr>
                <w:rFonts w:hint="eastAsia" w:ascii="宋体" w:hAnsi="宋体" w:eastAsia="宋体" w:cs="宋体"/>
                <w:color w:val="auto"/>
                <w:szCs w:val="21"/>
                <w:highlight w:val="none"/>
              </w:rPr>
            </w:pPr>
          </w:p>
        </w:tc>
      </w:tr>
      <w:tr w14:paraId="223CE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3269" w:type="dxa"/>
            <w:gridSpan w:val="3"/>
            <w:noWrap w:val="0"/>
            <w:vAlign w:val="center"/>
          </w:tcPr>
          <w:p w14:paraId="32DF4A48">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参加工作时间</w:t>
            </w:r>
          </w:p>
        </w:tc>
        <w:tc>
          <w:tcPr>
            <w:tcW w:w="2179" w:type="dxa"/>
            <w:gridSpan w:val="4"/>
            <w:noWrap w:val="0"/>
            <w:vAlign w:val="center"/>
          </w:tcPr>
          <w:p w14:paraId="6A4739B1">
            <w:pPr>
              <w:spacing w:line="360" w:lineRule="auto"/>
              <w:jc w:val="center"/>
              <w:rPr>
                <w:rFonts w:hint="eastAsia" w:ascii="宋体" w:hAnsi="宋体" w:eastAsia="宋体" w:cs="宋体"/>
                <w:color w:val="auto"/>
                <w:szCs w:val="21"/>
                <w:highlight w:val="none"/>
              </w:rPr>
            </w:pPr>
          </w:p>
        </w:tc>
        <w:tc>
          <w:tcPr>
            <w:tcW w:w="3029" w:type="dxa"/>
            <w:gridSpan w:val="4"/>
            <w:noWrap w:val="0"/>
            <w:vAlign w:val="center"/>
          </w:tcPr>
          <w:p w14:paraId="6118D3BB">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相关经验年限</w:t>
            </w:r>
          </w:p>
        </w:tc>
        <w:tc>
          <w:tcPr>
            <w:tcW w:w="1603" w:type="dxa"/>
            <w:noWrap w:val="0"/>
            <w:vAlign w:val="center"/>
          </w:tcPr>
          <w:p w14:paraId="452922FA">
            <w:pPr>
              <w:spacing w:line="360" w:lineRule="auto"/>
              <w:jc w:val="center"/>
              <w:rPr>
                <w:rFonts w:hint="eastAsia" w:ascii="宋体" w:hAnsi="宋体" w:eastAsia="宋体" w:cs="宋体"/>
                <w:color w:val="auto"/>
                <w:szCs w:val="21"/>
                <w:highlight w:val="none"/>
              </w:rPr>
            </w:pPr>
          </w:p>
        </w:tc>
      </w:tr>
      <w:tr w14:paraId="630CB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3269" w:type="dxa"/>
            <w:gridSpan w:val="3"/>
            <w:noWrap w:val="0"/>
            <w:vAlign w:val="center"/>
          </w:tcPr>
          <w:p w14:paraId="59D49178">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资格证书名称、编号</w:t>
            </w:r>
          </w:p>
        </w:tc>
        <w:tc>
          <w:tcPr>
            <w:tcW w:w="6811" w:type="dxa"/>
            <w:gridSpan w:val="9"/>
            <w:noWrap w:val="0"/>
            <w:vAlign w:val="center"/>
          </w:tcPr>
          <w:p w14:paraId="22B98540">
            <w:pPr>
              <w:spacing w:line="360" w:lineRule="auto"/>
              <w:jc w:val="center"/>
              <w:rPr>
                <w:rFonts w:hint="eastAsia" w:ascii="宋体" w:hAnsi="宋体" w:eastAsia="宋体" w:cs="宋体"/>
                <w:color w:val="auto"/>
                <w:szCs w:val="21"/>
                <w:highlight w:val="none"/>
              </w:rPr>
            </w:pPr>
          </w:p>
        </w:tc>
      </w:tr>
      <w:tr w14:paraId="139AD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0080" w:type="dxa"/>
            <w:gridSpan w:val="12"/>
            <w:noWrap w:val="0"/>
            <w:vAlign w:val="center"/>
          </w:tcPr>
          <w:p w14:paraId="47385861">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目前在任及以往服务项目情况</w:t>
            </w:r>
          </w:p>
        </w:tc>
      </w:tr>
      <w:tr w14:paraId="5F4C3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705" w:type="dxa"/>
            <w:gridSpan w:val="2"/>
            <w:noWrap w:val="0"/>
            <w:vAlign w:val="center"/>
          </w:tcPr>
          <w:p w14:paraId="4FC4231A">
            <w:pPr>
              <w:widowControl/>
              <w:snapToGrid w:val="0"/>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1937" w:type="dxa"/>
            <w:gridSpan w:val="2"/>
            <w:noWrap w:val="0"/>
            <w:vAlign w:val="center"/>
          </w:tcPr>
          <w:p w14:paraId="18116A59">
            <w:pPr>
              <w:widowControl/>
              <w:snapToGrid w:val="0"/>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发包单位</w:t>
            </w:r>
          </w:p>
        </w:tc>
        <w:tc>
          <w:tcPr>
            <w:tcW w:w="1806" w:type="dxa"/>
            <w:gridSpan w:val="3"/>
            <w:noWrap w:val="0"/>
            <w:vAlign w:val="center"/>
          </w:tcPr>
          <w:p w14:paraId="03544FF2">
            <w:pPr>
              <w:widowControl/>
              <w:snapToGrid w:val="0"/>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服务内容</w:t>
            </w:r>
          </w:p>
        </w:tc>
        <w:tc>
          <w:tcPr>
            <w:tcW w:w="1798" w:type="dxa"/>
            <w:gridSpan w:val="2"/>
            <w:noWrap w:val="0"/>
            <w:vAlign w:val="center"/>
          </w:tcPr>
          <w:p w14:paraId="5C84B2F6">
            <w:pPr>
              <w:widowControl/>
              <w:snapToGrid w:val="0"/>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本人在该项目中所任职务</w:t>
            </w:r>
          </w:p>
        </w:tc>
        <w:tc>
          <w:tcPr>
            <w:tcW w:w="2834" w:type="dxa"/>
            <w:gridSpan w:val="3"/>
            <w:noWrap w:val="0"/>
            <w:vAlign w:val="center"/>
          </w:tcPr>
          <w:p w14:paraId="629FBEB6">
            <w:pPr>
              <w:widowControl/>
              <w:snapToGrid w:val="0"/>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起止时间</w:t>
            </w:r>
          </w:p>
        </w:tc>
      </w:tr>
      <w:tr w14:paraId="60FC3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05" w:type="dxa"/>
            <w:gridSpan w:val="2"/>
            <w:noWrap w:val="0"/>
            <w:vAlign w:val="center"/>
          </w:tcPr>
          <w:p w14:paraId="05CE1824">
            <w:pPr>
              <w:spacing w:line="360" w:lineRule="auto"/>
              <w:jc w:val="center"/>
              <w:rPr>
                <w:rFonts w:hint="eastAsia" w:ascii="宋体" w:hAnsi="宋体" w:eastAsia="宋体" w:cs="宋体"/>
                <w:color w:val="auto"/>
                <w:szCs w:val="21"/>
                <w:highlight w:val="none"/>
              </w:rPr>
            </w:pPr>
          </w:p>
        </w:tc>
        <w:tc>
          <w:tcPr>
            <w:tcW w:w="1937" w:type="dxa"/>
            <w:gridSpan w:val="2"/>
            <w:noWrap w:val="0"/>
            <w:vAlign w:val="center"/>
          </w:tcPr>
          <w:p w14:paraId="483A1319">
            <w:pPr>
              <w:spacing w:line="360" w:lineRule="auto"/>
              <w:jc w:val="center"/>
              <w:rPr>
                <w:rFonts w:hint="eastAsia" w:ascii="宋体" w:hAnsi="宋体" w:eastAsia="宋体" w:cs="宋体"/>
                <w:color w:val="auto"/>
                <w:szCs w:val="21"/>
                <w:highlight w:val="none"/>
              </w:rPr>
            </w:pPr>
          </w:p>
        </w:tc>
        <w:tc>
          <w:tcPr>
            <w:tcW w:w="1806" w:type="dxa"/>
            <w:gridSpan w:val="3"/>
            <w:noWrap w:val="0"/>
            <w:vAlign w:val="center"/>
          </w:tcPr>
          <w:p w14:paraId="656F0AE0">
            <w:pPr>
              <w:spacing w:line="360" w:lineRule="auto"/>
              <w:jc w:val="center"/>
              <w:rPr>
                <w:rFonts w:hint="eastAsia" w:ascii="宋体" w:hAnsi="宋体" w:eastAsia="宋体" w:cs="宋体"/>
                <w:color w:val="auto"/>
                <w:szCs w:val="21"/>
                <w:highlight w:val="none"/>
              </w:rPr>
            </w:pPr>
          </w:p>
        </w:tc>
        <w:tc>
          <w:tcPr>
            <w:tcW w:w="1798" w:type="dxa"/>
            <w:gridSpan w:val="2"/>
            <w:noWrap w:val="0"/>
            <w:vAlign w:val="center"/>
          </w:tcPr>
          <w:p w14:paraId="28257F91">
            <w:pPr>
              <w:spacing w:line="360" w:lineRule="auto"/>
              <w:jc w:val="center"/>
              <w:rPr>
                <w:rFonts w:hint="eastAsia" w:ascii="宋体" w:hAnsi="宋体" w:eastAsia="宋体" w:cs="宋体"/>
                <w:color w:val="auto"/>
                <w:szCs w:val="21"/>
                <w:highlight w:val="none"/>
              </w:rPr>
            </w:pPr>
          </w:p>
        </w:tc>
        <w:tc>
          <w:tcPr>
            <w:tcW w:w="2834" w:type="dxa"/>
            <w:gridSpan w:val="3"/>
            <w:noWrap w:val="0"/>
            <w:vAlign w:val="center"/>
          </w:tcPr>
          <w:p w14:paraId="161CD13A">
            <w:pPr>
              <w:spacing w:line="360" w:lineRule="auto"/>
              <w:jc w:val="center"/>
              <w:rPr>
                <w:rFonts w:hint="eastAsia" w:ascii="宋体" w:hAnsi="宋体" w:eastAsia="宋体" w:cs="宋体"/>
                <w:color w:val="auto"/>
                <w:szCs w:val="21"/>
                <w:highlight w:val="none"/>
              </w:rPr>
            </w:pPr>
          </w:p>
        </w:tc>
      </w:tr>
      <w:tr w14:paraId="0AE25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05" w:type="dxa"/>
            <w:gridSpan w:val="2"/>
            <w:noWrap w:val="0"/>
            <w:vAlign w:val="center"/>
          </w:tcPr>
          <w:p w14:paraId="1AE269C7">
            <w:pPr>
              <w:spacing w:line="360" w:lineRule="auto"/>
              <w:jc w:val="center"/>
              <w:rPr>
                <w:rFonts w:hint="eastAsia" w:ascii="宋体" w:hAnsi="宋体" w:eastAsia="宋体" w:cs="宋体"/>
                <w:color w:val="auto"/>
                <w:szCs w:val="21"/>
                <w:highlight w:val="none"/>
              </w:rPr>
            </w:pPr>
          </w:p>
        </w:tc>
        <w:tc>
          <w:tcPr>
            <w:tcW w:w="1937" w:type="dxa"/>
            <w:gridSpan w:val="2"/>
            <w:noWrap w:val="0"/>
            <w:vAlign w:val="center"/>
          </w:tcPr>
          <w:p w14:paraId="1DF14D21">
            <w:pPr>
              <w:spacing w:line="360" w:lineRule="auto"/>
              <w:jc w:val="center"/>
              <w:rPr>
                <w:rFonts w:hint="eastAsia" w:ascii="宋体" w:hAnsi="宋体" w:eastAsia="宋体" w:cs="宋体"/>
                <w:color w:val="auto"/>
                <w:szCs w:val="21"/>
                <w:highlight w:val="none"/>
              </w:rPr>
            </w:pPr>
          </w:p>
        </w:tc>
        <w:tc>
          <w:tcPr>
            <w:tcW w:w="1806" w:type="dxa"/>
            <w:gridSpan w:val="3"/>
            <w:noWrap w:val="0"/>
            <w:vAlign w:val="center"/>
          </w:tcPr>
          <w:p w14:paraId="4E732C97">
            <w:pPr>
              <w:spacing w:line="360" w:lineRule="auto"/>
              <w:jc w:val="center"/>
              <w:rPr>
                <w:rFonts w:hint="eastAsia" w:ascii="宋体" w:hAnsi="宋体" w:eastAsia="宋体" w:cs="宋体"/>
                <w:color w:val="auto"/>
                <w:szCs w:val="21"/>
                <w:highlight w:val="none"/>
              </w:rPr>
            </w:pPr>
          </w:p>
        </w:tc>
        <w:tc>
          <w:tcPr>
            <w:tcW w:w="1798" w:type="dxa"/>
            <w:gridSpan w:val="2"/>
            <w:noWrap w:val="0"/>
            <w:vAlign w:val="center"/>
          </w:tcPr>
          <w:p w14:paraId="6BAEE529">
            <w:pPr>
              <w:spacing w:line="360" w:lineRule="auto"/>
              <w:jc w:val="center"/>
              <w:rPr>
                <w:rFonts w:hint="eastAsia" w:ascii="宋体" w:hAnsi="宋体" w:eastAsia="宋体" w:cs="宋体"/>
                <w:color w:val="auto"/>
                <w:szCs w:val="21"/>
                <w:highlight w:val="none"/>
              </w:rPr>
            </w:pPr>
          </w:p>
        </w:tc>
        <w:tc>
          <w:tcPr>
            <w:tcW w:w="2834" w:type="dxa"/>
            <w:gridSpan w:val="3"/>
            <w:noWrap w:val="0"/>
            <w:vAlign w:val="center"/>
          </w:tcPr>
          <w:p w14:paraId="0CD8DE05">
            <w:pPr>
              <w:spacing w:line="360" w:lineRule="auto"/>
              <w:jc w:val="center"/>
              <w:rPr>
                <w:rFonts w:hint="eastAsia" w:ascii="宋体" w:hAnsi="宋体" w:eastAsia="宋体" w:cs="宋体"/>
                <w:color w:val="auto"/>
                <w:szCs w:val="21"/>
                <w:highlight w:val="none"/>
              </w:rPr>
            </w:pPr>
          </w:p>
        </w:tc>
      </w:tr>
      <w:tr w14:paraId="27EC1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05" w:type="dxa"/>
            <w:gridSpan w:val="2"/>
            <w:noWrap w:val="0"/>
            <w:vAlign w:val="center"/>
          </w:tcPr>
          <w:p w14:paraId="42F47FAD">
            <w:pPr>
              <w:spacing w:line="360" w:lineRule="auto"/>
              <w:jc w:val="center"/>
              <w:rPr>
                <w:rFonts w:hint="eastAsia" w:ascii="宋体" w:hAnsi="宋体" w:eastAsia="宋体" w:cs="宋体"/>
                <w:color w:val="auto"/>
                <w:szCs w:val="21"/>
                <w:highlight w:val="none"/>
              </w:rPr>
            </w:pPr>
          </w:p>
        </w:tc>
        <w:tc>
          <w:tcPr>
            <w:tcW w:w="1937" w:type="dxa"/>
            <w:gridSpan w:val="2"/>
            <w:noWrap w:val="0"/>
            <w:vAlign w:val="center"/>
          </w:tcPr>
          <w:p w14:paraId="3BBCAAE9">
            <w:pPr>
              <w:spacing w:line="360" w:lineRule="auto"/>
              <w:jc w:val="center"/>
              <w:rPr>
                <w:rFonts w:hint="eastAsia" w:ascii="宋体" w:hAnsi="宋体" w:eastAsia="宋体" w:cs="宋体"/>
                <w:color w:val="auto"/>
                <w:szCs w:val="21"/>
                <w:highlight w:val="none"/>
              </w:rPr>
            </w:pPr>
          </w:p>
        </w:tc>
        <w:tc>
          <w:tcPr>
            <w:tcW w:w="1806" w:type="dxa"/>
            <w:gridSpan w:val="3"/>
            <w:noWrap w:val="0"/>
            <w:vAlign w:val="center"/>
          </w:tcPr>
          <w:p w14:paraId="3198E3B0">
            <w:pPr>
              <w:spacing w:line="360" w:lineRule="auto"/>
              <w:jc w:val="center"/>
              <w:rPr>
                <w:rFonts w:hint="eastAsia" w:ascii="宋体" w:hAnsi="宋体" w:eastAsia="宋体" w:cs="宋体"/>
                <w:color w:val="auto"/>
                <w:szCs w:val="21"/>
                <w:highlight w:val="none"/>
              </w:rPr>
            </w:pPr>
          </w:p>
        </w:tc>
        <w:tc>
          <w:tcPr>
            <w:tcW w:w="1798" w:type="dxa"/>
            <w:gridSpan w:val="2"/>
            <w:noWrap w:val="0"/>
            <w:vAlign w:val="center"/>
          </w:tcPr>
          <w:p w14:paraId="7AC74966">
            <w:pPr>
              <w:spacing w:line="360" w:lineRule="auto"/>
              <w:jc w:val="center"/>
              <w:rPr>
                <w:rFonts w:hint="eastAsia" w:ascii="宋体" w:hAnsi="宋体" w:eastAsia="宋体" w:cs="宋体"/>
                <w:color w:val="auto"/>
                <w:szCs w:val="21"/>
                <w:highlight w:val="none"/>
              </w:rPr>
            </w:pPr>
          </w:p>
        </w:tc>
        <w:tc>
          <w:tcPr>
            <w:tcW w:w="2834" w:type="dxa"/>
            <w:gridSpan w:val="3"/>
            <w:noWrap w:val="0"/>
            <w:vAlign w:val="center"/>
          </w:tcPr>
          <w:p w14:paraId="25BD7ECD">
            <w:pPr>
              <w:spacing w:line="360" w:lineRule="auto"/>
              <w:jc w:val="center"/>
              <w:rPr>
                <w:rFonts w:hint="eastAsia" w:ascii="宋体" w:hAnsi="宋体" w:eastAsia="宋体" w:cs="宋体"/>
                <w:color w:val="auto"/>
                <w:szCs w:val="21"/>
                <w:highlight w:val="none"/>
              </w:rPr>
            </w:pPr>
          </w:p>
        </w:tc>
      </w:tr>
      <w:tr w14:paraId="2002B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05" w:type="dxa"/>
            <w:gridSpan w:val="2"/>
            <w:noWrap w:val="0"/>
            <w:vAlign w:val="center"/>
          </w:tcPr>
          <w:p w14:paraId="2A1B6F3A">
            <w:pPr>
              <w:spacing w:line="360" w:lineRule="auto"/>
              <w:jc w:val="center"/>
              <w:rPr>
                <w:rFonts w:hint="eastAsia" w:ascii="宋体" w:hAnsi="宋体" w:eastAsia="宋体" w:cs="宋体"/>
                <w:color w:val="auto"/>
                <w:szCs w:val="21"/>
                <w:highlight w:val="none"/>
              </w:rPr>
            </w:pPr>
          </w:p>
        </w:tc>
        <w:tc>
          <w:tcPr>
            <w:tcW w:w="1937" w:type="dxa"/>
            <w:gridSpan w:val="2"/>
            <w:noWrap w:val="0"/>
            <w:vAlign w:val="center"/>
          </w:tcPr>
          <w:p w14:paraId="6965ED66">
            <w:pPr>
              <w:spacing w:line="360" w:lineRule="auto"/>
              <w:jc w:val="center"/>
              <w:rPr>
                <w:rFonts w:hint="eastAsia" w:ascii="宋体" w:hAnsi="宋体" w:eastAsia="宋体" w:cs="宋体"/>
                <w:color w:val="auto"/>
                <w:szCs w:val="21"/>
                <w:highlight w:val="none"/>
              </w:rPr>
            </w:pPr>
          </w:p>
        </w:tc>
        <w:tc>
          <w:tcPr>
            <w:tcW w:w="1806" w:type="dxa"/>
            <w:gridSpan w:val="3"/>
            <w:noWrap w:val="0"/>
            <w:vAlign w:val="center"/>
          </w:tcPr>
          <w:p w14:paraId="48CE875F">
            <w:pPr>
              <w:spacing w:line="360" w:lineRule="auto"/>
              <w:jc w:val="center"/>
              <w:rPr>
                <w:rFonts w:hint="eastAsia" w:ascii="宋体" w:hAnsi="宋体" w:eastAsia="宋体" w:cs="宋体"/>
                <w:color w:val="auto"/>
                <w:szCs w:val="21"/>
                <w:highlight w:val="none"/>
              </w:rPr>
            </w:pPr>
          </w:p>
        </w:tc>
        <w:tc>
          <w:tcPr>
            <w:tcW w:w="1798" w:type="dxa"/>
            <w:gridSpan w:val="2"/>
            <w:noWrap w:val="0"/>
            <w:vAlign w:val="center"/>
          </w:tcPr>
          <w:p w14:paraId="672CC831">
            <w:pPr>
              <w:spacing w:line="360" w:lineRule="auto"/>
              <w:jc w:val="center"/>
              <w:rPr>
                <w:rFonts w:hint="eastAsia" w:ascii="宋体" w:hAnsi="宋体" w:eastAsia="宋体" w:cs="宋体"/>
                <w:color w:val="auto"/>
                <w:szCs w:val="21"/>
                <w:highlight w:val="none"/>
              </w:rPr>
            </w:pPr>
          </w:p>
        </w:tc>
        <w:tc>
          <w:tcPr>
            <w:tcW w:w="2834" w:type="dxa"/>
            <w:gridSpan w:val="3"/>
            <w:noWrap w:val="0"/>
            <w:vAlign w:val="center"/>
          </w:tcPr>
          <w:p w14:paraId="786E29CC">
            <w:pPr>
              <w:spacing w:line="360" w:lineRule="auto"/>
              <w:jc w:val="center"/>
              <w:rPr>
                <w:rFonts w:hint="eastAsia" w:ascii="宋体" w:hAnsi="宋体" w:eastAsia="宋体" w:cs="宋体"/>
                <w:color w:val="auto"/>
                <w:szCs w:val="21"/>
                <w:highlight w:val="none"/>
              </w:rPr>
            </w:pPr>
          </w:p>
        </w:tc>
      </w:tr>
      <w:tr w14:paraId="5F0C4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05" w:type="dxa"/>
            <w:gridSpan w:val="2"/>
            <w:noWrap w:val="0"/>
            <w:vAlign w:val="center"/>
          </w:tcPr>
          <w:p w14:paraId="34AFF77D">
            <w:pPr>
              <w:spacing w:line="360" w:lineRule="auto"/>
              <w:jc w:val="center"/>
              <w:rPr>
                <w:rFonts w:hint="eastAsia" w:ascii="宋体" w:hAnsi="宋体" w:eastAsia="宋体" w:cs="宋体"/>
                <w:color w:val="auto"/>
                <w:szCs w:val="21"/>
                <w:highlight w:val="none"/>
              </w:rPr>
            </w:pPr>
          </w:p>
        </w:tc>
        <w:tc>
          <w:tcPr>
            <w:tcW w:w="1937" w:type="dxa"/>
            <w:gridSpan w:val="2"/>
            <w:noWrap w:val="0"/>
            <w:vAlign w:val="center"/>
          </w:tcPr>
          <w:p w14:paraId="3A53DCD7">
            <w:pPr>
              <w:spacing w:line="360" w:lineRule="auto"/>
              <w:jc w:val="center"/>
              <w:rPr>
                <w:rFonts w:hint="eastAsia" w:ascii="宋体" w:hAnsi="宋体" w:eastAsia="宋体" w:cs="宋体"/>
                <w:color w:val="auto"/>
                <w:szCs w:val="21"/>
                <w:highlight w:val="none"/>
              </w:rPr>
            </w:pPr>
          </w:p>
        </w:tc>
        <w:tc>
          <w:tcPr>
            <w:tcW w:w="1806" w:type="dxa"/>
            <w:gridSpan w:val="3"/>
            <w:noWrap w:val="0"/>
            <w:vAlign w:val="center"/>
          </w:tcPr>
          <w:p w14:paraId="7CC59725">
            <w:pPr>
              <w:spacing w:line="360" w:lineRule="auto"/>
              <w:jc w:val="center"/>
              <w:rPr>
                <w:rFonts w:hint="eastAsia" w:ascii="宋体" w:hAnsi="宋体" w:eastAsia="宋体" w:cs="宋体"/>
                <w:color w:val="auto"/>
                <w:szCs w:val="21"/>
                <w:highlight w:val="none"/>
              </w:rPr>
            </w:pPr>
          </w:p>
        </w:tc>
        <w:tc>
          <w:tcPr>
            <w:tcW w:w="1798" w:type="dxa"/>
            <w:gridSpan w:val="2"/>
            <w:noWrap w:val="0"/>
            <w:vAlign w:val="center"/>
          </w:tcPr>
          <w:p w14:paraId="34C0ACB2">
            <w:pPr>
              <w:spacing w:line="360" w:lineRule="auto"/>
              <w:jc w:val="center"/>
              <w:rPr>
                <w:rFonts w:hint="eastAsia" w:ascii="宋体" w:hAnsi="宋体" w:eastAsia="宋体" w:cs="宋体"/>
                <w:color w:val="auto"/>
                <w:szCs w:val="21"/>
                <w:highlight w:val="none"/>
              </w:rPr>
            </w:pPr>
          </w:p>
        </w:tc>
        <w:tc>
          <w:tcPr>
            <w:tcW w:w="2834" w:type="dxa"/>
            <w:gridSpan w:val="3"/>
            <w:noWrap w:val="0"/>
            <w:vAlign w:val="center"/>
          </w:tcPr>
          <w:p w14:paraId="6A364519">
            <w:pPr>
              <w:spacing w:line="360" w:lineRule="auto"/>
              <w:jc w:val="center"/>
              <w:rPr>
                <w:rFonts w:hint="eastAsia" w:ascii="宋体" w:hAnsi="宋体" w:eastAsia="宋体" w:cs="宋体"/>
                <w:color w:val="auto"/>
                <w:szCs w:val="21"/>
                <w:highlight w:val="none"/>
              </w:rPr>
            </w:pPr>
          </w:p>
        </w:tc>
      </w:tr>
      <w:tr w14:paraId="2B6CF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05" w:type="dxa"/>
            <w:gridSpan w:val="2"/>
            <w:noWrap w:val="0"/>
            <w:vAlign w:val="center"/>
          </w:tcPr>
          <w:p w14:paraId="19214588">
            <w:pPr>
              <w:spacing w:line="360" w:lineRule="auto"/>
              <w:jc w:val="center"/>
              <w:rPr>
                <w:rFonts w:hint="eastAsia" w:ascii="宋体" w:hAnsi="宋体" w:eastAsia="宋体" w:cs="宋体"/>
                <w:color w:val="auto"/>
                <w:szCs w:val="21"/>
                <w:highlight w:val="none"/>
              </w:rPr>
            </w:pPr>
          </w:p>
        </w:tc>
        <w:tc>
          <w:tcPr>
            <w:tcW w:w="1937" w:type="dxa"/>
            <w:gridSpan w:val="2"/>
            <w:noWrap w:val="0"/>
            <w:vAlign w:val="center"/>
          </w:tcPr>
          <w:p w14:paraId="12745D02">
            <w:pPr>
              <w:spacing w:line="360" w:lineRule="auto"/>
              <w:jc w:val="center"/>
              <w:rPr>
                <w:rFonts w:hint="eastAsia" w:ascii="宋体" w:hAnsi="宋体" w:eastAsia="宋体" w:cs="宋体"/>
                <w:color w:val="auto"/>
                <w:szCs w:val="21"/>
                <w:highlight w:val="none"/>
              </w:rPr>
            </w:pPr>
          </w:p>
        </w:tc>
        <w:tc>
          <w:tcPr>
            <w:tcW w:w="1806" w:type="dxa"/>
            <w:gridSpan w:val="3"/>
            <w:noWrap w:val="0"/>
            <w:vAlign w:val="center"/>
          </w:tcPr>
          <w:p w14:paraId="4C4D8A2B">
            <w:pPr>
              <w:spacing w:line="360" w:lineRule="auto"/>
              <w:jc w:val="center"/>
              <w:rPr>
                <w:rFonts w:hint="eastAsia" w:ascii="宋体" w:hAnsi="宋体" w:eastAsia="宋体" w:cs="宋体"/>
                <w:color w:val="auto"/>
                <w:szCs w:val="21"/>
                <w:highlight w:val="none"/>
              </w:rPr>
            </w:pPr>
          </w:p>
        </w:tc>
        <w:tc>
          <w:tcPr>
            <w:tcW w:w="1798" w:type="dxa"/>
            <w:gridSpan w:val="2"/>
            <w:noWrap w:val="0"/>
            <w:vAlign w:val="center"/>
          </w:tcPr>
          <w:p w14:paraId="4B14DBA7">
            <w:pPr>
              <w:spacing w:line="360" w:lineRule="auto"/>
              <w:jc w:val="center"/>
              <w:rPr>
                <w:rFonts w:hint="eastAsia" w:ascii="宋体" w:hAnsi="宋体" w:eastAsia="宋体" w:cs="宋体"/>
                <w:color w:val="auto"/>
                <w:szCs w:val="21"/>
                <w:highlight w:val="none"/>
              </w:rPr>
            </w:pPr>
          </w:p>
        </w:tc>
        <w:tc>
          <w:tcPr>
            <w:tcW w:w="2834" w:type="dxa"/>
            <w:gridSpan w:val="3"/>
            <w:noWrap w:val="0"/>
            <w:vAlign w:val="center"/>
          </w:tcPr>
          <w:p w14:paraId="1AA10554">
            <w:pPr>
              <w:spacing w:line="360" w:lineRule="auto"/>
              <w:jc w:val="center"/>
              <w:rPr>
                <w:rFonts w:hint="eastAsia" w:ascii="宋体" w:hAnsi="宋体" w:eastAsia="宋体" w:cs="宋体"/>
                <w:color w:val="auto"/>
                <w:szCs w:val="21"/>
                <w:highlight w:val="none"/>
              </w:rPr>
            </w:pPr>
          </w:p>
        </w:tc>
      </w:tr>
      <w:tr w14:paraId="7CE52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05" w:type="dxa"/>
            <w:gridSpan w:val="2"/>
            <w:noWrap w:val="0"/>
            <w:vAlign w:val="center"/>
          </w:tcPr>
          <w:p w14:paraId="232B20DC">
            <w:pPr>
              <w:spacing w:line="360" w:lineRule="auto"/>
              <w:jc w:val="center"/>
              <w:rPr>
                <w:rFonts w:hint="eastAsia" w:ascii="宋体" w:hAnsi="宋体" w:eastAsia="宋体" w:cs="宋体"/>
                <w:color w:val="auto"/>
                <w:szCs w:val="21"/>
                <w:highlight w:val="none"/>
              </w:rPr>
            </w:pPr>
          </w:p>
        </w:tc>
        <w:tc>
          <w:tcPr>
            <w:tcW w:w="1937" w:type="dxa"/>
            <w:gridSpan w:val="2"/>
            <w:noWrap w:val="0"/>
            <w:vAlign w:val="center"/>
          </w:tcPr>
          <w:p w14:paraId="31EEEAC8">
            <w:pPr>
              <w:spacing w:line="360" w:lineRule="auto"/>
              <w:jc w:val="center"/>
              <w:rPr>
                <w:rFonts w:hint="eastAsia" w:ascii="宋体" w:hAnsi="宋体" w:eastAsia="宋体" w:cs="宋体"/>
                <w:color w:val="auto"/>
                <w:szCs w:val="21"/>
                <w:highlight w:val="none"/>
              </w:rPr>
            </w:pPr>
          </w:p>
        </w:tc>
        <w:tc>
          <w:tcPr>
            <w:tcW w:w="1806" w:type="dxa"/>
            <w:gridSpan w:val="3"/>
            <w:noWrap w:val="0"/>
            <w:vAlign w:val="center"/>
          </w:tcPr>
          <w:p w14:paraId="604A20C8">
            <w:pPr>
              <w:spacing w:line="360" w:lineRule="auto"/>
              <w:jc w:val="center"/>
              <w:rPr>
                <w:rFonts w:hint="eastAsia" w:ascii="宋体" w:hAnsi="宋体" w:eastAsia="宋体" w:cs="宋体"/>
                <w:color w:val="auto"/>
                <w:szCs w:val="21"/>
                <w:highlight w:val="none"/>
              </w:rPr>
            </w:pPr>
          </w:p>
        </w:tc>
        <w:tc>
          <w:tcPr>
            <w:tcW w:w="1798" w:type="dxa"/>
            <w:gridSpan w:val="2"/>
            <w:noWrap w:val="0"/>
            <w:vAlign w:val="center"/>
          </w:tcPr>
          <w:p w14:paraId="76B286E3">
            <w:pPr>
              <w:spacing w:line="360" w:lineRule="auto"/>
              <w:jc w:val="center"/>
              <w:rPr>
                <w:rFonts w:hint="eastAsia" w:ascii="宋体" w:hAnsi="宋体" w:eastAsia="宋体" w:cs="宋体"/>
                <w:color w:val="auto"/>
                <w:szCs w:val="21"/>
                <w:highlight w:val="none"/>
              </w:rPr>
            </w:pPr>
          </w:p>
        </w:tc>
        <w:tc>
          <w:tcPr>
            <w:tcW w:w="2834" w:type="dxa"/>
            <w:gridSpan w:val="3"/>
            <w:noWrap w:val="0"/>
            <w:vAlign w:val="center"/>
          </w:tcPr>
          <w:p w14:paraId="1B26E7EA">
            <w:pPr>
              <w:spacing w:line="360" w:lineRule="auto"/>
              <w:jc w:val="center"/>
              <w:rPr>
                <w:rFonts w:hint="eastAsia" w:ascii="宋体" w:hAnsi="宋体" w:eastAsia="宋体" w:cs="宋体"/>
                <w:color w:val="auto"/>
                <w:szCs w:val="21"/>
                <w:highlight w:val="none"/>
              </w:rPr>
            </w:pPr>
          </w:p>
        </w:tc>
      </w:tr>
    </w:tbl>
    <w:p w14:paraId="22D9A420">
      <w:pPr>
        <w:spacing w:before="156" w:beforeLines="50" w:line="360" w:lineRule="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注明：需提供证明资料内容详见</w:t>
      </w:r>
      <w:r>
        <w:rPr>
          <w:rFonts w:hint="eastAsia" w:ascii="宋体" w:hAnsi="宋体" w:eastAsia="宋体" w:cs="宋体"/>
          <w:color w:val="auto"/>
          <w:szCs w:val="21"/>
          <w:highlight w:val="none"/>
          <w:u w:val="single"/>
        </w:rPr>
        <w:t>（招标文件</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u w:val="single"/>
        </w:rPr>
        <w:t>附件一：评标工作大纲</w:t>
      </w:r>
      <w:r>
        <w:rPr>
          <w:rFonts w:hint="eastAsia" w:ascii="宋体" w:hAnsi="宋体" w:eastAsia="宋体" w:cs="宋体"/>
          <w:color w:val="auto"/>
          <w:szCs w:val="21"/>
          <w:highlight w:val="none"/>
          <w:u w:val="single"/>
          <w:lang w:val="en-US" w:eastAsia="zh-CN"/>
        </w:rPr>
        <w:t xml:space="preserve"> 12、评分因素及分值 </w:t>
      </w:r>
      <w:r>
        <w:rPr>
          <w:rFonts w:hint="eastAsia" w:ascii="宋体" w:hAnsi="宋体" w:eastAsia="宋体" w:cs="宋体"/>
          <w:color w:val="auto"/>
          <w:szCs w:val="21"/>
          <w:highlight w:val="none"/>
          <w:u w:val="single"/>
        </w:rPr>
        <w:t>商务评分相对应评审细则）</w:t>
      </w:r>
    </w:p>
    <w:p w14:paraId="7887ACFC">
      <w:pPr>
        <w:pStyle w:val="20"/>
        <w:overflowPunct w:val="0"/>
        <w:spacing w:before="156" w:beforeLines="50" w:after="0" w:line="360" w:lineRule="auto"/>
        <w:rPr>
          <w:rFonts w:hint="eastAsia" w:ascii="宋体" w:hAnsi="宋体" w:eastAsia="宋体" w:cs="宋体"/>
          <w:color w:val="auto"/>
          <w:szCs w:val="21"/>
          <w:highlight w:val="none"/>
        </w:rPr>
      </w:pPr>
    </w:p>
    <w:tbl>
      <w:tblPr>
        <w:tblStyle w:val="41"/>
        <w:tblW w:w="0" w:type="auto"/>
        <w:tblInd w:w="108" w:type="dxa"/>
        <w:tblLayout w:type="fixed"/>
        <w:tblCellMar>
          <w:top w:w="0" w:type="dxa"/>
          <w:left w:w="108" w:type="dxa"/>
          <w:bottom w:w="0" w:type="dxa"/>
          <w:right w:w="108" w:type="dxa"/>
        </w:tblCellMar>
      </w:tblPr>
      <w:tblGrid>
        <w:gridCol w:w="5217"/>
        <w:gridCol w:w="3157"/>
      </w:tblGrid>
      <w:tr w14:paraId="3DC30D7A">
        <w:tblPrEx>
          <w:tblCellMar>
            <w:top w:w="0" w:type="dxa"/>
            <w:left w:w="108" w:type="dxa"/>
            <w:bottom w:w="0" w:type="dxa"/>
            <w:right w:w="108" w:type="dxa"/>
          </w:tblCellMar>
        </w:tblPrEx>
        <w:tc>
          <w:tcPr>
            <w:tcW w:w="5217" w:type="dxa"/>
            <w:noWrap w:val="0"/>
            <w:vAlign w:val="top"/>
          </w:tcPr>
          <w:p w14:paraId="338BF132">
            <w:pPr>
              <w:overflowPunct w:val="0"/>
              <w:adjustRightIn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w:t>
            </w:r>
            <w:r>
              <w:rPr>
                <w:rFonts w:hint="eastAsia" w:ascii="宋体" w:hAnsi="宋体" w:eastAsia="宋体" w:cs="宋体"/>
                <w:color w:val="auto"/>
                <w:szCs w:val="21"/>
                <w:highlight w:val="none"/>
                <w:lang w:val="zh-CN"/>
              </w:rPr>
              <w:t>加盖投标人公章</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single"/>
              </w:rPr>
              <w:t xml:space="preserve">                           </w:t>
            </w:r>
          </w:p>
        </w:tc>
        <w:tc>
          <w:tcPr>
            <w:tcW w:w="3157" w:type="dxa"/>
            <w:noWrap w:val="0"/>
            <w:vAlign w:val="top"/>
          </w:tcPr>
          <w:p w14:paraId="53560D54">
            <w:pPr>
              <w:spacing w:line="360" w:lineRule="auto"/>
              <w:rPr>
                <w:rFonts w:hint="eastAsia" w:ascii="宋体" w:hAnsi="宋体" w:eastAsia="宋体" w:cs="宋体"/>
                <w:color w:val="auto"/>
                <w:szCs w:val="21"/>
                <w:highlight w:val="none"/>
              </w:rPr>
            </w:pPr>
          </w:p>
        </w:tc>
      </w:tr>
      <w:tr w14:paraId="2FA74B3A">
        <w:tblPrEx>
          <w:tblCellMar>
            <w:top w:w="0" w:type="dxa"/>
            <w:left w:w="108" w:type="dxa"/>
            <w:bottom w:w="0" w:type="dxa"/>
            <w:right w:w="108" w:type="dxa"/>
          </w:tblCellMar>
        </w:tblPrEx>
        <w:tc>
          <w:tcPr>
            <w:tcW w:w="5217" w:type="dxa"/>
            <w:noWrap w:val="0"/>
            <w:vAlign w:val="top"/>
          </w:tcPr>
          <w:p w14:paraId="45B24CF0">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w:t>
            </w:r>
            <w:r>
              <w:rPr>
                <w:rFonts w:hint="eastAsia" w:ascii="宋体" w:hAnsi="宋体" w:eastAsia="宋体" w:cs="宋体"/>
                <w:color w:val="auto"/>
                <w:szCs w:val="21"/>
                <w:highlight w:val="none"/>
                <w:u w:val="single"/>
              </w:rPr>
              <w:t xml:space="preserve">             年           月            日</w:t>
            </w:r>
          </w:p>
        </w:tc>
        <w:tc>
          <w:tcPr>
            <w:tcW w:w="3157" w:type="dxa"/>
            <w:noWrap w:val="0"/>
            <w:vAlign w:val="top"/>
          </w:tcPr>
          <w:p w14:paraId="3F967FF0">
            <w:pPr>
              <w:spacing w:line="360" w:lineRule="auto"/>
              <w:rPr>
                <w:rFonts w:hint="eastAsia" w:ascii="宋体" w:hAnsi="宋体" w:eastAsia="宋体" w:cs="宋体"/>
                <w:color w:val="auto"/>
                <w:szCs w:val="21"/>
                <w:highlight w:val="none"/>
              </w:rPr>
            </w:pPr>
          </w:p>
        </w:tc>
      </w:tr>
    </w:tbl>
    <w:p w14:paraId="5079521F">
      <w:pPr>
        <w:numPr>
          <w:ilvl w:val="1"/>
          <w:numId w:val="19"/>
        </w:numPr>
        <w:autoSpaceDE/>
        <w:autoSpaceDN/>
        <w:adjustRightInd/>
        <w:spacing w:line="240" w:lineRule="auto"/>
        <w:jc w:val="left"/>
        <w:outlineLvl w:val="9"/>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br w:type="page"/>
      </w:r>
    </w:p>
    <w:p w14:paraId="688EE8D6">
      <w:pPr>
        <w:numPr>
          <w:ilvl w:val="-1"/>
          <w:numId w:val="0"/>
        </w:numPr>
        <w:autoSpaceDE/>
        <w:autoSpaceDN/>
        <w:adjustRightInd/>
        <w:spacing w:line="240" w:lineRule="auto"/>
        <w:jc w:val="left"/>
        <w:outlineLvl w:val="9"/>
        <w:rPr>
          <w:rFonts w:hint="eastAsia" w:ascii="宋体" w:hAnsi="宋体" w:eastAsia="宋体" w:cs="宋体"/>
          <w:b/>
          <w:color w:val="auto"/>
          <w:kern w:val="0"/>
          <w:sz w:val="32"/>
          <w:szCs w:val="32"/>
          <w:highlight w:val="none"/>
          <w:lang w:val="en-US" w:eastAsia="zh-CN"/>
        </w:rPr>
      </w:pPr>
      <w:r>
        <w:rPr>
          <w:rFonts w:hint="eastAsia" w:ascii="宋体" w:hAnsi="宋体" w:eastAsia="宋体" w:cs="宋体"/>
          <w:b/>
          <w:color w:val="auto"/>
          <w:kern w:val="0"/>
          <w:sz w:val="32"/>
          <w:szCs w:val="32"/>
          <w:highlight w:val="none"/>
          <w:lang w:val="en-US" w:eastAsia="zh-CN"/>
        </w:rPr>
        <w:t>7.2 拟担任本项目技术负责人简历表</w:t>
      </w:r>
    </w:p>
    <w:p w14:paraId="105CEB69">
      <w:pPr>
        <w:spacing w:before="312" w:beforeLines="100" w:after="468" w:afterLines="150" w:line="360" w:lineRule="auto"/>
        <w:jc w:val="center"/>
        <w:rPr>
          <w:rFonts w:hint="eastAsia" w:ascii="宋体" w:hAnsi="宋体" w:eastAsia="宋体" w:cs="宋体"/>
          <w:b/>
          <w:color w:val="auto"/>
          <w:spacing w:val="20"/>
          <w:sz w:val="36"/>
          <w:szCs w:val="36"/>
          <w:highlight w:val="none"/>
        </w:rPr>
      </w:pPr>
      <w:r>
        <w:rPr>
          <w:rFonts w:hint="eastAsia" w:ascii="宋体" w:hAnsi="宋体" w:eastAsia="宋体" w:cs="宋体"/>
          <w:b/>
          <w:color w:val="auto"/>
          <w:spacing w:val="20"/>
          <w:sz w:val="36"/>
          <w:szCs w:val="36"/>
          <w:highlight w:val="none"/>
        </w:rPr>
        <w:t>拟担任本项目技术负责人简历表</w:t>
      </w:r>
    </w:p>
    <w:tbl>
      <w:tblPr>
        <w:tblStyle w:val="4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859"/>
        <w:gridCol w:w="1564"/>
        <w:gridCol w:w="373"/>
        <w:gridCol w:w="211"/>
        <w:gridCol w:w="967"/>
        <w:gridCol w:w="628"/>
        <w:gridCol w:w="1311"/>
        <w:gridCol w:w="487"/>
        <w:gridCol w:w="756"/>
        <w:gridCol w:w="475"/>
        <w:gridCol w:w="1603"/>
      </w:tblGrid>
      <w:tr w14:paraId="475FD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6" w:type="dxa"/>
            <w:noWrap w:val="0"/>
            <w:vAlign w:val="center"/>
          </w:tcPr>
          <w:p w14:paraId="434B0621">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姓名</w:t>
            </w:r>
          </w:p>
        </w:tc>
        <w:tc>
          <w:tcPr>
            <w:tcW w:w="3007" w:type="dxa"/>
            <w:gridSpan w:val="4"/>
            <w:noWrap w:val="0"/>
            <w:vAlign w:val="center"/>
          </w:tcPr>
          <w:p w14:paraId="655FC6A4">
            <w:pPr>
              <w:spacing w:line="360" w:lineRule="auto"/>
              <w:jc w:val="center"/>
              <w:rPr>
                <w:rFonts w:hint="eastAsia" w:ascii="宋体" w:hAnsi="宋体" w:eastAsia="宋体" w:cs="宋体"/>
                <w:color w:val="auto"/>
                <w:szCs w:val="21"/>
                <w:highlight w:val="none"/>
              </w:rPr>
            </w:pPr>
          </w:p>
        </w:tc>
        <w:tc>
          <w:tcPr>
            <w:tcW w:w="967" w:type="dxa"/>
            <w:noWrap w:val="0"/>
            <w:vAlign w:val="center"/>
          </w:tcPr>
          <w:p w14:paraId="0042A8F6">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性别</w:t>
            </w:r>
          </w:p>
        </w:tc>
        <w:tc>
          <w:tcPr>
            <w:tcW w:w="1939" w:type="dxa"/>
            <w:gridSpan w:val="2"/>
            <w:noWrap w:val="0"/>
            <w:vAlign w:val="center"/>
          </w:tcPr>
          <w:p w14:paraId="1C94165D">
            <w:pPr>
              <w:spacing w:line="360" w:lineRule="auto"/>
              <w:jc w:val="center"/>
              <w:rPr>
                <w:rFonts w:hint="eastAsia" w:ascii="宋体" w:hAnsi="宋体" w:eastAsia="宋体" w:cs="宋体"/>
                <w:color w:val="auto"/>
                <w:szCs w:val="21"/>
                <w:highlight w:val="none"/>
              </w:rPr>
            </w:pPr>
          </w:p>
        </w:tc>
        <w:tc>
          <w:tcPr>
            <w:tcW w:w="1243" w:type="dxa"/>
            <w:gridSpan w:val="2"/>
            <w:noWrap w:val="0"/>
            <w:vAlign w:val="center"/>
          </w:tcPr>
          <w:p w14:paraId="6CD7ECC5">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年龄</w:t>
            </w:r>
          </w:p>
        </w:tc>
        <w:tc>
          <w:tcPr>
            <w:tcW w:w="2078" w:type="dxa"/>
            <w:gridSpan w:val="2"/>
            <w:noWrap w:val="0"/>
            <w:vAlign w:val="center"/>
          </w:tcPr>
          <w:p w14:paraId="28EDCB90">
            <w:pPr>
              <w:spacing w:line="360" w:lineRule="auto"/>
              <w:jc w:val="center"/>
              <w:rPr>
                <w:rFonts w:hint="eastAsia" w:ascii="宋体" w:hAnsi="宋体" w:eastAsia="宋体" w:cs="宋体"/>
                <w:color w:val="auto"/>
                <w:szCs w:val="21"/>
                <w:highlight w:val="none"/>
              </w:rPr>
            </w:pPr>
          </w:p>
        </w:tc>
      </w:tr>
      <w:tr w14:paraId="49F5A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846" w:type="dxa"/>
            <w:noWrap w:val="0"/>
            <w:vAlign w:val="center"/>
          </w:tcPr>
          <w:p w14:paraId="26185339">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职务</w:t>
            </w:r>
          </w:p>
        </w:tc>
        <w:tc>
          <w:tcPr>
            <w:tcW w:w="3007" w:type="dxa"/>
            <w:gridSpan w:val="4"/>
            <w:noWrap w:val="0"/>
            <w:vAlign w:val="center"/>
          </w:tcPr>
          <w:p w14:paraId="1B511AED">
            <w:pPr>
              <w:spacing w:line="360" w:lineRule="auto"/>
              <w:jc w:val="center"/>
              <w:rPr>
                <w:rFonts w:hint="eastAsia" w:ascii="宋体" w:hAnsi="宋体" w:eastAsia="宋体" w:cs="宋体"/>
                <w:color w:val="auto"/>
                <w:szCs w:val="21"/>
                <w:highlight w:val="none"/>
              </w:rPr>
            </w:pPr>
          </w:p>
        </w:tc>
        <w:tc>
          <w:tcPr>
            <w:tcW w:w="967" w:type="dxa"/>
            <w:noWrap w:val="0"/>
            <w:vAlign w:val="center"/>
          </w:tcPr>
          <w:p w14:paraId="001A445F">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职称</w:t>
            </w:r>
          </w:p>
        </w:tc>
        <w:tc>
          <w:tcPr>
            <w:tcW w:w="1939" w:type="dxa"/>
            <w:gridSpan w:val="2"/>
            <w:noWrap w:val="0"/>
            <w:vAlign w:val="center"/>
          </w:tcPr>
          <w:p w14:paraId="766CDCEA">
            <w:pPr>
              <w:spacing w:line="360" w:lineRule="auto"/>
              <w:jc w:val="center"/>
              <w:rPr>
                <w:rFonts w:hint="eastAsia" w:ascii="宋体" w:hAnsi="宋体" w:eastAsia="宋体" w:cs="宋体"/>
                <w:color w:val="auto"/>
                <w:szCs w:val="21"/>
                <w:highlight w:val="none"/>
              </w:rPr>
            </w:pPr>
          </w:p>
        </w:tc>
        <w:tc>
          <w:tcPr>
            <w:tcW w:w="1243" w:type="dxa"/>
            <w:gridSpan w:val="2"/>
            <w:noWrap w:val="0"/>
            <w:vAlign w:val="center"/>
          </w:tcPr>
          <w:p w14:paraId="7BE02EF3">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学历</w:t>
            </w:r>
          </w:p>
        </w:tc>
        <w:tc>
          <w:tcPr>
            <w:tcW w:w="2078" w:type="dxa"/>
            <w:gridSpan w:val="2"/>
            <w:noWrap w:val="0"/>
            <w:vAlign w:val="center"/>
          </w:tcPr>
          <w:p w14:paraId="6A5FC8C8">
            <w:pPr>
              <w:spacing w:line="360" w:lineRule="auto"/>
              <w:jc w:val="center"/>
              <w:rPr>
                <w:rFonts w:hint="eastAsia" w:ascii="宋体" w:hAnsi="宋体" w:eastAsia="宋体" w:cs="宋体"/>
                <w:color w:val="auto"/>
                <w:szCs w:val="21"/>
                <w:highlight w:val="none"/>
              </w:rPr>
            </w:pPr>
          </w:p>
        </w:tc>
      </w:tr>
      <w:tr w14:paraId="1EC6C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3269" w:type="dxa"/>
            <w:gridSpan w:val="3"/>
            <w:noWrap w:val="0"/>
            <w:vAlign w:val="center"/>
          </w:tcPr>
          <w:p w14:paraId="2CADCFE0">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参加工作时间</w:t>
            </w:r>
          </w:p>
        </w:tc>
        <w:tc>
          <w:tcPr>
            <w:tcW w:w="2179" w:type="dxa"/>
            <w:gridSpan w:val="4"/>
            <w:noWrap w:val="0"/>
            <w:vAlign w:val="center"/>
          </w:tcPr>
          <w:p w14:paraId="7FC0E1AB">
            <w:pPr>
              <w:spacing w:line="360" w:lineRule="auto"/>
              <w:jc w:val="center"/>
              <w:rPr>
                <w:rFonts w:hint="eastAsia" w:ascii="宋体" w:hAnsi="宋体" w:eastAsia="宋体" w:cs="宋体"/>
                <w:color w:val="auto"/>
                <w:szCs w:val="21"/>
                <w:highlight w:val="none"/>
              </w:rPr>
            </w:pPr>
          </w:p>
        </w:tc>
        <w:tc>
          <w:tcPr>
            <w:tcW w:w="3029" w:type="dxa"/>
            <w:gridSpan w:val="4"/>
            <w:noWrap w:val="0"/>
            <w:vAlign w:val="center"/>
          </w:tcPr>
          <w:p w14:paraId="7CCD2D4A">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相关经验年限</w:t>
            </w:r>
          </w:p>
        </w:tc>
        <w:tc>
          <w:tcPr>
            <w:tcW w:w="1603" w:type="dxa"/>
            <w:noWrap w:val="0"/>
            <w:vAlign w:val="center"/>
          </w:tcPr>
          <w:p w14:paraId="2220811E">
            <w:pPr>
              <w:spacing w:line="360" w:lineRule="auto"/>
              <w:jc w:val="center"/>
              <w:rPr>
                <w:rFonts w:hint="eastAsia" w:ascii="宋体" w:hAnsi="宋体" w:eastAsia="宋体" w:cs="宋体"/>
                <w:color w:val="auto"/>
                <w:szCs w:val="21"/>
                <w:highlight w:val="none"/>
              </w:rPr>
            </w:pPr>
          </w:p>
        </w:tc>
      </w:tr>
      <w:tr w14:paraId="57516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3269" w:type="dxa"/>
            <w:gridSpan w:val="3"/>
            <w:noWrap w:val="0"/>
            <w:vAlign w:val="center"/>
          </w:tcPr>
          <w:p w14:paraId="394CBDB2">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资格证书名称、编号</w:t>
            </w:r>
          </w:p>
        </w:tc>
        <w:tc>
          <w:tcPr>
            <w:tcW w:w="6811" w:type="dxa"/>
            <w:gridSpan w:val="9"/>
            <w:noWrap w:val="0"/>
            <w:vAlign w:val="center"/>
          </w:tcPr>
          <w:p w14:paraId="76B3B598">
            <w:pPr>
              <w:spacing w:line="360" w:lineRule="auto"/>
              <w:jc w:val="center"/>
              <w:rPr>
                <w:rFonts w:hint="eastAsia" w:ascii="宋体" w:hAnsi="宋体" w:eastAsia="宋体" w:cs="宋体"/>
                <w:color w:val="auto"/>
                <w:szCs w:val="21"/>
                <w:highlight w:val="none"/>
              </w:rPr>
            </w:pPr>
          </w:p>
        </w:tc>
      </w:tr>
      <w:tr w14:paraId="3E608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0080" w:type="dxa"/>
            <w:gridSpan w:val="12"/>
            <w:noWrap w:val="0"/>
            <w:vAlign w:val="center"/>
          </w:tcPr>
          <w:p w14:paraId="45BA06EA">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目前在任及以往服务项目情况</w:t>
            </w:r>
          </w:p>
        </w:tc>
      </w:tr>
      <w:tr w14:paraId="23966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705" w:type="dxa"/>
            <w:gridSpan w:val="2"/>
            <w:noWrap w:val="0"/>
            <w:vAlign w:val="center"/>
          </w:tcPr>
          <w:p w14:paraId="77B92BF7">
            <w:pPr>
              <w:widowControl/>
              <w:snapToGrid w:val="0"/>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1937" w:type="dxa"/>
            <w:gridSpan w:val="2"/>
            <w:noWrap w:val="0"/>
            <w:vAlign w:val="center"/>
          </w:tcPr>
          <w:p w14:paraId="1A34C1B2">
            <w:pPr>
              <w:widowControl/>
              <w:snapToGrid w:val="0"/>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发包单位</w:t>
            </w:r>
          </w:p>
        </w:tc>
        <w:tc>
          <w:tcPr>
            <w:tcW w:w="1806" w:type="dxa"/>
            <w:gridSpan w:val="3"/>
            <w:noWrap w:val="0"/>
            <w:vAlign w:val="center"/>
          </w:tcPr>
          <w:p w14:paraId="1C892ECF">
            <w:pPr>
              <w:widowControl/>
              <w:snapToGrid w:val="0"/>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服务内容</w:t>
            </w:r>
          </w:p>
        </w:tc>
        <w:tc>
          <w:tcPr>
            <w:tcW w:w="1798" w:type="dxa"/>
            <w:gridSpan w:val="2"/>
            <w:noWrap w:val="0"/>
            <w:vAlign w:val="center"/>
          </w:tcPr>
          <w:p w14:paraId="304C8153">
            <w:pPr>
              <w:widowControl/>
              <w:snapToGrid w:val="0"/>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本人在该项目中所任职务</w:t>
            </w:r>
          </w:p>
        </w:tc>
        <w:tc>
          <w:tcPr>
            <w:tcW w:w="2834" w:type="dxa"/>
            <w:gridSpan w:val="3"/>
            <w:noWrap w:val="0"/>
            <w:vAlign w:val="center"/>
          </w:tcPr>
          <w:p w14:paraId="45FC6ABD">
            <w:pPr>
              <w:widowControl/>
              <w:snapToGrid w:val="0"/>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起止时间</w:t>
            </w:r>
          </w:p>
        </w:tc>
      </w:tr>
      <w:tr w14:paraId="4EF90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05" w:type="dxa"/>
            <w:gridSpan w:val="2"/>
            <w:noWrap w:val="0"/>
            <w:vAlign w:val="center"/>
          </w:tcPr>
          <w:p w14:paraId="32722A42">
            <w:pPr>
              <w:spacing w:line="360" w:lineRule="auto"/>
              <w:jc w:val="center"/>
              <w:rPr>
                <w:rFonts w:hint="eastAsia" w:ascii="宋体" w:hAnsi="宋体" w:eastAsia="宋体" w:cs="宋体"/>
                <w:color w:val="auto"/>
                <w:szCs w:val="21"/>
                <w:highlight w:val="none"/>
              </w:rPr>
            </w:pPr>
          </w:p>
        </w:tc>
        <w:tc>
          <w:tcPr>
            <w:tcW w:w="1937" w:type="dxa"/>
            <w:gridSpan w:val="2"/>
            <w:noWrap w:val="0"/>
            <w:vAlign w:val="center"/>
          </w:tcPr>
          <w:p w14:paraId="7BB3DBC6">
            <w:pPr>
              <w:spacing w:line="360" w:lineRule="auto"/>
              <w:jc w:val="center"/>
              <w:rPr>
                <w:rFonts w:hint="eastAsia" w:ascii="宋体" w:hAnsi="宋体" w:eastAsia="宋体" w:cs="宋体"/>
                <w:color w:val="auto"/>
                <w:szCs w:val="21"/>
                <w:highlight w:val="none"/>
              </w:rPr>
            </w:pPr>
          </w:p>
        </w:tc>
        <w:tc>
          <w:tcPr>
            <w:tcW w:w="1806" w:type="dxa"/>
            <w:gridSpan w:val="3"/>
            <w:noWrap w:val="0"/>
            <w:vAlign w:val="center"/>
          </w:tcPr>
          <w:p w14:paraId="08BA226E">
            <w:pPr>
              <w:spacing w:line="360" w:lineRule="auto"/>
              <w:jc w:val="center"/>
              <w:rPr>
                <w:rFonts w:hint="eastAsia" w:ascii="宋体" w:hAnsi="宋体" w:eastAsia="宋体" w:cs="宋体"/>
                <w:color w:val="auto"/>
                <w:szCs w:val="21"/>
                <w:highlight w:val="none"/>
              </w:rPr>
            </w:pPr>
          </w:p>
        </w:tc>
        <w:tc>
          <w:tcPr>
            <w:tcW w:w="1798" w:type="dxa"/>
            <w:gridSpan w:val="2"/>
            <w:noWrap w:val="0"/>
            <w:vAlign w:val="center"/>
          </w:tcPr>
          <w:p w14:paraId="27DFC06F">
            <w:pPr>
              <w:spacing w:line="360" w:lineRule="auto"/>
              <w:jc w:val="center"/>
              <w:rPr>
                <w:rFonts w:hint="eastAsia" w:ascii="宋体" w:hAnsi="宋体" w:eastAsia="宋体" w:cs="宋体"/>
                <w:color w:val="auto"/>
                <w:szCs w:val="21"/>
                <w:highlight w:val="none"/>
              </w:rPr>
            </w:pPr>
          </w:p>
        </w:tc>
        <w:tc>
          <w:tcPr>
            <w:tcW w:w="2834" w:type="dxa"/>
            <w:gridSpan w:val="3"/>
            <w:noWrap w:val="0"/>
            <w:vAlign w:val="center"/>
          </w:tcPr>
          <w:p w14:paraId="776D849E">
            <w:pPr>
              <w:spacing w:line="360" w:lineRule="auto"/>
              <w:jc w:val="center"/>
              <w:rPr>
                <w:rFonts w:hint="eastAsia" w:ascii="宋体" w:hAnsi="宋体" w:eastAsia="宋体" w:cs="宋体"/>
                <w:color w:val="auto"/>
                <w:szCs w:val="21"/>
                <w:highlight w:val="none"/>
              </w:rPr>
            </w:pPr>
          </w:p>
        </w:tc>
      </w:tr>
      <w:tr w14:paraId="3EBA8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05" w:type="dxa"/>
            <w:gridSpan w:val="2"/>
            <w:noWrap w:val="0"/>
            <w:vAlign w:val="center"/>
          </w:tcPr>
          <w:p w14:paraId="04CB543D">
            <w:pPr>
              <w:spacing w:line="360" w:lineRule="auto"/>
              <w:jc w:val="center"/>
              <w:rPr>
                <w:rFonts w:hint="eastAsia" w:ascii="宋体" w:hAnsi="宋体" w:eastAsia="宋体" w:cs="宋体"/>
                <w:color w:val="auto"/>
                <w:szCs w:val="21"/>
                <w:highlight w:val="none"/>
              </w:rPr>
            </w:pPr>
          </w:p>
        </w:tc>
        <w:tc>
          <w:tcPr>
            <w:tcW w:w="1937" w:type="dxa"/>
            <w:gridSpan w:val="2"/>
            <w:noWrap w:val="0"/>
            <w:vAlign w:val="center"/>
          </w:tcPr>
          <w:p w14:paraId="700A5B22">
            <w:pPr>
              <w:spacing w:line="360" w:lineRule="auto"/>
              <w:jc w:val="center"/>
              <w:rPr>
                <w:rFonts w:hint="eastAsia" w:ascii="宋体" w:hAnsi="宋体" w:eastAsia="宋体" w:cs="宋体"/>
                <w:color w:val="auto"/>
                <w:szCs w:val="21"/>
                <w:highlight w:val="none"/>
              </w:rPr>
            </w:pPr>
          </w:p>
        </w:tc>
        <w:tc>
          <w:tcPr>
            <w:tcW w:w="1806" w:type="dxa"/>
            <w:gridSpan w:val="3"/>
            <w:noWrap w:val="0"/>
            <w:vAlign w:val="center"/>
          </w:tcPr>
          <w:p w14:paraId="383877C6">
            <w:pPr>
              <w:spacing w:line="360" w:lineRule="auto"/>
              <w:jc w:val="center"/>
              <w:rPr>
                <w:rFonts w:hint="eastAsia" w:ascii="宋体" w:hAnsi="宋体" w:eastAsia="宋体" w:cs="宋体"/>
                <w:color w:val="auto"/>
                <w:szCs w:val="21"/>
                <w:highlight w:val="none"/>
              </w:rPr>
            </w:pPr>
          </w:p>
        </w:tc>
        <w:tc>
          <w:tcPr>
            <w:tcW w:w="1798" w:type="dxa"/>
            <w:gridSpan w:val="2"/>
            <w:noWrap w:val="0"/>
            <w:vAlign w:val="center"/>
          </w:tcPr>
          <w:p w14:paraId="28589E44">
            <w:pPr>
              <w:spacing w:line="360" w:lineRule="auto"/>
              <w:jc w:val="center"/>
              <w:rPr>
                <w:rFonts w:hint="eastAsia" w:ascii="宋体" w:hAnsi="宋体" w:eastAsia="宋体" w:cs="宋体"/>
                <w:color w:val="auto"/>
                <w:szCs w:val="21"/>
                <w:highlight w:val="none"/>
              </w:rPr>
            </w:pPr>
          </w:p>
        </w:tc>
        <w:tc>
          <w:tcPr>
            <w:tcW w:w="2834" w:type="dxa"/>
            <w:gridSpan w:val="3"/>
            <w:noWrap w:val="0"/>
            <w:vAlign w:val="center"/>
          </w:tcPr>
          <w:p w14:paraId="5498C0AF">
            <w:pPr>
              <w:spacing w:line="360" w:lineRule="auto"/>
              <w:jc w:val="center"/>
              <w:rPr>
                <w:rFonts w:hint="eastAsia" w:ascii="宋体" w:hAnsi="宋体" w:eastAsia="宋体" w:cs="宋体"/>
                <w:color w:val="auto"/>
                <w:szCs w:val="21"/>
                <w:highlight w:val="none"/>
              </w:rPr>
            </w:pPr>
          </w:p>
        </w:tc>
      </w:tr>
      <w:tr w14:paraId="193B0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05" w:type="dxa"/>
            <w:gridSpan w:val="2"/>
            <w:noWrap w:val="0"/>
            <w:vAlign w:val="center"/>
          </w:tcPr>
          <w:p w14:paraId="7E4FB5B9">
            <w:pPr>
              <w:spacing w:line="360" w:lineRule="auto"/>
              <w:jc w:val="center"/>
              <w:rPr>
                <w:rFonts w:hint="eastAsia" w:ascii="宋体" w:hAnsi="宋体" w:eastAsia="宋体" w:cs="宋体"/>
                <w:color w:val="auto"/>
                <w:szCs w:val="21"/>
                <w:highlight w:val="none"/>
              </w:rPr>
            </w:pPr>
          </w:p>
        </w:tc>
        <w:tc>
          <w:tcPr>
            <w:tcW w:w="1937" w:type="dxa"/>
            <w:gridSpan w:val="2"/>
            <w:noWrap w:val="0"/>
            <w:vAlign w:val="center"/>
          </w:tcPr>
          <w:p w14:paraId="0EE2D794">
            <w:pPr>
              <w:spacing w:line="360" w:lineRule="auto"/>
              <w:jc w:val="center"/>
              <w:rPr>
                <w:rFonts w:hint="eastAsia" w:ascii="宋体" w:hAnsi="宋体" w:eastAsia="宋体" w:cs="宋体"/>
                <w:color w:val="auto"/>
                <w:szCs w:val="21"/>
                <w:highlight w:val="none"/>
              </w:rPr>
            </w:pPr>
          </w:p>
        </w:tc>
        <w:tc>
          <w:tcPr>
            <w:tcW w:w="1806" w:type="dxa"/>
            <w:gridSpan w:val="3"/>
            <w:noWrap w:val="0"/>
            <w:vAlign w:val="center"/>
          </w:tcPr>
          <w:p w14:paraId="7A68EDF1">
            <w:pPr>
              <w:spacing w:line="360" w:lineRule="auto"/>
              <w:jc w:val="center"/>
              <w:rPr>
                <w:rFonts w:hint="eastAsia" w:ascii="宋体" w:hAnsi="宋体" w:eastAsia="宋体" w:cs="宋体"/>
                <w:color w:val="auto"/>
                <w:szCs w:val="21"/>
                <w:highlight w:val="none"/>
              </w:rPr>
            </w:pPr>
          </w:p>
        </w:tc>
        <w:tc>
          <w:tcPr>
            <w:tcW w:w="1798" w:type="dxa"/>
            <w:gridSpan w:val="2"/>
            <w:noWrap w:val="0"/>
            <w:vAlign w:val="center"/>
          </w:tcPr>
          <w:p w14:paraId="773871B7">
            <w:pPr>
              <w:spacing w:line="360" w:lineRule="auto"/>
              <w:jc w:val="center"/>
              <w:rPr>
                <w:rFonts w:hint="eastAsia" w:ascii="宋体" w:hAnsi="宋体" w:eastAsia="宋体" w:cs="宋体"/>
                <w:color w:val="auto"/>
                <w:szCs w:val="21"/>
                <w:highlight w:val="none"/>
              </w:rPr>
            </w:pPr>
          </w:p>
        </w:tc>
        <w:tc>
          <w:tcPr>
            <w:tcW w:w="2834" w:type="dxa"/>
            <w:gridSpan w:val="3"/>
            <w:noWrap w:val="0"/>
            <w:vAlign w:val="center"/>
          </w:tcPr>
          <w:p w14:paraId="4572C8EE">
            <w:pPr>
              <w:spacing w:line="360" w:lineRule="auto"/>
              <w:jc w:val="center"/>
              <w:rPr>
                <w:rFonts w:hint="eastAsia" w:ascii="宋体" w:hAnsi="宋体" w:eastAsia="宋体" w:cs="宋体"/>
                <w:color w:val="auto"/>
                <w:szCs w:val="21"/>
                <w:highlight w:val="none"/>
              </w:rPr>
            </w:pPr>
          </w:p>
        </w:tc>
      </w:tr>
      <w:tr w14:paraId="5D37A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05" w:type="dxa"/>
            <w:gridSpan w:val="2"/>
            <w:noWrap w:val="0"/>
            <w:vAlign w:val="center"/>
          </w:tcPr>
          <w:p w14:paraId="67801D95">
            <w:pPr>
              <w:spacing w:line="360" w:lineRule="auto"/>
              <w:jc w:val="center"/>
              <w:rPr>
                <w:rFonts w:hint="eastAsia" w:ascii="宋体" w:hAnsi="宋体" w:eastAsia="宋体" w:cs="宋体"/>
                <w:color w:val="auto"/>
                <w:szCs w:val="21"/>
                <w:highlight w:val="none"/>
              </w:rPr>
            </w:pPr>
          </w:p>
        </w:tc>
        <w:tc>
          <w:tcPr>
            <w:tcW w:w="1937" w:type="dxa"/>
            <w:gridSpan w:val="2"/>
            <w:noWrap w:val="0"/>
            <w:vAlign w:val="center"/>
          </w:tcPr>
          <w:p w14:paraId="5D51F4E9">
            <w:pPr>
              <w:spacing w:line="360" w:lineRule="auto"/>
              <w:jc w:val="center"/>
              <w:rPr>
                <w:rFonts w:hint="eastAsia" w:ascii="宋体" w:hAnsi="宋体" w:eastAsia="宋体" w:cs="宋体"/>
                <w:color w:val="auto"/>
                <w:szCs w:val="21"/>
                <w:highlight w:val="none"/>
              </w:rPr>
            </w:pPr>
          </w:p>
        </w:tc>
        <w:tc>
          <w:tcPr>
            <w:tcW w:w="1806" w:type="dxa"/>
            <w:gridSpan w:val="3"/>
            <w:noWrap w:val="0"/>
            <w:vAlign w:val="center"/>
          </w:tcPr>
          <w:p w14:paraId="03E34CC8">
            <w:pPr>
              <w:spacing w:line="360" w:lineRule="auto"/>
              <w:jc w:val="center"/>
              <w:rPr>
                <w:rFonts w:hint="eastAsia" w:ascii="宋体" w:hAnsi="宋体" w:eastAsia="宋体" w:cs="宋体"/>
                <w:color w:val="auto"/>
                <w:szCs w:val="21"/>
                <w:highlight w:val="none"/>
              </w:rPr>
            </w:pPr>
          </w:p>
        </w:tc>
        <w:tc>
          <w:tcPr>
            <w:tcW w:w="1798" w:type="dxa"/>
            <w:gridSpan w:val="2"/>
            <w:noWrap w:val="0"/>
            <w:vAlign w:val="center"/>
          </w:tcPr>
          <w:p w14:paraId="6751BD65">
            <w:pPr>
              <w:spacing w:line="360" w:lineRule="auto"/>
              <w:jc w:val="center"/>
              <w:rPr>
                <w:rFonts w:hint="eastAsia" w:ascii="宋体" w:hAnsi="宋体" w:eastAsia="宋体" w:cs="宋体"/>
                <w:color w:val="auto"/>
                <w:szCs w:val="21"/>
                <w:highlight w:val="none"/>
              </w:rPr>
            </w:pPr>
          </w:p>
        </w:tc>
        <w:tc>
          <w:tcPr>
            <w:tcW w:w="2834" w:type="dxa"/>
            <w:gridSpan w:val="3"/>
            <w:noWrap w:val="0"/>
            <w:vAlign w:val="center"/>
          </w:tcPr>
          <w:p w14:paraId="066E67FE">
            <w:pPr>
              <w:spacing w:line="360" w:lineRule="auto"/>
              <w:jc w:val="center"/>
              <w:rPr>
                <w:rFonts w:hint="eastAsia" w:ascii="宋体" w:hAnsi="宋体" w:eastAsia="宋体" w:cs="宋体"/>
                <w:color w:val="auto"/>
                <w:szCs w:val="21"/>
                <w:highlight w:val="none"/>
              </w:rPr>
            </w:pPr>
          </w:p>
        </w:tc>
      </w:tr>
      <w:tr w14:paraId="5EF84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05" w:type="dxa"/>
            <w:gridSpan w:val="2"/>
            <w:noWrap w:val="0"/>
            <w:vAlign w:val="center"/>
          </w:tcPr>
          <w:p w14:paraId="4E0E950F">
            <w:pPr>
              <w:spacing w:line="360" w:lineRule="auto"/>
              <w:jc w:val="center"/>
              <w:rPr>
                <w:rFonts w:hint="eastAsia" w:ascii="宋体" w:hAnsi="宋体" w:eastAsia="宋体" w:cs="宋体"/>
                <w:color w:val="auto"/>
                <w:szCs w:val="21"/>
                <w:highlight w:val="none"/>
              </w:rPr>
            </w:pPr>
          </w:p>
        </w:tc>
        <w:tc>
          <w:tcPr>
            <w:tcW w:w="1937" w:type="dxa"/>
            <w:gridSpan w:val="2"/>
            <w:noWrap w:val="0"/>
            <w:vAlign w:val="center"/>
          </w:tcPr>
          <w:p w14:paraId="01155768">
            <w:pPr>
              <w:spacing w:line="360" w:lineRule="auto"/>
              <w:jc w:val="center"/>
              <w:rPr>
                <w:rFonts w:hint="eastAsia" w:ascii="宋体" w:hAnsi="宋体" w:eastAsia="宋体" w:cs="宋体"/>
                <w:color w:val="auto"/>
                <w:szCs w:val="21"/>
                <w:highlight w:val="none"/>
              </w:rPr>
            </w:pPr>
          </w:p>
        </w:tc>
        <w:tc>
          <w:tcPr>
            <w:tcW w:w="1806" w:type="dxa"/>
            <w:gridSpan w:val="3"/>
            <w:noWrap w:val="0"/>
            <w:vAlign w:val="center"/>
          </w:tcPr>
          <w:p w14:paraId="229535F1">
            <w:pPr>
              <w:spacing w:line="360" w:lineRule="auto"/>
              <w:jc w:val="center"/>
              <w:rPr>
                <w:rFonts w:hint="eastAsia" w:ascii="宋体" w:hAnsi="宋体" w:eastAsia="宋体" w:cs="宋体"/>
                <w:color w:val="auto"/>
                <w:szCs w:val="21"/>
                <w:highlight w:val="none"/>
              </w:rPr>
            </w:pPr>
          </w:p>
        </w:tc>
        <w:tc>
          <w:tcPr>
            <w:tcW w:w="1798" w:type="dxa"/>
            <w:gridSpan w:val="2"/>
            <w:noWrap w:val="0"/>
            <w:vAlign w:val="center"/>
          </w:tcPr>
          <w:p w14:paraId="24E80EE1">
            <w:pPr>
              <w:spacing w:line="360" w:lineRule="auto"/>
              <w:jc w:val="center"/>
              <w:rPr>
                <w:rFonts w:hint="eastAsia" w:ascii="宋体" w:hAnsi="宋体" w:eastAsia="宋体" w:cs="宋体"/>
                <w:color w:val="auto"/>
                <w:szCs w:val="21"/>
                <w:highlight w:val="none"/>
              </w:rPr>
            </w:pPr>
          </w:p>
        </w:tc>
        <w:tc>
          <w:tcPr>
            <w:tcW w:w="2834" w:type="dxa"/>
            <w:gridSpan w:val="3"/>
            <w:noWrap w:val="0"/>
            <w:vAlign w:val="center"/>
          </w:tcPr>
          <w:p w14:paraId="7F52CE86">
            <w:pPr>
              <w:spacing w:line="360" w:lineRule="auto"/>
              <w:jc w:val="center"/>
              <w:rPr>
                <w:rFonts w:hint="eastAsia" w:ascii="宋体" w:hAnsi="宋体" w:eastAsia="宋体" w:cs="宋体"/>
                <w:color w:val="auto"/>
                <w:szCs w:val="21"/>
                <w:highlight w:val="none"/>
              </w:rPr>
            </w:pPr>
          </w:p>
        </w:tc>
      </w:tr>
      <w:tr w14:paraId="32B8C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05" w:type="dxa"/>
            <w:gridSpan w:val="2"/>
            <w:noWrap w:val="0"/>
            <w:vAlign w:val="center"/>
          </w:tcPr>
          <w:p w14:paraId="722F93E8">
            <w:pPr>
              <w:spacing w:line="360" w:lineRule="auto"/>
              <w:jc w:val="center"/>
              <w:rPr>
                <w:rFonts w:hint="eastAsia" w:ascii="宋体" w:hAnsi="宋体" w:eastAsia="宋体" w:cs="宋体"/>
                <w:color w:val="auto"/>
                <w:szCs w:val="21"/>
                <w:highlight w:val="none"/>
              </w:rPr>
            </w:pPr>
          </w:p>
        </w:tc>
        <w:tc>
          <w:tcPr>
            <w:tcW w:w="1937" w:type="dxa"/>
            <w:gridSpan w:val="2"/>
            <w:noWrap w:val="0"/>
            <w:vAlign w:val="center"/>
          </w:tcPr>
          <w:p w14:paraId="48C6ABDC">
            <w:pPr>
              <w:spacing w:line="360" w:lineRule="auto"/>
              <w:jc w:val="center"/>
              <w:rPr>
                <w:rFonts w:hint="eastAsia" w:ascii="宋体" w:hAnsi="宋体" w:eastAsia="宋体" w:cs="宋体"/>
                <w:color w:val="auto"/>
                <w:szCs w:val="21"/>
                <w:highlight w:val="none"/>
              </w:rPr>
            </w:pPr>
          </w:p>
        </w:tc>
        <w:tc>
          <w:tcPr>
            <w:tcW w:w="1806" w:type="dxa"/>
            <w:gridSpan w:val="3"/>
            <w:noWrap w:val="0"/>
            <w:vAlign w:val="center"/>
          </w:tcPr>
          <w:p w14:paraId="266C8D8B">
            <w:pPr>
              <w:spacing w:line="360" w:lineRule="auto"/>
              <w:jc w:val="center"/>
              <w:rPr>
                <w:rFonts w:hint="eastAsia" w:ascii="宋体" w:hAnsi="宋体" w:eastAsia="宋体" w:cs="宋体"/>
                <w:color w:val="auto"/>
                <w:szCs w:val="21"/>
                <w:highlight w:val="none"/>
              </w:rPr>
            </w:pPr>
          </w:p>
        </w:tc>
        <w:tc>
          <w:tcPr>
            <w:tcW w:w="1798" w:type="dxa"/>
            <w:gridSpan w:val="2"/>
            <w:noWrap w:val="0"/>
            <w:vAlign w:val="center"/>
          </w:tcPr>
          <w:p w14:paraId="35E99ED1">
            <w:pPr>
              <w:spacing w:line="360" w:lineRule="auto"/>
              <w:jc w:val="center"/>
              <w:rPr>
                <w:rFonts w:hint="eastAsia" w:ascii="宋体" w:hAnsi="宋体" w:eastAsia="宋体" w:cs="宋体"/>
                <w:color w:val="auto"/>
                <w:szCs w:val="21"/>
                <w:highlight w:val="none"/>
              </w:rPr>
            </w:pPr>
          </w:p>
        </w:tc>
        <w:tc>
          <w:tcPr>
            <w:tcW w:w="2834" w:type="dxa"/>
            <w:gridSpan w:val="3"/>
            <w:noWrap w:val="0"/>
            <w:vAlign w:val="center"/>
          </w:tcPr>
          <w:p w14:paraId="15958D27">
            <w:pPr>
              <w:spacing w:line="360" w:lineRule="auto"/>
              <w:jc w:val="center"/>
              <w:rPr>
                <w:rFonts w:hint="eastAsia" w:ascii="宋体" w:hAnsi="宋体" w:eastAsia="宋体" w:cs="宋体"/>
                <w:color w:val="auto"/>
                <w:szCs w:val="21"/>
                <w:highlight w:val="none"/>
              </w:rPr>
            </w:pPr>
          </w:p>
        </w:tc>
      </w:tr>
      <w:tr w14:paraId="6EE3D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05" w:type="dxa"/>
            <w:gridSpan w:val="2"/>
            <w:noWrap w:val="0"/>
            <w:vAlign w:val="center"/>
          </w:tcPr>
          <w:p w14:paraId="411112D0">
            <w:pPr>
              <w:spacing w:line="360" w:lineRule="auto"/>
              <w:jc w:val="center"/>
              <w:rPr>
                <w:rFonts w:hint="eastAsia" w:ascii="宋体" w:hAnsi="宋体" w:eastAsia="宋体" w:cs="宋体"/>
                <w:color w:val="auto"/>
                <w:szCs w:val="21"/>
                <w:highlight w:val="none"/>
              </w:rPr>
            </w:pPr>
          </w:p>
        </w:tc>
        <w:tc>
          <w:tcPr>
            <w:tcW w:w="1937" w:type="dxa"/>
            <w:gridSpan w:val="2"/>
            <w:noWrap w:val="0"/>
            <w:vAlign w:val="center"/>
          </w:tcPr>
          <w:p w14:paraId="1BED6C3F">
            <w:pPr>
              <w:spacing w:line="360" w:lineRule="auto"/>
              <w:jc w:val="center"/>
              <w:rPr>
                <w:rFonts w:hint="eastAsia" w:ascii="宋体" w:hAnsi="宋体" w:eastAsia="宋体" w:cs="宋体"/>
                <w:color w:val="auto"/>
                <w:szCs w:val="21"/>
                <w:highlight w:val="none"/>
              </w:rPr>
            </w:pPr>
          </w:p>
        </w:tc>
        <w:tc>
          <w:tcPr>
            <w:tcW w:w="1806" w:type="dxa"/>
            <w:gridSpan w:val="3"/>
            <w:noWrap w:val="0"/>
            <w:vAlign w:val="center"/>
          </w:tcPr>
          <w:p w14:paraId="43DD4977">
            <w:pPr>
              <w:spacing w:line="360" w:lineRule="auto"/>
              <w:jc w:val="center"/>
              <w:rPr>
                <w:rFonts w:hint="eastAsia" w:ascii="宋体" w:hAnsi="宋体" w:eastAsia="宋体" w:cs="宋体"/>
                <w:color w:val="auto"/>
                <w:szCs w:val="21"/>
                <w:highlight w:val="none"/>
              </w:rPr>
            </w:pPr>
          </w:p>
        </w:tc>
        <w:tc>
          <w:tcPr>
            <w:tcW w:w="1798" w:type="dxa"/>
            <w:gridSpan w:val="2"/>
            <w:noWrap w:val="0"/>
            <w:vAlign w:val="center"/>
          </w:tcPr>
          <w:p w14:paraId="13D21347">
            <w:pPr>
              <w:spacing w:line="360" w:lineRule="auto"/>
              <w:jc w:val="center"/>
              <w:rPr>
                <w:rFonts w:hint="eastAsia" w:ascii="宋体" w:hAnsi="宋体" w:eastAsia="宋体" w:cs="宋体"/>
                <w:color w:val="auto"/>
                <w:szCs w:val="21"/>
                <w:highlight w:val="none"/>
              </w:rPr>
            </w:pPr>
          </w:p>
        </w:tc>
        <w:tc>
          <w:tcPr>
            <w:tcW w:w="2834" w:type="dxa"/>
            <w:gridSpan w:val="3"/>
            <w:noWrap w:val="0"/>
            <w:vAlign w:val="center"/>
          </w:tcPr>
          <w:p w14:paraId="1E3D6FCF">
            <w:pPr>
              <w:spacing w:line="360" w:lineRule="auto"/>
              <w:jc w:val="center"/>
              <w:rPr>
                <w:rFonts w:hint="eastAsia" w:ascii="宋体" w:hAnsi="宋体" w:eastAsia="宋体" w:cs="宋体"/>
                <w:color w:val="auto"/>
                <w:szCs w:val="21"/>
                <w:highlight w:val="none"/>
              </w:rPr>
            </w:pPr>
          </w:p>
        </w:tc>
      </w:tr>
    </w:tbl>
    <w:p w14:paraId="56B12F18">
      <w:pPr>
        <w:spacing w:before="156" w:beforeLines="50" w:line="360" w:lineRule="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注明：需提供证明资料内容详见</w:t>
      </w:r>
      <w:r>
        <w:rPr>
          <w:rFonts w:hint="eastAsia" w:ascii="宋体" w:hAnsi="宋体" w:eastAsia="宋体" w:cs="宋体"/>
          <w:color w:val="auto"/>
          <w:szCs w:val="21"/>
          <w:highlight w:val="none"/>
          <w:u w:val="single"/>
        </w:rPr>
        <w:t>（招标文件</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u w:val="single"/>
        </w:rPr>
        <w:t>附件一：评标工作大纲</w:t>
      </w:r>
      <w:r>
        <w:rPr>
          <w:rFonts w:hint="eastAsia" w:ascii="宋体" w:hAnsi="宋体" w:eastAsia="宋体" w:cs="宋体"/>
          <w:color w:val="auto"/>
          <w:szCs w:val="21"/>
          <w:highlight w:val="none"/>
          <w:u w:val="single"/>
          <w:lang w:val="en-US" w:eastAsia="zh-CN"/>
        </w:rPr>
        <w:t xml:space="preserve"> 12、评分因素及分值 </w:t>
      </w:r>
      <w:r>
        <w:rPr>
          <w:rFonts w:hint="eastAsia" w:ascii="宋体" w:hAnsi="宋体" w:eastAsia="宋体" w:cs="宋体"/>
          <w:color w:val="auto"/>
          <w:szCs w:val="21"/>
          <w:highlight w:val="none"/>
          <w:u w:val="single"/>
        </w:rPr>
        <w:t>商务评分相对应评审细则）</w:t>
      </w:r>
    </w:p>
    <w:p w14:paraId="02B079A3">
      <w:pPr>
        <w:pStyle w:val="20"/>
        <w:overflowPunct w:val="0"/>
        <w:spacing w:before="156" w:beforeLines="50" w:after="0" w:line="360" w:lineRule="auto"/>
        <w:rPr>
          <w:rFonts w:hint="eastAsia" w:ascii="宋体" w:hAnsi="宋体" w:eastAsia="宋体" w:cs="宋体"/>
          <w:color w:val="auto"/>
          <w:szCs w:val="21"/>
          <w:highlight w:val="none"/>
        </w:rPr>
      </w:pPr>
    </w:p>
    <w:tbl>
      <w:tblPr>
        <w:tblStyle w:val="41"/>
        <w:tblW w:w="0" w:type="auto"/>
        <w:tblInd w:w="108" w:type="dxa"/>
        <w:tblLayout w:type="fixed"/>
        <w:tblCellMar>
          <w:top w:w="0" w:type="dxa"/>
          <w:left w:w="108" w:type="dxa"/>
          <w:bottom w:w="0" w:type="dxa"/>
          <w:right w:w="108" w:type="dxa"/>
        </w:tblCellMar>
      </w:tblPr>
      <w:tblGrid>
        <w:gridCol w:w="5217"/>
        <w:gridCol w:w="3157"/>
      </w:tblGrid>
      <w:tr w14:paraId="47F62E28">
        <w:tblPrEx>
          <w:tblCellMar>
            <w:top w:w="0" w:type="dxa"/>
            <w:left w:w="108" w:type="dxa"/>
            <w:bottom w:w="0" w:type="dxa"/>
            <w:right w:w="108" w:type="dxa"/>
          </w:tblCellMar>
        </w:tblPrEx>
        <w:tc>
          <w:tcPr>
            <w:tcW w:w="5217" w:type="dxa"/>
            <w:noWrap w:val="0"/>
            <w:vAlign w:val="top"/>
          </w:tcPr>
          <w:p w14:paraId="4E5FF9F5">
            <w:pPr>
              <w:overflowPunct w:val="0"/>
              <w:adjustRightIn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w:t>
            </w:r>
            <w:r>
              <w:rPr>
                <w:rFonts w:hint="eastAsia" w:ascii="宋体" w:hAnsi="宋体" w:eastAsia="宋体" w:cs="宋体"/>
                <w:color w:val="auto"/>
                <w:szCs w:val="21"/>
                <w:highlight w:val="none"/>
                <w:lang w:val="zh-CN"/>
              </w:rPr>
              <w:t>加盖投标人公章</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single"/>
              </w:rPr>
              <w:t xml:space="preserve">                           </w:t>
            </w:r>
          </w:p>
        </w:tc>
        <w:tc>
          <w:tcPr>
            <w:tcW w:w="3157" w:type="dxa"/>
            <w:noWrap w:val="0"/>
            <w:vAlign w:val="top"/>
          </w:tcPr>
          <w:p w14:paraId="014D8043">
            <w:pPr>
              <w:spacing w:line="360" w:lineRule="auto"/>
              <w:rPr>
                <w:rFonts w:hint="eastAsia" w:ascii="宋体" w:hAnsi="宋体" w:eastAsia="宋体" w:cs="宋体"/>
                <w:color w:val="auto"/>
                <w:szCs w:val="21"/>
                <w:highlight w:val="none"/>
              </w:rPr>
            </w:pPr>
          </w:p>
        </w:tc>
      </w:tr>
      <w:tr w14:paraId="21B574ED">
        <w:tblPrEx>
          <w:tblCellMar>
            <w:top w:w="0" w:type="dxa"/>
            <w:left w:w="108" w:type="dxa"/>
            <w:bottom w:w="0" w:type="dxa"/>
            <w:right w:w="108" w:type="dxa"/>
          </w:tblCellMar>
        </w:tblPrEx>
        <w:tc>
          <w:tcPr>
            <w:tcW w:w="5217" w:type="dxa"/>
            <w:noWrap w:val="0"/>
            <w:vAlign w:val="top"/>
          </w:tcPr>
          <w:p w14:paraId="090F18FC">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w:t>
            </w:r>
            <w:r>
              <w:rPr>
                <w:rFonts w:hint="eastAsia" w:ascii="宋体" w:hAnsi="宋体" w:eastAsia="宋体" w:cs="宋体"/>
                <w:color w:val="auto"/>
                <w:szCs w:val="21"/>
                <w:highlight w:val="none"/>
                <w:u w:val="single"/>
              </w:rPr>
              <w:t xml:space="preserve">             年           月            日</w:t>
            </w:r>
          </w:p>
        </w:tc>
        <w:tc>
          <w:tcPr>
            <w:tcW w:w="3157" w:type="dxa"/>
            <w:noWrap w:val="0"/>
            <w:vAlign w:val="top"/>
          </w:tcPr>
          <w:p w14:paraId="23BCD20C">
            <w:pPr>
              <w:spacing w:line="360" w:lineRule="auto"/>
              <w:rPr>
                <w:rFonts w:hint="eastAsia" w:ascii="宋体" w:hAnsi="宋体" w:eastAsia="宋体" w:cs="宋体"/>
                <w:color w:val="auto"/>
                <w:szCs w:val="21"/>
                <w:highlight w:val="none"/>
              </w:rPr>
            </w:pPr>
          </w:p>
        </w:tc>
      </w:tr>
    </w:tbl>
    <w:p w14:paraId="5D42261C">
      <w:pPr>
        <w:autoSpaceDE/>
        <w:autoSpaceDN/>
        <w:adjustRightInd/>
        <w:spacing w:line="240" w:lineRule="auto"/>
        <w:jc w:val="left"/>
        <w:outlineLvl w:val="9"/>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br w:type="page"/>
      </w:r>
    </w:p>
    <w:p w14:paraId="151594D8">
      <w:pPr>
        <w:numPr>
          <w:ilvl w:val="-1"/>
          <w:numId w:val="0"/>
        </w:numPr>
        <w:autoSpaceDE/>
        <w:autoSpaceDN/>
        <w:adjustRightInd/>
        <w:spacing w:line="240" w:lineRule="auto"/>
        <w:jc w:val="left"/>
        <w:outlineLvl w:val="9"/>
        <w:rPr>
          <w:rFonts w:hint="eastAsia" w:ascii="宋体" w:hAnsi="宋体" w:eastAsia="宋体" w:cs="宋体"/>
          <w:b/>
          <w:color w:val="auto"/>
          <w:kern w:val="0"/>
          <w:sz w:val="32"/>
          <w:szCs w:val="32"/>
          <w:highlight w:val="none"/>
          <w:lang w:val="en-US" w:eastAsia="zh-CN"/>
        </w:rPr>
      </w:pPr>
      <w:r>
        <w:rPr>
          <w:rFonts w:hint="eastAsia" w:ascii="宋体" w:hAnsi="宋体" w:eastAsia="宋体" w:cs="宋体"/>
          <w:b/>
          <w:color w:val="auto"/>
          <w:kern w:val="0"/>
          <w:sz w:val="32"/>
          <w:szCs w:val="32"/>
          <w:highlight w:val="none"/>
          <w:lang w:val="en-US" w:eastAsia="zh-CN"/>
        </w:rPr>
        <w:t>7.3 拟担任本项目安全负责人简历表</w:t>
      </w:r>
    </w:p>
    <w:p w14:paraId="46B9954D">
      <w:pPr>
        <w:spacing w:before="312" w:beforeLines="100" w:after="468" w:afterLines="150" w:line="360" w:lineRule="auto"/>
        <w:jc w:val="center"/>
        <w:rPr>
          <w:rFonts w:hint="eastAsia" w:ascii="宋体" w:hAnsi="宋体" w:eastAsia="宋体" w:cs="宋体"/>
          <w:b/>
          <w:color w:val="auto"/>
          <w:spacing w:val="20"/>
          <w:sz w:val="36"/>
          <w:szCs w:val="36"/>
          <w:highlight w:val="none"/>
        </w:rPr>
      </w:pPr>
      <w:r>
        <w:rPr>
          <w:rFonts w:hint="eastAsia" w:ascii="宋体" w:hAnsi="宋体" w:eastAsia="宋体" w:cs="宋体"/>
          <w:b/>
          <w:color w:val="auto"/>
          <w:spacing w:val="20"/>
          <w:sz w:val="36"/>
          <w:szCs w:val="36"/>
          <w:highlight w:val="none"/>
        </w:rPr>
        <w:t>拟担任本项目</w:t>
      </w:r>
      <w:r>
        <w:rPr>
          <w:rFonts w:hint="eastAsia" w:ascii="宋体" w:hAnsi="宋体" w:eastAsia="宋体" w:cs="宋体"/>
          <w:b/>
          <w:color w:val="auto"/>
          <w:spacing w:val="20"/>
          <w:sz w:val="36"/>
          <w:szCs w:val="36"/>
          <w:highlight w:val="none"/>
          <w:lang w:val="en-US" w:eastAsia="zh-CN"/>
        </w:rPr>
        <w:t>安全</w:t>
      </w:r>
      <w:r>
        <w:rPr>
          <w:rFonts w:hint="eastAsia" w:ascii="宋体" w:hAnsi="宋体" w:eastAsia="宋体" w:cs="宋体"/>
          <w:b/>
          <w:color w:val="auto"/>
          <w:spacing w:val="20"/>
          <w:sz w:val="36"/>
          <w:szCs w:val="36"/>
          <w:highlight w:val="none"/>
        </w:rPr>
        <w:t>负责人简历表</w:t>
      </w:r>
    </w:p>
    <w:tbl>
      <w:tblPr>
        <w:tblStyle w:val="4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859"/>
        <w:gridCol w:w="1564"/>
        <w:gridCol w:w="373"/>
        <w:gridCol w:w="211"/>
        <w:gridCol w:w="967"/>
        <w:gridCol w:w="628"/>
        <w:gridCol w:w="1311"/>
        <w:gridCol w:w="487"/>
        <w:gridCol w:w="756"/>
        <w:gridCol w:w="475"/>
        <w:gridCol w:w="1603"/>
      </w:tblGrid>
      <w:tr w14:paraId="52097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6" w:type="dxa"/>
            <w:noWrap w:val="0"/>
            <w:vAlign w:val="center"/>
          </w:tcPr>
          <w:p w14:paraId="5ACA4E17">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姓名</w:t>
            </w:r>
          </w:p>
        </w:tc>
        <w:tc>
          <w:tcPr>
            <w:tcW w:w="3007" w:type="dxa"/>
            <w:gridSpan w:val="4"/>
            <w:noWrap w:val="0"/>
            <w:vAlign w:val="center"/>
          </w:tcPr>
          <w:p w14:paraId="34D5971C">
            <w:pPr>
              <w:spacing w:line="360" w:lineRule="auto"/>
              <w:jc w:val="center"/>
              <w:rPr>
                <w:rFonts w:hint="eastAsia" w:ascii="宋体" w:hAnsi="宋体" w:eastAsia="宋体" w:cs="宋体"/>
                <w:color w:val="auto"/>
                <w:szCs w:val="21"/>
                <w:highlight w:val="none"/>
              </w:rPr>
            </w:pPr>
          </w:p>
        </w:tc>
        <w:tc>
          <w:tcPr>
            <w:tcW w:w="967" w:type="dxa"/>
            <w:noWrap w:val="0"/>
            <w:vAlign w:val="center"/>
          </w:tcPr>
          <w:p w14:paraId="39B55BCA">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性别</w:t>
            </w:r>
          </w:p>
        </w:tc>
        <w:tc>
          <w:tcPr>
            <w:tcW w:w="1939" w:type="dxa"/>
            <w:gridSpan w:val="2"/>
            <w:noWrap w:val="0"/>
            <w:vAlign w:val="center"/>
          </w:tcPr>
          <w:p w14:paraId="538400C2">
            <w:pPr>
              <w:spacing w:line="360" w:lineRule="auto"/>
              <w:jc w:val="center"/>
              <w:rPr>
                <w:rFonts w:hint="eastAsia" w:ascii="宋体" w:hAnsi="宋体" w:eastAsia="宋体" w:cs="宋体"/>
                <w:color w:val="auto"/>
                <w:szCs w:val="21"/>
                <w:highlight w:val="none"/>
              </w:rPr>
            </w:pPr>
          </w:p>
        </w:tc>
        <w:tc>
          <w:tcPr>
            <w:tcW w:w="1243" w:type="dxa"/>
            <w:gridSpan w:val="2"/>
            <w:noWrap w:val="0"/>
            <w:vAlign w:val="center"/>
          </w:tcPr>
          <w:p w14:paraId="40D84C33">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年龄</w:t>
            </w:r>
          </w:p>
        </w:tc>
        <w:tc>
          <w:tcPr>
            <w:tcW w:w="2078" w:type="dxa"/>
            <w:gridSpan w:val="2"/>
            <w:noWrap w:val="0"/>
            <w:vAlign w:val="center"/>
          </w:tcPr>
          <w:p w14:paraId="04FB88E8">
            <w:pPr>
              <w:spacing w:line="360" w:lineRule="auto"/>
              <w:jc w:val="center"/>
              <w:rPr>
                <w:rFonts w:hint="eastAsia" w:ascii="宋体" w:hAnsi="宋体" w:eastAsia="宋体" w:cs="宋体"/>
                <w:color w:val="auto"/>
                <w:szCs w:val="21"/>
                <w:highlight w:val="none"/>
              </w:rPr>
            </w:pPr>
          </w:p>
        </w:tc>
      </w:tr>
      <w:tr w14:paraId="10E04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846" w:type="dxa"/>
            <w:noWrap w:val="0"/>
            <w:vAlign w:val="center"/>
          </w:tcPr>
          <w:p w14:paraId="21C505B4">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职务</w:t>
            </w:r>
          </w:p>
        </w:tc>
        <w:tc>
          <w:tcPr>
            <w:tcW w:w="3007" w:type="dxa"/>
            <w:gridSpan w:val="4"/>
            <w:noWrap w:val="0"/>
            <w:vAlign w:val="center"/>
          </w:tcPr>
          <w:p w14:paraId="4A4899C9">
            <w:pPr>
              <w:spacing w:line="360" w:lineRule="auto"/>
              <w:jc w:val="center"/>
              <w:rPr>
                <w:rFonts w:hint="eastAsia" w:ascii="宋体" w:hAnsi="宋体" w:eastAsia="宋体" w:cs="宋体"/>
                <w:color w:val="auto"/>
                <w:szCs w:val="21"/>
                <w:highlight w:val="none"/>
              </w:rPr>
            </w:pPr>
          </w:p>
        </w:tc>
        <w:tc>
          <w:tcPr>
            <w:tcW w:w="967" w:type="dxa"/>
            <w:noWrap w:val="0"/>
            <w:vAlign w:val="center"/>
          </w:tcPr>
          <w:p w14:paraId="543063BD">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职称</w:t>
            </w:r>
          </w:p>
        </w:tc>
        <w:tc>
          <w:tcPr>
            <w:tcW w:w="1939" w:type="dxa"/>
            <w:gridSpan w:val="2"/>
            <w:noWrap w:val="0"/>
            <w:vAlign w:val="center"/>
          </w:tcPr>
          <w:p w14:paraId="0C482EF7">
            <w:pPr>
              <w:spacing w:line="360" w:lineRule="auto"/>
              <w:jc w:val="center"/>
              <w:rPr>
                <w:rFonts w:hint="eastAsia" w:ascii="宋体" w:hAnsi="宋体" w:eastAsia="宋体" w:cs="宋体"/>
                <w:color w:val="auto"/>
                <w:szCs w:val="21"/>
                <w:highlight w:val="none"/>
              </w:rPr>
            </w:pPr>
          </w:p>
        </w:tc>
        <w:tc>
          <w:tcPr>
            <w:tcW w:w="1243" w:type="dxa"/>
            <w:gridSpan w:val="2"/>
            <w:noWrap w:val="0"/>
            <w:vAlign w:val="center"/>
          </w:tcPr>
          <w:p w14:paraId="7DEE794D">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学历</w:t>
            </w:r>
          </w:p>
        </w:tc>
        <w:tc>
          <w:tcPr>
            <w:tcW w:w="2078" w:type="dxa"/>
            <w:gridSpan w:val="2"/>
            <w:noWrap w:val="0"/>
            <w:vAlign w:val="center"/>
          </w:tcPr>
          <w:p w14:paraId="000F7FD8">
            <w:pPr>
              <w:spacing w:line="360" w:lineRule="auto"/>
              <w:jc w:val="center"/>
              <w:rPr>
                <w:rFonts w:hint="eastAsia" w:ascii="宋体" w:hAnsi="宋体" w:eastAsia="宋体" w:cs="宋体"/>
                <w:color w:val="auto"/>
                <w:szCs w:val="21"/>
                <w:highlight w:val="none"/>
              </w:rPr>
            </w:pPr>
          </w:p>
        </w:tc>
      </w:tr>
      <w:tr w14:paraId="5CDB9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3269" w:type="dxa"/>
            <w:gridSpan w:val="3"/>
            <w:noWrap w:val="0"/>
            <w:vAlign w:val="center"/>
          </w:tcPr>
          <w:p w14:paraId="7AD1A219">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参加工作时间</w:t>
            </w:r>
          </w:p>
        </w:tc>
        <w:tc>
          <w:tcPr>
            <w:tcW w:w="2179" w:type="dxa"/>
            <w:gridSpan w:val="4"/>
            <w:noWrap w:val="0"/>
            <w:vAlign w:val="center"/>
          </w:tcPr>
          <w:p w14:paraId="74174BF0">
            <w:pPr>
              <w:spacing w:line="360" w:lineRule="auto"/>
              <w:jc w:val="center"/>
              <w:rPr>
                <w:rFonts w:hint="eastAsia" w:ascii="宋体" w:hAnsi="宋体" w:eastAsia="宋体" w:cs="宋体"/>
                <w:color w:val="auto"/>
                <w:szCs w:val="21"/>
                <w:highlight w:val="none"/>
              </w:rPr>
            </w:pPr>
          </w:p>
        </w:tc>
        <w:tc>
          <w:tcPr>
            <w:tcW w:w="3029" w:type="dxa"/>
            <w:gridSpan w:val="4"/>
            <w:noWrap w:val="0"/>
            <w:vAlign w:val="center"/>
          </w:tcPr>
          <w:p w14:paraId="4B9AF6E7">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相关经验年限</w:t>
            </w:r>
          </w:p>
        </w:tc>
        <w:tc>
          <w:tcPr>
            <w:tcW w:w="1603" w:type="dxa"/>
            <w:noWrap w:val="0"/>
            <w:vAlign w:val="center"/>
          </w:tcPr>
          <w:p w14:paraId="6F7BEDF8">
            <w:pPr>
              <w:spacing w:line="360" w:lineRule="auto"/>
              <w:jc w:val="center"/>
              <w:rPr>
                <w:rFonts w:hint="eastAsia" w:ascii="宋体" w:hAnsi="宋体" w:eastAsia="宋体" w:cs="宋体"/>
                <w:color w:val="auto"/>
                <w:szCs w:val="21"/>
                <w:highlight w:val="none"/>
              </w:rPr>
            </w:pPr>
          </w:p>
        </w:tc>
      </w:tr>
      <w:tr w14:paraId="3FB2F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3269" w:type="dxa"/>
            <w:gridSpan w:val="3"/>
            <w:noWrap w:val="0"/>
            <w:vAlign w:val="center"/>
          </w:tcPr>
          <w:p w14:paraId="2CB3F991">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资格证书名称、编号</w:t>
            </w:r>
          </w:p>
        </w:tc>
        <w:tc>
          <w:tcPr>
            <w:tcW w:w="6811" w:type="dxa"/>
            <w:gridSpan w:val="9"/>
            <w:noWrap w:val="0"/>
            <w:vAlign w:val="center"/>
          </w:tcPr>
          <w:p w14:paraId="559F5D15">
            <w:pPr>
              <w:spacing w:line="360" w:lineRule="auto"/>
              <w:jc w:val="center"/>
              <w:rPr>
                <w:rFonts w:hint="eastAsia" w:ascii="宋体" w:hAnsi="宋体" w:eastAsia="宋体" w:cs="宋体"/>
                <w:color w:val="auto"/>
                <w:szCs w:val="21"/>
                <w:highlight w:val="none"/>
              </w:rPr>
            </w:pPr>
          </w:p>
        </w:tc>
      </w:tr>
      <w:tr w14:paraId="16624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0080" w:type="dxa"/>
            <w:gridSpan w:val="12"/>
            <w:noWrap w:val="0"/>
            <w:vAlign w:val="center"/>
          </w:tcPr>
          <w:p w14:paraId="4B2B7CC3">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目前在任及以往服务项目情况</w:t>
            </w:r>
          </w:p>
        </w:tc>
      </w:tr>
      <w:tr w14:paraId="75138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705" w:type="dxa"/>
            <w:gridSpan w:val="2"/>
            <w:noWrap w:val="0"/>
            <w:vAlign w:val="center"/>
          </w:tcPr>
          <w:p w14:paraId="74347C08">
            <w:pPr>
              <w:widowControl/>
              <w:snapToGrid w:val="0"/>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1937" w:type="dxa"/>
            <w:gridSpan w:val="2"/>
            <w:noWrap w:val="0"/>
            <w:vAlign w:val="center"/>
          </w:tcPr>
          <w:p w14:paraId="751A4962">
            <w:pPr>
              <w:widowControl/>
              <w:snapToGrid w:val="0"/>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发包单位</w:t>
            </w:r>
          </w:p>
        </w:tc>
        <w:tc>
          <w:tcPr>
            <w:tcW w:w="1806" w:type="dxa"/>
            <w:gridSpan w:val="3"/>
            <w:noWrap w:val="0"/>
            <w:vAlign w:val="center"/>
          </w:tcPr>
          <w:p w14:paraId="75A46C4E">
            <w:pPr>
              <w:widowControl/>
              <w:snapToGrid w:val="0"/>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服务内容</w:t>
            </w:r>
          </w:p>
        </w:tc>
        <w:tc>
          <w:tcPr>
            <w:tcW w:w="1798" w:type="dxa"/>
            <w:gridSpan w:val="2"/>
            <w:noWrap w:val="0"/>
            <w:vAlign w:val="center"/>
          </w:tcPr>
          <w:p w14:paraId="34331699">
            <w:pPr>
              <w:widowControl/>
              <w:snapToGrid w:val="0"/>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本人在该项目中所任职务</w:t>
            </w:r>
          </w:p>
        </w:tc>
        <w:tc>
          <w:tcPr>
            <w:tcW w:w="2834" w:type="dxa"/>
            <w:gridSpan w:val="3"/>
            <w:noWrap w:val="0"/>
            <w:vAlign w:val="center"/>
          </w:tcPr>
          <w:p w14:paraId="2EF0831D">
            <w:pPr>
              <w:widowControl/>
              <w:snapToGrid w:val="0"/>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起止时间</w:t>
            </w:r>
          </w:p>
        </w:tc>
      </w:tr>
      <w:tr w14:paraId="692FB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05" w:type="dxa"/>
            <w:gridSpan w:val="2"/>
            <w:noWrap w:val="0"/>
            <w:vAlign w:val="center"/>
          </w:tcPr>
          <w:p w14:paraId="462B5E2B">
            <w:pPr>
              <w:spacing w:line="360" w:lineRule="auto"/>
              <w:jc w:val="center"/>
              <w:rPr>
                <w:rFonts w:hint="eastAsia" w:ascii="宋体" w:hAnsi="宋体" w:eastAsia="宋体" w:cs="宋体"/>
                <w:color w:val="auto"/>
                <w:szCs w:val="21"/>
                <w:highlight w:val="none"/>
              </w:rPr>
            </w:pPr>
          </w:p>
        </w:tc>
        <w:tc>
          <w:tcPr>
            <w:tcW w:w="1937" w:type="dxa"/>
            <w:gridSpan w:val="2"/>
            <w:noWrap w:val="0"/>
            <w:vAlign w:val="center"/>
          </w:tcPr>
          <w:p w14:paraId="7AB87325">
            <w:pPr>
              <w:spacing w:line="360" w:lineRule="auto"/>
              <w:jc w:val="center"/>
              <w:rPr>
                <w:rFonts w:hint="eastAsia" w:ascii="宋体" w:hAnsi="宋体" w:eastAsia="宋体" w:cs="宋体"/>
                <w:color w:val="auto"/>
                <w:szCs w:val="21"/>
                <w:highlight w:val="none"/>
              </w:rPr>
            </w:pPr>
          </w:p>
        </w:tc>
        <w:tc>
          <w:tcPr>
            <w:tcW w:w="1806" w:type="dxa"/>
            <w:gridSpan w:val="3"/>
            <w:noWrap w:val="0"/>
            <w:vAlign w:val="center"/>
          </w:tcPr>
          <w:p w14:paraId="35B4A55F">
            <w:pPr>
              <w:spacing w:line="360" w:lineRule="auto"/>
              <w:jc w:val="center"/>
              <w:rPr>
                <w:rFonts w:hint="eastAsia" w:ascii="宋体" w:hAnsi="宋体" w:eastAsia="宋体" w:cs="宋体"/>
                <w:color w:val="auto"/>
                <w:szCs w:val="21"/>
                <w:highlight w:val="none"/>
              </w:rPr>
            </w:pPr>
          </w:p>
        </w:tc>
        <w:tc>
          <w:tcPr>
            <w:tcW w:w="1798" w:type="dxa"/>
            <w:gridSpan w:val="2"/>
            <w:noWrap w:val="0"/>
            <w:vAlign w:val="center"/>
          </w:tcPr>
          <w:p w14:paraId="1929EF89">
            <w:pPr>
              <w:spacing w:line="360" w:lineRule="auto"/>
              <w:jc w:val="center"/>
              <w:rPr>
                <w:rFonts w:hint="eastAsia" w:ascii="宋体" w:hAnsi="宋体" w:eastAsia="宋体" w:cs="宋体"/>
                <w:color w:val="auto"/>
                <w:szCs w:val="21"/>
                <w:highlight w:val="none"/>
              </w:rPr>
            </w:pPr>
          </w:p>
        </w:tc>
        <w:tc>
          <w:tcPr>
            <w:tcW w:w="2834" w:type="dxa"/>
            <w:gridSpan w:val="3"/>
            <w:noWrap w:val="0"/>
            <w:vAlign w:val="center"/>
          </w:tcPr>
          <w:p w14:paraId="65B3B13F">
            <w:pPr>
              <w:spacing w:line="360" w:lineRule="auto"/>
              <w:jc w:val="center"/>
              <w:rPr>
                <w:rFonts w:hint="eastAsia" w:ascii="宋体" w:hAnsi="宋体" w:eastAsia="宋体" w:cs="宋体"/>
                <w:color w:val="auto"/>
                <w:szCs w:val="21"/>
                <w:highlight w:val="none"/>
              </w:rPr>
            </w:pPr>
          </w:p>
        </w:tc>
      </w:tr>
      <w:tr w14:paraId="6933B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05" w:type="dxa"/>
            <w:gridSpan w:val="2"/>
            <w:noWrap w:val="0"/>
            <w:vAlign w:val="center"/>
          </w:tcPr>
          <w:p w14:paraId="5F89CD45">
            <w:pPr>
              <w:spacing w:line="360" w:lineRule="auto"/>
              <w:jc w:val="center"/>
              <w:rPr>
                <w:rFonts w:hint="eastAsia" w:ascii="宋体" w:hAnsi="宋体" w:eastAsia="宋体" w:cs="宋体"/>
                <w:color w:val="auto"/>
                <w:szCs w:val="21"/>
                <w:highlight w:val="none"/>
              </w:rPr>
            </w:pPr>
          </w:p>
        </w:tc>
        <w:tc>
          <w:tcPr>
            <w:tcW w:w="1937" w:type="dxa"/>
            <w:gridSpan w:val="2"/>
            <w:noWrap w:val="0"/>
            <w:vAlign w:val="center"/>
          </w:tcPr>
          <w:p w14:paraId="069DAF85">
            <w:pPr>
              <w:spacing w:line="360" w:lineRule="auto"/>
              <w:jc w:val="center"/>
              <w:rPr>
                <w:rFonts w:hint="eastAsia" w:ascii="宋体" w:hAnsi="宋体" w:eastAsia="宋体" w:cs="宋体"/>
                <w:color w:val="auto"/>
                <w:szCs w:val="21"/>
                <w:highlight w:val="none"/>
              </w:rPr>
            </w:pPr>
          </w:p>
        </w:tc>
        <w:tc>
          <w:tcPr>
            <w:tcW w:w="1806" w:type="dxa"/>
            <w:gridSpan w:val="3"/>
            <w:noWrap w:val="0"/>
            <w:vAlign w:val="center"/>
          </w:tcPr>
          <w:p w14:paraId="1FB699F2">
            <w:pPr>
              <w:spacing w:line="360" w:lineRule="auto"/>
              <w:jc w:val="center"/>
              <w:rPr>
                <w:rFonts w:hint="eastAsia" w:ascii="宋体" w:hAnsi="宋体" w:eastAsia="宋体" w:cs="宋体"/>
                <w:color w:val="auto"/>
                <w:szCs w:val="21"/>
                <w:highlight w:val="none"/>
              </w:rPr>
            </w:pPr>
          </w:p>
        </w:tc>
        <w:tc>
          <w:tcPr>
            <w:tcW w:w="1798" w:type="dxa"/>
            <w:gridSpan w:val="2"/>
            <w:noWrap w:val="0"/>
            <w:vAlign w:val="center"/>
          </w:tcPr>
          <w:p w14:paraId="188EDB0A">
            <w:pPr>
              <w:spacing w:line="360" w:lineRule="auto"/>
              <w:jc w:val="center"/>
              <w:rPr>
                <w:rFonts w:hint="eastAsia" w:ascii="宋体" w:hAnsi="宋体" w:eastAsia="宋体" w:cs="宋体"/>
                <w:color w:val="auto"/>
                <w:szCs w:val="21"/>
                <w:highlight w:val="none"/>
              </w:rPr>
            </w:pPr>
          </w:p>
        </w:tc>
        <w:tc>
          <w:tcPr>
            <w:tcW w:w="2834" w:type="dxa"/>
            <w:gridSpan w:val="3"/>
            <w:noWrap w:val="0"/>
            <w:vAlign w:val="center"/>
          </w:tcPr>
          <w:p w14:paraId="1714B8B1">
            <w:pPr>
              <w:spacing w:line="360" w:lineRule="auto"/>
              <w:jc w:val="center"/>
              <w:rPr>
                <w:rFonts w:hint="eastAsia" w:ascii="宋体" w:hAnsi="宋体" w:eastAsia="宋体" w:cs="宋体"/>
                <w:color w:val="auto"/>
                <w:szCs w:val="21"/>
                <w:highlight w:val="none"/>
              </w:rPr>
            </w:pPr>
          </w:p>
        </w:tc>
      </w:tr>
      <w:tr w14:paraId="351AE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05" w:type="dxa"/>
            <w:gridSpan w:val="2"/>
            <w:noWrap w:val="0"/>
            <w:vAlign w:val="center"/>
          </w:tcPr>
          <w:p w14:paraId="3A38EDB0">
            <w:pPr>
              <w:spacing w:line="360" w:lineRule="auto"/>
              <w:jc w:val="center"/>
              <w:rPr>
                <w:rFonts w:hint="eastAsia" w:ascii="宋体" w:hAnsi="宋体" w:eastAsia="宋体" w:cs="宋体"/>
                <w:color w:val="auto"/>
                <w:szCs w:val="21"/>
                <w:highlight w:val="none"/>
              </w:rPr>
            </w:pPr>
          </w:p>
        </w:tc>
        <w:tc>
          <w:tcPr>
            <w:tcW w:w="1937" w:type="dxa"/>
            <w:gridSpan w:val="2"/>
            <w:noWrap w:val="0"/>
            <w:vAlign w:val="center"/>
          </w:tcPr>
          <w:p w14:paraId="7F8DBDEB">
            <w:pPr>
              <w:spacing w:line="360" w:lineRule="auto"/>
              <w:jc w:val="center"/>
              <w:rPr>
                <w:rFonts w:hint="eastAsia" w:ascii="宋体" w:hAnsi="宋体" w:eastAsia="宋体" w:cs="宋体"/>
                <w:color w:val="auto"/>
                <w:szCs w:val="21"/>
                <w:highlight w:val="none"/>
              </w:rPr>
            </w:pPr>
          </w:p>
        </w:tc>
        <w:tc>
          <w:tcPr>
            <w:tcW w:w="1806" w:type="dxa"/>
            <w:gridSpan w:val="3"/>
            <w:noWrap w:val="0"/>
            <w:vAlign w:val="center"/>
          </w:tcPr>
          <w:p w14:paraId="6389FB33">
            <w:pPr>
              <w:spacing w:line="360" w:lineRule="auto"/>
              <w:jc w:val="center"/>
              <w:rPr>
                <w:rFonts w:hint="eastAsia" w:ascii="宋体" w:hAnsi="宋体" w:eastAsia="宋体" w:cs="宋体"/>
                <w:color w:val="auto"/>
                <w:szCs w:val="21"/>
                <w:highlight w:val="none"/>
              </w:rPr>
            </w:pPr>
          </w:p>
        </w:tc>
        <w:tc>
          <w:tcPr>
            <w:tcW w:w="1798" w:type="dxa"/>
            <w:gridSpan w:val="2"/>
            <w:noWrap w:val="0"/>
            <w:vAlign w:val="center"/>
          </w:tcPr>
          <w:p w14:paraId="6E26D5EC">
            <w:pPr>
              <w:spacing w:line="360" w:lineRule="auto"/>
              <w:jc w:val="center"/>
              <w:rPr>
                <w:rFonts w:hint="eastAsia" w:ascii="宋体" w:hAnsi="宋体" w:eastAsia="宋体" w:cs="宋体"/>
                <w:color w:val="auto"/>
                <w:szCs w:val="21"/>
                <w:highlight w:val="none"/>
              </w:rPr>
            </w:pPr>
          </w:p>
        </w:tc>
        <w:tc>
          <w:tcPr>
            <w:tcW w:w="2834" w:type="dxa"/>
            <w:gridSpan w:val="3"/>
            <w:noWrap w:val="0"/>
            <w:vAlign w:val="center"/>
          </w:tcPr>
          <w:p w14:paraId="5D48C82A">
            <w:pPr>
              <w:spacing w:line="360" w:lineRule="auto"/>
              <w:jc w:val="center"/>
              <w:rPr>
                <w:rFonts w:hint="eastAsia" w:ascii="宋体" w:hAnsi="宋体" w:eastAsia="宋体" w:cs="宋体"/>
                <w:color w:val="auto"/>
                <w:szCs w:val="21"/>
                <w:highlight w:val="none"/>
              </w:rPr>
            </w:pPr>
          </w:p>
        </w:tc>
      </w:tr>
      <w:tr w14:paraId="64717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05" w:type="dxa"/>
            <w:gridSpan w:val="2"/>
            <w:noWrap w:val="0"/>
            <w:vAlign w:val="center"/>
          </w:tcPr>
          <w:p w14:paraId="55A539B7">
            <w:pPr>
              <w:spacing w:line="360" w:lineRule="auto"/>
              <w:jc w:val="center"/>
              <w:rPr>
                <w:rFonts w:hint="eastAsia" w:ascii="宋体" w:hAnsi="宋体" w:eastAsia="宋体" w:cs="宋体"/>
                <w:color w:val="auto"/>
                <w:szCs w:val="21"/>
                <w:highlight w:val="none"/>
              </w:rPr>
            </w:pPr>
          </w:p>
        </w:tc>
        <w:tc>
          <w:tcPr>
            <w:tcW w:w="1937" w:type="dxa"/>
            <w:gridSpan w:val="2"/>
            <w:noWrap w:val="0"/>
            <w:vAlign w:val="center"/>
          </w:tcPr>
          <w:p w14:paraId="6EFC625B">
            <w:pPr>
              <w:spacing w:line="360" w:lineRule="auto"/>
              <w:jc w:val="center"/>
              <w:rPr>
                <w:rFonts w:hint="eastAsia" w:ascii="宋体" w:hAnsi="宋体" w:eastAsia="宋体" w:cs="宋体"/>
                <w:color w:val="auto"/>
                <w:szCs w:val="21"/>
                <w:highlight w:val="none"/>
              </w:rPr>
            </w:pPr>
          </w:p>
        </w:tc>
        <w:tc>
          <w:tcPr>
            <w:tcW w:w="1806" w:type="dxa"/>
            <w:gridSpan w:val="3"/>
            <w:noWrap w:val="0"/>
            <w:vAlign w:val="center"/>
          </w:tcPr>
          <w:p w14:paraId="1BAE3703">
            <w:pPr>
              <w:spacing w:line="360" w:lineRule="auto"/>
              <w:jc w:val="center"/>
              <w:rPr>
                <w:rFonts w:hint="eastAsia" w:ascii="宋体" w:hAnsi="宋体" w:eastAsia="宋体" w:cs="宋体"/>
                <w:color w:val="auto"/>
                <w:szCs w:val="21"/>
                <w:highlight w:val="none"/>
              </w:rPr>
            </w:pPr>
          </w:p>
        </w:tc>
        <w:tc>
          <w:tcPr>
            <w:tcW w:w="1798" w:type="dxa"/>
            <w:gridSpan w:val="2"/>
            <w:noWrap w:val="0"/>
            <w:vAlign w:val="center"/>
          </w:tcPr>
          <w:p w14:paraId="55C6D634">
            <w:pPr>
              <w:spacing w:line="360" w:lineRule="auto"/>
              <w:jc w:val="center"/>
              <w:rPr>
                <w:rFonts w:hint="eastAsia" w:ascii="宋体" w:hAnsi="宋体" w:eastAsia="宋体" w:cs="宋体"/>
                <w:color w:val="auto"/>
                <w:szCs w:val="21"/>
                <w:highlight w:val="none"/>
              </w:rPr>
            </w:pPr>
          </w:p>
        </w:tc>
        <w:tc>
          <w:tcPr>
            <w:tcW w:w="2834" w:type="dxa"/>
            <w:gridSpan w:val="3"/>
            <w:noWrap w:val="0"/>
            <w:vAlign w:val="center"/>
          </w:tcPr>
          <w:p w14:paraId="4DC7A1BE">
            <w:pPr>
              <w:spacing w:line="360" w:lineRule="auto"/>
              <w:jc w:val="center"/>
              <w:rPr>
                <w:rFonts w:hint="eastAsia" w:ascii="宋体" w:hAnsi="宋体" w:eastAsia="宋体" w:cs="宋体"/>
                <w:color w:val="auto"/>
                <w:szCs w:val="21"/>
                <w:highlight w:val="none"/>
              </w:rPr>
            </w:pPr>
          </w:p>
        </w:tc>
      </w:tr>
      <w:tr w14:paraId="05DDB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05" w:type="dxa"/>
            <w:gridSpan w:val="2"/>
            <w:noWrap w:val="0"/>
            <w:vAlign w:val="center"/>
          </w:tcPr>
          <w:p w14:paraId="5B4ADA14">
            <w:pPr>
              <w:spacing w:line="360" w:lineRule="auto"/>
              <w:jc w:val="center"/>
              <w:rPr>
                <w:rFonts w:hint="eastAsia" w:ascii="宋体" w:hAnsi="宋体" w:eastAsia="宋体" w:cs="宋体"/>
                <w:color w:val="auto"/>
                <w:szCs w:val="21"/>
                <w:highlight w:val="none"/>
              </w:rPr>
            </w:pPr>
          </w:p>
        </w:tc>
        <w:tc>
          <w:tcPr>
            <w:tcW w:w="1937" w:type="dxa"/>
            <w:gridSpan w:val="2"/>
            <w:noWrap w:val="0"/>
            <w:vAlign w:val="center"/>
          </w:tcPr>
          <w:p w14:paraId="64BD9D3C">
            <w:pPr>
              <w:spacing w:line="360" w:lineRule="auto"/>
              <w:jc w:val="center"/>
              <w:rPr>
                <w:rFonts w:hint="eastAsia" w:ascii="宋体" w:hAnsi="宋体" w:eastAsia="宋体" w:cs="宋体"/>
                <w:color w:val="auto"/>
                <w:szCs w:val="21"/>
                <w:highlight w:val="none"/>
              </w:rPr>
            </w:pPr>
          </w:p>
        </w:tc>
        <w:tc>
          <w:tcPr>
            <w:tcW w:w="1806" w:type="dxa"/>
            <w:gridSpan w:val="3"/>
            <w:noWrap w:val="0"/>
            <w:vAlign w:val="center"/>
          </w:tcPr>
          <w:p w14:paraId="23CB202A">
            <w:pPr>
              <w:spacing w:line="360" w:lineRule="auto"/>
              <w:jc w:val="center"/>
              <w:rPr>
                <w:rFonts w:hint="eastAsia" w:ascii="宋体" w:hAnsi="宋体" w:eastAsia="宋体" w:cs="宋体"/>
                <w:color w:val="auto"/>
                <w:szCs w:val="21"/>
                <w:highlight w:val="none"/>
              </w:rPr>
            </w:pPr>
          </w:p>
        </w:tc>
        <w:tc>
          <w:tcPr>
            <w:tcW w:w="1798" w:type="dxa"/>
            <w:gridSpan w:val="2"/>
            <w:noWrap w:val="0"/>
            <w:vAlign w:val="center"/>
          </w:tcPr>
          <w:p w14:paraId="227D7CED">
            <w:pPr>
              <w:spacing w:line="360" w:lineRule="auto"/>
              <w:jc w:val="center"/>
              <w:rPr>
                <w:rFonts w:hint="eastAsia" w:ascii="宋体" w:hAnsi="宋体" w:eastAsia="宋体" w:cs="宋体"/>
                <w:color w:val="auto"/>
                <w:szCs w:val="21"/>
                <w:highlight w:val="none"/>
              </w:rPr>
            </w:pPr>
          </w:p>
        </w:tc>
        <w:tc>
          <w:tcPr>
            <w:tcW w:w="2834" w:type="dxa"/>
            <w:gridSpan w:val="3"/>
            <w:noWrap w:val="0"/>
            <w:vAlign w:val="center"/>
          </w:tcPr>
          <w:p w14:paraId="13B37E86">
            <w:pPr>
              <w:spacing w:line="360" w:lineRule="auto"/>
              <w:jc w:val="center"/>
              <w:rPr>
                <w:rFonts w:hint="eastAsia" w:ascii="宋体" w:hAnsi="宋体" w:eastAsia="宋体" w:cs="宋体"/>
                <w:color w:val="auto"/>
                <w:szCs w:val="21"/>
                <w:highlight w:val="none"/>
              </w:rPr>
            </w:pPr>
          </w:p>
        </w:tc>
      </w:tr>
      <w:tr w14:paraId="100EB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05" w:type="dxa"/>
            <w:gridSpan w:val="2"/>
            <w:noWrap w:val="0"/>
            <w:vAlign w:val="center"/>
          </w:tcPr>
          <w:p w14:paraId="568C4432">
            <w:pPr>
              <w:spacing w:line="360" w:lineRule="auto"/>
              <w:jc w:val="center"/>
              <w:rPr>
                <w:rFonts w:hint="eastAsia" w:ascii="宋体" w:hAnsi="宋体" w:eastAsia="宋体" w:cs="宋体"/>
                <w:color w:val="auto"/>
                <w:szCs w:val="21"/>
                <w:highlight w:val="none"/>
              </w:rPr>
            </w:pPr>
          </w:p>
        </w:tc>
        <w:tc>
          <w:tcPr>
            <w:tcW w:w="1937" w:type="dxa"/>
            <w:gridSpan w:val="2"/>
            <w:noWrap w:val="0"/>
            <w:vAlign w:val="center"/>
          </w:tcPr>
          <w:p w14:paraId="3D10069B">
            <w:pPr>
              <w:spacing w:line="360" w:lineRule="auto"/>
              <w:jc w:val="center"/>
              <w:rPr>
                <w:rFonts w:hint="eastAsia" w:ascii="宋体" w:hAnsi="宋体" w:eastAsia="宋体" w:cs="宋体"/>
                <w:color w:val="auto"/>
                <w:szCs w:val="21"/>
                <w:highlight w:val="none"/>
              </w:rPr>
            </w:pPr>
          </w:p>
        </w:tc>
        <w:tc>
          <w:tcPr>
            <w:tcW w:w="1806" w:type="dxa"/>
            <w:gridSpan w:val="3"/>
            <w:noWrap w:val="0"/>
            <w:vAlign w:val="center"/>
          </w:tcPr>
          <w:p w14:paraId="5F3E7BB2">
            <w:pPr>
              <w:spacing w:line="360" w:lineRule="auto"/>
              <w:jc w:val="center"/>
              <w:rPr>
                <w:rFonts w:hint="eastAsia" w:ascii="宋体" w:hAnsi="宋体" w:eastAsia="宋体" w:cs="宋体"/>
                <w:color w:val="auto"/>
                <w:szCs w:val="21"/>
                <w:highlight w:val="none"/>
              </w:rPr>
            </w:pPr>
          </w:p>
        </w:tc>
        <w:tc>
          <w:tcPr>
            <w:tcW w:w="1798" w:type="dxa"/>
            <w:gridSpan w:val="2"/>
            <w:noWrap w:val="0"/>
            <w:vAlign w:val="center"/>
          </w:tcPr>
          <w:p w14:paraId="5B6F7DD8">
            <w:pPr>
              <w:spacing w:line="360" w:lineRule="auto"/>
              <w:jc w:val="center"/>
              <w:rPr>
                <w:rFonts w:hint="eastAsia" w:ascii="宋体" w:hAnsi="宋体" w:eastAsia="宋体" w:cs="宋体"/>
                <w:color w:val="auto"/>
                <w:szCs w:val="21"/>
                <w:highlight w:val="none"/>
              </w:rPr>
            </w:pPr>
          </w:p>
        </w:tc>
        <w:tc>
          <w:tcPr>
            <w:tcW w:w="2834" w:type="dxa"/>
            <w:gridSpan w:val="3"/>
            <w:noWrap w:val="0"/>
            <w:vAlign w:val="center"/>
          </w:tcPr>
          <w:p w14:paraId="1C546254">
            <w:pPr>
              <w:spacing w:line="360" w:lineRule="auto"/>
              <w:jc w:val="center"/>
              <w:rPr>
                <w:rFonts w:hint="eastAsia" w:ascii="宋体" w:hAnsi="宋体" w:eastAsia="宋体" w:cs="宋体"/>
                <w:color w:val="auto"/>
                <w:szCs w:val="21"/>
                <w:highlight w:val="none"/>
              </w:rPr>
            </w:pPr>
          </w:p>
        </w:tc>
      </w:tr>
      <w:tr w14:paraId="2FBDD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05" w:type="dxa"/>
            <w:gridSpan w:val="2"/>
            <w:noWrap w:val="0"/>
            <w:vAlign w:val="center"/>
          </w:tcPr>
          <w:p w14:paraId="66E7D7A9">
            <w:pPr>
              <w:spacing w:line="360" w:lineRule="auto"/>
              <w:jc w:val="center"/>
              <w:rPr>
                <w:rFonts w:hint="eastAsia" w:ascii="宋体" w:hAnsi="宋体" w:eastAsia="宋体" w:cs="宋体"/>
                <w:color w:val="auto"/>
                <w:szCs w:val="21"/>
                <w:highlight w:val="none"/>
              </w:rPr>
            </w:pPr>
          </w:p>
        </w:tc>
        <w:tc>
          <w:tcPr>
            <w:tcW w:w="1937" w:type="dxa"/>
            <w:gridSpan w:val="2"/>
            <w:noWrap w:val="0"/>
            <w:vAlign w:val="center"/>
          </w:tcPr>
          <w:p w14:paraId="7D48CFC5">
            <w:pPr>
              <w:spacing w:line="360" w:lineRule="auto"/>
              <w:jc w:val="center"/>
              <w:rPr>
                <w:rFonts w:hint="eastAsia" w:ascii="宋体" w:hAnsi="宋体" w:eastAsia="宋体" w:cs="宋体"/>
                <w:color w:val="auto"/>
                <w:szCs w:val="21"/>
                <w:highlight w:val="none"/>
              </w:rPr>
            </w:pPr>
          </w:p>
        </w:tc>
        <w:tc>
          <w:tcPr>
            <w:tcW w:w="1806" w:type="dxa"/>
            <w:gridSpan w:val="3"/>
            <w:noWrap w:val="0"/>
            <w:vAlign w:val="center"/>
          </w:tcPr>
          <w:p w14:paraId="7BF232D0">
            <w:pPr>
              <w:spacing w:line="360" w:lineRule="auto"/>
              <w:jc w:val="center"/>
              <w:rPr>
                <w:rFonts w:hint="eastAsia" w:ascii="宋体" w:hAnsi="宋体" w:eastAsia="宋体" w:cs="宋体"/>
                <w:color w:val="auto"/>
                <w:szCs w:val="21"/>
                <w:highlight w:val="none"/>
              </w:rPr>
            </w:pPr>
          </w:p>
        </w:tc>
        <w:tc>
          <w:tcPr>
            <w:tcW w:w="1798" w:type="dxa"/>
            <w:gridSpan w:val="2"/>
            <w:noWrap w:val="0"/>
            <w:vAlign w:val="center"/>
          </w:tcPr>
          <w:p w14:paraId="48BD8ED8">
            <w:pPr>
              <w:spacing w:line="360" w:lineRule="auto"/>
              <w:jc w:val="center"/>
              <w:rPr>
                <w:rFonts w:hint="eastAsia" w:ascii="宋体" w:hAnsi="宋体" w:eastAsia="宋体" w:cs="宋体"/>
                <w:color w:val="auto"/>
                <w:szCs w:val="21"/>
                <w:highlight w:val="none"/>
              </w:rPr>
            </w:pPr>
          </w:p>
        </w:tc>
        <w:tc>
          <w:tcPr>
            <w:tcW w:w="2834" w:type="dxa"/>
            <w:gridSpan w:val="3"/>
            <w:noWrap w:val="0"/>
            <w:vAlign w:val="center"/>
          </w:tcPr>
          <w:p w14:paraId="6E51C68A">
            <w:pPr>
              <w:spacing w:line="360" w:lineRule="auto"/>
              <w:jc w:val="center"/>
              <w:rPr>
                <w:rFonts w:hint="eastAsia" w:ascii="宋体" w:hAnsi="宋体" w:eastAsia="宋体" w:cs="宋体"/>
                <w:color w:val="auto"/>
                <w:szCs w:val="21"/>
                <w:highlight w:val="none"/>
              </w:rPr>
            </w:pPr>
          </w:p>
        </w:tc>
      </w:tr>
    </w:tbl>
    <w:p w14:paraId="33169385">
      <w:pPr>
        <w:spacing w:before="156" w:beforeLines="50" w:line="360" w:lineRule="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注明：需提供证明资料内容详见</w:t>
      </w:r>
      <w:r>
        <w:rPr>
          <w:rFonts w:hint="eastAsia" w:ascii="宋体" w:hAnsi="宋体" w:eastAsia="宋体" w:cs="宋体"/>
          <w:color w:val="auto"/>
          <w:szCs w:val="21"/>
          <w:highlight w:val="none"/>
          <w:u w:val="single"/>
        </w:rPr>
        <w:t>（招标文件</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u w:val="single"/>
        </w:rPr>
        <w:t>附件一：评标工作大纲</w:t>
      </w:r>
      <w:r>
        <w:rPr>
          <w:rFonts w:hint="eastAsia" w:ascii="宋体" w:hAnsi="宋体" w:eastAsia="宋体" w:cs="宋体"/>
          <w:color w:val="auto"/>
          <w:szCs w:val="21"/>
          <w:highlight w:val="none"/>
          <w:u w:val="single"/>
          <w:lang w:val="en-US" w:eastAsia="zh-CN"/>
        </w:rPr>
        <w:t xml:space="preserve"> 12、评分因素及分值 </w:t>
      </w:r>
      <w:r>
        <w:rPr>
          <w:rFonts w:hint="eastAsia" w:ascii="宋体" w:hAnsi="宋体" w:eastAsia="宋体" w:cs="宋体"/>
          <w:color w:val="auto"/>
          <w:szCs w:val="21"/>
          <w:highlight w:val="none"/>
          <w:u w:val="single"/>
        </w:rPr>
        <w:t>商务评分相对应评审细则）</w:t>
      </w:r>
    </w:p>
    <w:p w14:paraId="6CF030FE">
      <w:pPr>
        <w:pStyle w:val="20"/>
        <w:overflowPunct w:val="0"/>
        <w:spacing w:before="156" w:beforeLines="50" w:after="0" w:line="360" w:lineRule="auto"/>
        <w:rPr>
          <w:rFonts w:hint="eastAsia" w:ascii="宋体" w:hAnsi="宋体" w:eastAsia="宋体" w:cs="宋体"/>
          <w:color w:val="auto"/>
          <w:szCs w:val="21"/>
          <w:highlight w:val="none"/>
        </w:rPr>
      </w:pPr>
    </w:p>
    <w:tbl>
      <w:tblPr>
        <w:tblStyle w:val="41"/>
        <w:tblW w:w="0" w:type="auto"/>
        <w:tblInd w:w="108" w:type="dxa"/>
        <w:tblLayout w:type="fixed"/>
        <w:tblCellMar>
          <w:top w:w="0" w:type="dxa"/>
          <w:left w:w="108" w:type="dxa"/>
          <w:bottom w:w="0" w:type="dxa"/>
          <w:right w:w="108" w:type="dxa"/>
        </w:tblCellMar>
      </w:tblPr>
      <w:tblGrid>
        <w:gridCol w:w="5217"/>
        <w:gridCol w:w="3157"/>
      </w:tblGrid>
      <w:tr w14:paraId="19C95D61">
        <w:tblPrEx>
          <w:tblCellMar>
            <w:top w:w="0" w:type="dxa"/>
            <w:left w:w="108" w:type="dxa"/>
            <w:bottom w:w="0" w:type="dxa"/>
            <w:right w:w="108" w:type="dxa"/>
          </w:tblCellMar>
        </w:tblPrEx>
        <w:tc>
          <w:tcPr>
            <w:tcW w:w="5217" w:type="dxa"/>
            <w:noWrap w:val="0"/>
            <w:vAlign w:val="top"/>
          </w:tcPr>
          <w:p w14:paraId="0649BB50">
            <w:pPr>
              <w:overflowPunct w:val="0"/>
              <w:adjustRightIn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w:t>
            </w:r>
            <w:r>
              <w:rPr>
                <w:rFonts w:hint="eastAsia" w:ascii="宋体" w:hAnsi="宋体" w:eastAsia="宋体" w:cs="宋体"/>
                <w:color w:val="auto"/>
                <w:szCs w:val="21"/>
                <w:highlight w:val="none"/>
                <w:lang w:val="zh-CN"/>
              </w:rPr>
              <w:t>加盖投标人公章</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single"/>
              </w:rPr>
              <w:t xml:space="preserve">                           </w:t>
            </w:r>
          </w:p>
        </w:tc>
        <w:tc>
          <w:tcPr>
            <w:tcW w:w="3157" w:type="dxa"/>
            <w:noWrap w:val="0"/>
            <w:vAlign w:val="top"/>
          </w:tcPr>
          <w:p w14:paraId="18E86DC3">
            <w:pPr>
              <w:spacing w:line="360" w:lineRule="auto"/>
              <w:rPr>
                <w:rFonts w:hint="eastAsia" w:ascii="宋体" w:hAnsi="宋体" w:eastAsia="宋体" w:cs="宋体"/>
                <w:color w:val="auto"/>
                <w:szCs w:val="21"/>
                <w:highlight w:val="none"/>
              </w:rPr>
            </w:pPr>
          </w:p>
        </w:tc>
      </w:tr>
      <w:tr w14:paraId="1FF75D28">
        <w:tblPrEx>
          <w:tblCellMar>
            <w:top w:w="0" w:type="dxa"/>
            <w:left w:w="108" w:type="dxa"/>
            <w:bottom w:w="0" w:type="dxa"/>
            <w:right w:w="108" w:type="dxa"/>
          </w:tblCellMar>
        </w:tblPrEx>
        <w:tc>
          <w:tcPr>
            <w:tcW w:w="5217" w:type="dxa"/>
            <w:noWrap w:val="0"/>
            <w:vAlign w:val="top"/>
          </w:tcPr>
          <w:p w14:paraId="7D95D672">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w:t>
            </w:r>
            <w:r>
              <w:rPr>
                <w:rFonts w:hint="eastAsia" w:ascii="宋体" w:hAnsi="宋体" w:eastAsia="宋体" w:cs="宋体"/>
                <w:color w:val="auto"/>
                <w:szCs w:val="21"/>
                <w:highlight w:val="none"/>
                <w:u w:val="single"/>
              </w:rPr>
              <w:t xml:space="preserve">             年           月            日</w:t>
            </w:r>
          </w:p>
        </w:tc>
        <w:tc>
          <w:tcPr>
            <w:tcW w:w="3157" w:type="dxa"/>
            <w:noWrap w:val="0"/>
            <w:vAlign w:val="top"/>
          </w:tcPr>
          <w:p w14:paraId="4DDB4508">
            <w:pPr>
              <w:spacing w:line="360" w:lineRule="auto"/>
              <w:rPr>
                <w:rFonts w:hint="eastAsia" w:ascii="宋体" w:hAnsi="宋体" w:eastAsia="宋体" w:cs="宋体"/>
                <w:color w:val="auto"/>
                <w:szCs w:val="21"/>
                <w:highlight w:val="none"/>
              </w:rPr>
            </w:pPr>
          </w:p>
        </w:tc>
      </w:tr>
    </w:tbl>
    <w:p w14:paraId="254733B0">
      <w:pPr>
        <w:autoSpaceDE/>
        <w:autoSpaceDN/>
        <w:adjustRightInd/>
        <w:spacing w:line="240" w:lineRule="auto"/>
        <w:jc w:val="left"/>
        <w:outlineLvl w:val="9"/>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br w:type="page"/>
      </w:r>
    </w:p>
    <w:p w14:paraId="5DFD12DF">
      <w:pPr>
        <w:tabs>
          <w:tab w:val="left" w:pos="567"/>
        </w:tabs>
        <w:autoSpaceDE w:val="0"/>
        <w:autoSpaceDN w:val="0"/>
        <w:adjustRightInd w:val="0"/>
        <w:spacing w:line="360" w:lineRule="auto"/>
        <w:jc w:val="left"/>
        <w:outlineLvl w:val="9"/>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lang w:val="en-US" w:eastAsia="zh-CN"/>
        </w:rPr>
        <w:t>八、</w:t>
      </w:r>
      <w:r>
        <w:rPr>
          <w:rFonts w:hint="eastAsia" w:ascii="宋体" w:hAnsi="宋体" w:eastAsia="宋体" w:cs="宋体"/>
          <w:b/>
          <w:color w:val="auto"/>
          <w:kern w:val="0"/>
          <w:sz w:val="32"/>
          <w:szCs w:val="32"/>
          <w:highlight w:val="none"/>
        </w:rPr>
        <w:t>业绩表格式</w:t>
      </w:r>
    </w:p>
    <w:p w14:paraId="4D22E437">
      <w:pPr>
        <w:autoSpaceDE w:val="0"/>
        <w:autoSpaceDN w:val="0"/>
        <w:adjustRightInd w:val="0"/>
        <w:spacing w:line="360" w:lineRule="auto"/>
        <w:ind w:firstLine="602"/>
        <w:jc w:val="center"/>
        <w:outlineLvl w:val="9"/>
        <w:rPr>
          <w:rFonts w:hint="eastAsia" w:ascii="宋体" w:hAnsi="宋体" w:eastAsia="宋体" w:cs="宋体"/>
          <w:b/>
          <w:bCs/>
          <w:color w:val="auto"/>
          <w:sz w:val="30"/>
          <w:szCs w:val="30"/>
          <w:highlight w:val="none"/>
          <w:lang w:val="zh-CN"/>
        </w:rPr>
      </w:pPr>
      <w:r>
        <w:rPr>
          <w:rFonts w:hint="eastAsia" w:ascii="宋体" w:hAnsi="宋体" w:eastAsia="宋体" w:cs="宋体"/>
          <w:b/>
          <w:bCs/>
          <w:color w:val="auto"/>
          <w:sz w:val="30"/>
          <w:szCs w:val="30"/>
          <w:highlight w:val="none"/>
          <w:lang w:val="zh-CN"/>
        </w:rPr>
        <w:t>投标人自2022年1月1日至今(以合同/协议签订日期为准)承担的信息化运维相关服务业绩</w:t>
      </w:r>
    </w:p>
    <w:tbl>
      <w:tblPr>
        <w:tblStyle w:val="4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4"/>
        <w:gridCol w:w="2794"/>
        <w:gridCol w:w="1900"/>
        <w:gridCol w:w="1894"/>
        <w:gridCol w:w="1722"/>
        <w:gridCol w:w="1276"/>
      </w:tblGrid>
      <w:tr w14:paraId="2EE49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378" w:type="pct"/>
            <w:vAlign w:val="center"/>
          </w:tcPr>
          <w:p w14:paraId="3F001A02">
            <w:pPr>
              <w:spacing w:before="156" w:after="156" w:line="240" w:lineRule="exact"/>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序号</w:t>
            </w:r>
          </w:p>
        </w:tc>
        <w:tc>
          <w:tcPr>
            <w:tcW w:w="1347" w:type="pct"/>
            <w:vAlign w:val="center"/>
          </w:tcPr>
          <w:p w14:paraId="56FF2CC0">
            <w:pPr>
              <w:spacing w:before="156" w:after="156" w:line="240" w:lineRule="exact"/>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项目名称</w:t>
            </w:r>
          </w:p>
        </w:tc>
        <w:tc>
          <w:tcPr>
            <w:tcW w:w="916" w:type="pct"/>
            <w:vAlign w:val="center"/>
          </w:tcPr>
          <w:p w14:paraId="5EADAF1F">
            <w:pPr>
              <w:spacing w:before="156" w:after="156" w:line="240" w:lineRule="exact"/>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合同金额</w:t>
            </w:r>
          </w:p>
        </w:tc>
        <w:tc>
          <w:tcPr>
            <w:tcW w:w="913" w:type="pct"/>
            <w:vAlign w:val="center"/>
          </w:tcPr>
          <w:p w14:paraId="623013B4">
            <w:pPr>
              <w:spacing w:before="156" w:after="156" w:line="240" w:lineRule="exact"/>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签约时间</w:t>
            </w:r>
          </w:p>
        </w:tc>
        <w:tc>
          <w:tcPr>
            <w:tcW w:w="830" w:type="pct"/>
            <w:vAlign w:val="center"/>
          </w:tcPr>
          <w:p w14:paraId="202F1BB5">
            <w:pPr>
              <w:spacing w:before="156" w:after="156" w:line="240" w:lineRule="exact"/>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完成情况</w:t>
            </w:r>
          </w:p>
        </w:tc>
        <w:tc>
          <w:tcPr>
            <w:tcW w:w="615" w:type="pct"/>
            <w:vAlign w:val="center"/>
          </w:tcPr>
          <w:p w14:paraId="611605F3">
            <w:pPr>
              <w:spacing w:before="156" w:after="156" w:line="240" w:lineRule="exact"/>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备注</w:t>
            </w:r>
          </w:p>
        </w:tc>
      </w:tr>
      <w:tr w14:paraId="72A1E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677AED74">
            <w:pPr>
              <w:spacing w:before="156" w:after="156" w:line="240" w:lineRule="exact"/>
              <w:jc w:val="center"/>
              <w:rPr>
                <w:rFonts w:hint="eastAsia" w:ascii="宋体" w:hAnsi="宋体" w:eastAsia="宋体" w:cs="宋体"/>
                <w:color w:val="auto"/>
                <w:szCs w:val="21"/>
                <w:highlight w:val="none"/>
              </w:rPr>
            </w:pPr>
          </w:p>
        </w:tc>
        <w:tc>
          <w:tcPr>
            <w:tcW w:w="1347" w:type="pct"/>
            <w:vAlign w:val="center"/>
          </w:tcPr>
          <w:p w14:paraId="3A43F1AB">
            <w:pPr>
              <w:spacing w:before="156" w:after="156" w:line="240" w:lineRule="exact"/>
              <w:jc w:val="center"/>
              <w:rPr>
                <w:rFonts w:hint="eastAsia" w:ascii="宋体" w:hAnsi="宋体" w:eastAsia="宋体" w:cs="宋体"/>
                <w:color w:val="auto"/>
                <w:szCs w:val="21"/>
                <w:highlight w:val="none"/>
              </w:rPr>
            </w:pPr>
          </w:p>
        </w:tc>
        <w:tc>
          <w:tcPr>
            <w:tcW w:w="916" w:type="pct"/>
            <w:vAlign w:val="center"/>
          </w:tcPr>
          <w:p w14:paraId="31AE9B29">
            <w:pPr>
              <w:spacing w:before="156" w:after="156" w:line="240" w:lineRule="exact"/>
              <w:jc w:val="center"/>
              <w:rPr>
                <w:rFonts w:hint="eastAsia" w:ascii="宋体" w:hAnsi="宋体" w:eastAsia="宋体" w:cs="宋体"/>
                <w:color w:val="auto"/>
                <w:szCs w:val="21"/>
                <w:highlight w:val="none"/>
              </w:rPr>
            </w:pPr>
          </w:p>
        </w:tc>
        <w:tc>
          <w:tcPr>
            <w:tcW w:w="913" w:type="pct"/>
            <w:vAlign w:val="center"/>
          </w:tcPr>
          <w:p w14:paraId="691FEDF8">
            <w:pPr>
              <w:spacing w:before="156" w:after="156" w:line="240" w:lineRule="exact"/>
              <w:jc w:val="center"/>
              <w:rPr>
                <w:rFonts w:hint="eastAsia" w:ascii="宋体" w:hAnsi="宋体" w:eastAsia="宋体" w:cs="宋体"/>
                <w:color w:val="auto"/>
                <w:szCs w:val="21"/>
                <w:highlight w:val="none"/>
              </w:rPr>
            </w:pPr>
          </w:p>
        </w:tc>
        <w:tc>
          <w:tcPr>
            <w:tcW w:w="830" w:type="pct"/>
            <w:vAlign w:val="center"/>
          </w:tcPr>
          <w:p w14:paraId="4A799470">
            <w:pPr>
              <w:spacing w:before="156" w:after="156" w:line="240" w:lineRule="exact"/>
              <w:jc w:val="center"/>
              <w:rPr>
                <w:rFonts w:hint="eastAsia" w:ascii="宋体" w:hAnsi="宋体" w:eastAsia="宋体" w:cs="宋体"/>
                <w:color w:val="auto"/>
                <w:szCs w:val="21"/>
                <w:highlight w:val="none"/>
              </w:rPr>
            </w:pPr>
          </w:p>
        </w:tc>
        <w:tc>
          <w:tcPr>
            <w:tcW w:w="615" w:type="pct"/>
            <w:vAlign w:val="center"/>
          </w:tcPr>
          <w:p w14:paraId="5060CD4B">
            <w:pPr>
              <w:spacing w:before="156" w:after="156" w:line="240" w:lineRule="exact"/>
              <w:jc w:val="center"/>
              <w:rPr>
                <w:rFonts w:hint="eastAsia" w:ascii="宋体" w:hAnsi="宋体" w:eastAsia="宋体" w:cs="宋体"/>
                <w:color w:val="auto"/>
                <w:szCs w:val="21"/>
                <w:highlight w:val="none"/>
              </w:rPr>
            </w:pPr>
          </w:p>
        </w:tc>
      </w:tr>
      <w:tr w14:paraId="0A347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7CD8523D">
            <w:pPr>
              <w:spacing w:before="156" w:after="156" w:line="240" w:lineRule="exact"/>
              <w:jc w:val="center"/>
              <w:rPr>
                <w:rFonts w:hint="eastAsia" w:ascii="宋体" w:hAnsi="宋体" w:eastAsia="宋体" w:cs="宋体"/>
                <w:color w:val="auto"/>
                <w:szCs w:val="21"/>
                <w:highlight w:val="none"/>
              </w:rPr>
            </w:pPr>
          </w:p>
        </w:tc>
        <w:tc>
          <w:tcPr>
            <w:tcW w:w="1347" w:type="pct"/>
            <w:vAlign w:val="center"/>
          </w:tcPr>
          <w:p w14:paraId="23DB08DB">
            <w:pPr>
              <w:spacing w:before="156" w:after="156" w:line="240" w:lineRule="exact"/>
              <w:jc w:val="center"/>
              <w:rPr>
                <w:rFonts w:hint="eastAsia" w:ascii="宋体" w:hAnsi="宋体" w:eastAsia="宋体" w:cs="宋体"/>
                <w:color w:val="auto"/>
                <w:szCs w:val="21"/>
                <w:highlight w:val="none"/>
              </w:rPr>
            </w:pPr>
          </w:p>
        </w:tc>
        <w:tc>
          <w:tcPr>
            <w:tcW w:w="916" w:type="pct"/>
            <w:vAlign w:val="center"/>
          </w:tcPr>
          <w:p w14:paraId="00772C16">
            <w:pPr>
              <w:spacing w:before="156" w:after="156" w:line="240" w:lineRule="exact"/>
              <w:jc w:val="center"/>
              <w:rPr>
                <w:rFonts w:hint="eastAsia" w:ascii="宋体" w:hAnsi="宋体" w:eastAsia="宋体" w:cs="宋体"/>
                <w:color w:val="auto"/>
                <w:szCs w:val="21"/>
                <w:highlight w:val="none"/>
              </w:rPr>
            </w:pPr>
          </w:p>
        </w:tc>
        <w:tc>
          <w:tcPr>
            <w:tcW w:w="913" w:type="pct"/>
            <w:vAlign w:val="center"/>
          </w:tcPr>
          <w:p w14:paraId="5E164DE4">
            <w:pPr>
              <w:spacing w:before="156" w:after="156" w:line="240" w:lineRule="exact"/>
              <w:jc w:val="center"/>
              <w:rPr>
                <w:rFonts w:hint="eastAsia" w:ascii="宋体" w:hAnsi="宋体" w:eastAsia="宋体" w:cs="宋体"/>
                <w:color w:val="auto"/>
                <w:szCs w:val="21"/>
                <w:highlight w:val="none"/>
              </w:rPr>
            </w:pPr>
          </w:p>
        </w:tc>
        <w:tc>
          <w:tcPr>
            <w:tcW w:w="830" w:type="pct"/>
            <w:vAlign w:val="center"/>
          </w:tcPr>
          <w:p w14:paraId="5DA212F3">
            <w:pPr>
              <w:spacing w:before="156" w:after="156" w:line="240" w:lineRule="exact"/>
              <w:jc w:val="center"/>
              <w:rPr>
                <w:rFonts w:hint="eastAsia" w:ascii="宋体" w:hAnsi="宋体" w:eastAsia="宋体" w:cs="宋体"/>
                <w:color w:val="auto"/>
                <w:szCs w:val="21"/>
                <w:highlight w:val="none"/>
              </w:rPr>
            </w:pPr>
          </w:p>
        </w:tc>
        <w:tc>
          <w:tcPr>
            <w:tcW w:w="615" w:type="pct"/>
            <w:vAlign w:val="center"/>
          </w:tcPr>
          <w:p w14:paraId="742E0940">
            <w:pPr>
              <w:spacing w:before="156" w:after="156" w:line="240" w:lineRule="exact"/>
              <w:jc w:val="center"/>
              <w:rPr>
                <w:rFonts w:hint="eastAsia" w:ascii="宋体" w:hAnsi="宋体" w:eastAsia="宋体" w:cs="宋体"/>
                <w:color w:val="auto"/>
                <w:szCs w:val="21"/>
                <w:highlight w:val="none"/>
              </w:rPr>
            </w:pPr>
          </w:p>
        </w:tc>
      </w:tr>
      <w:tr w14:paraId="77A61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0E008ACC">
            <w:pPr>
              <w:spacing w:before="156" w:after="156" w:line="240" w:lineRule="exact"/>
              <w:jc w:val="center"/>
              <w:rPr>
                <w:rFonts w:hint="eastAsia" w:ascii="宋体" w:hAnsi="宋体" w:eastAsia="宋体" w:cs="宋体"/>
                <w:color w:val="auto"/>
                <w:szCs w:val="21"/>
                <w:highlight w:val="none"/>
              </w:rPr>
            </w:pPr>
          </w:p>
        </w:tc>
        <w:tc>
          <w:tcPr>
            <w:tcW w:w="1347" w:type="pct"/>
            <w:vAlign w:val="center"/>
          </w:tcPr>
          <w:p w14:paraId="3A6A7A0D">
            <w:pPr>
              <w:spacing w:before="156" w:after="156" w:line="240" w:lineRule="exact"/>
              <w:jc w:val="center"/>
              <w:rPr>
                <w:rFonts w:hint="eastAsia" w:ascii="宋体" w:hAnsi="宋体" w:eastAsia="宋体" w:cs="宋体"/>
                <w:color w:val="auto"/>
                <w:szCs w:val="21"/>
                <w:highlight w:val="none"/>
              </w:rPr>
            </w:pPr>
          </w:p>
        </w:tc>
        <w:tc>
          <w:tcPr>
            <w:tcW w:w="916" w:type="pct"/>
            <w:vAlign w:val="center"/>
          </w:tcPr>
          <w:p w14:paraId="30CE5AE9">
            <w:pPr>
              <w:spacing w:before="156" w:after="156" w:line="240" w:lineRule="exact"/>
              <w:jc w:val="center"/>
              <w:rPr>
                <w:rFonts w:hint="eastAsia" w:ascii="宋体" w:hAnsi="宋体" w:eastAsia="宋体" w:cs="宋体"/>
                <w:color w:val="auto"/>
                <w:szCs w:val="21"/>
                <w:highlight w:val="none"/>
              </w:rPr>
            </w:pPr>
          </w:p>
        </w:tc>
        <w:tc>
          <w:tcPr>
            <w:tcW w:w="913" w:type="pct"/>
            <w:vAlign w:val="center"/>
          </w:tcPr>
          <w:p w14:paraId="56D65686">
            <w:pPr>
              <w:spacing w:before="156" w:after="156" w:line="240" w:lineRule="exact"/>
              <w:jc w:val="center"/>
              <w:rPr>
                <w:rFonts w:hint="eastAsia" w:ascii="宋体" w:hAnsi="宋体" w:eastAsia="宋体" w:cs="宋体"/>
                <w:color w:val="auto"/>
                <w:szCs w:val="21"/>
                <w:highlight w:val="none"/>
              </w:rPr>
            </w:pPr>
          </w:p>
        </w:tc>
        <w:tc>
          <w:tcPr>
            <w:tcW w:w="830" w:type="pct"/>
            <w:vAlign w:val="center"/>
          </w:tcPr>
          <w:p w14:paraId="49254E9E">
            <w:pPr>
              <w:spacing w:before="156" w:after="156" w:line="240" w:lineRule="exact"/>
              <w:jc w:val="center"/>
              <w:rPr>
                <w:rFonts w:hint="eastAsia" w:ascii="宋体" w:hAnsi="宋体" w:eastAsia="宋体" w:cs="宋体"/>
                <w:color w:val="auto"/>
                <w:szCs w:val="21"/>
                <w:highlight w:val="none"/>
              </w:rPr>
            </w:pPr>
          </w:p>
        </w:tc>
        <w:tc>
          <w:tcPr>
            <w:tcW w:w="615" w:type="pct"/>
            <w:vAlign w:val="center"/>
          </w:tcPr>
          <w:p w14:paraId="0A9261E1">
            <w:pPr>
              <w:spacing w:before="156" w:after="156" w:line="240" w:lineRule="exact"/>
              <w:jc w:val="center"/>
              <w:rPr>
                <w:rFonts w:hint="eastAsia" w:ascii="宋体" w:hAnsi="宋体" w:eastAsia="宋体" w:cs="宋体"/>
                <w:color w:val="auto"/>
                <w:szCs w:val="21"/>
                <w:highlight w:val="none"/>
              </w:rPr>
            </w:pPr>
          </w:p>
        </w:tc>
      </w:tr>
      <w:tr w14:paraId="22799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10678452">
            <w:pPr>
              <w:spacing w:before="156" w:after="156" w:line="240" w:lineRule="exact"/>
              <w:jc w:val="center"/>
              <w:rPr>
                <w:rFonts w:hint="eastAsia" w:ascii="宋体" w:hAnsi="宋体" w:eastAsia="宋体" w:cs="宋体"/>
                <w:color w:val="auto"/>
                <w:szCs w:val="21"/>
                <w:highlight w:val="none"/>
              </w:rPr>
            </w:pPr>
          </w:p>
        </w:tc>
        <w:tc>
          <w:tcPr>
            <w:tcW w:w="1347" w:type="pct"/>
            <w:vAlign w:val="center"/>
          </w:tcPr>
          <w:p w14:paraId="4CDDF373">
            <w:pPr>
              <w:spacing w:before="156" w:after="156" w:line="240" w:lineRule="exact"/>
              <w:jc w:val="center"/>
              <w:rPr>
                <w:rFonts w:hint="eastAsia" w:ascii="宋体" w:hAnsi="宋体" w:eastAsia="宋体" w:cs="宋体"/>
                <w:color w:val="auto"/>
                <w:szCs w:val="21"/>
                <w:highlight w:val="none"/>
              </w:rPr>
            </w:pPr>
          </w:p>
        </w:tc>
        <w:tc>
          <w:tcPr>
            <w:tcW w:w="916" w:type="pct"/>
            <w:vAlign w:val="center"/>
          </w:tcPr>
          <w:p w14:paraId="341CFD50">
            <w:pPr>
              <w:spacing w:before="156" w:after="156" w:line="240" w:lineRule="exact"/>
              <w:jc w:val="center"/>
              <w:rPr>
                <w:rFonts w:hint="eastAsia" w:ascii="宋体" w:hAnsi="宋体" w:eastAsia="宋体" w:cs="宋体"/>
                <w:color w:val="auto"/>
                <w:szCs w:val="21"/>
                <w:highlight w:val="none"/>
              </w:rPr>
            </w:pPr>
          </w:p>
        </w:tc>
        <w:tc>
          <w:tcPr>
            <w:tcW w:w="913" w:type="pct"/>
            <w:vAlign w:val="center"/>
          </w:tcPr>
          <w:p w14:paraId="6DBAD702">
            <w:pPr>
              <w:spacing w:before="156" w:after="156" w:line="240" w:lineRule="exact"/>
              <w:jc w:val="center"/>
              <w:rPr>
                <w:rFonts w:hint="eastAsia" w:ascii="宋体" w:hAnsi="宋体" w:eastAsia="宋体" w:cs="宋体"/>
                <w:color w:val="auto"/>
                <w:szCs w:val="21"/>
                <w:highlight w:val="none"/>
              </w:rPr>
            </w:pPr>
          </w:p>
        </w:tc>
        <w:tc>
          <w:tcPr>
            <w:tcW w:w="830" w:type="pct"/>
            <w:vAlign w:val="center"/>
          </w:tcPr>
          <w:p w14:paraId="09065507">
            <w:pPr>
              <w:spacing w:before="156" w:after="156" w:line="240" w:lineRule="exact"/>
              <w:jc w:val="center"/>
              <w:rPr>
                <w:rFonts w:hint="eastAsia" w:ascii="宋体" w:hAnsi="宋体" w:eastAsia="宋体" w:cs="宋体"/>
                <w:color w:val="auto"/>
                <w:szCs w:val="21"/>
                <w:highlight w:val="none"/>
              </w:rPr>
            </w:pPr>
          </w:p>
        </w:tc>
        <w:tc>
          <w:tcPr>
            <w:tcW w:w="615" w:type="pct"/>
            <w:vAlign w:val="center"/>
          </w:tcPr>
          <w:p w14:paraId="1654202D">
            <w:pPr>
              <w:spacing w:before="156" w:after="156" w:line="240" w:lineRule="exact"/>
              <w:jc w:val="center"/>
              <w:rPr>
                <w:rFonts w:hint="eastAsia" w:ascii="宋体" w:hAnsi="宋体" w:eastAsia="宋体" w:cs="宋体"/>
                <w:color w:val="auto"/>
                <w:szCs w:val="21"/>
                <w:highlight w:val="none"/>
              </w:rPr>
            </w:pPr>
          </w:p>
        </w:tc>
      </w:tr>
      <w:tr w14:paraId="35CBB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20EBCCEE">
            <w:pPr>
              <w:spacing w:before="156" w:after="156" w:line="240" w:lineRule="exact"/>
              <w:jc w:val="center"/>
              <w:rPr>
                <w:rFonts w:hint="eastAsia" w:ascii="宋体" w:hAnsi="宋体" w:eastAsia="宋体" w:cs="宋体"/>
                <w:color w:val="auto"/>
                <w:szCs w:val="21"/>
                <w:highlight w:val="none"/>
              </w:rPr>
            </w:pPr>
          </w:p>
        </w:tc>
        <w:tc>
          <w:tcPr>
            <w:tcW w:w="1347" w:type="pct"/>
            <w:vAlign w:val="center"/>
          </w:tcPr>
          <w:p w14:paraId="1410FE3C">
            <w:pPr>
              <w:spacing w:before="156" w:after="156" w:line="240" w:lineRule="exact"/>
              <w:jc w:val="center"/>
              <w:rPr>
                <w:rFonts w:hint="eastAsia" w:ascii="宋体" w:hAnsi="宋体" w:eastAsia="宋体" w:cs="宋体"/>
                <w:color w:val="auto"/>
                <w:szCs w:val="21"/>
                <w:highlight w:val="none"/>
              </w:rPr>
            </w:pPr>
          </w:p>
        </w:tc>
        <w:tc>
          <w:tcPr>
            <w:tcW w:w="916" w:type="pct"/>
            <w:vAlign w:val="center"/>
          </w:tcPr>
          <w:p w14:paraId="1C28AC70">
            <w:pPr>
              <w:spacing w:before="156" w:after="156" w:line="240" w:lineRule="exact"/>
              <w:jc w:val="center"/>
              <w:rPr>
                <w:rFonts w:hint="eastAsia" w:ascii="宋体" w:hAnsi="宋体" w:eastAsia="宋体" w:cs="宋体"/>
                <w:color w:val="auto"/>
                <w:szCs w:val="21"/>
                <w:highlight w:val="none"/>
              </w:rPr>
            </w:pPr>
          </w:p>
        </w:tc>
        <w:tc>
          <w:tcPr>
            <w:tcW w:w="913" w:type="pct"/>
            <w:vAlign w:val="center"/>
          </w:tcPr>
          <w:p w14:paraId="54C882AD">
            <w:pPr>
              <w:spacing w:before="156" w:after="156" w:line="240" w:lineRule="exact"/>
              <w:jc w:val="center"/>
              <w:rPr>
                <w:rFonts w:hint="eastAsia" w:ascii="宋体" w:hAnsi="宋体" w:eastAsia="宋体" w:cs="宋体"/>
                <w:color w:val="auto"/>
                <w:szCs w:val="21"/>
                <w:highlight w:val="none"/>
              </w:rPr>
            </w:pPr>
          </w:p>
        </w:tc>
        <w:tc>
          <w:tcPr>
            <w:tcW w:w="830" w:type="pct"/>
            <w:vAlign w:val="center"/>
          </w:tcPr>
          <w:p w14:paraId="2BEBE8F6">
            <w:pPr>
              <w:spacing w:before="156" w:after="156" w:line="240" w:lineRule="exact"/>
              <w:jc w:val="center"/>
              <w:rPr>
                <w:rFonts w:hint="eastAsia" w:ascii="宋体" w:hAnsi="宋体" w:eastAsia="宋体" w:cs="宋体"/>
                <w:color w:val="auto"/>
                <w:szCs w:val="21"/>
                <w:highlight w:val="none"/>
              </w:rPr>
            </w:pPr>
          </w:p>
        </w:tc>
        <w:tc>
          <w:tcPr>
            <w:tcW w:w="615" w:type="pct"/>
            <w:vAlign w:val="center"/>
          </w:tcPr>
          <w:p w14:paraId="10E17B42">
            <w:pPr>
              <w:spacing w:before="156" w:after="156" w:line="240" w:lineRule="exact"/>
              <w:jc w:val="center"/>
              <w:rPr>
                <w:rFonts w:hint="eastAsia" w:ascii="宋体" w:hAnsi="宋体" w:eastAsia="宋体" w:cs="宋体"/>
                <w:color w:val="auto"/>
                <w:szCs w:val="21"/>
                <w:highlight w:val="none"/>
              </w:rPr>
            </w:pPr>
          </w:p>
        </w:tc>
      </w:tr>
      <w:tr w14:paraId="5B14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2069D1E2">
            <w:pPr>
              <w:spacing w:before="156" w:after="156" w:line="240" w:lineRule="exact"/>
              <w:jc w:val="center"/>
              <w:rPr>
                <w:rFonts w:hint="eastAsia" w:ascii="宋体" w:hAnsi="宋体" w:eastAsia="宋体" w:cs="宋体"/>
                <w:color w:val="auto"/>
                <w:szCs w:val="21"/>
                <w:highlight w:val="none"/>
              </w:rPr>
            </w:pPr>
          </w:p>
        </w:tc>
        <w:tc>
          <w:tcPr>
            <w:tcW w:w="1347" w:type="pct"/>
            <w:vAlign w:val="center"/>
          </w:tcPr>
          <w:p w14:paraId="79ABB906">
            <w:pPr>
              <w:spacing w:before="156" w:after="156" w:line="240" w:lineRule="exact"/>
              <w:jc w:val="center"/>
              <w:rPr>
                <w:rFonts w:hint="eastAsia" w:ascii="宋体" w:hAnsi="宋体" w:eastAsia="宋体" w:cs="宋体"/>
                <w:color w:val="auto"/>
                <w:szCs w:val="21"/>
                <w:highlight w:val="none"/>
              </w:rPr>
            </w:pPr>
          </w:p>
        </w:tc>
        <w:tc>
          <w:tcPr>
            <w:tcW w:w="916" w:type="pct"/>
            <w:vAlign w:val="center"/>
          </w:tcPr>
          <w:p w14:paraId="0508226A">
            <w:pPr>
              <w:spacing w:before="156" w:after="156" w:line="240" w:lineRule="exact"/>
              <w:jc w:val="center"/>
              <w:rPr>
                <w:rFonts w:hint="eastAsia" w:ascii="宋体" w:hAnsi="宋体" w:eastAsia="宋体" w:cs="宋体"/>
                <w:color w:val="auto"/>
                <w:szCs w:val="21"/>
                <w:highlight w:val="none"/>
              </w:rPr>
            </w:pPr>
          </w:p>
        </w:tc>
        <w:tc>
          <w:tcPr>
            <w:tcW w:w="913" w:type="pct"/>
            <w:vAlign w:val="center"/>
          </w:tcPr>
          <w:p w14:paraId="4DC5EFFC">
            <w:pPr>
              <w:spacing w:before="156" w:after="156" w:line="240" w:lineRule="exact"/>
              <w:jc w:val="center"/>
              <w:rPr>
                <w:rFonts w:hint="eastAsia" w:ascii="宋体" w:hAnsi="宋体" w:eastAsia="宋体" w:cs="宋体"/>
                <w:color w:val="auto"/>
                <w:szCs w:val="21"/>
                <w:highlight w:val="none"/>
              </w:rPr>
            </w:pPr>
          </w:p>
        </w:tc>
        <w:tc>
          <w:tcPr>
            <w:tcW w:w="830" w:type="pct"/>
            <w:vAlign w:val="center"/>
          </w:tcPr>
          <w:p w14:paraId="2C3C5C8B">
            <w:pPr>
              <w:spacing w:before="156" w:after="156" w:line="240" w:lineRule="exact"/>
              <w:jc w:val="center"/>
              <w:rPr>
                <w:rFonts w:hint="eastAsia" w:ascii="宋体" w:hAnsi="宋体" w:eastAsia="宋体" w:cs="宋体"/>
                <w:color w:val="auto"/>
                <w:szCs w:val="21"/>
                <w:highlight w:val="none"/>
              </w:rPr>
            </w:pPr>
          </w:p>
        </w:tc>
        <w:tc>
          <w:tcPr>
            <w:tcW w:w="615" w:type="pct"/>
            <w:vAlign w:val="center"/>
          </w:tcPr>
          <w:p w14:paraId="341F1826">
            <w:pPr>
              <w:spacing w:before="156" w:after="156" w:line="240" w:lineRule="exact"/>
              <w:jc w:val="center"/>
              <w:rPr>
                <w:rFonts w:hint="eastAsia" w:ascii="宋体" w:hAnsi="宋体" w:eastAsia="宋体" w:cs="宋体"/>
                <w:color w:val="auto"/>
                <w:szCs w:val="21"/>
                <w:highlight w:val="none"/>
              </w:rPr>
            </w:pPr>
          </w:p>
        </w:tc>
      </w:tr>
      <w:tr w14:paraId="240E5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1826FEE5">
            <w:pPr>
              <w:spacing w:before="156" w:after="156" w:line="240" w:lineRule="exact"/>
              <w:jc w:val="center"/>
              <w:rPr>
                <w:rFonts w:hint="eastAsia" w:ascii="宋体" w:hAnsi="宋体" w:eastAsia="宋体" w:cs="宋体"/>
                <w:color w:val="auto"/>
                <w:szCs w:val="21"/>
                <w:highlight w:val="none"/>
              </w:rPr>
            </w:pPr>
          </w:p>
        </w:tc>
        <w:tc>
          <w:tcPr>
            <w:tcW w:w="1347" w:type="pct"/>
            <w:vAlign w:val="center"/>
          </w:tcPr>
          <w:p w14:paraId="24DDAB42">
            <w:pPr>
              <w:spacing w:before="156" w:after="156" w:line="240" w:lineRule="exact"/>
              <w:jc w:val="center"/>
              <w:rPr>
                <w:rFonts w:hint="eastAsia" w:ascii="宋体" w:hAnsi="宋体" w:eastAsia="宋体" w:cs="宋体"/>
                <w:color w:val="auto"/>
                <w:szCs w:val="21"/>
                <w:highlight w:val="none"/>
              </w:rPr>
            </w:pPr>
          </w:p>
        </w:tc>
        <w:tc>
          <w:tcPr>
            <w:tcW w:w="916" w:type="pct"/>
            <w:vAlign w:val="center"/>
          </w:tcPr>
          <w:p w14:paraId="57E14FC1">
            <w:pPr>
              <w:spacing w:before="156" w:after="156" w:line="240" w:lineRule="exact"/>
              <w:jc w:val="center"/>
              <w:rPr>
                <w:rFonts w:hint="eastAsia" w:ascii="宋体" w:hAnsi="宋体" w:eastAsia="宋体" w:cs="宋体"/>
                <w:color w:val="auto"/>
                <w:szCs w:val="21"/>
                <w:highlight w:val="none"/>
              </w:rPr>
            </w:pPr>
          </w:p>
        </w:tc>
        <w:tc>
          <w:tcPr>
            <w:tcW w:w="913" w:type="pct"/>
            <w:vAlign w:val="center"/>
          </w:tcPr>
          <w:p w14:paraId="4D6E1634">
            <w:pPr>
              <w:spacing w:before="156" w:after="156" w:line="240" w:lineRule="exact"/>
              <w:jc w:val="center"/>
              <w:rPr>
                <w:rFonts w:hint="eastAsia" w:ascii="宋体" w:hAnsi="宋体" w:eastAsia="宋体" w:cs="宋体"/>
                <w:color w:val="auto"/>
                <w:szCs w:val="21"/>
                <w:highlight w:val="none"/>
              </w:rPr>
            </w:pPr>
          </w:p>
        </w:tc>
        <w:tc>
          <w:tcPr>
            <w:tcW w:w="830" w:type="pct"/>
            <w:vAlign w:val="center"/>
          </w:tcPr>
          <w:p w14:paraId="5508C7DB">
            <w:pPr>
              <w:spacing w:before="156" w:after="156" w:line="240" w:lineRule="exact"/>
              <w:jc w:val="center"/>
              <w:rPr>
                <w:rFonts w:hint="eastAsia" w:ascii="宋体" w:hAnsi="宋体" w:eastAsia="宋体" w:cs="宋体"/>
                <w:color w:val="auto"/>
                <w:szCs w:val="21"/>
                <w:highlight w:val="none"/>
              </w:rPr>
            </w:pPr>
          </w:p>
        </w:tc>
        <w:tc>
          <w:tcPr>
            <w:tcW w:w="615" w:type="pct"/>
            <w:vAlign w:val="center"/>
          </w:tcPr>
          <w:p w14:paraId="4E2463E4">
            <w:pPr>
              <w:spacing w:before="156" w:after="156" w:line="240" w:lineRule="exact"/>
              <w:jc w:val="center"/>
              <w:rPr>
                <w:rFonts w:hint="eastAsia" w:ascii="宋体" w:hAnsi="宋体" w:eastAsia="宋体" w:cs="宋体"/>
                <w:color w:val="auto"/>
                <w:szCs w:val="21"/>
                <w:highlight w:val="none"/>
              </w:rPr>
            </w:pPr>
          </w:p>
        </w:tc>
      </w:tr>
      <w:tr w14:paraId="022C3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506924F6">
            <w:pPr>
              <w:spacing w:before="156" w:after="156" w:line="240" w:lineRule="exact"/>
              <w:jc w:val="center"/>
              <w:rPr>
                <w:rFonts w:hint="eastAsia" w:ascii="宋体" w:hAnsi="宋体" w:eastAsia="宋体" w:cs="宋体"/>
                <w:color w:val="auto"/>
                <w:szCs w:val="21"/>
                <w:highlight w:val="none"/>
              </w:rPr>
            </w:pPr>
          </w:p>
        </w:tc>
        <w:tc>
          <w:tcPr>
            <w:tcW w:w="1347" w:type="pct"/>
            <w:vAlign w:val="center"/>
          </w:tcPr>
          <w:p w14:paraId="5B843064">
            <w:pPr>
              <w:spacing w:before="156" w:after="156" w:line="240" w:lineRule="exact"/>
              <w:jc w:val="center"/>
              <w:rPr>
                <w:rFonts w:hint="eastAsia" w:ascii="宋体" w:hAnsi="宋体" w:eastAsia="宋体" w:cs="宋体"/>
                <w:color w:val="auto"/>
                <w:szCs w:val="21"/>
                <w:highlight w:val="none"/>
              </w:rPr>
            </w:pPr>
          </w:p>
        </w:tc>
        <w:tc>
          <w:tcPr>
            <w:tcW w:w="916" w:type="pct"/>
            <w:vAlign w:val="center"/>
          </w:tcPr>
          <w:p w14:paraId="73DEDAD3">
            <w:pPr>
              <w:spacing w:before="156" w:after="156" w:line="240" w:lineRule="exact"/>
              <w:jc w:val="center"/>
              <w:rPr>
                <w:rFonts w:hint="eastAsia" w:ascii="宋体" w:hAnsi="宋体" w:eastAsia="宋体" w:cs="宋体"/>
                <w:color w:val="auto"/>
                <w:szCs w:val="21"/>
                <w:highlight w:val="none"/>
              </w:rPr>
            </w:pPr>
          </w:p>
        </w:tc>
        <w:tc>
          <w:tcPr>
            <w:tcW w:w="913" w:type="pct"/>
            <w:vAlign w:val="center"/>
          </w:tcPr>
          <w:p w14:paraId="4714D4CB">
            <w:pPr>
              <w:spacing w:before="156" w:after="156" w:line="240" w:lineRule="exact"/>
              <w:jc w:val="center"/>
              <w:rPr>
                <w:rFonts w:hint="eastAsia" w:ascii="宋体" w:hAnsi="宋体" w:eastAsia="宋体" w:cs="宋体"/>
                <w:color w:val="auto"/>
                <w:szCs w:val="21"/>
                <w:highlight w:val="none"/>
              </w:rPr>
            </w:pPr>
          </w:p>
        </w:tc>
        <w:tc>
          <w:tcPr>
            <w:tcW w:w="830" w:type="pct"/>
            <w:vAlign w:val="center"/>
          </w:tcPr>
          <w:p w14:paraId="39EB02E5">
            <w:pPr>
              <w:spacing w:before="156" w:after="156" w:line="240" w:lineRule="exact"/>
              <w:jc w:val="center"/>
              <w:rPr>
                <w:rFonts w:hint="eastAsia" w:ascii="宋体" w:hAnsi="宋体" w:eastAsia="宋体" w:cs="宋体"/>
                <w:color w:val="auto"/>
                <w:szCs w:val="21"/>
                <w:highlight w:val="none"/>
              </w:rPr>
            </w:pPr>
          </w:p>
        </w:tc>
        <w:tc>
          <w:tcPr>
            <w:tcW w:w="615" w:type="pct"/>
            <w:vAlign w:val="center"/>
          </w:tcPr>
          <w:p w14:paraId="1E7C3542">
            <w:pPr>
              <w:spacing w:before="156" w:after="156" w:line="240" w:lineRule="exact"/>
              <w:jc w:val="center"/>
              <w:rPr>
                <w:rFonts w:hint="eastAsia" w:ascii="宋体" w:hAnsi="宋体" w:eastAsia="宋体" w:cs="宋体"/>
                <w:color w:val="auto"/>
                <w:szCs w:val="21"/>
                <w:highlight w:val="none"/>
              </w:rPr>
            </w:pPr>
          </w:p>
        </w:tc>
      </w:tr>
      <w:tr w14:paraId="09A94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7540DBDC">
            <w:pPr>
              <w:spacing w:before="156" w:after="156" w:line="240" w:lineRule="exact"/>
              <w:jc w:val="center"/>
              <w:rPr>
                <w:rFonts w:hint="eastAsia" w:ascii="宋体" w:hAnsi="宋体" w:eastAsia="宋体" w:cs="宋体"/>
                <w:color w:val="auto"/>
                <w:szCs w:val="21"/>
                <w:highlight w:val="none"/>
              </w:rPr>
            </w:pPr>
          </w:p>
        </w:tc>
        <w:tc>
          <w:tcPr>
            <w:tcW w:w="1347" w:type="pct"/>
            <w:vAlign w:val="center"/>
          </w:tcPr>
          <w:p w14:paraId="1A2C05DB">
            <w:pPr>
              <w:spacing w:before="156" w:after="156" w:line="240" w:lineRule="exact"/>
              <w:jc w:val="center"/>
              <w:rPr>
                <w:rFonts w:hint="eastAsia" w:ascii="宋体" w:hAnsi="宋体" w:eastAsia="宋体" w:cs="宋体"/>
                <w:color w:val="auto"/>
                <w:szCs w:val="21"/>
                <w:highlight w:val="none"/>
              </w:rPr>
            </w:pPr>
          </w:p>
        </w:tc>
        <w:tc>
          <w:tcPr>
            <w:tcW w:w="916" w:type="pct"/>
            <w:vAlign w:val="center"/>
          </w:tcPr>
          <w:p w14:paraId="4EE1830B">
            <w:pPr>
              <w:spacing w:before="156" w:after="156" w:line="240" w:lineRule="exact"/>
              <w:jc w:val="center"/>
              <w:rPr>
                <w:rFonts w:hint="eastAsia" w:ascii="宋体" w:hAnsi="宋体" w:eastAsia="宋体" w:cs="宋体"/>
                <w:color w:val="auto"/>
                <w:szCs w:val="21"/>
                <w:highlight w:val="none"/>
              </w:rPr>
            </w:pPr>
          </w:p>
        </w:tc>
        <w:tc>
          <w:tcPr>
            <w:tcW w:w="913" w:type="pct"/>
            <w:vAlign w:val="center"/>
          </w:tcPr>
          <w:p w14:paraId="2088168E">
            <w:pPr>
              <w:spacing w:before="156" w:after="156" w:line="240" w:lineRule="exact"/>
              <w:jc w:val="center"/>
              <w:rPr>
                <w:rFonts w:hint="eastAsia" w:ascii="宋体" w:hAnsi="宋体" w:eastAsia="宋体" w:cs="宋体"/>
                <w:color w:val="auto"/>
                <w:szCs w:val="21"/>
                <w:highlight w:val="none"/>
              </w:rPr>
            </w:pPr>
          </w:p>
        </w:tc>
        <w:tc>
          <w:tcPr>
            <w:tcW w:w="830" w:type="pct"/>
            <w:vAlign w:val="center"/>
          </w:tcPr>
          <w:p w14:paraId="40940B26">
            <w:pPr>
              <w:spacing w:before="156" w:after="156" w:line="240" w:lineRule="exact"/>
              <w:jc w:val="center"/>
              <w:rPr>
                <w:rFonts w:hint="eastAsia" w:ascii="宋体" w:hAnsi="宋体" w:eastAsia="宋体" w:cs="宋体"/>
                <w:color w:val="auto"/>
                <w:szCs w:val="21"/>
                <w:highlight w:val="none"/>
              </w:rPr>
            </w:pPr>
          </w:p>
        </w:tc>
        <w:tc>
          <w:tcPr>
            <w:tcW w:w="615" w:type="pct"/>
            <w:vAlign w:val="center"/>
          </w:tcPr>
          <w:p w14:paraId="71B89B79">
            <w:pPr>
              <w:spacing w:before="156" w:after="156" w:line="240" w:lineRule="exact"/>
              <w:jc w:val="center"/>
              <w:rPr>
                <w:rFonts w:hint="eastAsia" w:ascii="宋体" w:hAnsi="宋体" w:eastAsia="宋体" w:cs="宋体"/>
                <w:color w:val="auto"/>
                <w:szCs w:val="21"/>
                <w:highlight w:val="none"/>
              </w:rPr>
            </w:pPr>
          </w:p>
        </w:tc>
      </w:tr>
    </w:tbl>
    <w:p w14:paraId="76DF1A29">
      <w:pPr>
        <w:autoSpaceDE w:val="0"/>
        <w:autoSpaceDN w:val="0"/>
        <w:adjustRightInd w:val="0"/>
        <w:snapToGrid w:val="0"/>
        <w:spacing w:line="360" w:lineRule="auto"/>
        <w:ind w:left="186" w:leftChars="-158" w:hanging="518" w:hangingChars="247"/>
        <w:jc w:val="left"/>
        <w:outlineLvl w:val="9"/>
        <w:rPr>
          <w:rFonts w:hint="eastAsia" w:ascii="宋体" w:hAnsi="宋体" w:eastAsia="宋体" w:cs="宋体"/>
          <w:color w:val="auto"/>
          <w:szCs w:val="24"/>
          <w:highlight w:val="none"/>
          <w:lang w:val="zh-CN"/>
        </w:rPr>
      </w:pPr>
    </w:p>
    <w:p w14:paraId="1BE8AF75">
      <w:pPr>
        <w:autoSpaceDE w:val="0"/>
        <w:autoSpaceDN w:val="0"/>
        <w:adjustRightInd w:val="0"/>
        <w:snapToGrid w:val="0"/>
        <w:spacing w:line="360" w:lineRule="auto"/>
        <w:ind w:left="481" w:leftChars="-41" w:hanging="567" w:hangingChars="270"/>
        <w:jc w:val="left"/>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备注：</w:t>
      </w:r>
      <w:r>
        <w:rPr>
          <w:rFonts w:hint="eastAsia" w:ascii="宋体" w:hAnsi="宋体" w:eastAsia="宋体" w:cs="宋体"/>
          <w:color w:val="auto"/>
          <w:szCs w:val="21"/>
          <w:highlight w:val="none"/>
        </w:rPr>
        <w:t>需提供证明资料内容详见</w:t>
      </w:r>
      <w:r>
        <w:rPr>
          <w:rFonts w:hint="eastAsia" w:ascii="宋体" w:hAnsi="宋体" w:eastAsia="宋体" w:cs="宋体"/>
          <w:color w:val="auto"/>
          <w:szCs w:val="24"/>
          <w:highlight w:val="none"/>
          <w:u w:val="single"/>
          <w:lang w:val="zh-CN"/>
        </w:rPr>
        <w:t>（招标文件附件1：评标工作大纲 12、评分因素及分值 商务评分相对应评审细则）</w:t>
      </w:r>
      <w:r>
        <w:rPr>
          <w:rFonts w:hint="eastAsia" w:ascii="宋体" w:hAnsi="宋体" w:eastAsia="宋体" w:cs="宋体"/>
          <w:color w:val="auto"/>
          <w:szCs w:val="24"/>
          <w:highlight w:val="none"/>
          <w:lang w:val="zh-CN"/>
        </w:rPr>
        <w:t>；</w:t>
      </w:r>
    </w:p>
    <w:p w14:paraId="4A75B48C">
      <w:pPr>
        <w:autoSpaceDE w:val="0"/>
        <w:autoSpaceDN w:val="0"/>
        <w:adjustRightInd w:val="0"/>
        <w:spacing w:line="360" w:lineRule="auto"/>
        <w:ind w:firstLine="5040" w:firstLineChars="2400"/>
        <w:jc w:val="left"/>
        <w:outlineLvl w:val="9"/>
        <w:rPr>
          <w:rFonts w:hint="eastAsia" w:ascii="宋体" w:hAnsi="宋体" w:eastAsia="宋体" w:cs="宋体"/>
          <w:color w:val="auto"/>
          <w:szCs w:val="24"/>
          <w:highlight w:val="none"/>
          <w:lang w:val="zh-CN"/>
        </w:rPr>
      </w:pPr>
    </w:p>
    <w:p w14:paraId="2BDC1211">
      <w:pPr>
        <w:autoSpaceDE w:val="0"/>
        <w:autoSpaceDN w:val="0"/>
        <w:adjustRightInd w:val="0"/>
        <w:spacing w:line="360" w:lineRule="auto"/>
        <w:ind w:firstLine="5040" w:firstLineChars="240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szCs w:val="24"/>
          <w:highlight w:val="none"/>
          <w:lang w:val="zh-CN"/>
        </w:rPr>
        <w:t>投标人：（加盖投标人法人公章）</w:t>
      </w:r>
    </w:p>
    <w:p w14:paraId="0BBE22F6">
      <w:pPr>
        <w:autoSpaceDE w:val="0"/>
        <w:autoSpaceDN w:val="0"/>
        <w:adjustRightInd w:val="0"/>
        <w:spacing w:line="360" w:lineRule="auto"/>
        <w:ind w:firstLine="5040" w:firstLineChars="2400"/>
        <w:jc w:val="left"/>
        <w:outlineLvl w:val="9"/>
        <w:rPr>
          <w:rFonts w:hint="eastAsia" w:ascii="宋体" w:hAnsi="宋体" w:eastAsia="宋体" w:cs="宋体"/>
          <w:color w:val="auto"/>
          <w:szCs w:val="24"/>
          <w:highlight w:val="none"/>
        </w:rPr>
      </w:pPr>
      <w:r>
        <w:rPr>
          <w:rFonts w:hint="eastAsia" w:ascii="宋体" w:hAnsi="宋体" w:eastAsia="宋体" w:cs="宋体"/>
          <w:color w:val="auto"/>
          <w:szCs w:val="24"/>
          <w:highlight w:val="none"/>
          <w:lang w:val="zh-CN"/>
        </w:rPr>
        <w:t>日期</w:t>
      </w:r>
      <w:r>
        <w:rPr>
          <w:rFonts w:hint="eastAsia" w:ascii="宋体" w:hAnsi="宋体" w:eastAsia="宋体" w:cs="宋体"/>
          <w:color w:val="auto"/>
          <w:szCs w:val="24"/>
          <w:highlight w:val="none"/>
        </w:rPr>
        <w:t xml:space="preserve">：   </w:t>
      </w:r>
      <w:r>
        <w:rPr>
          <w:rFonts w:hint="eastAsia" w:ascii="宋体" w:hAnsi="宋体" w:eastAsia="宋体" w:cs="宋体"/>
          <w:color w:val="auto"/>
          <w:szCs w:val="24"/>
          <w:highlight w:val="none"/>
          <w:lang w:val="zh-CN"/>
        </w:rPr>
        <w:t>年</w:t>
      </w:r>
      <w:r>
        <w:rPr>
          <w:rFonts w:hint="eastAsia" w:ascii="宋体" w:hAnsi="宋体" w:eastAsia="宋体" w:cs="宋体"/>
          <w:color w:val="auto"/>
          <w:szCs w:val="24"/>
          <w:highlight w:val="none"/>
        </w:rPr>
        <w:t xml:space="preserve">   </w:t>
      </w:r>
      <w:r>
        <w:rPr>
          <w:rFonts w:hint="eastAsia" w:ascii="宋体" w:hAnsi="宋体" w:eastAsia="宋体" w:cs="宋体"/>
          <w:color w:val="auto"/>
          <w:szCs w:val="24"/>
          <w:highlight w:val="none"/>
          <w:lang w:val="zh-CN"/>
        </w:rPr>
        <w:t>月</w:t>
      </w:r>
      <w:r>
        <w:rPr>
          <w:rFonts w:hint="eastAsia" w:ascii="宋体" w:hAnsi="宋体" w:eastAsia="宋体" w:cs="宋体"/>
          <w:color w:val="auto"/>
          <w:szCs w:val="24"/>
          <w:highlight w:val="none"/>
        </w:rPr>
        <w:t xml:space="preserve">   </w:t>
      </w:r>
      <w:r>
        <w:rPr>
          <w:rFonts w:hint="eastAsia" w:ascii="宋体" w:hAnsi="宋体" w:eastAsia="宋体" w:cs="宋体"/>
          <w:color w:val="auto"/>
          <w:szCs w:val="24"/>
          <w:highlight w:val="none"/>
          <w:lang w:val="zh-CN"/>
        </w:rPr>
        <w:t>日</w:t>
      </w:r>
    </w:p>
    <w:p w14:paraId="23287A19">
      <w:pPr>
        <w:tabs>
          <w:tab w:val="left" w:pos="567"/>
        </w:tabs>
        <w:autoSpaceDE w:val="0"/>
        <w:autoSpaceDN w:val="0"/>
        <w:adjustRightInd w:val="0"/>
        <w:spacing w:line="360" w:lineRule="auto"/>
        <w:jc w:val="left"/>
        <w:outlineLvl w:val="9"/>
        <w:rPr>
          <w:rFonts w:hint="eastAsia" w:ascii="宋体" w:hAnsi="宋体" w:eastAsia="宋体" w:cs="宋体"/>
          <w:b/>
          <w:color w:val="auto"/>
          <w:kern w:val="0"/>
          <w:sz w:val="32"/>
          <w:szCs w:val="32"/>
          <w:highlight w:val="none"/>
          <w:lang w:val="en-US" w:eastAsia="zh-CN"/>
        </w:rPr>
      </w:pPr>
    </w:p>
    <w:p w14:paraId="7C5825EF">
      <w:pPr>
        <w:rPr>
          <w:rFonts w:hint="eastAsia" w:ascii="宋体" w:hAnsi="宋体" w:eastAsia="宋体" w:cs="宋体"/>
          <w:b/>
          <w:color w:val="auto"/>
          <w:kern w:val="0"/>
          <w:sz w:val="32"/>
          <w:szCs w:val="32"/>
          <w:highlight w:val="none"/>
          <w:lang w:val="en-US" w:eastAsia="zh-CN"/>
        </w:rPr>
      </w:pPr>
      <w:r>
        <w:rPr>
          <w:rFonts w:hint="eastAsia" w:ascii="宋体" w:hAnsi="宋体" w:eastAsia="宋体" w:cs="宋体"/>
          <w:b/>
          <w:color w:val="auto"/>
          <w:kern w:val="0"/>
          <w:sz w:val="32"/>
          <w:szCs w:val="32"/>
          <w:highlight w:val="none"/>
          <w:lang w:val="en-US" w:eastAsia="zh-CN"/>
        </w:rPr>
        <w:br w:type="page"/>
      </w:r>
    </w:p>
    <w:p w14:paraId="2F5B7574">
      <w:pPr>
        <w:tabs>
          <w:tab w:val="left" w:pos="567"/>
        </w:tabs>
        <w:autoSpaceDE w:val="0"/>
        <w:autoSpaceDN w:val="0"/>
        <w:adjustRightInd w:val="0"/>
        <w:spacing w:line="360" w:lineRule="auto"/>
        <w:jc w:val="left"/>
        <w:outlineLvl w:val="9"/>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lang w:val="en-US" w:eastAsia="zh-CN"/>
        </w:rPr>
        <w:t>九</w:t>
      </w:r>
      <w:r>
        <w:rPr>
          <w:rFonts w:hint="eastAsia" w:ascii="宋体" w:hAnsi="宋体" w:eastAsia="宋体" w:cs="宋体"/>
          <w:b/>
          <w:color w:val="auto"/>
          <w:kern w:val="0"/>
          <w:sz w:val="32"/>
          <w:szCs w:val="32"/>
          <w:highlight w:val="none"/>
        </w:rPr>
        <w:t>、</w:t>
      </w:r>
      <w:bookmarkEnd w:id="426"/>
      <w:bookmarkEnd w:id="427"/>
      <w:bookmarkEnd w:id="428"/>
      <w:bookmarkEnd w:id="429"/>
      <w:bookmarkEnd w:id="430"/>
      <w:bookmarkEnd w:id="431"/>
      <w:bookmarkEnd w:id="432"/>
      <w:bookmarkEnd w:id="433"/>
      <w:r>
        <w:rPr>
          <w:rFonts w:hint="eastAsia" w:ascii="宋体" w:hAnsi="宋体" w:eastAsia="宋体" w:cs="宋体"/>
          <w:b/>
          <w:color w:val="auto"/>
          <w:kern w:val="0"/>
          <w:sz w:val="32"/>
          <w:szCs w:val="32"/>
          <w:highlight w:val="none"/>
        </w:rPr>
        <w:t>拟投入本项目设备情况表</w:t>
      </w:r>
    </w:p>
    <w:p w14:paraId="00D508B9">
      <w:pPr>
        <w:spacing w:before="480" w:beforeLines="200" w:after="240" w:afterLines="100" w:line="360" w:lineRule="auto"/>
        <w:jc w:val="center"/>
        <w:rPr>
          <w:rFonts w:hint="eastAsia" w:ascii="宋体" w:hAnsi="宋体" w:eastAsia="宋体" w:cs="宋体"/>
          <w:b/>
          <w:color w:val="auto"/>
          <w:spacing w:val="10"/>
          <w:sz w:val="30"/>
          <w:szCs w:val="30"/>
          <w:highlight w:val="none"/>
        </w:rPr>
      </w:pPr>
      <w:r>
        <w:rPr>
          <w:rFonts w:hint="eastAsia" w:ascii="宋体" w:hAnsi="宋体" w:eastAsia="宋体" w:cs="宋体"/>
          <w:b/>
          <w:color w:val="auto"/>
          <w:spacing w:val="10"/>
          <w:sz w:val="30"/>
          <w:szCs w:val="30"/>
          <w:highlight w:val="none"/>
        </w:rPr>
        <w:t>拟投入本项目设备情况表</w:t>
      </w:r>
    </w:p>
    <w:tbl>
      <w:tblPr>
        <w:tblStyle w:val="4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3"/>
        <w:gridCol w:w="3242"/>
        <w:gridCol w:w="2414"/>
        <w:gridCol w:w="1518"/>
        <w:gridCol w:w="2093"/>
      </w:tblGrid>
      <w:tr w14:paraId="6601C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27C9520B">
            <w:pPr>
              <w:spacing w:line="360"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序号</w:t>
            </w:r>
          </w:p>
        </w:tc>
        <w:tc>
          <w:tcPr>
            <w:tcW w:w="1563" w:type="pct"/>
            <w:vAlign w:val="center"/>
          </w:tcPr>
          <w:p w14:paraId="28E4FEDC">
            <w:pPr>
              <w:spacing w:line="360"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名称</w:t>
            </w:r>
          </w:p>
        </w:tc>
        <w:tc>
          <w:tcPr>
            <w:tcW w:w="1164" w:type="pct"/>
            <w:vAlign w:val="center"/>
          </w:tcPr>
          <w:p w14:paraId="6CDA933D">
            <w:pPr>
              <w:spacing w:line="360"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规格型号</w:t>
            </w:r>
          </w:p>
        </w:tc>
        <w:tc>
          <w:tcPr>
            <w:tcW w:w="732" w:type="pct"/>
            <w:vAlign w:val="center"/>
          </w:tcPr>
          <w:p w14:paraId="009F5DB2">
            <w:pPr>
              <w:spacing w:line="360"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数量</w:t>
            </w:r>
          </w:p>
        </w:tc>
        <w:tc>
          <w:tcPr>
            <w:tcW w:w="1009" w:type="pct"/>
            <w:vAlign w:val="center"/>
          </w:tcPr>
          <w:p w14:paraId="69B7C3B0">
            <w:pPr>
              <w:spacing w:line="360"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备注</w:t>
            </w:r>
          </w:p>
        </w:tc>
      </w:tr>
      <w:tr w14:paraId="2A9D2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303A458">
            <w:pPr>
              <w:spacing w:line="360" w:lineRule="auto"/>
              <w:jc w:val="center"/>
              <w:rPr>
                <w:rFonts w:hint="eastAsia" w:ascii="宋体" w:hAnsi="宋体" w:eastAsia="宋体" w:cs="宋体"/>
                <w:color w:val="auto"/>
                <w:szCs w:val="21"/>
                <w:highlight w:val="none"/>
              </w:rPr>
            </w:pPr>
          </w:p>
        </w:tc>
        <w:tc>
          <w:tcPr>
            <w:tcW w:w="1563" w:type="pct"/>
            <w:vAlign w:val="center"/>
          </w:tcPr>
          <w:p w14:paraId="3102973E">
            <w:pPr>
              <w:spacing w:line="360" w:lineRule="auto"/>
              <w:jc w:val="center"/>
              <w:rPr>
                <w:rFonts w:hint="eastAsia" w:ascii="宋体" w:hAnsi="宋体" w:eastAsia="宋体" w:cs="宋体"/>
                <w:color w:val="auto"/>
                <w:szCs w:val="21"/>
                <w:highlight w:val="none"/>
              </w:rPr>
            </w:pPr>
          </w:p>
        </w:tc>
        <w:tc>
          <w:tcPr>
            <w:tcW w:w="1164" w:type="pct"/>
            <w:vAlign w:val="center"/>
          </w:tcPr>
          <w:p w14:paraId="29790EF0">
            <w:pPr>
              <w:spacing w:line="360" w:lineRule="auto"/>
              <w:jc w:val="center"/>
              <w:rPr>
                <w:rFonts w:hint="eastAsia" w:ascii="宋体" w:hAnsi="宋体" w:eastAsia="宋体" w:cs="宋体"/>
                <w:color w:val="auto"/>
                <w:szCs w:val="21"/>
                <w:highlight w:val="none"/>
              </w:rPr>
            </w:pPr>
          </w:p>
        </w:tc>
        <w:tc>
          <w:tcPr>
            <w:tcW w:w="732" w:type="pct"/>
            <w:vAlign w:val="center"/>
          </w:tcPr>
          <w:p w14:paraId="0CE27B5D">
            <w:pPr>
              <w:spacing w:line="360" w:lineRule="auto"/>
              <w:jc w:val="center"/>
              <w:rPr>
                <w:rFonts w:hint="eastAsia" w:ascii="宋体" w:hAnsi="宋体" w:eastAsia="宋体" w:cs="宋体"/>
                <w:color w:val="auto"/>
                <w:szCs w:val="21"/>
                <w:highlight w:val="none"/>
              </w:rPr>
            </w:pPr>
          </w:p>
        </w:tc>
        <w:tc>
          <w:tcPr>
            <w:tcW w:w="1009" w:type="pct"/>
            <w:vAlign w:val="center"/>
          </w:tcPr>
          <w:p w14:paraId="73A0E8BC">
            <w:pPr>
              <w:spacing w:line="360" w:lineRule="auto"/>
              <w:jc w:val="center"/>
              <w:rPr>
                <w:rFonts w:hint="eastAsia" w:ascii="宋体" w:hAnsi="宋体" w:eastAsia="宋体" w:cs="宋体"/>
                <w:color w:val="auto"/>
                <w:szCs w:val="21"/>
                <w:highlight w:val="none"/>
              </w:rPr>
            </w:pPr>
          </w:p>
        </w:tc>
      </w:tr>
      <w:tr w14:paraId="46F75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BA98181">
            <w:pPr>
              <w:spacing w:line="360" w:lineRule="auto"/>
              <w:jc w:val="center"/>
              <w:rPr>
                <w:rFonts w:hint="eastAsia" w:ascii="宋体" w:hAnsi="宋体" w:eastAsia="宋体" w:cs="宋体"/>
                <w:color w:val="auto"/>
                <w:szCs w:val="21"/>
                <w:highlight w:val="none"/>
              </w:rPr>
            </w:pPr>
          </w:p>
        </w:tc>
        <w:tc>
          <w:tcPr>
            <w:tcW w:w="1563" w:type="pct"/>
            <w:vAlign w:val="center"/>
          </w:tcPr>
          <w:p w14:paraId="2ECA7586">
            <w:pPr>
              <w:spacing w:line="360" w:lineRule="auto"/>
              <w:jc w:val="center"/>
              <w:rPr>
                <w:rFonts w:hint="eastAsia" w:ascii="宋体" w:hAnsi="宋体" w:eastAsia="宋体" w:cs="宋体"/>
                <w:color w:val="auto"/>
                <w:szCs w:val="21"/>
                <w:highlight w:val="none"/>
              </w:rPr>
            </w:pPr>
          </w:p>
        </w:tc>
        <w:tc>
          <w:tcPr>
            <w:tcW w:w="1164" w:type="pct"/>
            <w:vAlign w:val="center"/>
          </w:tcPr>
          <w:p w14:paraId="65EA2B05">
            <w:pPr>
              <w:spacing w:line="360" w:lineRule="auto"/>
              <w:jc w:val="center"/>
              <w:rPr>
                <w:rFonts w:hint="eastAsia" w:ascii="宋体" w:hAnsi="宋体" w:eastAsia="宋体" w:cs="宋体"/>
                <w:color w:val="auto"/>
                <w:szCs w:val="21"/>
                <w:highlight w:val="none"/>
              </w:rPr>
            </w:pPr>
          </w:p>
        </w:tc>
        <w:tc>
          <w:tcPr>
            <w:tcW w:w="732" w:type="pct"/>
            <w:vAlign w:val="center"/>
          </w:tcPr>
          <w:p w14:paraId="524B7BBB">
            <w:pPr>
              <w:spacing w:line="360" w:lineRule="auto"/>
              <w:jc w:val="center"/>
              <w:rPr>
                <w:rFonts w:hint="eastAsia" w:ascii="宋体" w:hAnsi="宋体" w:eastAsia="宋体" w:cs="宋体"/>
                <w:color w:val="auto"/>
                <w:szCs w:val="21"/>
                <w:highlight w:val="none"/>
              </w:rPr>
            </w:pPr>
          </w:p>
        </w:tc>
        <w:tc>
          <w:tcPr>
            <w:tcW w:w="1009" w:type="pct"/>
            <w:vAlign w:val="center"/>
          </w:tcPr>
          <w:p w14:paraId="6CA78D1B">
            <w:pPr>
              <w:spacing w:line="360" w:lineRule="auto"/>
              <w:jc w:val="center"/>
              <w:rPr>
                <w:rFonts w:hint="eastAsia" w:ascii="宋体" w:hAnsi="宋体" w:eastAsia="宋体" w:cs="宋体"/>
                <w:color w:val="auto"/>
                <w:szCs w:val="21"/>
                <w:highlight w:val="none"/>
              </w:rPr>
            </w:pPr>
          </w:p>
        </w:tc>
      </w:tr>
      <w:tr w14:paraId="2CEC5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C54C80E">
            <w:pPr>
              <w:spacing w:line="360" w:lineRule="auto"/>
              <w:jc w:val="center"/>
              <w:rPr>
                <w:rFonts w:hint="eastAsia" w:ascii="宋体" w:hAnsi="宋体" w:eastAsia="宋体" w:cs="宋体"/>
                <w:color w:val="auto"/>
                <w:szCs w:val="21"/>
                <w:highlight w:val="none"/>
              </w:rPr>
            </w:pPr>
          </w:p>
        </w:tc>
        <w:tc>
          <w:tcPr>
            <w:tcW w:w="1563" w:type="pct"/>
            <w:vAlign w:val="center"/>
          </w:tcPr>
          <w:p w14:paraId="366CE635">
            <w:pPr>
              <w:spacing w:line="360" w:lineRule="auto"/>
              <w:jc w:val="center"/>
              <w:rPr>
                <w:rFonts w:hint="eastAsia" w:ascii="宋体" w:hAnsi="宋体" w:eastAsia="宋体" w:cs="宋体"/>
                <w:color w:val="auto"/>
                <w:szCs w:val="21"/>
                <w:highlight w:val="none"/>
              </w:rPr>
            </w:pPr>
          </w:p>
        </w:tc>
        <w:tc>
          <w:tcPr>
            <w:tcW w:w="1164" w:type="pct"/>
            <w:vAlign w:val="center"/>
          </w:tcPr>
          <w:p w14:paraId="6D998529">
            <w:pPr>
              <w:spacing w:line="360" w:lineRule="auto"/>
              <w:jc w:val="center"/>
              <w:rPr>
                <w:rFonts w:hint="eastAsia" w:ascii="宋体" w:hAnsi="宋体" w:eastAsia="宋体" w:cs="宋体"/>
                <w:color w:val="auto"/>
                <w:szCs w:val="21"/>
                <w:highlight w:val="none"/>
              </w:rPr>
            </w:pPr>
          </w:p>
        </w:tc>
        <w:tc>
          <w:tcPr>
            <w:tcW w:w="732" w:type="pct"/>
            <w:vAlign w:val="center"/>
          </w:tcPr>
          <w:p w14:paraId="27708DF4">
            <w:pPr>
              <w:spacing w:line="360" w:lineRule="auto"/>
              <w:jc w:val="center"/>
              <w:rPr>
                <w:rFonts w:hint="eastAsia" w:ascii="宋体" w:hAnsi="宋体" w:eastAsia="宋体" w:cs="宋体"/>
                <w:color w:val="auto"/>
                <w:szCs w:val="21"/>
                <w:highlight w:val="none"/>
              </w:rPr>
            </w:pPr>
          </w:p>
        </w:tc>
        <w:tc>
          <w:tcPr>
            <w:tcW w:w="1009" w:type="pct"/>
            <w:vAlign w:val="center"/>
          </w:tcPr>
          <w:p w14:paraId="058F92EC">
            <w:pPr>
              <w:spacing w:line="360" w:lineRule="auto"/>
              <w:jc w:val="center"/>
              <w:rPr>
                <w:rFonts w:hint="eastAsia" w:ascii="宋体" w:hAnsi="宋体" w:eastAsia="宋体" w:cs="宋体"/>
                <w:color w:val="auto"/>
                <w:szCs w:val="21"/>
                <w:highlight w:val="none"/>
              </w:rPr>
            </w:pPr>
          </w:p>
        </w:tc>
      </w:tr>
      <w:tr w14:paraId="48AD6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2ACB7E8E">
            <w:pPr>
              <w:spacing w:line="360" w:lineRule="auto"/>
              <w:jc w:val="center"/>
              <w:rPr>
                <w:rFonts w:hint="eastAsia" w:ascii="宋体" w:hAnsi="宋体" w:eastAsia="宋体" w:cs="宋体"/>
                <w:color w:val="auto"/>
                <w:szCs w:val="21"/>
                <w:highlight w:val="none"/>
              </w:rPr>
            </w:pPr>
          </w:p>
        </w:tc>
        <w:tc>
          <w:tcPr>
            <w:tcW w:w="1563" w:type="pct"/>
            <w:vAlign w:val="center"/>
          </w:tcPr>
          <w:p w14:paraId="5D73BF75">
            <w:pPr>
              <w:spacing w:line="360" w:lineRule="auto"/>
              <w:jc w:val="center"/>
              <w:rPr>
                <w:rFonts w:hint="eastAsia" w:ascii="宋体" w:hAnsi="宋体" w:eastAsia="宋体" w:cs="宋体"/>
                <w:color w:val="auto"/>
                <w:szCs w:val="21"/>
                <w:highlight w:val="none"/>
              </w:rPr>
            </w:pPr>
          </w:p>
        </w:tc>
        <w:tc>
          <w:tcPr>
            <w:tcW w:w="1164" w:type="pct"/>
            <w:vAlign w:val="center"/>
          </w:tcPr>
          <w:p w14:paraId="60C1722F">
            <w:pPr>
              <w:spacing w:line="360" w:lineRule="auto"/>
              <w:jc w:val="center"/>
              <w:rPr>
                <w:rFonts w:hint="eastAsia" w:ascii="宋体" w:hAnsi="宋体" w:eastAsia="宋体" w:cs="宋体"/>
                <w:color w:val="auto"/>
                <w:szCs w:val="21"/>
                <w:highlight w:val="none"/>
              </w:rPr>
            </w:pPr>
          </w:p>
        </w:tc>
        <w:tc>
          <w:tcPr>
            <w:tcW w:w="732" w:type="pct"/>
            <w:vAlign w:val="center"/>
          </w:tcPr>
          <w:p w14:paraId="0714D9DC">
            <w:pPr>
              <w:spacing w:line="360" w:lineRule="auto"/>
              <w:jc w:val="center"/>
              <w:rPr>
                <w:rFonts w:hint="eastAsia" w:ascii="宋体" w:hAnsi="宋体" w:eastAsia="宋体" w:cs="宋体"/>
                <w:color w:val="auto"/>
                <w:szCs w:val="21"/>
                <w:highlight w:val="none"/>
              </w:rPr>
            </w:pPr>
          </w:p>
        </w:tc>
        <w:tc>
          <w:tcPr>
            <w:tcW w:w="1009" w:type="pct"/>
            <w:vAlign w:val="center"/>
          </w:tcPr>
          <w:p w14:paraId="5D6B4B4B">
            <w:pPr>
              <w:spacing w:line="360" w:lineRule="auto"/>
              <w:jc w:val="center"/>
              <w:rPr>
                <w:rFonts w:hint="eastAsia" w:ascii="宋体" w:hAnsi="宋体" w:eastAsia="宋体" w:cs="宋体"/>
                <w:color w:val="auto"/>
                <w:szCs w:val="21"/>
                <w:highlight w:val="none"/>
              </w:rPr>
            </w:pPr>
          </w:p>
        </w:tc>
      </w:tr>
      <w:tr w14:paraId="0C646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B04B572">
            <w:pPr>
              <w:spacing w:line="360" w:lineRule="auto"/>
              <w:jc w:val="center"/>
              <w:rPr>
                <w:rFonts w:hint="eastAsia" w:ascii="宋体" w:hAnsi="宋体" w:eastAsia="宋体" w:cs="宋体"/>
                <w:color w:val="auto"/>
                <w:szCs w:val="21"/>
                <w:highlight w:val="none"/>
              </w:rPr>
            </w:pPr>
          </w:p>
        </w:tc>
        <w:tc>
          <w:tcPr>
            <w:tcW w:w="1563" w:type="pct"/>
            <w:vAlign w:val="center"/>
          </w:tcPr>
          <w:p w14:paraId="7A32D5DC">
            <w:pPr>
              <w:spacing w:line="360" w:lineRule="auto"/>
              <w:jc w:val="center"/>
              <w:rPr>
                <w:rFonts w:hint="eastAsia" w:ascii="宋体" w:hAnsi="宋体" w:eastAsia="宋体" w:cs="宋体"/>
                <w:color w:val="auto"/>
                <w:szCs w:val="21"/>
                <w:highlight w:val="none"/>
              </w:rPr>
            </w:pPr>
          </w:p>
        </w:tc>
        <w:tc>
          <w:tcPr>
            <w:tcW w:w="1164" w:type="pct"/>
            <w:vAlign w:val="center"/>
          </w:tcPr>
          <w:p w14:paraId="0C9D528A">
            <w:pPr>
              <w:spacing w:line="360" w:lineRule="auto"/>
              <w:jc w:val="center"/>
              <w:rPr>
                <w:rFonts w:hint="eastAsia" w:ascii="宋体" w:hAnsi="宋体" w:eastAsia="宋体" w:cs="宋体"/>
                <w:color w:val="auto"/>
                <w:szCs w:val="21"/>
                <w:highlight w:val="none"/>
              </w:rPr>
            </w:pPr>
          </w:p>
        </w:tc>
        <w:tc>
          <w:tcPr>
            <w:tcW w:w="732" w:type="pct"/>
            <w:vAlign w:val="center"/>
          </w:tcPr>
          <w:p w14:paraId="016FF15D">
            <w:pPr>
              <w:spacing w:line="360" w:lineRule="auto"/>
              <w:jc w:val="center"/>
              <w:rPr>
                <w:rFonts w:hint="eastAsia" w:ascii="宋体" w:hAnsi="宋体" w:eastAsia="宋体" w:cs="宋体"/>
                <w:color w:val="auto"/>
                <w:szCs w:val="21"/>
                <w:highlight w:val="none"/>
              </w:rPr>
            </w:pPr>
          </w:p>
        </w:tc>
        <w:tc>
          <w:tcPr>
            <w:tcW w:w="1009" w:type="pct"/>
            <w:vAlign w:val="center"/>
          </w:tcPr>
          <w:p w14:paraId="46886BBB">
            <w:pPr>
              <w:spacing w:line="360" w:lineRule="auto"/>
              <w:jc w:val="center"/>
              <w:rPr>
                <w:rFonts w:hint="eastAsia" w:ascii="宋体" w:hAnsi="宋体" w:eastAsia="宋体" w:cs="宋体"/>
                <w:color w:val="auto"/>
                <w:szCs w:val="21"/>
                <w:highlight w:val="none"/>
              </w:rPr>
            </w:pPr>
          </w:p>
        </w:tc>
      </w:tr>
      <w:tr w14:paraId="4F9D9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3853805">
            <w:pPr>
              <w:spacing w:line="360" w:lineRule="auto"/>
              <w:jc w:val="center"/>
              <w:rPr>
                <w:rFonts w:hint="eastAsia" w:ascii="宋体" w:hAnsi="宋体" w:eastAsia="宋体" w:cs="宋体"/>
                <w:color w:val="auto"/>
                <w:szCs w:val="21"/>
                <w:highlight w:val="none"/>
              </w:rPr>
            </w:pPr>
          </w:p>
        </w:tc>
        <w:tc>
          <w:tcPr>
            <w:tcW w:w="1563" w:type="pct"/>
            <w:vAlign w:val="center"/>
          </w:tcPr>
          <w:p w14:paraId="48AD3193">
            <w:pPr>
              <w:spacing w:line="360" w:lineRule="auto"/>
              <w:jc w:val="center"/>
              <w:rPr>
                <w:rFonts w:hint="eastAsia" w:ascii="宋体" w:hAnsi="宋体" w:eastAsia="宋体" w:cs="宋体"/>
                <w:color w:val="auto"/>
                <w:szCs w:val="21"/>
                <w:highlight w:val="none"/>
              </w:rPr>
            </w:pPr>
          </w:p>
        </w:tc>
        <w:tc>
          <w:tcPr>
            <w:tcW w:w="1164" w:type="pct"/>
            <w:vAlign w:val="center"/>
          </w:tcPr>
          <w:p w14:paraId="795D28C0">
            <w:pPr>
              <w:spacing w:line="360" w:lineRule="auto"/>
              <w:jc w:val="center"/>
              <w:rPr>
                <w:rFonts w:hint="eastAsia" w:ascii="宋体" w:hAnsi="宋体" w:eastAsia="宋体" w:cs="宋体"/>
                <w:color w:val="auto"/>
                <w:szCs w:val="21"/>
                <w:highlight w:val="none"/>
              </w:rPr>
            </w:pPr>
          </w:p>
        </w:tc>
        <w:tc>
          <w:tcPr>
            <w:tcW w:w="732" w:type="pct"/>
            <w:vAlign w:val="center"/>
          </w:tcPr>
          <w:p w14:paraId="4CE65592">
            <w:pPr>
              <w:spacing w:line="360" w:lineRule="auto"/>
              <w:jc w:val="center"/>
              <w:rPr>
                <w:rFonts w:hint="eastAsia" w:ascii="宋体" w:hAnsi="宋体" w:eastAsia="宋体" w:cs="宋体"/>
                <w:color w:val="auto"/>
                <w:szCs w:val="21"/>
                <w:highlight w:val="none"/>
              </w:rPr>
            </w:pPr>
          </w:p>
        </w:tc>
        <w:tc>
          <w:tcPr>
            <w:tcW w:w="1009" w:type="pct"/>
            <w:vAlign w:val="center"/>
          </w:tcPr>
          <w:p w14:paraId="7838074B">
            <w:pPr>
              <w:spacing w:line="360" w:lineRule="auto"/>
              <w:jc w:val="center"/>
              <w:rPr>
                <w:rFonts w:hint="eastAsia" w:ascii="宋体" w:hAnsi="宋体" w:eastAsia="宋体" w:cs="宋体"/>
                <w:color w:val="auto"/>
                <w:szCs w:val="21"/>
                <w:highlight w:val="none"/>
              </w:rPr>
            </w:pPr>
          </w:p>
        </w:tc>
      </w:tr>
      <w:tr w14:paraId="78BBA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0DD2554">
            <w:pPr>
              <w:spacing w:line="360" w:lineRule="auto"/>
              <w:jc w:val="center"/>
              <w:rPr>
                <w:rFonts w:hint="eastAsia" w:ascii="宋体" w:hAnsi="宋体" w:eastAsia="宋体" w:cs="宋体"/>
                <w:color w:val="auto"/>
                <w:szCs w:val="21"/>
                <w:highlight w:val="none"/>
              </w:rPr>
            </w:pPr>
          </w:p>
        </w:tc>
        <w:tc>
          <w:tcPr>
            <w:tcW w:w="1563" w:type="pct"/>
            <w:vAlign w:val="center"/>
          </w:tcPr>
          <w:p w14:paraId="21FE62C8">
            <w:pPr>
              <w:spacing w:line="360" w:lineRule="auto"/>
              <w:jc w:val="center"/>
              <w:rPr>
                <w:rFonts w:hint="eastAsia" w:ascii="宋体" w:hAnsi="宋体" w:eastAsia="宋体" w:cs="宋体"/>
                <w:color w:val="auto"/>
                <w:szCs w:val="21"/>
                <w:highlight w:val="none"/>
              </w:rPr>
            </w:pPr>
          </w:p>
        </w:tc>
        <w:tc>
          <w:tcPr>
            <w:tcW w:w="1164" w:type="pct"/>
            <w:vAlign w:val="center"/>
          </w:tcPr>
          <w:p w14:paraId="76E98690">
            <w:pPr>
              <w:spacing w:line="360" w:lineRule="auto"/>
              <w:jc w:val="center"/>
              <w:rPr>
                <w:rFonts w:hint="eastAsia" w:ascii="宋体" w:hAnsi="宋体" w:eastAsia="宋体" w:cs="宋体"/>
                <w:color w:val="auto"/>
                <w:szCs w:val="21"/>
                <w:highlight w:val="none"/>
              </w:rPr>
            </w:pPr>
          </w:p>
        </w:tc>
        <w:tc>
          <w:tcPr>
            <w:tcW w:w="732" w:type="pct"/>
            <w:vAlign w:val="center"/>
          </w:tcPr>
          <w:p w14:paraId="35CFDB13">
            <w:pPr>
              <w:spacing w:line="360" w:lineRule="auto"/>
              <w:jc w:val="center"/>
              <w:rPr>
                <w:rFonts w:hint="eastAsia" w:ascii="宋体" w:hAnsi="宋体" w:eastAsia="宋体" w:cs="宋体"/>
                <w:color w:val="auto"/>
                <w:szCs w:val="21"/>
                <w:highlight w:val="none"/>
              </w:rPr>
            </w:pPr>
          </w:p>
        </w:tc>
        <w:tc>
          <w:tcPr>
            <w:tcW w:w="1009" w:type="pct"/>
            <w:vAlign w:val="center"/>
          </w:tcPr>
          <w:p w14:paraId="256CF656">
            <w:pPr>
              <w:spacing w:line="360" w:lineRule="auto"/>
              <w:jc w:val="center"/>
              <w:rPr>
                <w:rFonts w:hint="eastAsia" w:ascii="宋体" w:hAnsi="宋体" w:eastAsia="宋体" w:cs="宋体"/>
                <w:color w:val="auto"/>
                <w:szCs w:val="21"/>
                <w:highlight w:val="none"/>
              </w:rPr>
            </w:pPr>
          </w:p>
        </w:tc>
      </w:tr>
      <w:tr w14:paraId="59A60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33B5CE1">
            <w:pPr>
              <w:spacing w:line="360" w:lineRule="auto"/>
              <w:jc w:val="center"/>
              <w:rPr>
                <w:rFonts w:hint="eastAsia" w:ascii="宋体" w:hAnsi="宋体" w:eastAsia="宋体" w:cs="宋体"/>
                <w:color w:val="auto"/>
                <w:szCs w:val="21"/>
                <w:highlight w:val="none"/>
              </w:rPr>
            </w:pPr>
          </w:p>
        </w:tc>
        <w:tc>
          <w:tcPr>
            <w:tcW w:w="1563" w:type="pct"/>
            <w:vAlign w:val="center"/>
          </w:tcPr>
          <w:p w14:paraId="4C72C14F">
            <w:pPr>
              <w:spacing w:line="360" w:lineRule="auto"/>
              <w:jc w:val="center"/>
              <w:rPr>
                <w:rFonts w:hint="eastAsia" w:ascii="宋体" w:hAnsi="宋体" w:eastAsia="宋体" w:cs="宋体"/>
                <w:color w:val="auto"/>
                <w:szCs w:val="21"/>
                <w:highlight w:val="none"/>
              </w:rPr>
            </w:pPr>
          </w:p>
        </w:tc>
        <w:tc>
          <w:tcPr>
            <w:tcW w:w="1164" w:type="pct"/>
            <w:vAlign w:val="center"/>
          </w:tcPr>
          <w:p w14:paraId="1861AA12">
            <w:pPr>
              <w:spacing w:line="360" w:lineRule="auto"/>
              <w:jc w:val="center"/>
              <w:rPr>
                <w:rFonts w:hint="eastAsia" w:ascii="宋体" w:hAnsi="宋体" w:eastAsia="宋体" w:cs="宋体"/>
                <w:color w:val="auto"/>
                <w:szCs w:val="21"/>
                <w:highlight w:val="none"/>
              </w:rPr>
            </w:pPr>
          </w:p>
        </w:tc>
        <w:tc>
          <w:tcPr>
            <w:tcW w:w="732" w:type="pct"/>
            <w:vAlign w:val="center"/>
          </w:tcPr>
          <w:p w14:paraId="7DE80C2D">
            <w:pPr>
              <w:spacing w:line="360" w:lineRule="auto"/>
              <w:jc w:val="center"/>
              <w:rPr>
                <w:rFonts w:hint="eastAsia" w:ascii="宋体" w:hAnsi="宋体" w:eastAsia="宋体" w:cs="宋体"/>
                <w:color w:val="auto"/>
                <w:szCs w:val="21"/>
                <w:highlight w:val="none"/>
              </w:rPr>
            </w:pPr>
          </w:p>
        </w:tc>
        <w:tc>
          <w:tcPr>
            <w:tcW w:w="1009" w:type="pct"/>
            <w:vAlign w:val="center"/>
          </w:tcPr>
          <w:p w14:paraId="5397B22A">
            <w:pPr>
              <w:spacing w:line="360" w:lineRule="auto"/>
              <w:jc w:val="center"/>
              <w:rPr>
                <w:rFonts w:hint="eastAsia" w:ascii="宋体" w:hAnsi="宋体" w:eastAsia="宋体" w:cs="宋体"/>
                <w:color w:val="auto"/>
                <w:szCs w:val="21"/>
                <w:highlight w:val="none"/>
              </w:rPr>
            </w:pPr>
          </w:p>
        </w:tc>
      </w:tr>
    </w:tbl>
    <w:p w14:paraId="0E02B91E">
      <w:pPr>
        <w:autoSpaceDE w:val="0"/>
        <w:autoSpaceDN w:val="0"/>
        <w:adjustRightInd w:val="0"/>
        <w:snapToGrid w:val="0"/>
        <w:spacing w:line="360" w:lineRule="auto"/>
        <w:ind w:left="186" w:leftChars="-158" w:hanging="518" w:hangingChars="247"/>
        <w:jc w:val="left"/>
        <w:outlineLvl w:val="9"/>
        <w:rPr>
          <w:rFonts w:hint="eastAsia" w:ascii="宋体" w:hAnsi="宋体" w:eastAsia="宋体" w:cs="宋体"/>
          <w:color w:val="auto"/>
          <w:szCs w:val="24"/>
          <w:highlight w:val="none"/>
          <w:lang w:val="zh-CN"/>
        </w:rPr>
      </w:pPr>
    </w:p>
    <w:p w14:paraId="7D351A95">
      <w:pPr>
        <w:spacing w:before="120" w:beforeLines="50"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注明：需提供证明资料内容详见</w:t>
      </w:r>
      <w:r>
        <w:rPr>
          <w:rFonts w:hint="eastAsia" w:ascii="宋体" w:hAnsi="宋体" w:eastAsia="宋体" w:cs="宋体"/>
          <w:color w:val="auto"/>
          <w:szCs w:val="21"/>
          <w:highlight w:val="none"/>
          <w:u w:val="single"/>
        </w:rPr>
        <w:t xml:space="preserve">（招标文件附件1：评标工作大纲 12、评分因素及分值 商务评分相对应评审细则） </w:t>
      </w:r>
      <w:r>
        <w:rPr>
          <w:rFonts w:hint="eastAsia" w:ascii="宋体" w:hAnsi="宋体" w:eastAsia="宋体" w:cs="宋体"/>
          <w:color w:val="auto"/>
          <w:szCs w:val="21"/>
          <w:highlight w:val="none"/>
        </w:rPr>
        <w:t>。</w:t>
      </w:r>
    </w:p>
    <w:p w14:paraId="6E6064EA">
      <w:pPr>
        <w:spacing w:line="360" w:lineRule="auto"/>
        <w:rPr>
          <w:rFonts w:hint="eastAsia" w:ascii="宋体" w:hAnsi="宋体" w:eastAsia="宋体" w:cs="宋体"/>
          <w:color w:val="auto"/>
          <w:szCs w:val="21"/>
          <w:highlight w:val="none"/>
        </w:rPr>
      </w:pPr>
    </w:p>
    <w:p w14:paraId="7E54DE2D">
      <w:pPr>
        <w:spacing w:line="360" w:lineRule="auto"/>
        <w:rPr>
          <w:rFonts w:hint="eastAsia" w:ascii="宋体" w:hAnsi="宋体" w:eastAsia="宋体" w:cs="宋体"/>
          <w:color w:val="auto"/>
          <w:szCs w:val="21"/>
          <w:highlight w:val="none"/>
        </w:rPr>
      </w:pPr>
    </w:p>
    <w:p w14:paraId="439F7802">
      <w:pPr>
        <w:spacing w:line="360" w:lineRule="auto"/>
        <w:rPr>
          <w:rFonts w:hint="eastAsia" w:ascii="宋体" w:hAnsi="宋体" w:eastAsia="宋体" w:cs="宋体"/>
          <w:color w:val="auto"/>
          <w:szCs w:val="21"/>
          <w:highlight w:val="none"/>
        </w:rPr>
      </w:pPr>
    </w:p>
    <w:tbl>
      <w:tblPr>
        <w:tblStyle w:val="4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1F033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78ADA98D">
            <w:pPr>
              <w:overflowPunct w:val="0"/>
              <w:adjustRightIn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投标人名称（加盖公章）：</w:t>
            </w:r>
          </w:p>
        </w:tc>
        <w:tc>
          <w:tcPr>
            <w:tcW w:w="3175" w:type="dxa"/>
          </w:tcPr>
          <w:p w14:paraId="7CD4F2A6">
            <w:pPr>
              <w:spacing w:line="360" w:lineRule="auto"/>
              <w:rPr>
                <w:rFonts w:hint="eastAsia" w:ascii="宋体" w:hAnsi="宋体" w:eastAsia="宋体" w:cs="宋体"/>
                <w:color w:val="auto"/>
                <w:szCs w:val="21"/>
                <w:highlight w:val="none"/>
              </w:rPr>
            </w:pPr>
          </w:p>
        </w:tc>
      </w:tr>
      <w:tr w14:paraId="2492C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7CE148DD">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w:t>
            </w:r>
            <w:r>
              <w:rPr>
                <w:rFonts w:hint="eastAsia" w:ascii="宋体" w:hAnsi="宋体" w:eastAsia="宋体" w:cs="宋体"/>
                <w:color w:val="auto"/>
                <w:szCs w:val="21"/>
                <w:highlight w:val="none"/>
                <w:u w:val="single"/>
              </w:rPr>
              <w:t xml:space="preserve">             年           月            日</w:t>
            </w:r>
          </w:p>
        </w:tc>
        <w:tc>
          <w:tcPr>
            <w:tcW w:w="3175" w:type="dxa"/>
          </w:tcPr>
          <w:p w14:paraId="46A9F114">
            <w:pPr>
              <w:spacing w:line="360" w:lineRule="auto"/>
              <w:rPr>
                <w:rFonts w:hint="eastAsia" w:ascii="宋体" w:hAnsi="宋体" w:eastAsia="宋体" w:cs="宋体"/>
                <w:color w:val="auto"/>
                <w:szCs w:val="21"/>
                <w:highlight w:val="none"/>
              </w:rPr>
            </w:pPr>
          </w:p>
        </w:tc>
      </w:tr>
    </w:tbl>
    <w:p w14:paraId="3574C655">
      <w:pPr>
        <w:spacing w:line="360" w:lineRule="auto"/>
        <w:rPr>
          <w:rFonts w:hint="eastAsia" w:ascii="宋体" w:hAnsi="宋体" w:eastAsia="宋体" w:cs="宋体"/>
          <w:color w:val="auto"/>
          <w:szCs w:val="21"/>
          <w:highlight w:val="none"/>
        </w:rPr>
      </w:pPr>
    </w:p>
    <w:p w14:paraId="0C23CBF3">
      <w:pPr>
        <w:widowControl/>
        <w:spacing w:line="360" w:lineRule="auto"/>
        <w:jc w:val="left"/>
        <w:outlineLvl w:val="9"/>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br w:type="page"/>
      </w:r>
    </w:p>
    <w:bookmarkEnd w:id="434"/>
    <w:bookmarkEnd w:id="435"/>
    <w:p w14:paraId="2588B4BA">
      <w:pPr>
        <w:tabs>
          <w:tab w:val="left" w:pos="567"/>
        </w:tabs>
        <w:autoSpaceDE w:val="0"/>
        <w:autoSpaceDN w:val="0"/>
        <w:adjustRightInd w:val="0"/>
        <w:spacing w:line="360" w:lineRule="auto"/>
        <w:jc w:val="left"/>
        <w:outlineLvl w:val="9"/>
        <w:rPr>
          <w:rFonts w:hint="eastAsia" w:ascii="宋体" w:hAnsi="宋体" w:eastAsia="宋体" w:cs="宋体"/>
          <w:b/>
          <w:color w:val="auto"/>
          <w:kern w:val="0"/>
          <w:sz w:val="32"/>
          <w:szCs w:val="32"/>
          <w:highlight w:val="none"/>
          <w:lang w:val="zh-CN" w:eastAsia="zh-CN"/>
        </w:rPr>
      </w:pPr>
      <w:bookmarkStart w:id="436" w:name="_Toc102860428"/>
      <w:bookmarkStart w:id="437" w:name="_Toc1977738"/>
      <w:bookmarkStart w:id="438" w:name="_Toc102860084"/>
      <w:bookmarkStart w:id="439" w:name="_Toc16292"/>
      <w:bookmarkStart w:id="440" w:name="_Toc140596939"/>
      <w:bookmarkStart w:id="441" w:name="_Toc142508379"/>
      <w:bookmarkStart w:id="442" w:name="_Toc94107221"/>
      <w:bookmarkStart w:id="443" w:name="_Toc18032"/>
      <w:bookmarkStart w:id="444" w:name="_Toc104991886"/>
      <w:bookmarkStart w:id="445" w:name="_Toc533708134"/>
      <w:bookmarkStart w:id="446" w:name="_Toc486167721"/>
      <w:r>
        <w:rPr>
          <w:rFonts w:hint="eastAsia" w:ascii="宋体" w:hAnsi="宋体" w:eastAsia="宋体" w:cs="宋体"/>
          <w:b/>
          <w:color w:val="auto"/>
          <w:kern w:val="0"/>
          <w:sz w:val="32"/>
          <w:szCs w:val="32"/>
          <w:highlight w:val="none"/>
          <w:lang w:val="zh-CN" w:eastAsia="zh-CN"/>
        </w:rPr>
        <w:t>十、投标人资格证明文件以外的其他资质证书、知识产权证书及获得的相关获奖、认证证书、社会评价资料证明文件复印件等投标人认为有需要证明其具备为本次招标项目提供货物</w:t>
      </w:r>
      <w:r>
        <w:rPr>
          <w:rFonts w:hint="eastAsia" w:ascii="宋体" w:hAnsi="宋体" w:eastAsia="宋体" w:cs="宋体"/>
          <w:b/>
          <w:color w:val="auto"/>
          <w:kern w:val="0"/>
          <w:sz w:val="32"/>
          <w:szCs w:val="32"/>
          <w:highlight w:val="none"/>
          <w:lang w:val="en-US" w:eastAsia="zh-CN"/>
        </w:rPr>
        <w:t>及有关</w:t>
      </w:r>
      <w:r>
        <w:rPr>
          <w:rFonts w:hint="eastAsia" w:ascii="宋体" w:hAnsi="宋体" w:eastAsia="宋体" w:cs="宋体"/>
          <w:b/>
          <w:color w:val="auto"/>
          <w:kern w:val="0"/>
          <w:sz w:val="32"/>
          <w:szCs w:val="32"/>
          <w:highlight w:val="none"/>
          <w:lang w:val="zh-CN" w:eastAsia="zh-CN"/>
        </w:rPr>
        <w:t>服务能力的有关其它商务文件（不做强制要求）</w:t>
      </w:r>
      <w:bookmarkEnd w:id="436"/>
      <w:bookmarkEnd w:id="437"/>
      <w:bookmarkEnd w:id="438"/>
      <w:bookmarkEnd w:id="439"/>
      <w:bookmarkEnd w:id="440"/>
      <w:bookmarkEnd w:id="441"/>
      <w:bookmarkEnd w:id="442"/>
      <w:bookmarkEnd w:id="443"/>
      <w:bookmarkEnd w:id="444"/>
    </w:p>
    <w:p w14:paraId="490D9CC9">
      <w:pPr>
        <w:pStyle w:val="17"/>
        <w:outlineLvl w:val="9"/>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br w:type="page"/>
      </w:r>
    </w:p>
    <w:p w14:paraId="3427D741">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b/>
          <w:color w:val="auto"/>
          <w:kern w:val="0"/>
          <w:sz w:val="32"/>
          <w:szCs w:val="32"/>
          <w:highlight w:val="none"/>
        </w:rPr>
        <w:sectPr>
          <w:footerReference r:id="rId9" w:type="default"/>
          <w:pgSz w:w="12240" w:h="15840"/>
          <w:pgMar w:top="1191" w:right="1043" w:bottom="1191" w:left="1043" w:header="720" w:footer="720" w:gutter="0"/>
          <w:cols w:space="720" w:num="1"/>
          <w:titlePg/>
          <w:docGrid w:linePitch="326" w:charSpace="0"/>
        </w:sectPr>
      </w:pPr>
    </w:p>
    <w:p w14:paraId="320420D3">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b/>
          <w:color w:val="auto"/>
          <w:kern w:val="0"/>
          <w:sz w:val="32"/>
          <w:szCs w:val="32"/>
          <w:highlight w:val="none"/>
        </w:rPr>
      </w:pPr>
      <w:bookmarkStart w:id="447" w:name="_Toc1977739"/>
      <w:bookmarkStart w:id="448" w:name="_Toc142508380"/>
      <w:bookmarkStart w:id="449" w:name="_Toc102860085"/>
      <w:bookmarkStart w:id="450" w:name="_Toc15051"/>
      <w:bookmarkStart w:id="451" w:name="_Toc104991887"/>
      <w:bookmarkStart w:id="452" w:name="_Toc140596940"/>
      <w:bookmarkStart w:id="453" w:name="_Toc102860429"/>
      <w:bookmarkStart w:id="454" w:name="_Toc14341"/>
      <w:bookmarkStart w:id="455" w:name="_Toc94107222"/>
      <w:r>
        <w:rPr>
          <w:rFonts w:hint="eastAsia" w:ascii="宋体" w:hAnsi="宋体" w:eastAsia="宋体" w:cs="宋体"/>
          <w:b/>
          <w:color w:val="auto"/>
          <w:kern w:val="0"/>
          <w:sz w:val="32"/>
          <w:szCs w:val="32"/>
          <w:highlight w:val="none"/>
        </w:rPr>
        <w:t>十</w:t>
      </w:r>
      <w:r>
        <w:rPr>
          <w:rFonts w:hint="eastAsia" w:ascii="宋体" w:hAnsi="宋体" w:eastAsia="宋体" w:cs="宋体"/>
          <w:b/>
          <w:color w:val="auto"/>
          <w:kern w:val="0"/>
          <w:sz w:val="32"/>
          <w:szCs w:val="32"/>
          <w:highlight w:val="none"/>
          <w:lang w:val="en-US" w:eastAsia="zh-CN"/>
        </w:rPr>
        <w:t>一</w:t>
      </w:r>
      <w:r>
        <w:rPr>
          <w:rFonts w:hint="eastAsia" w:ascii="宋体" w:hAnsi="宋体" w:eastAsia="宋体" w:cs="宋体"/>
          <w:b/>
          <w:color w:val="auto"/>
          <w:kern w:val="0"/>
          <w:sz w:val="32"/>
          <w:szCs w:val="32"/>
          <w:highlight w:val="none"/>
        </w:rPr>
        <w:t>、技术响应文件格式</w:t>
      </w:r>
      <w:bookmarkEnd w:id="445"/>
      <w:bookmarkEnd w:id="447"/>
      <w:bookmarkEnd w:id="448"/>
      <w:bookmarkEnd w:id="449"/>
      <w:bookmarkEnd w:id="450"/>
      <w:bookmarkEnd w:id="451"/>
      <w:bookmarkEnd w:id="452"/>
      <w:bookmarkEnd w:id="453"/>
      <w:bookmarkEnd w:id="454"/>
      <w:bookmarkEnd w:id="455"/>
    </w:p>
    <w:p w14:paraId="3EDCC776">
      <w:pPr>
        <w:tabs>
          <w:tab w:val="left" w:pos="8640"/>
        </w:tabs>
        <w:spacing w:line="360" w:lineRule="auto"/>
        <w:ind w:firstLine="420" w:firstLineChars="200"/>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投标人应按照招标文件投标人须知关于投标文件组成部分的要求编制技术文件，主要包括但不限于以下内容： </w:t>
      </w:r>
    </w:p>
    <w:p w14:paraId="7FB63B7A">
      <w:pPr>
        <w:spacing w:line="360" w:lineRule="auto"/>
        <w:outlineLvl w:val="9"/>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（1）用户需求响应表</w:t>
      </w:r>
      <w:r>
        <w:rPr>
          <w:rFonts w:hint="eastAsia" w:ascii="宋体" w:hAnsi="宋体" w:eastAsia="宋体" w:cs="宋体"/>
          <w:color w:val="auto"/>
          <w:kern w:val="0"/>
          <w:szCs w:val="21"/>
          <w:highlight w:val="none"/>
          <w:lang w:eastAsia="zh-CN"/>
        </w:rPr>
        <w:t>；</w:t>
      </w:r>
    </w:p>
    <w:p w14:paraId="4832D5B1">
      <w:pPr>
        <w:spacing w:line="360" w:lineRule="auto"/>
        <w:outlineLvl w:val="9"/>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（2）实质性条款（★号条款）响应一览表</w:t>
      </w:r>
      <w:r>
        <w:rPr>
          <w:rFonts w:hint="eastAsia" w:ascii="宋体" w:hAnsi="宋体" w:eastAsia="宋体" w:cs="宋体"/>
          <w:color w:val="auto"/>
          <w:kern w:val="0"/>
          <w:szCs w:val="21"/>
          <w:highlight w:val="none"/>
          <w:lang w:eastAsia="zh-CN"/>
        </w:rPr>
        <w:t>；</w:t>
      </w:r>
    </w:p>
    <w:p w14:paraId="753D3EEB">
      <w:pPr>
        <w:spacing w:line="360" w:lineRule="auto"/>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（3）《技术条款偏离表》；</w:t>
      </w:r>
    </w:p>
    <w:p w14:paraId="52A810FE">
      <w:pPr>
        <w:spacing w:line="360" w:lineRule="auto"/>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（4）对本项目的理解</w:t>
      </w:r>
      <w:r>
        <w:rPr>
          <w:rFonts w:hint="eastAsia" w:ascii="宋体" w:hAnsi="宋体" w:eastAsia="宋体" w:cs="宋体"/>
          <w:color w:val="auto"/>
          <w:sz w:val="21"/>
          <w:szCs w:val="21"/>
          <w:highlight w:val="none"/>
          <w:lang w:eastAsia="zh-CN"/>
        </w:rPr>
        <w:t>；</w:t>
      </w:r>
    </w:p>
    <w:p w14:paraId="337E0827">
      <w:pPr>
        <w:spacing w:line="360" w:lineRule="auto"/>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w:t>
      </w:r>
      <w:r>
        <w:rPr>
          <w:rFonts w:hint="eastAsia" w:ascii="宋体" w:hAnsi="宋体" w:eastAsia="宋体" w:cs="宋体"/>
          <w:color w:val="auto"/>
          <w:kern w:val="0"/>
          <w:szCs w:val="21"/>
          <w:highlight w:val="none"/>
          <w:lang w:val="en-US" w:eastAsia="zh-CN"/>
        </w:rPr>
        <w:t>运维实施方案</w:t>
      </w:r>
      <w:r>
        <w:rPr>
          <w:rFonts w:hint="eastAsia" w:ascii="宋体" w:hAnsi="宋体" w:eastAsia="宋体" w:cs="宋体"/>
          <w:color w:val="auto"/>
          <w:kern w:val="0"/>
          <w:szCs w:val="21"/>
          <w:highlight w:val="none"/>
          <w:lang w:eastAsia="zh-CN"/>
        </w:rPr>
        <w:t>；</w:t>
      </w:r>
    </w:p>
    <w:p w14:paraId="7AB90461">
      <w:pPr>
        <w:spacing w:line="360" w:lineRule="auto"/>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w:t>
      </w:r>
      <w:r>
        <w:rPr>
          <w:rFonts w:hint="eastAsia" w:ascii="宋体" w:hAnsi="宋体" w:eastAsia="宋体" w:cs="宋体"/>
          <w:color w:val="auto"/>
          <w:kern w:val="0"/>
          <w:szCs w:val="21"/>
          <w:highlight w:val="none"/>
          <w:lang w:val="en-US" w:eastAsia="zh-CN"/>
        </w:rPr>
        <w:t>系统及数据安全保障措施</w:t>
      </w:r>
      <w:r>
        <w:rPr>
          <w:rFonts w:hint="eastAsia" w:ascii="宋体" w:hAnsi="宋体" w:eastAsia="宋体" w:cs="宋体"/>
          <w:color w:val="auto"/>
          <w:kern w:val="0"/>
          <w:szCs w:val="21"/>
          <w:highlight w:val="none"/>
          <w:lang w:eastAsia="zh-CN"/>
        </w:rPr>
        <w:t>；</w:t>
      </w:r>
    </w:p>
    <w:p w14:paraId="2B9F5F94">
      <w:pPr>
        <w:spacing w:line="360" w:lineRule="auto"/>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（7）质量保障方案</w:t>
      </w:r>
      <w:r>
        <w:rPr>
          <w:rFonts w:hint="eastAsia" w:ascii="宋体" w:hAnsi="宋体" w:eastAsia="宋体" w:cs="宋体"/>
          <w:color w:val="auto"/>
          <w:kern w:val="0"/>
          <w:szCs w:val="21"/>
          <w:highlight w:val="none"/>
          <w:lang w:eastAsia="zh-CN"/>
        </w:rPr>
        <w:t>；</w:t>
      </w:r>
    </w:p>
    <w:p w14:paraId="65B83F40">
      <w:pPr>
        <w:spacing w:line="360" w:lineRule="auto"/>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lang w:val="en-US" w:eastAsia="zh-CN"/>
        </w:rPr>
        <w:t>8</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rPr>
        <w:t>投标人认为有必要提供的其它材料（不做强制要求）。</w:t>
      </w:r>
      <w:r>
        <w:rPr>
          <w:rFonts w:hint="eastAsia" w:ascii="宋体" w:hAnsi="宋体" w:eastAsia="宋体" w:cs="宋体"/>
          <w:color w:val="auto"/>
          <w:kern w:val="0"/>
          <w:szCs w:val="21"/>
          <w:highlight w:val="none"/>
        </w:rPr>
        <w:br w:type="page"/>
      </w:r>
    </w:p>
    <w:p w14:paraId="7FAB5157">
      <w:pPr>
        <w:pStyle w:val="21"/>
        <w:spacing w:line="360" w:lineRule="auto"/>
        <w:outlineLvl w:val="9"/>
        <w:rPr>
          <w:rFonts w:hint="eastAsia" w:ascii="宋体" w:hAnsi="宋体" w:eastAsia="宋体" w:cs="宋体"/>
          <w:color w:val="auto"/>
          <w:highlight w:val="none"/>
        </w:rPr>
      </w:pPr>
    </w:p>
    <w:p w14:paraId="361D2AC9">
      <w:pPr>
        <w:pBdr>
          <w:bottom w:val="single" w:color="auto" w:sz="6" w:space="0"/>
        </w:pBdr>
        <w:spacing w:line="360" w:lineRule="auto"/>
        <w:ind w:firstLine="472" w:firstLineChars="224"/>
        <w:jc w:val="center"/>
        <w:outlineLvl w:val="9"/>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投标文件技术评审部分索引表</w:t>
      </w:r>
    </w:p>
    <w:tbl>
      <w:tblPr>
        <w:tblStyle w:val="41"/>
        <w:tblW w:w="103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9"/>
        <w:gridCol w:w="2773"/>
        <w:gridCol w:w="1786"/>
        <w:gridCol w:w="4430"/>
      </w:tblGrid>
      <w:tr w14:paraId="58519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4" w:hRule="atLeast"/>
          <w:jc w:val="center"/>
        </w:trPr>
        <w:tc>
          <w:tcPr>
            <w:tcW w:w="1379" w:type="dxa"/>
            <w:vAlign w:val="center"/>
          </w:tcPr>
          <w:p w14:paraId="3AE6EB9A">
            <w:pPr>
              <w:adjustRightInd w:val="0"/>
              <w:snapToGrid w:val="0"/>
              <w:spacing w:line="360" w:lineRule="auto"/>
              <w:jc w:val="center"/>
              <w:outlineLvl w:val="9"/>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序号</w:t>
            </w:r>
          </w:p>
        </w:tc>
        <w:tc>
          <w:tcPr>
            <w:tcW w:w="2773" w:type="dxa"/>
            <w:vAlign w:val="center"/>
          </w:tcPr>
          <w:p w14:paraId="5F66B610">
            <w:pPr>
              <w:adjustRightInd w:val="0"/>
              <w:snapToGrid w:val="0"/>
              <w:spacing w:line="360" w:lineRule="auto"/>
              <w:jc w:val="center"/>
              <w:outlineLvl w:val="9"/>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评标项目</w:t>
            </w:r>
          </w:p>
        </w:tc>
        <w:tc>
          <w:tcPr>
            <w:tcW w:w="1786" w:type="dxa"/>
            <w:vAlign w:val="center"/>
          </w:tcPr>
          <w:p w14:paraId="66DC9B6E">
            <w:pPr>
              <w:adjustRightInd w:val="0"/>
              <w:snapToGrid w:val="0"/>
              <w:spacing w:line="360" w:lineRule="auto"/>
              <w:jc w:val="center"/>
              <w:outlineLvl w:val="9"/>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招标文件上的满分值</w:t>
            </w:r>
          </w:p>
        </w:tc>
        <w:tc>
          <w:tcPr>
            <w:tcW w:w="4430" w:type="dxa"/>
            <w:vAlign w:val="center"/>
          </w:tcPr>
          <w:p w14:paraId="326ECA4A">
            <w:pPr>
              <w:adjustRightInd w:val="0"/>
              <w:snapToGrid w:val="0"/>
              <w:spacing w:line="360" w:lineRule="auto"/>
              <w:jc w:val="center"/>
              <w:outlineLvl w:val="9"/>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页码索引</w:t>
            </w:r>
          </w:p>
        </w:tc>
      </w:tr>
      <w:tr w14:paraId="6DD49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1" w:hRule="atLeast"/>
          <w:jc w:val="center"/>
        </w:trPr>
        <w:tc>
          <w:tcPr>
            <w:tcW w:w="1379" w:type="dxa"/>
            <w:vAlign w:val="center"/>
          </w:tcPr>
          <w:p w14:paraId="289E0C07">
            <w:pPr>
              <w:adjustRightInd w:val="0"/>
              <w:snapToGrid w:val="0"/>
              <w:spacing w:line="360" w:lineRule="auto"/>
              <w:jc w:val="center"/>
              <w:outlineLvl w:val="9"/>
              <w:rPr>
                <w:rFonts w:hint="eastAsia" w:ascii="宋体" w:hAnsi="宋体" w:eastAsia="宋体" w:cs="宋体"/>
                <w:bCs/>
                <w:color w:val="auto"/>
                <w:szCs w:val="21"/>
                <w:highlight w:val="none"/>
              </w:rPr>
            </w:pPr>
          </w:p>
        </w:tc>
        <w:tc>
          <w:tcPr>
            <w:tcW w:w="2773" w:type="dxa"/>
            <w:vAlign w:val="center"/>
          </w:tcPr>
          <w:p w14:paraId="7A52532A">
            <w:pPr>
              <w:adjustRightInd w:val="0"/>
              <w:snapToGrid w:val="0"/>
              <w:spacing w:line="360" w:lineRule="auto"/>
              <w:jc w:val="center"/>
              <w:outlineLvl w:val="9"/>
              <w:rPr>
                <w:rFonts w:hint="eastAsia" w:ascii="宋体" w:hAnsi="宋体" w:eastAsia="宋体" w:cs="宋体"/>
                <w:bCs/>
                <w:color w:val="auto"/>
                <w:szCs w:val="21"/>
                <w:highlight w:val="none"/>
              </w:rPr>
            </w:pPr>
          </w:p>
        </w:tc>
        <w:tc>
          <w:tcPr>
            <w:tcW w:w="1786" w:type="dxa"/>
            <w:vAlign w:val="center"/>
          </w:tcPr>
          <w:p w14:paraId="50E595EB">
            <w:pPr>
              <w:adjustRightInd w:val="0"/>
              <w:snapToGrid w:val="0"/>
              <w:spacing w:line="360" w:lineRule="auto"/>
              <w:jc w:val="center"/>
              <w:outlineLvl w:val="9"/>
              <w:rPr>
                <w:rFonts w:hint="eastAsia" w:ascii="宋体" w:hAnsi="宋体" w:eastAsia="宋体" w:cs="宋体"/>
                <w:bCs/>
                <w:color w:val="auto"/>
                <w:szCs w:val="21"/>
                <w:highlight w:val="none"/>
              </w:rPr>
            </w:pPr>
          </w:p>
        </w:tc>
        <w:tc>
          <w:tcPr>
            <w:tcW w:w="4430" w:type="dxa"/>
            <w:vAlign w:val="center"/>
          </w:tcPr>
          <w:p w14:paraId="02D66389">
            <w:pPr>
              <w:adjustRightInd w:val="0"/>
              <w:snapToGrid w:val="0"/>
              <w:spacing w:line="360" w:lineRule="auto"/>
              <w:outlineLvl w:val="9"/>
              <w:rPr>
                <w:rFonts w:hint="eastAsia" w:ascii="宋体" w:hAnsi="宋体" w:eastAsia="宋体" w:cs="宋体"/>
                <w:bCs/>
                <w:color w:val="auto"/>
                <w:szCs w:val="21"/>
                <w:highlight w:val="none"/>
              </w:rPr>
            </w:pPr>
          </w:p>
        </w:tc>
      </w:tr>
      <w:tr w14:paraId="4EF97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1" w:hRule="atLeast"/>
          <w:jc w:val="center"/>
        </w:trPr>
        <w:tc>
          <w:tcPr>
            <w:tcW w:w="1379" w:type="dxa"/>
            <w:vAlign w:val="center"/>
          </w:tcPr>
          <w:p w14:paraId="63A6DCA3">
            <w:pPr>
              <w:spacing w:line="360" w:lineRule="auto"/>
              <w:outlineLvl w:val="9"/>
              <w:rPr>
                <w:rFonts w:hint="eastAsia" w:ascii="宋体" w:hAnsi="宋体" w:eastAsia="宋体" w:cs="宋体"/>
                <w:bCs/>
                <w:color w:val="auto"/>
                <w:szCs w:val="21"/>
                <w:highlight w:val="none"/>
              </w:rPr>
            </w:pPr>
          </w:p>
        </w:tc>
        <w:tc>
          <w:tcPr>
            <w:tcW w:w="2773" w:type="dxa"/>
            <w:vAlign w:val="center"/>
          </w:tcPr>
          <w:p w14:paraId="13D791DF">
            <w:pPr>
              <w:spacing w:line="360" w:lineRule="auto"/>
              <w:outlineLvl w:val="9"/>
              <w:rPr>
                <w:rFonts w:hint="eastAsia" w:ascii="宋体" w:hAnsi="宋体" w:eastAsia="宋体" w:cs="宋体"/>
                <w:bCs/>
                <w:color w:val="auto"/>
                <w:szCs w:val="21"/>
                <w:highlight w:val="none"/>
              </w:rPr>
            </w:pPr>
          </w:p>
        </w:tc>
        <w:tc>
          <w:tcPr>
            <w:tcW w:w="1786" w:type="dxa"/>
            <w:vAlign w:val="center"/>
          </w:tcPr>
          <w:p w14:paraId="03C6DA38">
            <w:pPr>
              <w:spacing w:line="360" w:lineRule="auto"/>
              <w:outlineLvl w:val="9"/>
              <w:rPr>
                <w:rFonts w:hint="eastAsia" w:ascii="宋体" w:hAnsi="宋体" w:eastAsia="宋体" w:cs="宋体"/>
                <w:bCs/>
                <w:color w:val="auto"/>
                <w:szCs w:val="21"/>
                <w:highlight w:val="none"/>
              </w:rPr>
            </w:pPr>
          </w:p>
        </w:tc>
        <w:tc>
          <w:tcPr>
            <w:tcW w:w="4430" w:type="dxa"/>
            <w:vAlign w:val="center"/>
          </w:tcPr>
          <w:p w14:paraId="0B620253">
            <w:pPr>
              <w:adjustRightInd w:val="0"/>
              <w:snapToGrid w:val="0"/>
              <w:spacing w:line="360" w:lineRule="auto"/>
              <w:ind w:firstLine="105" w:firstLineChars="50"/>
              <w:outlineLvl w:val="9"/>
              <w:rPr>
                <w:rFonts w:hint="eastAsia" w:ascii="宋体" w:hAnsi="宋体" w:eastAsia="宋体" w:cs="宋体"/>
                <w:bCs/>
                <w:color w:val="auto"/>
                <w:szCs w:val="21"/>
                <w:highlight w:val="none"/>
              </w:rPr>
            </w:pPr>
          </w:p>
        </w:tc>
      </w:tr>
      <w:tr w14:paraId="44B1C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29" w:hRule="atLeast"/>
          <w:jc w:val="center"/>
        </w:trPr>
        <w:tc>
          <w:tcPr>
            <w:tcW w:w="1379" w:type="dxa"/>
            <w:vAlign w:val="center"/>
          </w:tcPr>
          <w:p w14:paraId="3B7022C7">
            <w:pPr>
              <w:adjustRightInd w:val="0"/>
              <w:snapToGrid w:val="0"/>
              <w:spacing w:line="360" w:lineRule="auto"/>
              <w:jc w:val="center"/>
              <w:outlineLvl w:val="9"/>
              <w:rPr>
                <w:rFonts w:hint="eastAsia" w:ascii="宋体" w:hAnsi="宋体" w:eastAsia="宋体" w:cs="宋体"/>
                <w:bCs/>
                <w:color w:val="auto"/>
                <w:szCs w:val="21"/>
                <w:highlight w:val="none"/>
              </w:rPr>
            </w:pPr>
          </w:p>
        </w:tc>
        <w:tc>
          <w:tcPr>
            <w:tcW w:w="2773" w:type="dxa"/>
            <w:vAlign w:val="center"/>
          </w:tcPr>
          <w:p w14:paraId="3A808187">
            <w:pPr>
              <w:adjustRightInd w:val="0"/>
              <w:snapToGrid w:val="0"/>
              <w:spacing w:line="360" w:lineRule="auto"/>
              <w:outlineLvl w:val="9"/>
              <w:rPr>
                <w:rFonts w:hint="eastAsia" w:ascii="宋体" w:hAnsi="宋体" w:eastAsia="宋体" w:cs="宋体"/>
                <w:bCs/>
                <w:color w:val="auto"/>
                <w:szCs w:val="21"/>
                <w:highlight w:val="none"/>
              </w:rPr>
            </w:pPr>
          </w:p>
        </w:tc>
        <w:tc>
          <w:tcPr>
            <w:tcW w:w="1786" w:type="dxa"/>
            <w:vAlign w:val="center"/>
          </w:tcPr>
          <w:p w14:paraId="6188202D">
            <w:pPr>
              <w:adjustRightInd w:val="0"/>
              <w:snapToGrid w:val="0"/>
              <w:spacing w:line="360" w:lineRule="auto"/>
              <w:jc w:val="center"/>
              <w:outlineLvl w:val="9"/>
              <w:rPr>
                <w:rFonts w:hint="eastAsia" w:ascii="宋体" w:hAnsi="宋体" w:eastAsia="宋体" w:cs="宋体"/>
                <w:bCs/>
                <w:color w:val="auto"/>
                <w:szCs w:val="21"/>
                <w:highlight w:val="none"/>
              </w:rPr>
            </w:pPr>
          </w:p>
        </w:tc>
        <w:tc>
          <w:tcPr>
            <w:tcW w:w="4430" w:type="dxa"/>
            <w:vAlign w:val="center"/>
          </w:tcPr>
          <w:p w14:paraId="68EEC3ED">
            <w:pPr>
              <w:spacing w:line="360" w:lineRule="auto"/>
              <w:ind w:firstLine="8" w:firstLineChars="4"/>
              <w:outlineLvl w:val="9"/>
              <w:rPr>
                <w:rFonts w:hint="eastAsia" w:ascii="宋体" w:hAnsi="宋体" w:eastAsia="宋体" w:cs="宋体"/>
                <w:bCs/>
                <w:color w:val="auto"/>
                <w:szCs w:val="21"/>
                <w:highlight w:val="none"/>
              </w:rPr>
            </w:pPr>
          </w:p>
        </w:tc>
      </w:tr>
      <w:tr w14:paraId="3A62C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3" w:hRule="atLeast"/>
          <w:jc w:val="center"/>
        </w:trPr>
        <w:tc>
          <w:tcPr>
            <w:tcW w:w="1379" w:type="dxa"/>
            <w:vAlign w:val="center"/>
          </w:tcPr>
          <w:p w14:paraId="3798A347">
            <w:pPr>
              <w:adjustRightInd w:val="0"/>
              <w:snapToGrid w:val="0"/>
              <w:spacing w:line="360" w:lineRule="auto"/>
              <w:jc w:val="center"/>
              <w:outlineLvl w:val="9"/>
              <w:rPr>
                <w:rFonts w:hint="eastAsia" w:ascii="宋体" w:hAnsi="宋体" w:eastAsia="宋体" w:cs="宋体"/>
                <w:bCs/>
                <w:color w:val="auto"/>
                <w:szCs w:val="21"/>
                <w:highlight w:val="none"/>
              </w:rPr>
            </w:pPr>
          </w:p>
        </w:tc>
        <w:tc>
          <w:tcPr>
            <w:tcW w:w="2773" w:type="dxa"/>
            <w:vAlign w:val="center"/>
          </w:tcPr>
          <w:p w14:paraId="4FEBE1BE">
            <w:pPr>
              <w:adjustRightInd w:val="0"/>
              <w:snapToGrid w:val="0"/>
              <w:spacing w:line="360" w:lineRule="auto"/>
              <w:outlineLvl w:val="9"/>
              <w:rPr>
                <w:rFonts w:hint="eastAsia" w:ascii="宋体" w:hAnsi="宋体" w:eastAsia="宋体" w:cs="宋体"/>
                <w:bCs/>
                <w:color w:val="auto"/>
                <w:szCs w:val="21"/>
                <w:highlight w:val="none"/>
              </w:rPr>
            </w:pPr>
          </w:p>
        </w:tc>
        <w:tc>
          <w:tcPr>
            <w:tcW w:w="1786" w:type="dxa"/>
            <w:vAlign w:val="center"/>
          </w:tcPr>
          <w:p w14:paraId="26FDCE07">
            <w:pPr>
              <w:adjustRightInd w:val="0"/>
              <w:snapToGrid w:val="0"/>
              <w:spacing w:line="360" w:lineRule="auto"/>
              <w:jc w:val="center"/>
              <w:outlineLvl w:val="9"/>
              <w:rPr>
                <w:rFonts w:hint="eastAsia" w:ascii="宋体" w:hAnsi="宋体" w:eastAsia="宋体" w:cs="宋体"/>
                <w:bCs/>
                <w:color w:val="auto"/>
                <w:szCs w:val="21"/>
                <w:highlight w:val="none"/>
              </w:rPr>
            </w:pPr>
          </w:p>
        </w:tc>
        <w:tc>
          <w:tcPr>
            <w:tcW w:w="4430" w:type="dxa"/>
            <w:vAlign w:val="center"/>
          </w:tcPr>
          <w:p w14:paraId="2E8D17A6">
            <w:pPr>
              <w:adjustRightInd w:val="0"/>
              <w:snapToGrid w:val="0"/>
              <w:spacing w:line="360" w:lineRule="auto"/>
              <w:outlineLvl w:val="9"/>
              <w:rPr>
                <w:rFonts w:hint="eastAsia" w:ascii="宋体" w:hAnsi="宋体" w:eastAsia="宋体" w:cs="宋体"/>
                <w:bCs/>
                <w:color w:val="auto"/>
                <w:szCs w:val="21"/>
                <w:highlight w:val="none"/>
              </w:rPr>
            </w:pPr>
          </w:p>
        </w:tc>
      </w:tr>
      <w:tr w14:paraId="4320D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6" w:hRule="atLeast"/>
          <w:jc w:val="center"/>
        </w:trPr>
        <w:tc>
          <w:tcPr>
            <w:tcW w:w="4152" w:type="dxa"/>
            <w:gridSpan w:val="2"/>
            <w:vAlign w:val="center"/>
          </w:tcPr>
          <w:p w14:paraId="3306C7D2">
            <w:pPr>
              <w:adjustRightInd w:val="0"/>
              <w:snapToGrid w:val="0"/>
              <w:spacing w:line="360" w:lineRule="auto"/>
              <w:jc w:val="center"/>
              <w:outlineLvl w:val="9"/>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合计</w:t>
            </w:r>
          </w:p>
        </w:tc>
        <w:tc>
          <w:tcPr>
            <w:tcW w:w="1786" w:type="dxa"/>
            <w:vAlign w:val="center"/>
          </w:tcPr>
          <w:p w14:paraId="648ED196">
            <w:pPr>
              <w:adjustRightInd w:val="0"/>
              <w:snapToGrid w:val="0"/>
              <w:spacing w:line="360" w:lineRule="auto"/>
              <w:jc w:val="center"/>
              <w:outlineLvl w:val="9"/>
              <w:rPr>
                <w:rFonts w:hint="eastAsia" w:ascii="宋体" w:hAnsi="宋体" w:eastAsia="宋体" w:cs="宋体"/>
                <w:bCs/>
                <w:color w:val="auto"/>
                <w:szCs w:val="21"/>
                <w:highlight w:val="none"/>
              </w:rPr>
            </w:pPr>
          </w:p>
        </w:tc>
        <w:tc>
          <w:tcPr>
            <w:tcW w:w="4430" w:type="dxa"/>
            <w:vAlign w:val="center"/>
          </w:tcPr>
          <w:p w14:paraId="4D9A12FD">
            <w:pPr>
              <w:spacing w:line="360" w:lineRule="auto"/>
              <w:jc w:val="center"/>
              <w:outlineLvl w:val="9"/>
              <w:rPr>
                <w:rFonts w:hint="eastAsia" w:ascii="宋体" w:hAnsi="宋体" w:eastAsia="宋体" w:cs="宋体"/>
                <w:bCs/>
                <w:color w:val="auto"/>
                <w:szCs w:val="21"/>
                <w:highlight w:val="none"/>
              </w:rPr>
            </w:pPr>
          </w:p>
        </w:tc>
      </w:tr>
    </w:tbl>
    <w:p w14:paraId="232E0BB5">
      <w:pPr>
        <w:tabs>
          <w:tab w:val="left" w:pos="567"/>
        </w:tabs>
        <w:autoSpaceDE w:val="0"/>
        <w:autoSpaceDN w:val="0"/>
        <w:adjustRightInd w:val="0"/>
        <w:spacing w:line="360" w:lineRule="auto"/>
        <w:jc w:val="left"/>
        <w:outlineLvl w:val="9"/>
        <w:rPr>
          <w:rFonts w:hint="eastAsia" w:ascii="宋体" w:hAnsi="宋体" w:eastAsia="宋体" w:cs="宋体"/>
          <w:b/>
          <w:color w:val="auto"/>
          <w:kern w:val="0"/>
          <w:sz w:val="30"/>
          <w:szCs w:val="30"/>
          <w:highlight w:val="none"/>
        </w:rPr>
      </w:pPr>
      <w:r>
        <w:rPr>
          <w:rFonts w:hint="eastAsia" w:ascii="宋体" w:hAnsi="宋体" w:eastAsia="宋体" w:cs="宋体"/>
          <w:b/>
          <w:color w:val="auto"/>
          <w:kern w:val="0"/>
          <w:szCs w:val="21"/>
          <w:highlight w:val="none"/>
        </w:rPr>
        <w:br w:type="page"/>
      </w:r>
      <w:bookmarkEnd w:id="446"/>
      <w:bookmarkStart w:id="456" w:name="_Toc1558"/>
      <w:bookmarkStart w:id="457" w:name="_Toc533708135"/>
      <w:bookmarkStart w:id="458" w:name="_Toc1977740"/>
      <w:bookmarkStart w:id="459" w:name="_Toc142508381"/>
      <w:bookmarkStart w:id="460" w:name="_Toc140596941"/>
      <w:bookmarkStart w:id="461" w:name="_Toc94107223"/>
      <w:bookmarkStart w:id="462" w:name="_Toc104991888"/>
      <w:bookmarkStart w:id="463" w:name="_Toc20630"/>
      <w:bookmarkStart w:id="464" w:name="_Toc102860086"/>
      <w:bookmarkStart w:id="465" w:name="_Toc102860430"/>
      <w:r>
        <w:rPr>
          <w:rFonts w:hint="eastAsia" w:ascii="宋体" w:hAnsi="宋体" w:eastAsia="宋体" w:cs="宋体"/>
          <w:b/>
          <w:color w:val="auto"/>
          <w:kern w:val="0"/>
          <w:sz w:val="30"/>
          <w:szCs w:val="30"/>
          <w:highlight w:val="none"/>
        </w:rPr>
        <w:t>1</w:t>
      </w:r>
      <w:r>
        <w:rPr>
          <w:rFonts w:hint="eastAsia" w:ascii="宋体" w:hAnsi="宋体" w:eastAsia="宋体" w:cs="宋体"/>
          <w:b/>
          <w:color w:val="auto"/>
          <w:kern w:val="0"/>
          <w:sz w:val="30"/>
          <w:szCs w:val="30"/>
          <w:highlight w:val="none"/>
          <w:lang w:val="en-US" w:eastAsia="zh-CN"/>
        </w:rPr>
        <w:t>1</w:t>
      </w:r>
      <w:r>
        <w:rPr>
          <w:rFonts w:hint="eastAsia" w:ascii="宋体" w:hAnsi="宋体" w:eastAsia="宋体" w:cs="宋体"/>
          <w:b/>
          <w:color w:val="auto"/>
          <w:kern w:val="0"/>
          <w:sz w:val="30"/>
          <w:szCs w:val="30"/>
          <w:highlight w:val="none"/>
        </w:rPr>
        <w:t xml:space="preserve">.1 </w:t>
      </w:r>
      <w:bookmarkEnd w:id="456"/>
      <w:bookmarkEnd w:id="457"/>
      <w:bookmarkEnd w:id="458"/>
      <w:bookmarkEnd w:id="459"/>
      <w:bookmarkEnd w:id="460"/>
      <w:bookmarkEnd w:id="461"/>
      <w:bookmarkEnd w:id="462"/>
      <w:bookmarkEnd w:id="463"/>
      <w:bookmarkEnd w:id="464"/>
      <w:bookmarkEnd w:id="465"/>
      <w:r>
        <w:rPr>
          <w:rFonts w:hint="eastAsia" w:ascii="宋体" w:hAnsi="宋体" w:eastAsia="宋体" w:cs="宋体"/>
          <w:b/>
          <w:color w:val="auto"/>
          <w:kern w:val="0"/>
          <w:sz w:val="30"/>
          <w:szCs w:val="30"/>
          <w:highlight w:val="none"/>
        </w:rPr>
        <w:t>用户需求响应表格式</w:t>
      </w:r>
    </w:p>
    <w:p w14:paraId="28AF0AE7">
      <w:pPr>
        <w:autoSpaceDE w:val="0"/>
        <w:autoSpaceDN w:val="0"/>
        <w:adjustRightInd w:val="0"/>
        <w:spacing w:before="240" w:beforeLines="100" w:after="360" w:afterLines="150" w:line="360" w:lineRule="auto"/>
        <w:jc w:val="center"/>
        <w:outlineLvl w:val="9"/>
        <w:rPr>
          <w:rFonts w:hint="eastAsia" w:ascii="宋体" w:hAnsi="宋体" w:eastAsia="宋体" w:cs="宋体"/>
          <w:b/>
          <w:color w:val="auto"/>
          <w:spacing w:val="20"/>
          <w:kern w:val="0"/>
          <w:sz w:val="36"/>
          <w:szCs w:val="36"/>
          <w:highlight w:val="none"/>
        </w:rPr>
      </w:pPr>
      <w:r>
        <w:rPr>
          <w:rFonts w:hint="eastAsia" w:ascii="宋体" w:hAnsi="宋体" w:eastAsia="宋体" w:cs="宋体"/>
          <w:b/>
          <w:color w:val="auto"/>
          <w:spacing w:val="20"/>
          <w:kern w:val="0"/>
          <w:sz w:val="36"/>
          <w:szCs w:val="36"/>
          <w:highlight w:val="none"/>
        </w:rPr>
        <w:t>用户需求响应表</w:t>
      </w:r>
    </w:p>
    <w:tbl>
      <w:tblPr>
        <w:tblStyle w:val="41"/>
        <w:tblW w:w="103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2"/>
        <w:gridCol w:w="1066"/>
        <w:gridCol w:w="3800"/>
        <w:gridCol w:w="1425"/>
        <w:gridCol w:w="3067"/>
      </w:tblGrid>
      <w:tr w14:paraId="1B694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0370" w:type="dxa"/>
            <w:gridSpan w:val="5"/>
            <w:vAlign w:val="center"/>
          </w:tcPr>
          <w:p w14:paraId="7CEF451B">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项目名称：</w:t>
            </w:r>
            <w:r>
              <w:rPr>
                <w:rFonts w:hint="eastAsia" w:ascii="宋体" w:hAnsi="宋体" w:eastAsia="宋体" w:cs="宋体"/>
                <w:b/>
                <w:bCs/>
                <w:color w:val="auto"/>
                <w:kern w:val="0"/>
                <w:szCs w:val="21"/>
                <w:highlight w:val="none"/>
                <w:u w:val="single"/>
              </w:rPr>
              <w:t xml:space="preserve">                                    </w:t>
            </w:r>
            <w:r>
              <w:rPr>
                <w:rFonts w:hint="eastAsia" w:ascii="宋体" w:hAnsi="宋体" w:eastAsia="宋体" w:cs="宋体"/>
                <w:b/>
                <w:bCs/>
                <w:color w:val="auto"/>
                <w:kern w:val="0"/>
                <w:szCs w:val="21"/>
                <w:highlight w:val="none"/>
              </w:rPr>
              <w:t xml:space="preserve">     招标编号：</w:t>
            </w:r>
            <w:r>
              <w:rPr>
                <w:rFonts w:hint="eastAsia" w:ascii="宋体" w:hAnsi="宋体" w:eastAsia="宋体" w:cs="宋体"/>
                <w:b/>
                <w:bCs/>
                <w:color w:val="auto"/>
                <w:kern w:val="0"/>
                <w:szCs w:val="21"/>
                <w:highlight w:val="none"/>
                <w:u w:val="single"/>
              </w:rPr>
              <w:t xml:space="preserve">                              </w:t>
            </w:r>
          </w:p>
        </w:tc>
      </w:tr>
      <w:tr w14:paraId="317F7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12" w:type="dxa"/>
            <w:vMerge w:val="restart"/>
            <w:vAlign w:val="center"/>
          </w:tcPr>
          <w:p w14:paraId="519478A3">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序号</w:t>
            </w:r>
          </w:p>
        </w:tc>
        <w:tc>
          <w:tcPr>
            <w:tcW w:w="4866" w:type="dxa"/>
            <w:gridSpan w:val="2"/>
            <w:vAlign w:val="center"/>
          </w:tcPr>
          <w:p w14:paraId="20AC3BD9">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招标文件要求</w:t>
            </w:r>
          </w:p>
        </w:tc>
        <w:tc>
          <w:tcPr>
            <w:tcW w:w="4492" w:type="dxa"/>
            <w:gridSpan w:val="2"/>
            <w:vAlign w:val="center"/>
          </w:tcPr>
          <w:p w14:paraId="2D4A871F">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投标文件内容</w:t>
            </w:r>
          </w:p>
        </w:tc>
      </w:tr>
      <w:tr w14:paraId="73460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12" w:type="dxa"/>
            <w:vMerge w:val="continue"/>
            <w:vAlign w:val="center"/>
          </w:tcPr>
          <w:p w14:paraId="4469EEB4">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c>
          <w:tcPr>
            <w:tcW w:w="1066" w:type="dxa"/>
            <w:vAlign w:val="center"/>
          </w:tcPr>
          <w:p w14:paraId="0C33ACCA">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条款号</w:t>
            </w:r>
          </w:p>
        </w:tc>
        <w:tc>
          <w:tcPr>
            <w:tcW w:w="3800" w:type="dxa"/>
            <w:vAlign w:val="center"/>
          </w:tcPr>
          <w:p w14:paraId="567E00DC">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简要内容</w:t>
            </w:r>
          </w:p>
        </w:tc>
        <w:tc>
          <w:tcPr>
            <w:tcW w:w="1425" w:type="dxa"/>
            <w:vAlign w:val="center"/>
          </w:tcPr>
          <w:p w14:paraId="0FBA57F2">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偏离情况</w:t>
            </w:r>
          </w:p>
        </w:tc>
        <w:tc>
          <w:tcPr>
            <w:tcW w:w="3067" w:type="dxa"/>
            <w:vAlign w:val="center"/>
          </w:tcPr>
          <w:p w14:paraId="7F4FF7DF">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具体偏离内容</w:t>
            </w:r>
          </w:p>
        </w:tc>
      </w:tr>
      <w:tr w14:paraId="5D894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2" w:type="dxa"/>
            <w:vAlign w:val="center"/>
          </w:tcPr>
          <w:p w14:paraId="78AAB6A4">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p>
        </w:tc>
        <w:tc>
          <w:tcPr>
            <w:tcW w:w="1066" w:type="dxa"/>
            <w:vAlign w:val="center"/>
          </w:tcPr>
          <w:p w14:paraId="5A9319D7">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c>
          <w:tcPr>
            <w:tcW w:w="3800" w:type="dxa"/>
            <w:vAlign w:val="center"/>
          </w:tcPr>
          <w:p w14:paraId="0B42A96F">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c>
          <w:tcPr>
            <w:tcW w:w="1425" w:type="dxa"/>
            <w:vAlign w:val="center"/>
          </w:tcPr>
          <w:p w14:paraId="1E16537A">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c>
          <w:tcPr>
            <w:tcW w:w="3067" w:type="dxa"/>
            <w:vAlign w:val="center"/>
          </w:tcPr>
          <w:p w14:paraId="6D438629">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r>
      <w:tr w14:paraId="1DB10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2" w:type="dxa"/>
            <w:vAlign w:val="center"/>
          </w:tcPr>
          <w:p w14:paraId="4B4598DD">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p>
        </w:tc>
        <w:tc>
          <w:tcPr>
            <w:tcW w:w="1066" w:type="dxa"/>
            <w:vAlign w:val="center"/>
          </w:tcPr>
          <w:p w14:paraId="2230E17D">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c>
          <w:tcPr>
            <w:tcW w:w="3800" w:type="dxa"/>
            <w:vAlign w:val="center"/>
          </w:tcPr>
          <w:p w14:paraId="722F3A23">
            <w:pPr>
              <w:autoSpaceDE w:val="0"/>
              <w:autoSpaceDN w:val="0"/>
              <w:adjustRightInd w:val="0"/>
              <w:spacing w:line="360" w:lineRule="auto"/>
              <w:jc w:val="center"/>
              <w:outlineLvl w:val="9"/>
              <w:rPr>
                <w:rFonts w:hint="eastAsia" w:ascii="宋体" w:hAnsi="宋体" w:eastAsia="宋体" w:cs="宋体"/>
                <w:b/>
                <w:color w:val="auto"/>
                <w:kern w:val="0"/>
                <w:szCs w:val="21"/>
                <w:highlight w:val="none"/>
              </w:rPr>
            </w:pPr>
          </w:p>
        </w:tc>
        <w:tc>
          <w:tcPr>
            <w:tcW w:w="1425" w:type="dxa"/>
            <w:vAlign w:val="center"/>
          </w:tcPr>
          <w:p w14:paraId="4772E022">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c>
          <w:tcPr>
            <w:tcW w:w="3067" w:type="dxa"/>
            <w:vAlign w:val="center"/>
          </w:tcPr>
          <w:p w14:paraId="67E5B564">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r>
      <w:tr w14:paraId="6C8DF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2" w:type="dxa"/>
            <w:vAlign w:val="center"/>
          </w:tcPr>
          <w:p w14:paraId="2CF29949">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p>
        </w:tc>
        <w:tc>
          <w:tcPr>
            <w:tcW w:w="1066" w:type="dxa"/>
            <w:vAlign w:val="center"/>
          </w:tcPr>
          <w:p w14:paraId="790128DD">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c>
          <w:tcPr>
            <w:tcW w:w="3800" w:type="dxa"/>
            <w:vAlign w:val="center"/>
          </w:tcPr>
          <w:p w14:paraId="60739804">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c>
          <w:tcPr>
            <w:tcW w:w="1425" w:type="dxa"/>
            <w:vAlign w:val="center"/>
          </w:tcPr>
          <w:p w14:paraId="57621759">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c>
          <w:tcPr>
            <w:tcW w:w="3067" w:type="dxa"/>
            <w:vAlign w:val="center"/>
          </w:tcPr>
          <w:p w14:paraId="2764BE60">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r>
      <w:tr w14:paraId="136DB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2" w:type="dxa"/>
            <w:vAlign w:val="center"/>
          </w:tcPr>
          <w:p w14:paraId="70D646C7">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w:t>
            </w:r>
          </w:p>
        </w:tc>
        <w:tc>
          <w:tcPr>
            <w:tcW w:w="1066" w:type="dxa"/>
            <w:vAlign w:val="center"/>
          </w:tcPr>
          <w:p w14:paraId="6EAC16BE">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c>
          <w:tcPr>
            <w:tcW w:w="3800" w:type="dxa"/>
            <w:vAlign w:val="center"/>
          </w:tcPr>
          <w:p w14:paraId="66F2B922">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c>
          <w:tcPr>
            <w:tcW w:w="1425" w:type="dxa"/>
            <w:vAlign w:val="center"/>
          </w:tcPr>
          <w:p w14:paraId="5C71F631">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c>
          <w:tcPr>
            <w:tcW w:w="3067" w:type="dxa"/>
            <w:vAlign w:val="center"/>
          </w:tcPr>
          <w:p w14:paraId="240764CB">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r>
      <w:tr w14:paraId="7FC29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2" w:type="dxa"/>
            <w:vAlign w:val="center"/>
          </w:tcPr>
          <w:p w14:paraId="5C9D39D7">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w:t>
            </w:r>
          </w:p>
        </w:tc>
        <w:tc>
          <w:tcPr>
            <w:tcW w:w="1066" w:type="dxa"/>
            <w:vAlign w:val="center"/>
          </w:tcPr>
          <w:p w14:paraId="481DBF9F">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c>
          <w:tcPr>
            <w:tcW w:w="3800" w:type="dxa"/>
            <w:vAlign w:val="center"/>
          </w:tcPr>
          <w:p w14:paraId="2FAC5058">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c>
          <w:tcPr>
            <w:tcW w:w="1425" w:type="dxa"/>
            <w:vAlign w:val="center"/>
          </w:tcPr>
          <w:p w14:paraId="63EA1F0D">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c>
          <w:tcPr>
            <w:tcW w:w="3067" w:type="dxa"/>
            <w:vAlign w:val="center"/>
          </w:tcPr>
          <w:p w14:paraId="5A17618C">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p>
        </w:tc>
      </w:tr>
    </w:tbl>
    <w:p w14:paraId="4189F572">
      <w:pPr>
        <w:autoSpaceDE w:val="0"/>
        <w:autoSpaceDN w:val="0"/>
        <w:adjustRightInd w:val="0"/>
        <w:spacing w:line="360" w:lineRule="auto"/>
        <w:ind w:left="-2"/>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注：</w:t>
      </w:r>
    </w:p>
    <w:p w14:paraId="74000127">
      <w:pPr>
        <w:numPr>
          <w:ilvl w:val="0"/>
          <w:numId w:val="33"/>
        </w:numPr>
        <w:autoSpaceDE w:val="0"/>
        <w:autoSpaceDN w:val="0"/>
        <w:adjustRightInd w:val="0"/>
        <w:spacing w:line="360" w:lineRule="auto"/>
        <w:jc w:val="left"/>
        <w:outlineLvl w:val="9"/>
        <w:rPr>
          <w:rFonts w:hint="eastAsia" w:ascii="宋体" w:hAnsi="宋体" w:eastAsia="宋体" w:cs="宋体"/>
          <w:color w:val="auto"/>
          <w:kern w:val="0"/>
          <w:szCs w:val="21"/>
          <w:highlight w:val="none"/>
        </w:rPr>
      </w:pPr>
      <w:r>
        <w:rPr>
          <w:rFonts w:hint="eastAsia" w:ascii="宋体" w:hAnsi="宋体" w:eastAsia="宋体" w:cs="宋体"/>
          <w:b/>
          <w:color w:val="auto"/>
          <w:kern w:val="0"/>
          <w:szCs w:val="21"/>
          <w:highlight w:val="none"/>
        </w:rPr>
        <w:t>投标人应对照招标文件用户需求书的响应，逐条、如实地填写“偏离情况”，若发现未填写本表，或虚假填写本表，或伪造、变造证明材料的，按无效投标文件处理</w:t>
      </w:r>
      <w:r>
        <w:rPr>
          <w:rFonts w:hint="eastAsia" w:ascii="宋体" w:hAnsi="宋体" w:eastAsia="宋体" w:cs="宋体"/>
          <w:color w:val="auto"/>
          <w:kern w:val="0"/>
          <w:szCs w:val="21"/>
          <w:highlight w:val="none"/>
        </w:rPr>
        <w:t>。</w:t>
      </w:r>
    </w:p>
    <w:p w14:paraId="0844F4E1">
      <w:pPr>
        <w:numPr>
          <w:ilvl w:val="0"/>
          <w:numId w:val="33"/>
        </w:numPr>
        <w:autoSpaceDE w:val="0"/>
        <w:autoSpaceDN w:val="0"/>
        <w:adjustRightInd w:val="0"/>
        <w:spacing w:line="360" w:lineRule="auto"/>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偏离情况分为：正偏离、负偏离、无偏离。正偏离是指投标人提供的服务优于招标文件的要求；负偏离是指投标人提供的服务不满足或不完全满足招标文件的要求；无偏离是指投标人提供的服务完全满足招标文件的要求。</w:t>
      </w:r>
    </w:p>
    <w:p w14:paraId="62C41F56">
      <w:pPr>
        <w:numPr>
          <w:ilvl w:val="0"/>
          <w:numId w:val="33"/>
        </w:numPr>
        <w:autoSpaceDE w:val="0"/>
        <w:autoSpaceDN w:val="0"/>
        <w:adjustRightInd w:val="0"/>
        <w:spacing w:line="360" w:lineRule="auto"/>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“偏离情况”项为正偏离（或负偏离）的，必须在“具体偏离内容”项内详细说明与招标文件的偏离内容，“偏离情况”项为无偏离的，在“具体偏离内容”项内填“无”。 </w:t>
      </w:r>
    </w:p>
    <w:p w14:paraId="070ACB64">
      <w:pPr>
        <w:numPr>
          <w:ilvl w:val="0"/>
          <w:numId w:val="33"/>
        </w:numPr>
        <w:autoSpaceDE w:val="0"/>
        <w:autoSpaceDN w:val="0"/>
        <w:adjustRightInd w:val="0"/>
        <w:spacing w:line="360" w:lineRule="auto"/>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如投标人差异内容较多可另附页说明，并在本偏离表注明其在投标文件中的具体页码。</w:t>
      </w:r>
    </w:p>
    <w:tbl>
      <w:tblPr>
        <w:tblStyle w:val="41"/>
        <w:tblW w:w="8482" w:type="dxa"/>
        <w:tblInd w:w="0" w:type="dxa"/>
        <w:tblLayout w:type="fixed"/>
        <w:tblCellMar>
          <w:top w:w="0" w:type="dxa"/>
          <w:left w:w="108" w:type="dxa"/>
          <w:bottom w:w="0" w:type="dxa"/>
          <w:right w:w="108" w:type="dxa"/>
        </w:tblCellMar>
      </w:tblPr>
      <w:tblGrid>
        <w:gridCol w:w="6629"/>
        <w:gridCol w:w="1853"/>
      </w:tblGrid>
      <w:tr w14:paraId="213A55C8">
        <w:tblPrEx>
          <w:tblCellMar>
            <w:top w:w="0" w:type="dxa"/>
            <w:left w:w="108" w:type="dxa"/>
            <w:bottom w:w="0" w:type="dxa"/>
            <w:right w:w="108" w:type="dxa"/>
          </w:tblCellMar>
        </w:tblPrEx>
        <w:tc>
          <w:tcPr>
            <w:tcW w:w="6629" w:type="dxa"/>
          </w:tcPr>
          <w:p w14:paraId="594498A6">
            <w:pPr>
              <w:overflowPunct w:val="0"/>
              <w:autoSpaceDE w:val="0"/>
              <w:autoSpaceDN w:val="0"/>
              <w:adjustRightInd w:val="0"/>
              <w:spacing w:before="960" w:beforeLines="400" w:line="360" w:lineRule="auto"/>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投标人名称（</w:t>
            </w:r>
            <w:r>
              <w:rPr>
                <w:rFonts w:hint="eastAsia" w:ascii="宋体" w:hAnsi="宋体" w:eastAsia="宋体" w:cs="宋体"/>
                <w:color w:val="auto"/>
                <w:kern w:val="0"/>
                <w:szCs w:val="21"/>
                <w:highlight w:val="none"/>
                <w:lang w:val="zh-CN"/>
              </w:rPr>
              <w:t>加盖投标人法人公章</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u w:val="single"/>
              </w:rPr>
              <w:t xml:space="preserve">                         </w:t>
            </w:r>
          </w:p>
        </w:tc>
        <w:tc>
          <w:tcPr>
            <w:tcW w:w="1853" w:type="dxa"/>
          </w:tcPr>
          <w:p w14:paraId="0F574F97">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r>
      <w:tr w14:paraId="5E0F0723">
        <w:tblPrEx>
          <w:tblCellMar>
            <w:top w:w="0" w:type="dxa"/>
            <w:left w:w="108" w:type="dxa"/>
            <w:bottom w:w="0" w:type="dxa"/>
            <w:right w:w="108" w:type="dxa"/>
          </w:tblCellMar>
        </w:tblPrEx>
        <w:tc>
          <w:tcPr>
            <w:tcW w:w="6629" w:type="dxa"/>
          </w:tcPr>
          <w:p w14:paraId="3F1642B4">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日期：</w:t>
            </w:r>
            <w:r>
              <w:rPr>
                <w:rFonts w:hint="eastAsia" w:ascii="宋体" w:hAnsi="宋体" w:eastAsia="宋体" w:cs="宋体"/>
                <w:color w:val="auto"/>
                <w:kern w:val="0"/>
                <w:szCs w:val="21"/>
                <w:highlight w:val="none"/>
                <w:u w:val="single"/>
              </w:rPr>
              <w:t xml:space="preserve">             年           月            日</w:t>
            </w:r>
          </w:p>
        </w:tc>
        <w:tc>
          <w:tcPr>
            <w:tcW w:w="1853" w:type="dxa"/>
          </w:tcPr>
          <w:p w14:paraId="5D98F58A">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r>
    </w:tbl>
    <w:p w14:paraId="209046AD">
      <w:pPr>
        <w:tabs>
          <w:tab w:val="left" w:pos="567"/>
        </w:tabs>
        <w:autoSpaceDE w:val="0"/>
        <w:autoSpaceDN w:val="0"/>
        <w:adjustRightInd w:val="0"/>
        <w:spacing w:line="360" w:lineRule="auto"/>
        <w:jc w:val="left"/>
        <w:outlineLvl w:val="9"/>
        <w:rPr>
          <w:rFonts w:hint="eastAsia" w:ascii="宋体" w:hAnsi="宋体" w:eastAsia="宋体" w:cs="宋体"/>
          <w:b/>
          <w:color w:val="auto"/>
          <w:kern w:val="0"/>
          <w:szCs w:val="21"/>
          <w:highlight w:val="none"/>
        </w:rPr>
      </w:pPr>
    </w:p>
    <w:p w14:paraId="512A6512">
      <w:pPr>
        <w:widowControl/>
        <w:spacing w:line="360" w:lineRule="auto"/>
        <w:jc w:val="left"/>
        <w:outlineLvl w:val="9"/>
        <w:rPr>
          <w:rFonts w:hint="eastAsia"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rPr>
        <w:br w:type="page"/>
      </w:r>
    </w:p>
    <w:p w14:paraId="34531472">
      <w:pPr>
        <w:tabs>
          <w:tab w:val="left" w:pos="567"/>
        </w:tabs>
        <w:autoSpaceDE w:val="0"/>
        <w:autoSpaceDN w:val="0"/>
        <w:adjustRightInd w:val="0"/>
        <w:spacing w:line="360" w:lineRule="auto"/>
        <w:jc w:val="left"/>
        <w:outlineLvl w:val="9"/>
        <w:rPr>
          <w:rFonts w:hint="eastAsia"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rPr>
        <w:t>1</w:t>
      </w:r>
      <w:r>
        <w:rPr>
          <w:rFonts w:hint="eastAsia" w:ascii="宋体" w:hAnsi="宋体" w:eastAsia="宋体" w:cs="宋体"/>
          <w:b/>
          <w:color w:val="auto"/>
          <w:kern w:val="0"/>
          <w:sz w:val="30"/>
          <w:szCs w:val="30"/>
          <w:highlight w:val="none"/>
          <w:lang w:val="en-US" w:eastAsia="zh-CN"/>
        </w:rPr>
        <w:t>1</w:t>
      </w:r>
      <w:r>
        <w:rPr>
          <w:rFonts w:hint="eastAsia" w:ascii="宋体" w:hAnsi="宋体" w:eastAsia="宋体" w:cs="宋体"/>
          <w:b/>
          <w:color w:val="auto"/>
          <w:kern w:val="0"/>
          <w:sz w:val="30"/>
          <w:szCs w:val="30"/>
          <w:highlight w:val="none"/>
        </w:rPr>
        <w:t>.2</w:t>
      </w:r>
      <w:bookmarkStart w:id="466" w:name="_Toc106632751"/>
      <w:bookmarkStart w:id="467" w:name="_Toc134275075"/>
      <w:bookmarkStart w:id="468" w:name="_Toc134278061"/>
      <w:bookmarkStart w:id="469" w:name="_Toc134278133"/>
      <w:r>
        <w:rPr>
          <w:rFonts w:hint="eastAsia" w:ascii="宋体" w:hAnsi="宋体" w:eastAsia="宋体" w:cs="宋体"/>
          <w:b/>
          <w:color w:val="auto"/>
          <w:kern w:val="0"/>
          <w:sz w:val="30"/>
          <w:szCs w:val="30"/>
          <w:highlight w:val="none"/>
        </w:rPr>
        <w:t xml:space="preserve"> 实质性条款（★号条款）响应一览表</w:t>
      </w:r>
      <w:bookmarkEnd w:id="466"/>
      <w:bookmarkEnd w:id="467"/>
      <w:bookmarkEnd w:id="468"/>
      <w:bookmarkEnd w:id="469"/>
    </w:p>
    <w:p w14:paraId="05D6A03D">
      <w:pPr>
        <w:autoSpaceDE w:val="0"/>
        <w:autoSpaceDN w:val="0"/>
        <w:adjustRightInd w:val="0"/>
        <w:spacing w:before="240" w:beforeLines="100" w:after="360" w:afterLines="150" w:line="360" w:lineRule="auto"/>
        <w:jc w:val="center"/>
        <w:outlineLvl w:val="9"/>
        <w:rPr>
          <w:rFonts w:hint="eastAsia" w:ascii="宋体" w:hAnsi="宋体" w:eastAsia="宋体" w:cs="宋体"/>
          <w:b/>
          <w:color w:val="auto"/>
          <w:spacing w:val="20"/>
          <w:kern w:val="0"/>
          <w:sz w:val="36"/>
          <w:szCs w:val="36"/>
          <w:highlight w:val="none"/>
        </w:rPr>
      </w:pPr>
      <w:r>
        <w:rPr>
          <w:rFonts w:hint="eastAsia" w:ascii="宋体" w:hAnsi="宋体" w:eastAsia="宋体" w:cs="宋体"/>
          <w:b/>
          <w:color w:val="auto"/>
          <w:spacing w:val="20"/>
          <w:kern w:val="0"/>
          <w:sz w:val="36"/>
          <w:szCs w:val="36"/>
          <w:highlight w:val="none"/>
        </w:rPr>
        <w:t>实质性条款（★号条款）响应一览表</w:t>
      </w:r>
    </w:p>
    <w:tbl>
      <w:tblPr>
        <w:tblStyle w:val="41"/>
        <w:tblW w:w="103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
        <w:gridCol w:w="3615"/>
        <w:gridCol w:w="2242"/>
        <w:gridCol w:w="2242"/>
        <w:gridCol w:w="1450"/>
      </w:tblGrid>
      <w:tr w14:paraId="037FC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0370" w:type="dxa"/>
            <w:gridSpan w:val="5"/>
            <w:vAlign w:val="center"/>
          </w:tcPr>
          <w:p w14:paraId="39CA48BC">
            <w:pPr>
              <w:autoSpaceDE w:val="0"/>
              <w:autoSpaceDN w:val="0"/>
              <w:adjustRightInd w:val="0"/>
              <w:spacing w:line="360" w:lineRule="auto"/>
              <w:jc w:val="left"/>
              <w:outlineLvl w:val="9"/>
              <w:rPr>
                <w:rFonts w:hint="eastAsia" w:ascii="宋体" w:hAnsi="宋体" w:eastAsia="宋体" w:cs="宋体"/>
                <w:b/>
                <w:color w:val="auto"/>
                <w:kern w:val="0"/>
                <w:szCs w:val="21"/>
                <w:highlight w:val="none"/>
              </w:rPr>
            </w:pPr>
            <w:r>
              <w:rPr>
                <w:rFonts w:hint="eastAsia" w:ascii="宋体" w:hAnsi="宋体" w:eastAsia="宋体" w:cs="宋体"/>
                <w:b/>
                <w:bCs/>
                <w:color w:val="auto"/>
                <w:kern w:val="0"/>
                <w:szCs w:val="21"/>
                <w:highlight w:val="none"/>
              </w:rPr>
              <w:t>项目名称：</w:t>
            </w:r>
            <w:r>
              <w:rPr>
                <w:rFonts w:hint="eastAsia" w:ascii="宋体" w:hAnsi="宋体" w:eastAsia="宋体" w:cs="宋体"/>
                <w:b/>
                <w:bCs/>
                <w:color w:val="auto"/>
                <w:kern w:val="0"/>
                <w:szCs w:val="21"/>
                <w:highlight w:val="none"/>
                <w:u w:val="single"/>
              </w:rPr>
              <w:t xml:space="preserve">                               </w:t>
            </w:r>
            <w:r>
              <w:rPr>
                <w:rFonts w:hint="eastAsia" w:ascii="宋体" w:hAnsi="宋体" w:eastAsia="宋体" w:cs="宋体"/>
                <w:b/>
                <w:bCs/>
                <w:color w:val="auto"/>
                <w:kern w:val="0"/>
                <w:szCs w:val="21"/>
                <w:highlight w:val="none"/>
              </w:rPr>
              <w:t xml:space="preserve">     </w:t>
            </w:r>
            <w:r>
              <w:rPr>
                <w:rFonts w:hint="eastAsia" w:ascii="宋体" w:hAnsi="宋体" w:eastAsia="宋体" w:cs="宋体"/>
                <w:b/>
                <w:color w:val="auto"/>
                <w:kern w:val="0"/>
                <w:szCs w:val="21"/>
                <w:highlight w:val="none"/>
              </w:rPr>
              <w:t>招标编号：</w:t>
            </w:r>
            <w:r>
              <w:rPr>
                <w:rFonts w:hint="eastAsia" w:ascii="宋体" w:hAnsi="宋体" w:eastAsia="宋体" w:cs="宋体"/>
                <w:b/>
                <w:color w:val="auto"/>
                <w:kern w:val="0"/>
                <w:szCs w:val="21"/>
                <w:highlight w:val="none"/>
                <w:u w:val="single"/>
              </w:rPr>
              <w:t xml:space="preserve">                      </w:t>
            </w:r>
          </w:p>
        </w:tc>
      </w:tr>
      <w:tr w14:paraId="34B32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821" w:type="dxa"/>
            <w:vAlign w:val="center"/>
          </w:tcPr>
          <w:p w14:paraId="4BAA8CFB">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序号</w:t>
            </w:r>
          </w:p>
        </w:tc>
        <w:tc>
          <w:tcPr>
            <w:tcW w:w="3615" w:type="dxa"/>
            <w:vAlign w:val="center"/>
          </w:tcPr>
          <w:p w14:paraId="39D4F9C8">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用户需求实质性条款（★号条款）要求</w:t>
            </w:r>
          </w:p>
        </w:tc>
        <w:tc>
          <w:tcPr>
            <w:tcW w:w="2242" w:type="dxa"/>
            <w:vAlign w:val="center"/>
          </w:tcPr>
          <w:p w14:paraId="47757BDE">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供应商响应内容</w:t>
            </w:r>
          </w:p>
        </w:tc>
        <w:tc>
          <w:tcPr>
            <w:tcW w:w="2242" w:type="dxa"/>
            <w:vAlign w:val="center"/>
          </w:tcPr>
          <w:p w14:paraId="03FC3D6C">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偏离情况及说明</w:t>
            </w:r>
          </w:p>
          <w:p w14:paraId="599DC144">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(正偏离/无偏离/负偏离)</w:t>
            </w:r>
          </w:p>
        </w:tc>
        <w:tc>
          <w:tcPr>
            <w:tcW w:w="1450" w:type="dxa"/>
            <w:vAlign w:val="center"/>
          </w:tcPr>
          <w:p w14:paraId="32AEA457">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查阅/证明文件索引页码</w:t>
            </w:r>
          </w:p>
        </w:tc>
      </w:tr>
      <w:tr w14:paraId="73EF5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1" w:type="dxa"/>
            <w:vAlign w:val="center"/>
          </w:tcPr>
          <w:p w14:paraId="4CEF2F0E">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p>
        </w:tc>
        <w:tc>
          <w:tcPr>
            <w:tcW w:w="3615" w:type="dxa"/>
          </w:tcPr>
          <w:p w14:paraId="15A66C87">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c>
          <w:tcPr>
            <w:tcW w:w="2242" w:type="dxa"/>
          </w:tcPr>
          <w:p w14:paraId="5AD733A7">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c>
          <w:tcPr>
            <w:tcW w:w="2242" w:type="dxa"/>
          </w:tcPr>
          <w:p w14:paraId="5C171E04">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c>
          <w:tcPr>
            <w:tcW w:w="1450" w:type="dxa"/>
          </w:tcPr>
          <w:p w14:paraId="3BB5D7A8">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r>
      <w:tr w14:paraId="009C8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1" w:type="dxa"/>
            <w:vAlign w:val="center"/>
          </w:tcPr>
          <w:p w14:paraId="2B90096E">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p>
        </w:tc>
        <w:tc>
          <w:tcPr>
            <w:tcW w:w="3615" w:type="dxa"/>
          </w:tcPr>
          <w:p w14:paraId="43662517">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c>
          <w:tcPr>
            <w:tcW w:w="2242" w:type="dxa"/>
          </w:tcPr>
          <w:p w14:paraId="5F44657D">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c>
          <w:tcPr>
            <w:tcW w:w="2242" w:type="dxa"/>
          </w:tcPr>
          <w:p w14:paraId="1FB2152D">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c>
          <w:tcPr>
            <w:tcW w:w="1450" w:type="dxa"/>
          </w:tcPr>
          <w:p w14:paraId="7EBE05BA">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r>
      <w:tr w14:paraId="0FF2B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1" w:type="dxa"/>
            <w:vAlign w:val="center"/>
          </w:tcPr>
          <w:p w14:paraId="75722922">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p>
        </w:tc>
        <w:tc>
          <w:tcPr>
            <w:tcW w:w="3615" w:type="dxa"/>
          </w:tcPr>
          <w:p w14:paraId="25AE5BFC">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c>
          <w:tcPr>
            <w:tcW w:w="2242" w:type="dxa"/>
          </w:tcPr>
          <w:p w14:paraId="7C239F3B">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c>
          <w:tcPr>
            <w:tcW w:w="2242" w:type="dxa"/>
          </w:tcPr>
          <w:p w14:paraId="0EDC9F31">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c>
          <w:tcPr>
            <w:tcW w:w="1450" w:type="dxa"/>
          </w:tcPr>
          <w:p w14:paraId="78FE87FB">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r>
      <w:tr w14:paraId="040D5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1" w:type="dxa"/>
            <w:vAlign w:val="center"/>
          </w:tcPr>
          <w:p w14:paraId="260AC2FE">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w:t>
            </w:r>
          </w:p>
        </w:tc>
        <w:tc>
          <w:tcPr>
            <w:tcW w:w="3615" w:type="dxa"/>
          </w:tcPr>
          <w:p w14:paraId="68D77870">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c>
          <w:tcPr>
            <w:tcW w:w="2242" w:type="dxa"/>
          </w:tcPr>
          <w:p w14:paraId="30811DC6">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c>
          <w:tcPr>
            <w:tcW w:w="2242" w:type="dxa"/>
          </w:tcPr>
          <w:p w14:paraId="3E72CB6A">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c>
          <w:tcPr>
            <w:tcW w:w="1450" w:type="dxa"/>
          </w:tcPr>
          <w:p w14:paraId="237EB825">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r>
      <w:tr w14:paraId="2B6EE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1" w:type="dxa"/>
            <w:vAlign w:val="center"/>
          </w:tcPr>
          <w:p w14:paraId="1BFF0237">
            <w:pPr>
              <w:autoSpaceDE w:val="0"/>
              <w:autoSpaceDN w:val="0"/>
              <w:adjustRightInd w:val="0"/>
              <w:spacing w:line="360" w:lineRule="auto"/>
              <w:jc w:val="center"/>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w:t>
            </w:r>
          </w:p>
        </w:tc>
        <w:tc>
          <w:tcPr>
            <w:tcW w:w="3615" w:type="dxa"/>
          </w:tcPr>
          <w:p w14:paraId="2CA6DCB1">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c>
          <w:tcPr>
            <w:tcW w:w="2242" w:type="dxa"/>
          </w:tcPr>
          <w:p w14:paraId="50F6D88F">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c>
          <w:tcPr>
            <w:tcW w:w="2242" w:type="dxa"/>
          </w:tcPr>
          <w:p w14:paraId="7FFA26DC">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c>
          <w:tcPr>
            <w:tcW w:w="1450" w:type="dxa"/>
          </w:tcPr>
          <w:p w14:paraId="3606766F">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r>
    </w:tbl>
    <w:p w14:paraId="7D61576F">
      <w:pPr>
        <w:autoSpaceDE w:val="0"/>
        <w:autoSpaceDN w:val="0"/>
        <w:adjustRightInd w:val="0"/>
        <w:spacing w:before="120" w:beforeLines="50" w:line="360" w:lineRule="auto"/>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注明：</w:t>
      </w:r>
    </w:p>
    <w:p w14:paraId="5120E142">
      <w:pPr>
        <w:numPr>
          <w:ilvl w:val="0"/>
          <w:numId w:val="34"/>
        </w:numPr>
        <w:autoSpaceDE w:val="0"/>
        <w:autoSpaceDN w:val="0"/>
        <w:adjustRightInd w:val="0"/>
        <w:spacing w:line="360" w:lineRule="auto"/>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投标人必须对应招标文件“用户需求书”中的实质性条款(即</w:t>
      </w:r>
      <w:bookmarkStart w:id="470" w:name="_Hlk134272890"/>
      <w:r>
        <w:rPr>
          <w:rFonts w:hint="eastAsia" w:ascii="宋体" w:hAnsi="宋体" w:eastAsia="宋体" w:cs="宋体"/>
          <w:color w:val="auto"/>
          <w:kern w:val="0"/>
          <w:szCs w:val="21"/>
          <w:highlight w:val="none"/>
        </w:rPr>
        <w:t>★号</w:t>
      </w:r>
      <w:bookmarkEnd w:id="470"/>
      <w:r>
        <w:rPr>
          <w:rFonts w:hint="eastAsia" w:ascii="宋体" w:hAnsi="宋体" w:eastAsia="宋体" w:cs="宋体"/>
          <w:color w:val="auto"/>
          <w:kern w:val="0"/>
          <w:szCs w:val="21"/>
          <w:highlight w:val="none"/>
        </w:rPr>
        <w:t>条款)逐条应答并按要求填写表格；</w:t>
      </w:r>
    </w:p>
    <w:p w14:paraId="4F825FB6">
      <w:pPr>
        <w:numPr>
          <w:ilvl w:val="0"/>
          <w:numId w:val="34"/>
        </w:numPr>
        <w:autoSpaceDE w:val="0"/>
        <w:autoSpaceDN w:val="0"/>
        <w:adjustRightInd w:val="0"/>
        <w:spacing w:line="360" w:lineRule="auto"/>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若招标文件“用户需求书”中的实质性条款中规定须提交相关证明文件的，须按要求提供，并作为附件附于表格后。未按要求提供或未提供完整的，视为负偏离处理。</w:t>
      </w:r>
    </w:p>
    <w:p w14:paraId="179E33E7">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p w14:paraId="4F13E80B">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p w14:paraId="78586EFE">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bl>
      <w:tblPr>
        <w:tblStyle w:val="41"/>
        <w:tblW w:w="8482" w:type="dxa"/>
        <w:tblInd w:w="0" w:type="dxa"/>
        <w:tblLayout w:type="fixed"/>
        <w:tblCellMar>
          <w:top w:w="0" w:type="dxa"/>
          <w:left w:w="108" w:type="dxa"/>
          <w:bottom w:w="0" w:type="dxa"/>
          <w:right w:w="108" w:type="dxa"/>
        </w:tblCellMar>
      </w:tblPr>
      <w:tblGrid>
        <w:gridCol w:w="6487"/>
        <w:gridCol w:w="1995"/>
      </w:tblGrid>
      <w:tr w14:paraId="50CCEEF6">
        <w:tblPrEx>
          <w:tblCellMar>
            <w:top w:w="0" w:type="dxa"/>
            <w:left w:w="108" w:type="dxa"/>
            <w:bottom w:w="0" w:type="dxa"/>
            <w:right w:w="108" w:type="dxa"/>
          </w:tblCellMar>
        </w:tblPrEx>
        <w:tc>
          <w:tcPr>
            <w:tcW w:w="6487" w:type="dxa"/>
          </w:tcPr>
          <w:p w14:paraId="02E6D59D">
            <w:pPr>
              <w:overflowPunct w:val="0"/>
              <w:autoSpaceDE w:val="0"/>
              <w:autoSpaceDN w:val="0"/>
              <w:adjustRightInd w:val="0"/>
              <w:spacing w:before="960" w:beforeLines="400" w:line="360" w:lineRule="auto"/>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投标人名称（</w:t>
            </w:r>
            <w:r>
              <w:rPr>
                <w:rFonts w:hint="eastAsia" w:ascii="宋体" w:hAnsi="宋体" w:eastAsia="宋体" w:cs="宋体"/>
                <w:color w:val="auto"/>
                <w:kern w:val="0"/>
                <w:szCs w:val="21"/>
                <w:highlight w:val="none"/>
                <w:lang w:val="zh-CN"/>
              </w:rPr>
              <w:t>加盖投标人法人公章</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u w:val="single"/>
              </w:rPr>
              <w:t xml:space="preserve">                         </w:t>
            </w:r>
          </w:p>
        </w:tc>
        <w:tc>
          <w:tcPr>
            <w:tcW w:w="1995" w:type="dxa"/>
          </w:tcPr>
          <w:p w14:paraId="0053790D">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r>
      <w:tr w14:paraId="6B5A73E0">
        <w:tblPrEx>
          <w:tblCellMar>
            <w:top w:w="0" w:type="dxa"/>
            <w:left w:w="108" w:type="dxa"/>
            <w:bottom w:w="0" w:type="dxa"/>
            <w:right w:w="108" w:type="dxa"/>
          </w:tblCellMar>
        </w:tblPrEx>
        <w:tc>
          <w:tcPr>
            <w:tcW w:w="6487" w:type="dxa"/>
          </w:tcPr>
          <w:p w14:paraId="0D4E3853">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日期：</w:t>
            </w:r>
            <w:r>
              <w:rPr>
                <w:rFonts w:hint="eastAsia" w:ascii="宋体" w:hAnsi="宋体" w:eastAsia="宋体" w:cs="宋体"/>
                <w:color w:val="auto"/>
                <w:kern w:val="0"/>
                <w:szCs w:val="21"/>
                <w:highlight w:val="none"/>
                <w:u w:val="single"/>
              </w:rPr>
              <w:t xml:space="preserve">             年           月            日</w:t>
            </w:r>
          </w:p>
        </w:tc>
        <w:tc>
          <w:tcPr>
            <w:tcW w:w="1995" w:type="dxa"/>
          </w:tcPr>
          <w:p w14:paraId="20643F3B">
            <w:pPr>
              <w:autoSpaceDE w:val="0"/>
              <w:autoSpaceDN w:val="0"/>
              <w:adjustRightInd w:val="0"/>
              <w:spacing w:line="360" w:lineRule="auto"/>
              <w:jc w:val="left"/>
              <w:outlineLvl w:val="9"/>
              <w:rPr>
                <w:rFonts w:hint="eastAsia" w:ascii="宋体" w:hAnsi="宋体" w:eastAsia="宋体" w:cs="宋体"/>
                <w:color w:val="auto"/>
                <w:kern w:val="0"/>
                <w:szCs w:val="21"/>
                <w:highlight w:val="none"/>
              </w:rPr>
            </w:pPr>
          </w:p>
        </w:tc>
      </w:tr>
    </w:tbl>
    <w:p w14:paraId="71CB39CE">
      <w:pPr>
        <w:widowControl/>
        <w:spacing w:line="360" w:lineRule="auto"/>
        <w:jc w:val="left"/>
        <w:outlineLvl w:val="9"/>
        <w:rPr>
          <w:rFonts w:hint="eastAsia"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rPr>
        <w:br w:type="page"/>
      </w:r>
    </w:p>
    <w:p w14:paraId="0F342229">
      <w:pPr>
        <w:tabs>
          <w:tab w:val="left" w:pos="567"/>
        </w:tabs>
        <w:autoSpaceDE w:val="0"/>
        <w:autoSpaceDN w:val="0"/>
        <w:adjustRightInd w:val="0"/>
        <w:spacing w:line="360" w:lineRule="auto"/>
        <w:jc w:val="left"/>
        <w:outlineLvl w:val="9"/>
        <w:rPr>
          <w:rFonts w:hint="eastAsia"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rPr>
        <w:t>1</w:t>
      </w:r>
      <w:r>
        <w:rPr>
          <w:rFonts w:hint="eastAsia" w:ascii="宋体" w:hAnsi="宋体" w:eastAsia="宋体" w:cs="宋体"/>
          <w:b/>
          <w:color w:val="auto"/>
          <w:kern w:val="0"/>
          <w:sz w:val="30"/>
          <w:szCs w:val="30"/>
          <w:highlight w:val="none"/>
          <w:lang w:val="en-US" w:eastAsia="zh-CN"/>
        </w:rPr>
        <w:t>1</w:t>
      </w:r>
      <w:r>
        <w:rPr>
          <w:rFonts w:hint="eastAsia" w:ascii="宋体" w:hAnsi="宋体" w:eastAsia="宋体" w:cs="宋体"/>
          <w:b/>
          <w:color w:val="auto"/>
          <w:kern w:val="0"/>
          <w:sz w:val="30"/>
          <w:szCs w:val="30"/>
          <w:highlight w:val="none"/>
        </w:rPr>
        <w:t xml:space="preserve">.3 </w:t>
      </w:r>
      <w:r>
        <w:rPr>
          <w:rFonts w:hint="eastAsia" w:ascii="宋体" w:hAnsi="宋体" w:eastAsia="宋体" w:cs="宋体"/>
          <w:b/>
          <w:color w:val="auto"/>
          <w:spacing w:val="20"/>
          <w:sz w:val="30"/>
          <w:szCs w:val="30"/>
          <w:highlight w:val="none"/>
        </w:rPr>
        <w:t>《</w:t>
      </w:r>
      <w:bookmarkStart w:id="471" w:name="_Hlk159936599"/>
      <w:r>
        <w:rPr>
          <w:rFonts w:hint="eastAsia" w:ascii="宋体" w:hAnsi="宋体" w:eastAsia="宋体" w:cs="宋体"/>
          <w:b/>
          <w:color w:val="auto"/>
          <w:spacing w:val="20"/>
          <w:sz w:val="30"/>
          <w:szCs w:val="30"/>
          <w:highlight w:val="none"/>
        </w:rPr>
        <w:t>技术条款偏离表</w:t>
      </w:r>
      <w:bookmarkEnd w:id="471"/>
      <w:r>
        <w:rPr>
          <w:rFonts w:hint="eastAsia" w:ascii="宋体" w:hAnsi="宋体" w:eastAsia="宋体" w:cs="宋体"/>
          <w:b/>
          <w:color w:val="auto"/>
          <w:spacing w:val="20"/>
          <w:sz w:val="30"/>
          <w:szCs w:val="30"/>
          <w:highlight w:val="none"/>
        </w:rPr>
        <w:t>》</w:t>
      </w:r>
    </w:p>
    <w:p w14:paraId="277A4058">
      <w:pPr>
        <w:spacing w:before="240" w:beforeLines="100" w:after="240" w:afterLines="100" w:line="360" w:lineRule="auto"/>
        <w:jc w:val="center"/>
        <w:outlineLvl w:val="9"/>
        <w:rPr>
          <w:rFonts w:hint="eastAsia" w:ascii="宋体" w:hAnsi="宋体" w:eastAsia="宋体" w:cs="宋体"/>
          <w:b/>
          <w:color w:val="auto"/>
          <w:spacing w:val="20"/>
          <w:sz w:val="30"/>
          <w:szCs w:val="30"/>
          <w:highlight w:val="none"/>
        </w:rPr>
      </w:pPr>
      <w:bookmarkStart w:id="472" w:name="_Toc102860087"/>
      <w:bookmarkStart w:id="473" w:name="_Toc28623"/>
      <w:bookmarkStart w:id="474" w:name="_Toc94107224"/>
      <w:bookmarkStart w:id="475" w:name="_Toc140596942"/>
      <w:bookmarkStart w:id="476" w:name="_Toc102860431"/>
      <w:bookmarkStart w:id="477" w:name="_Toc20665"/>
      <w:bookmarkStart w:id="478" w:name="_Toc104991889"/>
      <w:bookmarkStart w:id="479" w:name="_Toc142508382"/>
      <w:r>
        <w:rPr>
          <w:rFonts w:hint="eastAsia" w:ascii="宋体" w:hAnsi="宋体" w:eastAsia="宋体" w:cs="宋体"/>
          <w:b/>
          <w:color w:val="auto"/>
          <w:spacing w:val="20"/>
          <w:sz w:val="30"/>
          <w:szCs w:val="30"/>
          <w:highlight w:val="none"/>
        </w:rPr>
        <w:t>技术条款偏离表</w:t>
      </w:r>
    </w:p>
    <w:tbl>
      <w:tblPr>
        <w:tblStyle w:val="41"/>
        <w:tblW w:w="103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6"/>
        <w:gridCol w:w="1500"/>
        <w:gridCol w:w="3354"/>
        <w:gridCol w:w="3051"/>
        <w:gridCol w:w="1879"/>
      </w:tblGrid>
      <w:tr w14:paraId="6FE13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6" w:hRule="atLeast"/>
          <w:jc w:val="center"/>
        </w:trPr>
        <w:tc>
          <w:tcPr>
            <w:tcW w:w="586" w:type="dxa"/>
            <w:vAlign w:val="center"/>
          </w:tcPr>
          <w:p w14:paraId="17D67056">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1500" w:type="dxa"/>
            <w:vAlign w:val="center"/>
          </w:tcPr>
          <w:p w14:paraId="56F1B498">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highlight w:val="none"/>
              </w:rPr>
              <w:t>用户需求▲号条款</w:t>
            </w:r>
          </w:p>
        </w:tc>
        <w:tc>
          <w:tcPr>
            <w:tcW w:w="3354" w:type="dxa"/>
            <w:vAlign w:val="center"/>
          </w:tcPr>
          <w:p w14:paraId="3E5E8B86">
            <w:pPr>
              <w:spacing w:line="360" w:lineRule="auto"/>
              <w:jc w:val="center"/>
              <w:outlineLvl w:val="9"/>
              <w:rPr>
                <w:rFonts w:hint="eastAsia" w:ascii="宋体" w:hAnsi="宋体" w:eastAsia="宋体" w:cs="宋体"/>
                <w:color w:val="auto"/>
                <w:highlight w:val="none"/>
              </w:rPr>
            </w:pPr>
            <w:r>
              <w:rPr>
                <w:rFonts w:hint="eastAsia" w:ascii="宋体" w:hAnsi="宋体" w:eastAsia="宋体" w:cs="宋体"/>
                <w:color w:val="auto"/>
                <w:highlight w:val="none"/>
              </w:rPr>
              <w:t>投标人响应内容</w:t>
            </w:r>
          </w:p>
          <w:p w14:paraId="3B6811AB">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highlight w:val="none"/>
              </w:rPr>
              <w:t>(投标人应按投标时响应的服务实际数据填写)</w:t>
            </w:r>
          </w:p>
        </w:tc>
        <w:tc>
          <w:tcPr>
            <w:tcW w:w="3051" w:type="dxa"/>
            <w:vAlign w:val="center"/>
          </w:tcPr>
          <w:p w14:paraId="58A99ECD">
            <w:pPr>
              <w:spacing w:line="360" w:lineRule="auto"/>
              <w:jc w:val="center"/>
              <w:outlineLvl w:val="9"/>
              <w:rPr>
                <w:rFonts w:hint="eastAsia" w:ascii="宋体" w:hAnsi="宋体" w:eastAsia="宋体" w:cs="宋体"/>
                <w:color w:val="auto"/>
                <w:highlight w:val="none"/>
              </w:rPr>
            </w:pPr>
            <w:r>
              <w:rPr>
                <w:rFonts w:hint="eastAsia" w:ascii="宋体" w:hAnsi="宋体" w:eastAsia="宋体" w:cs="宋体"/>
                <w:color w:val="auto"/>
                <w:highlight w:val="none"/>
              </w:rPr>
              <w:t>响应情况及说明(正偏离/无偏离/负偏离)</w:t>
            </w:r>
          </w:p>
        </w:tc>
        <w:tc>
          <w:tcPr>
            <w:tcW w:w="1879" w:type="dxa"/>
            <w:vAlign w:val="center"/>
          </w:tcPr>
          <w:p w14:paraId="0771E41B">
            <w:pPr>
              <w:spacing w:line="360" w:lineRule="auto"/>
              <w:jc w:val="center"/>
              <w:outlineLvl w:val="9"/>
              <w:rPr>
                <w:rFonts w:hint="eastAsia" w:ascii="宋体" w:hAnsi="宋体" w:eastAsia="宋体" w:cs="宋体"/>
                <w:color w:val="auto"/>
                <w:highlight w:val="none"/>
              </w:rPr>
            </w:pPr>
            <w:r>
              <w:rPr>
                <w:rFonts w:hint="eastAsia" w:ascii="宋体" w:hAnsi="宋体" w:eastAsia="宋体" w:cs="宋体"/>
                <w:color w:val="auto"/>
                <w:highlight w:val="none"/>
              </w:rPr>
              <w:t>查阅/证明文件索引页码</w:t>
            </w:r>
          </w:p>
        </w:tc>
      </w:tr>
      <w:tr w14:paraId="5FE49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586" w:type="dxa"/>
            <w:vAlign w:val="center"/>
          </w:tcPr>
          <w:p w14:paraId="1ECFA902">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1500" w:type="dxa"/>
            <w:vAlign w:val="center"/>
          </w:tcPr>
          <w:p w14:paraId="5E12D454">
            <w:pPr>
              <w:spacing w:line="360" w:lineRule="auto"/>
              <w:jc w:val="center"/>
              <w:outlineLvl w:val="9"/>
              <w:rPr>
                <w:rFonts w:hint="eastAsia" w:ascii="宋体" w:hAnsi="宋体" w:eastAsia="宋体" w:cs="宋体"/>
                <w:color w:val="auto"/>
                <w:szCs w:val="21"/>
                <w:highlight w:val="none"/>
              </w:rPr>
            </w:pPr>
          </w:p>
        </w:tc>
        <w:tc>
          <w:tcPr>
            <w:tcW w:w="3354" w:type="dxa"/>
            <w:vAlign w:val="center"/>
          </w:tcPr>
          <w:p w14:paraId="3F904C7B">
            <w:pPr>
              <w:spacing w:line="360" w:lineRule="auto"/>
              <w:jc w:val="center"/>
              <w:outlineLvl w:val="9"/>
              <w:rPr>
                <w:rFonts w:hint="eastAsia" w:ascii="宋体" w:hAnsi="宋体" w:eastAsia="宋体" w:cs="宋体"/>
                <w:color w:val="auto"/>
                <w:szCs w:val="21"/>
                <w:highlight w:val="none"/>
              </w:rPr>
            </w:pPr>
          </w:p>
        </w:tc>
        <w:tc>
          <w:tcPr>
            <w:tcW w:w="3051" w:type="dxa"/>
            <w:vAlign w:val="center"/>
          </w:tcPr>
          <w:p w14:paraId="671E99B8">
            <w:pPr>
              <w:spacing w:line="360" w:lineRule="auto"/>
              <w:jc w:val="center"/>
              <w:outlineLvl w:val="9"/>
              <w:rPr>
                <w:rFonts w:hint="eastAsia" w:ascii="宋体" w:hAnsi="宋体" w:eastAsia="宋体" w:cs="宋体"/>
                <w:color w:val="auto"/>
                <w:szCs w:val="21"/>
                <w:highlight w:val="none"/>
              </w:rPr>
            </w:pPr>
          </w:p>
        </w:tc>
        <w:tc>
          <w:tcPr>
            <w:tcW w:w="1879" w:type="dxa"/>
            <w:vAlign w:val="center"/>
          </w:tcPr>
          <w:p w14:paraId="2B637A23">
            <w:pPr>
              <w:spacing w:line="360" w:lineRule="auto"/>
              <w:jc w:val="center"/>
              <w:outlineLvl w:val="9"/>
              <w:rPr>
                <w:rFonts w:hint="eastAsia" w:ascii="宋体" w:hAnsi="宋体" w:eastAsia="宋体" w:cs="宋体"/>
                <w:color w:val="auto"/>
                <w:szCs w:val="21"/>
                <w:highlight w:val="none"/>
              </w:rPr>
            </w:pPr>
          </w:p>
        </w:tc>
      </w:tr>
      <w:tr w14:paraId="3DADA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586" w:type="dxa"/>
            <w:vAlign w:val="center"/>
          </w:tcPr>
          <w:p w14:paraId="568F5C46">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1500" w:type="dxa"/>
            <w:vAlign w:val="center"/>
          </w:tcPr>
          <w:p w14:paraId="597B2FE1">
            <w:pPr>
              <w:spacing w:line="360" w:lineRule="auto"/>
              <w:jc w:val="center"/>
              <w:outlineLvl w:val="9"/>
              <w:rPr>
                <w:rFonts w:hint="eastAsia" w:ascii="宋体" w:hAnsi="宋体" w:eastAsia="宋体" w:cs="宋体"/>
                <w:color w:val="auto"/>
                <w:szCs w:val="21"/>
                <w:highlight w:val="none"/>
              </w:rPr>
            </w:pPr>
          </w:p>
        </w:tc>
        <w:tc>
          <w:tcPr>
            <w:tcW w:w="3354" w:type="dxa"/>
            <w:vAlign w:val="center"/>
          </w:tcPr>
          <w:p w14:paraId="66E4CD62">
            <w:pPr>
              <w:spacing w:line="360" w:lineRule="auto"/>
              <w:jc w:val="center"/>
              <w:outlineLvl w:val="9"/>
              <w:rPr>
                <w:rFonts w:hint="eastAsia" w:ascii="宋体" w:hAnsi="宋体" w:eastAsia="宋体" w:cs="宋体"/>
                <w:color w:val="auto"/>
                <w:szCs w:val="21"/>
                <w:highlight w:val="none"/>
              </w:rPr>
            </w:pPr>
          </w:p>
        </w:tc>
        <w:tc>
          <w:tcPr>
            <w:tcW w:w="3051" w:type="dxa"/>
            <w:vAlign w:val="center"/>
          </w:tcPr>
          <w:p w14:paraId="63C20EC6">
            <w:pPr>
              <w:spacing w:line="360" w:lineRule="auto"/>
              <w:jc w:val="center"/>
              <w:outlineLvl w:val="9"/>
              <w:rPr>
                <w:rFonts w:hint="eastAsia" w:ascii="宋体" w:hAnsi="宋体" w:eastAsia="宋体" w:cs="宋体"/>
                <w:color w:val="auto"/>
                <w:szCs w:val="21"/>
                <w:highlight w:val="none"/>
              </w:rPr>
            </w:pPr>
          </w:p>
        </w:tc>
        <w:tc>
          <w:tcPr>
            <w:tcW w:w="1879" w:type="dxa"/>
            <w:vAlign w:val="center"/>
          </w:tcPr>
          <w:p w14:paraId="6888A6F6">
            <w:pPr>
              <w:spacing w:line="360" w:lineRule="auto"/>
              <w:jc w:val="center"/>
              <w:outlineLvl w:val="9"/>
              <w:rPr>
                <w:rFonts w:hint="eastAsia" w:ascii="宋体" w:hAnsi="宋体" w:eastAsia="宋体" w:cs="宋体"/>
                <w:color w:val="auto"/>
                <w:szCs w:val="21"/>
                <w:highlight w:val="none"/>
              </w:rPr>
            </w:pPr>
          </w:p>
        </w:tc>
      </w:tr>
      <w:tr w14:paraId="34037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586" w:type="dxa"/>
            <w:vAlign w:val="center"/>
          </w:tcPr>
          <w:p w14:paraId="5987CF56">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1500" w:type="dxa"/>
            <w:vAlign w:val="center"/>
          </w:tcPr>
          <w:p w14:paraId="285EDEF1">
            <w:pPr>
              <w:spacing w:line="360" w:lineRule="auto"/>
              <w:jc w:val="center"/>
              <w:outlineLvl w:val="9"/>
              <w:rPr>
                <w:rFonts w:hint="eastAsia" w:ascii="宋体" w:hAnsi="宋体" w:eastAsia="宋体" w:cs="宋体"/>
                <w:color w:val="auto"/>
                <w:szCs w:val="21"/>
                <w:highlight w:val="none"/>
              </w:rPr>
            </w:pPr>
          </w:p>
        </w:tc>
        <w:tc>
          <w:tcPr>
            <w:tcW w:w="3354" w:type="dxa"/>
            <w:vAlign w:val="center"/>
          </w:tcPr>
          <w:p w14:paraId="1CDB7B29">
            <w:pPr>
              <w:spacing w:line="360" w:lineRule="auto"/>
              <w:jc w:val="center"/>
              <w:outlineLvl w:val="9"/>
              <w:rPr>
                <w:rFonts w:hint="eastAsia" w:ascii="宋体" w:hAnsi="宋体" w:eastAsia="宋体" w:cs="宋体"/>
                <w:color w:val="auto"/>
                <w:szCs w:val="21"/>
                <w:highlight w:val="none"/>
              </w:rPr>
            </w:pPr>
          </w:p>
        </w:tc>
        <w:tc>
          <w:tcPr>
            <w:tcW w:w="3051" w:type="dxa"/>
            <w:vAlign w:val="center"/>
          </w:tcPr>
          <w:p w14:paraId="2E38C27D">
            <w:pPr>
              <w:spacing w:line="360" w:lineRule="auto"/>
              <w:jc w:val="center"/>
              <w:outlineLvl w:val="9"/>
              <w:rPr>
                <w:rFonts w:hint="eastAsia" w:ascii="宋体" w:hAnsi="宋体" w:eastAsia="宋体" w:cs="宋体"/>
                <w:color w:val="auto"/>
                <w:szCs w:val="21"/>
                <w:highlight w:val="none"/>
              </w:rPr>
            </w:pPr>
          </w:p>
        </w:tc>
        <w:tc>
          <w:tcPr>
            <w:tcW w:w="1879" w:type="dxa"/>
            <w:vAlign w:val="center"/>
          </w:tcPr>
          <w:p w14:paraId="7566C602">
            <w:pPr>
              <w:spacing w:line="360" w:lineRule="auto"/>
              <w:jc w:val="center"/>
              <w:outlineLvl w:val="9"/>
              <w:rPr>
                <w:rFonts w:hint="eastAsia" w:ascii="宋体" w:hAnsi="宋体" w:eastAsia="宋体" w:cs="宋体"/>
                <w:color w:val="auto"/>
                <w:szCs w:val="21"/>
                <w:highlight w:val="none"/>
              </w:rPr>
            </w:pPr>
          </w:p>
        </w:tc>
      </w:tr>
      <w:tr w14:paraId="25DA9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586" w:type="dxa"/>
            <w:vAlign w:val="center"/>
          </w:tcPr>
          <w:p w14:paraId="76DF7D66">
            <w:pPr>
              <w:spacing w:line="360" w:lineRule="auto"/>
              <w:jc w:val="center"/>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tc>
        <w:tc>
          <w:tcPr>
            <w:tcW w:w="1500" w:type="dxa"/>
            <w:vAlign w:val="center"/>
          </w:tcPr>
          <w:p w14:paraId="0009B39D">
            <w:pPr>
              <w:spacing w:line="360" w:lineRule="auto"/>
              <w:jc w:val="center"/>
              <w:outlineLvl w:val="9"/>
              <w:rPr>
                <w:rFonts w:hint="eastAsia" w:ascii="宋体" w:hAnsi="宋体" w:eastAsia="宋体" w:cs="宋体"/>
                <w:color w:val="auto"/>
                <w:szCs w:val="21"/>
                <w:highlight w:val="none"/>
              </w:rPr>
            </w:pPr>
          </w:p>
        </w:tc>
        <w:tc>
          <w:tcPr>
            <w:tcW w:w="3354" w:type="dxa"/>
            <w:vAlign w:val="center"/>
          </w:tcPr>
          <w:p w14:paraId="5A18E5AE">
            <w:pPr>
              <w:spacing w:line="360" w:lineRule="auto"/>
              <w:jc w:val="center"/>
              <w:outlineLvl w:val="9"/>
              <w:rPr>
                <w:rFonts w:hint="eastAsia" w:ascii="宋体" w:hAnsi="宋体" w:eastAsia="宋体" w:cs="宋体"/>
                <w:color w:val="auto"/>
                <w:szCs w:val="21"/>
                <w:highlight w:val="none"/>
              </w:rPr>
            </w:pPr>
          </w:p>
        </w:tc>
        <w:tc>
          <w:tcPr>
            <w:tcW w:w="3051" w:type="dxa"/>
            <w:vAlign w:val="center"/>
          </w:tcPr>
          <w:p w14:paraId="06987D54">
            <w:pPr>
              <w:spacing w:line="360" w:lineRule="auto"/>
              <w:jc w:val="center"/>
              <w:outlineLvl w:val="9"/>
              <w:rPr>
                <w:rFonts w:hint="eastAsia" w:ascii="宋体" w:hAnsi="宋体" w:eastAsia="宋体" w:cs="宋体"/>
                <w:color w:val="auto"/>
                <w:szCs w:val="21"/>
                <w:highlight w:val="none"/>
              </w:rPr>
            </w:pPr>
          </w:p>
        </w:tc>
        <w:tc>
          <w:tcPr>
            <w:tcW w:w="1879" w:type="dxa"/>
            <w:vAlign w:val="center"/>
          </w:tcPr>
          <w:p w14:paraId="507E3FF5">
            <w:pPr>
              <w:spacing w:line="360" w:lineRule="auto"/>
              <w:jc w:val="center"/>
              <w:outlineLvl w:val="9"/>
              <w:rPr>
                <w:rFonts w:hint="eastAsia" w:ascii="宋体" w:hAnsi="宋体" w:eastAsia="宋体" w:cs="宋体"/>
                <w:color w:val="auto"/>
                <w:szCs w:val="21"/>
                <w:highlight w:val="none"/>
              </w:rPr>
            </w:pPr>
          </w:p>
        </w:tc>
      </w:tr>
    </w:tbl>
    <w:p w14:paraId="3DE78751">
      <w:pPr>
        <w:spacing w:before="120" w:beforeLines="50" w:line="360" w:lineRule="auto"/>
        <w:outlineLvl w:val="9"/>
        <w:rPr>
          <w:rFonts w:hint="eastAsia" w:ascii="宋体" w:hAnsi="宋体" w:eastAsia="宋体" w:cs="宋体"/>
          <w:color w:val="auto"/>
          <w:highlight w:val="none"/>
        </w:rPr>
      </w:pPr>
      <w:r>
        <w:rPr>
          <w:rFonts w:hint="eastAsia" w:ascii="宋体" w:hAnsi="宋体" w:eastAsia="宋体" w:cs="宋体"/>
          <w:color w:val="auto"/>
          <w:highlight w:val="none"/>
        </w:rPr>
        <w:t>注明：</w:t>
      </w:r>
    </w:p>
    <w:p w14:paraId="2F7DC2B8">
      <w:pPr>
        <w:numPr>
          <w:ilvl w:val="0"/>
          <w:numId w:val="35"/>
        </w:numPr>
        <w:spacing w:line="360" w:lineRule="auto"/>
        <w:outlineLvl w:val="9"/>
        <w:rPr>
          <w:rFonts w:hint="eastAsia" w:ascii="宋体" w:hAnsi="宋体" w:eastAsia="宋体" w:cs="宋体"/>
          <w:color w:val="auto"/>
          <w:spacing w:val="4"/>
          <w:highlight w:val="none"/>
        </w:rPr>
      </w:pPr>
      <w:r>
        <w:rPr>
          <w:rFonts w:hint="eastAsia" w:ascii="宋体" w:hAnsi="宋体" w:eastAsia="宋体" w:cs="宋体"/>
          <w:color w:val="auto"/>
          <w:spacing w:val="4"/>
          <w:highlight w:val="none"/>
        </w:rPr>
        <w:t>投标人必须对应招标文件</w:t>
      </w:r>
      <w:r>
        <w:rPr>
          <w:rFonts w:hint="eastAsia" w:ascii="宋体" w:hAnsi="宋体" w:eastAsia="宋体" w:cs="宋体"/>
          <w:bCs/>
          <w:color w:val="auto"/>
          <w:spacing w:val="4"/>
          <w:szCs w:val="21"/>
          <w:highlight w:val="none"/>
        </w:rPr>
        <w:t>“用户需求”要求的</w:t>
      </w:r>
      <w:bookmarkStart w:id="480" w:name="_Hlk82385546"/>
      <w:r>
        <w:rPr>
          <w:rFonts w:hint="eastAsia" w:ascii="宋体" w:hAnsi="宋体" w:eastAsia="宋体" w:cs="宋体"/>
          <w:color w:val="auto"/>
          <w:highlight w:val="none"/>
        </w:rPr>
        <w:t>▲号条款</w:t>
      </w:r>
      <w:bookmarkEnd w:id="480"/>
      <w:r>
        <w:rPr>
          <w:rFonts w:hint="eastAsia" w:ascii="宋体" w:hAnsi="宋体" w:eastAsia="宋体" w:cs="宋体"/>
          <w:color w:val="auto"/>
          <w:spacing w:val="4"/>
          <w:highlight w:val="none"/>
        </w:rPr>
        <w:t>逐条应答并按要求填写表格。</w:t>
      </w:r>
    </w:p>
    <w:p w14:paraId="4B67830E">
      <w:pPr>
        <w:numPr>
          <w:ilvl w:val="0"/>
          <w:numId w:val="35"/>
        </w:numPr>
        <w:spacing w:line="360" w:lineRule="auto"/>
        <w:outlineLvl w:val="9"/>
        <w:rPr>
          <w:rFonts w:hint="eastAsia" w:ascii="宋体" w:hAnsi="宋体" w:eastAsia="宋体" w:cs="宋体"/>
          <w:color w:val="auto"/>
          <w:highlight w:val="none"/>
        </w:rPr>
      </w:pPr>
      <w:r>
        <w:rPr>
          <w:rFonts w:hint="eastAsia" w:ascii="宋体" w:hAnsi="宋体" w:eastAsia="宋体" w:cs="宋体"/>
          <w:color w:val="auto"/>
          <w:szCs w:val="21"/>
          <w:highlight w:val="none"/>
        </w:rPr>
        <w:t>需提供证明资料内容详见</w:t>
      </w:r>
      <w:r>
        <w:rPr>
          <w:rFonts w:hint="eastAsia" w:ascii="宋体" w:hAnsi="宋体" w:eastAsia="宋体" w:cs="宋体"/>
          <w:color w:val="auto"/>
          <w:szCs w:val="21"/>
          <w:highlight w:val="none"/>
          <w:u w:val="single"/>
        </w:rPr>
        <w:t>（</w:t>
      </w:r>
      <w:r>
        <w:rPr>
          <w:rFonts w:hint="eastAsia" w:ascii="宋体" w:hAnsi="宋体" w:eastAsia="宋体" w:cs="宋体"/>
          <w:color w:val="auto"/>
          <w:szCs w:val="24"/>
          <w:highlight w:val="none"/>
          <w:u w:val="single"/>
          <w:lang w:val="zh-CN"/>
        </w:rPr>
        <w:t>招标文件附件1：评标工作大纲 12、评分因素及分值 商务评分相对应评审细则</w:t>
      </w:r>
      <w:r>
        <w:rPr>
          <w:rFonts w:hint="eastAsia" w:ascii="宋体" w:hAnsi="宋体" w:eastAsia="宋体" w:cs="宋体"/>
          <w:color w:val="auto"/>
          <w:szCs w:val="21"/>
          <w:highlight w:val="none"/>
          <w:u w:val="single"/>
        </w:rPr>
        <w:t>）</w:t>
      </w:r>
      <w:r>
        <w:rPr>
          <w:rFonts w:hint="eastAsia" w:ascii="宋体" w:hAnsi="宋体" w:eastAsia="宋体" w:cs="宋体"/>
          <w:color w:val="auto"/>
          <w:szCs w:val="21"/>
          <w:highlight w:val="none"/>
        </w:rPr>
        <w:t>，提供的证明资料</w:t>
      </w:r>
      <w:r>
        <w:rPr>
          <w:rFonts w:hint="eastAsia" w:ascii="宋体" w:hAnsi="宋体" w:eastAsia="宋体" w:cs="宋体"/>
          <w:color w:val="auto"/>
          <w:highlight w:val="none"/>
        </w:rPr>
        <w:t>作为附件附于表格后。未按要求提供或未提供完整的，视为负偏离处理。</w:t>
      </w:r>
    </w:p>
    <w:p w14:paraId="6BB884F9">
      <w:pPr>
        <w:spacing w:line="360" w:lineRule="auto"/>
        <w:outlineLvl w:val="9"/>
        <w:rPr>
          <w:rFonts w:hint="eastAsia" w:ascii="宋体" w:hAnsi="宋体" w:eastAsia="宋体" w:cs="宋体"/>
          <w:color w:val="auto"/>
          <w:szCs w:val="21"/>
          <w:highlight w:val="none"/>
        </w:rPr>
      </w:pPr>
    </w:p>
    <w:p w14:paraId="132CD7CE">
      <w:pPr>
        <w:spacing w:line="360" w:lineRule="auto"/>
        <w:outlineLvl w:val="9"/>
        <w:rPr>
          <w:rFonts w:hint="eastAsia" w:ascii="宋体" w:hAnsi="宋体" w:eastAsia="宋体" w:cs="宋体"/>
          <w:color w:val="auto"/>
          <w:szCs w:val="21"/>
          <w:highlight w:val="none"/>
        </w:rPr>
      </w:pPr>
    </w:p>
    <w:p w14:paraId="1B98F770">
      <w:pPr>
        <w:spacing w:line="360" w:lineRule="auto"/>
        <w:outlineLvl w:val="9"/>
        <w:rPr>
          <w:rFonts w:hint="eastAsia" w:ascii="宋体" w:hAnsi="宋体" w:eastAsia="宋体" w:cs="宋体"/>
          <w:color w:val="auto"/>
          <w:szCs w:val="21"/>
          <w:highlight w:val="none"/>
        </w:rPr>
      </w:pPr>
    </w:p>
    <w:tbl>
      <w:tblPr>
        <w:tblStyle w:val="215"/>
        <w:tblW w:w="852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53"/>
        <w:gridCol w:w="3175"/>
      </w:tblGrid>
      <w:tr w14:paraId="19FC3D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5CF8DE16">
            <w:pPr>
              <w:overflowPunct w:val="0"/>
              <w:adjustRightInd w:val="0"/>
              <w:spacing w:line="360" w:lineRule="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投标人名称（加盖公章）：</w:t>
            </w:r>
            <w:r>
              <w:rPr>
                <w:rFonts w:hint="eastAsia" w:ascii="宋体" w:hAnsi="宋体" w:eastAsia="宋体" w:cs="宋体"/>
                <w:color w:val="auto"/>
                <w:szCs w:val="21"/>
                <w:highlight w:val="none"/>
                <w:u w:val="single"/>
              </w:rPr>
              <w:t xml:space="preserve">                         </w:t>
            </w:r>
          </w:p>
        </w:tc>
        <w:tc>
          <w:tcPr>
            <w:tcW w:w="3175" w:type="dxa"/>
          </w:tcPr>
          <w:p w14:paraId="352795B6">
            <w:pPr>
              <w:spacing w:line="360" w:lineRule="auto"/>
              <w:outlineLvl w:val="9"/>
              <w:rPr>
                <w:rFonts w:hint="eastAsia" w:ascii="宋体" w:hAnsi="宋体" w:eastAsia="宋体" w:cs="宋体"/>
                <w:color w:val="auto"/>
                <w:szCs w:val="21"/>
                <w:highlight w:val="none"/>
              </w:rPr>
            </w:pPr>
          </w:p>
        </w:tc>
      </w:tr>
      <w:tr w14:paraId="24BB9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46AAD1F9">
            <w:pPr>
              <w:spacing w:line="360" w:lineRule="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w:t>
            </w:r>
            <w:r>
              <w:rPr>
                <w:rFonts w:hint="eastAsia" w:ascii="宋体" w:hAnsi="宋体" w:eastAsia="宋体" w:cs="宋体"/>
                <w:color w:val="auto"/>
                <w:szCs w:val="21"/>
                <w:highlight w:val="none"/>
                <w:u w:val="single"/>
              </w:rPr>
              <w:t xml:space="preserve">             年           月            日</w:t>
            </w:r>
          </w:p>
        </w:tc>
        <w:tc>
          <w:tcPr>
            <w:tcW w:w="3175" w:type="dxa"/>
          </w:tcPr>
          <w:p w14:paraId="60B99814">
            <w:pPr>
              <w:spacing w:line="360" w:lineRule="auto"/>
              <w:outlineLvl w:val="9"/>
              <w:rPr>
                <w:rFonts w:hint="eastAsia" w:ascii="宋体" w:hAnsi="宋体" w:eastAsia="宋体" w:cs="宋体"/>
                <w:color w:val="auto"/>
                <w:szCs w:val="21"/>
                <w:highlight w:val="none"/>
              </w:rPr>
            </w:pPr>
          </w:p>
        </w:tc>
      </w:tr>
    </w:tbl>
    <w:p w14:paraId="06041829">
      <w:pPr>
        <w:spacing w:line="360" w:lineRule="auto"/>
        <w:outlineLvl w:val="9"/>
        <w:rPr>
          <w:rFonts w:hint="eastAsia" w:ascii="宋体" w:hAnsi="宋体" w:eastAsia="宋体" w:cs="宋体"/>
          <w:color w:val="auto"/>
          <w:highlight w:val="none"/>
        </w:rPr>
      </w:pPr>
    </w:p>
    <w:p w14:paraId="4C9A9A71">
      <w:pPr>
        <w:pStyle w:val="17"/>
        <w:outlineLvl w:val="9"/>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374D5C2E">
      <w:pPr>
        <w:tabs>
          <w:tab w:val="left" w:pos="567"/>
        </w:tabs>
        <w:autoSpaceDE w:val="0"/>
        <w:autoSpaceDN w:val="0"/>
        <w:adjustRightInd w:val="0"/>
        <w:spacing w:line="360" w:lineRule="auto"/>
        <w:jc w:val="left"/>
        <w:outlineLvl w:val="9"/>
        <w:rPr>
          <w:rFonts w:hint="eastAsia"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rPr>
        <w:t>1</w:t>
      </w:r>
      <w:r>
        <w:rPr>
          <w:rFonts w:hint="eastAsia" w:ascii="宋体" w:hAnsi="宋体" w:eastAsia="宋体" w:cs="宋体"/>
          <w:b/>
          <w:color w:val="auto"/>
          <w:kern w:val="0"/>
          <w:sz w:val="30"/>
          <w:szCs w:val="30"/>
          <w:highlight w:val="none"/>
          <w:lang w:val="en-US" w:eastAsia="zh-CN"/>
        </w:rPr>
        <w:t>1</w:t>
      </w:r>
      <w:r>
        <w:rPr>
          <w:rFonts w:hint="eastAsia" w:ascii="宋体" w:hAnsi="宋体" w:eastAsia="宋体" w:cs="宋体"/>
          <w:b/>
          <w:color w:val="auto"/>
          <w:kern w:val="0"/>
          <w:sz w:val="30"/>
          <w:szCs w:val="30"/>
          <w:highlight w:val="none"/>
        </w:rPr>
        <w:t xml:space="preserve">.4 </w:t>
      </w:r>
      <w:bookmarkEnd w:id="472"/>
      <w:bookmarkEnd w:id="473"/>
      <w:bookmarkEnd w:id="474"/>
      <w:bookmarkEnd w:id="475"/>
      <w:bookmarkEnd w:id="476"/>
      <w:bookmarkEnd w:id="477"/>
      <w:bookmarkEnd w:id="478"/>
      <w:bookmarkEnd w:id="479"/>
      <w:r>
        <w:rPr>
          <w:rFonts w:hint="eastAsia" w:ascii="宋体" w:hAnsi="宋体" w:eastAsia="宋体" w:cs="宋体"/>
          <w:b/>
          <w:color w:val="auto"/>
          <w:kern w:val="0"/>
          <w:sz w:val="30"/>
          <w:szCs w:val="30"/>
          <w:highlight w:val="none"/>
        </w:rPr>
        <w:t>对本项目的理解</w:t>
      </w:r>
    </w:p>
    <w:p w14:paraId="486C1D39">
      <w:pPr>
        <w:widowControl/>
        <w:spacing w:line="360" w:lineRule="auto"/>
        <w:jc w:val="left"/>
        <w:outlineLvl w:val="9"/>
        <w:rPr>
          <w:rFonts w:hint="eastAsia" w:ascii="宋体" w:hAnsi="宋体" w:eastAsia="宋体" w:cs="宋体"/>
          <w:color w:val="auto"/>
          <w:kern w:val="0"/>
          <w:szCs w:val="21"/>
          <w:highlight w:val="none"/>
        </w:rPr>
      </w:pPr>
      <w:bookmarkStart w:id="481" w:name="_Toc94107225"/>
      <w:r>
        <w:rPr>
          <w:rFonts w:hint="eastAsia" w:ascii="宋体" w:hAnsi="宋体" w:eastAsia="宋体" w:cs="宋体"/>
          <w:color w:val="auto"/>
          <w:kern w:val="0"/>
          <w:szCs w:val="21"/>
          <w:highlight w:val="none"/>
        </w:rPr>
        <w:br w:type="page"/>
      </w:r>
    </w:p>
    <w:bookmarkEnd w:id="481"/>
    <w:p w14:paraId="1D37F5F4">
      <w:pPr>
        <w:spacing w:line="360" w:lineRule="auto"/>
        <w:outlineLvl w:val="9"/>
        <w:rPr>
          <w:rFonts w:hint="eastAsia" w:ascii="宋体" w:hAnsi="宋体" w:eastAsia="宋体" w:cs="宋体"/>
          <w:b/>
          <w:color w:val="auto"/>
          <w:kern w:val="0"/>
          <w:sz w:val="30"/>
          <w:szCs w:val="30"/>
          <w:highlight w:val="none"/>
        </w:rPr>
      </w:pPr>
      <w:bookmarkStart w:id="482" w:name="_Toc102860438"/>
      <w:bookmarkStart w:id="483" w:name="_Toc104991896"/>
      <w:bookmarkStart w:id="484" w:name="_Toc142508389"/>
      <w:bookmarkStart w:id="485" w:name="_Toc140596949"/>
      <w:bookmarkStart w:id="486" w:name="_Toc102860094"/>
      <w:bookmarkStart w:id="487" w:name="_Toc533708139"/>
      <w:r>
        <w:rPr>
          <w:rFonts w:hint="eastAsia" w:ascii="宋体" w:hAnsi="宋体" w:eastAsia="宋体" w:cs="宋体"/>
          <w:b/>
          <w:color w:val="auto"/>
          <w:kern w:val="0"/>
          <w:sz w:val="30"/>
          <w:szCs w:val="30"/>
          <w:highlight w:val="none"/>
        </w:rPr>
        <w:t>1</w:t>
      </w:r>
      <w:r>
        <w:rPr>
          <w:rFonts w:hint="eastAsia" w:ascii="宋体" w:hAnsi="宋体" w:eastAsia="宋体" w:cs="宋体"/>
          <w:b/>
          <w:color w:val="auto"/>
          <w:kern w:val="0"/>
          <w:sz w:val="30"/>
          <w:szCs w:val="30"/>
          <w:highlight w:val="none"/>
          <w:lang w:val="en-US" w:eastAsia="zh-CN"/>
        </w:rPr>
        <w:t>1</w:t>
      </w:r>
      <w:r>
        <w:rPr>
          <w:rFonts w:hint="eastAsia" w:ascii="宋体" w:hAnsi="宋体" w:eastAsia="宋体" w:cs="宋体"/>
          <w:b/>
          <w:color w:val="auto"/>
          <w:kern w:val="0"/>
          <w:sz w:val="30"/>
          <w:szCs w:val="30"/>
          <w:highlight w:val="none"/>
        </w:rPr>
        <w:t>.5 运维实施方案</w:t>
      </w:r>
    </w:p>
    <w:p w14:paraId="7302B278">
      <w:pPr>
        <w:spacing w:line="360" w:lineRule="auto"/>
        <w:outlineLvl w:val="9"/>
        <w:rPr>
          <w:rFonts w:hint="eastAsia"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rPr>
        <w:br w:type="page"/>
      </w:r>
    </w:p>
    <w:p w14:paraId="72983732">
      <w:pPr>
        <w:spacing w:line="360" w:lineRule="auto"/>
        <w:outlineLvl w:val="9"/>
        <w:rPr>
          <w:rFonts w:hint="eastAsia"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rPr>
        <w:t>1</w:t>
      </w:r>
      <w:r>
        <w:rPr>
          <w:rFonts w:hint="eastAsia" w:ascii="宋体" w:hAnsi="宋体" w:eastAsia="宋体" w:cs="宋体"/>
          <w:b/>
          <w:color w:val="auto"/>
          <w:kern w:val="0"/>
          <w:sz w:val="30"/>
          <w:szCs w:val="30"/>
          <w:highlight w:val="none"/>
          <w:lang w:val="en-US" w:eastAsia="zh-CN"/>
        </w:rPr>
        <w:t>1</w:t>
      </w:r>
      <w:r>
        <w:rPr>
          <w:rFonts w:hint="eastAsia" w:ascii="宋体" w:hAnsi="宋体" w:eastAsia="宋体" w:cs="宋体"/>
          <w:b/>
          <w:color w:val="auto"/>
          <w:kern w:val="0"/>
          <w:sz w:val="30"/>
          <w:szCs w:val="30"/>
          <w:highlight w:val="none"/>
        </w:rPr>
        <w:t>.6 系统及数据安全保障措施</w:t>
      </w:r>
    </w:p>
    <w:p w14:paraId="6D7791D5">
      <w:pPr>
        <w:pStyle w:val="17"/>
        <w:outlineLvl w:val="9"/>
        <w:rPr>
          <w:rFonts w:hint="eastAsia" w:ascii="宋体" w:hAnsi="宋体" w:eastAsia="宋体" w:cs="宋体"/>
          <w:b/>
          <w:color w:val="auto"/>
          <w:sz w:val="30"/>
          <w:szCs w:val="30"/>
          <w:highlight w:val="none"/>
        </w:rPr>
      </w:pPr>
      <w:r>
        <w:rPr>
          <w:rFonts w:hint="eastAsia" w:ascii="宋体" w:hAnsi="宋体" w:eastAsia="宋体" w:cs="宋体"/>
          <w:color w:val="auto"/>
          <w:highlight w:val="none"/>
        </w:rPr>
        <w:br w:type="page"/>
      </w:r>
    </w:p>
    <w:p w14:paraId="7BE5FF39">
      <w:pPr>
        <w:spacing w:line="360" w:lineRule="auto"/>
        <w:outlineLvl w:val="9"/>
        <w:rPr>
          <w:rFonts w:hint="eastAsia" w:ascii="宋体" w:hAnsi="宋体" w:eastAsia="宋体" w:cs="宋体"/>
          <w:b/>
          <w:color w:val="auto"/>
          <w:kern w:val="0"/>
          <w:sz w:val="30"/>
          <w:szCs w:val="30"/>
          <w:highlight w:val="none"/>
          <w:lang w:val="en-US" w:eastAsia="zh-CN"/>
        </w:rPr>
      </w:pPr>
      <w:r>
        <w:rPr>
          <w:rFonts w:hint="eastAsia" w:ascii="宋体" w:hAnsi="宋体" w:eastAsia="宋体" w:cs="宋体"/>
          <w:b/>
          <w:color w:val="auto"/>
          <w:kern w:val="0"/>
          <w:sz w:val="30"/>
          <w:szCs w:val="30"/>
          <w:highlight w:val="none"/>
        </w:rPr>
        <w:t>1</w:t>
      </w:r>
      <w:r>
        <w:rPr>
          <w:rFonts w:hint="eastAsia" w:ascii="宋体" w:hAnsi="宋体" w:eastAsia="宋体" w:cs="宋体"/>
          <w:b/>
          <w:color w:val="auto"/>
          <w:kern w:val="0"/>
          <w:sz w:val="30"/>
          <w:szCs w:val="30"/>
          <w:highlight w:val="none"/>
          <w:lang w:val="en-US" w:eastAsia="zh-CN"/>
        </w:rPr>
        <w:t>1</w:t>
      </w:r>
      <w:r>
        <w:rPr>
          <w:rFonts w:hint="eastAsia" w:ascii="宋体" w:hAnsi="宋体" w:eastAsia="宋体" w:cs="宋体"/>
          <w:b/>
          <w:color w:val="auto"/>
          <w:kern w:val="0"/>
          <w:sz w:val="30"/>
          <w:szCs w:val="30"/>
          <w:highlight w:val="none"/>
        </w:rPr>
        <w:t>.7 质量保障方案</w:t>
      </w:r>
    </w:p>
    <w:p w14:paraId="61D624F2">
      <w:pPr>
        <w:pStyle w:val="17"/>
        <w:outlineLvl w:val="9"/>
        <w:rPr>
          <w:rFonts w:hint="eastAsia" w:ascii="宋体" w:hAnsi="宋体" w:eastAsia="宋体" w:cs="宋体"/>
          <w:b/>
          <w:color w:val="auto"/>
          <w:sz w:val="30"/>
          <w:szCs w:val="30"/>
          <w:highlight w:val="none"/>
        </w:rPr>
      </w:pPr>
      <w:r>
        <w:rPr>
          <w:rFonts w:hint="eastAsia" w:ascii="宋体" w:hAnsi="宋体" w:eastAsia="宋体" w:cs="宋体"/>
          <w:color w:val="auto"/>
          <w:highlight w:val="none"/>
        </w:rPr>
        <w:br w:type="page"/>
      </w:r>
    </w:p>
    <w:p w14:paraId="312B8711">
      <w:pPr>
        <w:spacing w:line="360" w:lineRule="auto"/>
        <w:outlineLvl w:val="9"/>
        <w:rPr>
          <w:rFonts w:hint="eastAsia"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lang w:val="en-US" w:eastAsia="zh-CN"/>
        </w:rPr>
        <w:t xml:space="preserve">11.8 </w:t>
      </w:r>
      <w:r>
        <w:rPr>
          <w:rFonts w:hint="eastAsia" w:ascii="宋体" w:hAnsi="宋体" w:eastAsia="宋体" w:cs="宋体"/>
          <w:b/>
          <w:color w:val="auto"/>
          <w:kern w:val="0"/>
          <w:sz w:val="30"/>
          <w:szCs w:val="30"/>
          <w:highlight w:val="none"/>
        </w:rPr>
        <w:t>投标人认为有必要提供的其它材料（不做强制要求）</w:t>
      </w:r>
    </w:p>
    <w:p w14:paraId="4EC45C1E">
      <w:pPr>
        <w:spacing w:line="360" w:lineRule="auto"/>
        <w:outlineLvl w:val="9"/>
        <w:rPr>
          <w:rFonts w:hint="eastAsia"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rPr>
        <w:br w:type="page"/>
      </w:r>
      <w:bookmarkEnd w:id="482"/>
      <w:bookmarkEnd w:id="483"/>
      <w:bookmarkEnd w:id="484"/>
      <w:bookmarkEnd w:id="485"/>
      <w:bookmarkEnd w:id="486"/>
    </w:p>
    <w:p w14:paraId="5FCCD380">
      <w:pPr>
        <w:tabs>
          <w:tab w:val="left" w:pos="1080"/>
        </w:tabs>
        <w:autoSpaceDE w:val="0"/>
        <w:autoSpaceDN w:val="0"/>
        <w:adjustRightInd w:val="0"/>
        <w:spacing w:line="360" w:lineRule="auto"/>
        <w:jc w:val="left"/>
        <w:outlineLvl w:val="0"/>
        <w:rPr>
          <w:rFonts w:hint="eastAsia" w:ascii="宋体" w:hAnsi="宋体" w:eastAsia="宋体" w:cs="宋体"/>
          <w:b/>
          <w:bCs/>
          <w:color w:val="auto"/>
          <w:kern w:val="44"/>
          <w:sz w:val="32"/>
          <w:szCs w:val="32"/>
          <w:highlight w:val="none"/>
          <w:lang w:val="zh-CN"/>
        </w:rPr>
      </w:pPr>
      <w:bookmarkStart w:id="488" w:name="_Toc11645"/>
      <w:bookmarkStart w:id="489" w:name="_Toc142508390"/>
      <w:bookmarkStart w:id="490" w:name="_Toc28845"/>
      <w:bookmarkStart w:id="491" w:name="_Toc22601_WPSOffice_Level1"/>
      <w:bookmarkStart w:id="492" w:name="_Toc521918141"/>
      <w:bookmarkStart w:id="493" w:name="_Toc522047402"/>
      <w:r>
        <w:rPr>
          <w:rFonts w:hint="eastAsia" w:ascii="宋体" w:hAnsi="宋体" w:eastAsia="宋体" w:cs="宋体"/>
          <w:b/>
          <w:bCs/>
          <w:color w:val="auto"/>
          <w:kern w:val="44"/>
          <w:sz w:val="32"/>
          <w:szCs w:val="32"/>
          <w:highlight w:val="none"/>
          <w:lang w:val="zh-CN"/>
        </w:rPr>
        <w:t>附件一：评标工作大纲</w:t>
      </w:r>
      <w:bookmarkEnd w:id="488"/>
      <w:bookmarkEnd w:id="489"/>
      <w:bookmarkEnd w:id="490"/>
    </w:p>
    <w:p w14:paraId="460D607D">
      <w:pPr>
        <w:autoSpaceDE w:val="0"/>
        <w:autoSpaceDN w:val="0"/>
        <w:adjustRightInd w:val="0"/>
        <w:spacing w:line="360" w:lineRule="auto"/>
        <w:jc w:val="center"/>
        <w:outlineLvl w:val="9"/>
        <w:rPr>
          <w:rFonts w:hint="eastAsia" w:ascii="宋体" w:hAnsi="宋体" w:eastAsia="宋体" w:cs="宋体"/>
          <w:b/>
          <w:bCs/>
          <w:color w:val="auto"/>
          <w:szCs w:val="21"/>
          <w:highlight w:val="none"/>
        </w:rPr>
      </w:pPr>
    </w:p>
    <w:p w14:paraId="14B63DD0">
      <w:pPr>
        <w:autoSpaceDE w:val="0"/>
        <w:autoSpaceDN w:val="0"/>
        <w:adjustRightInd w:val="0"/>
        <w:spacing w:line="360" w:lineRule="auto"/>
        <w:jc w:val="center"/>
        <w:outlineLvl w:val="9"/>
        <w:rPr>
          <w:rFonts w:hint="eastAsia" w:ascii="宋体" w:hAnsi="宋体" w:eastAsia="宋体" w:cs="宋体"/>
          <w:b/>
          <w:bCs/>
          <w:color w:val="auto"/>
          <w:szCs w:val="21"/>
          <w:highlight w:val="none"/>
        </w:rPr>
      </w:pPr>
    </w:p>
    <w:p w14:paraId="46A10FCE">
      <w:pPr>
        <w:autoSpaceDE w:val="0"/>
        <w:autoSpaceDN w:val="0"/>
        <w:adjustRightInd w:val="0"/>
        <w:spacing w:line="360" w:lineRule="auto"/>
        <w:jc w:val="center"/>
        <w:outlineLvl w:val="9"/>
        <w:rPr>
          <w:rFonts w:hint="eastAsia" w:ascii="宋体" w:hAnsi="宋体" w:eastAsia="宋体" w:cs="宋体"/>
          <w:b/>
          <w:bCs/>
          <w:color w:val="auto"/>
          <w:szCs w:val="21"/>
          <w:highlight w:val="none"/>
        </w:rPr>
      </w:pPr>
    </w:p>
    <w:p w14:paraId="796F2023">
      <w:pPr>
        <w:autoSpaceDE w:val="0"/>
        <w:autoSpaceDN w:val="0"/>
        <w:adjustRightInd w:val="0"/>
        <w:spacing w:line="360" w:lineRule="auto"/>
        <w:jc w:val="center"/>
        <w:outlineLvl w:val="9"/>
        <w:rPr>
          <w:rFonts w:hint="eastAsia" w:ascii="宋体" w:hAnsi="宋体" w:eastAsia="宋体" w:cs="宋体"/>
          <w:b/>
          <w:bCs/>
          <w:color w:val="auto"/>
          <w:szCs w:val="21"/>
          <w:highlight w:val="none"/>
        </w:rPr>
      </w:pPr>
    </w:p>
    <w:p w14:paraId="00A62259">
      <w:pPr>
        <w:autoSpaceDE w:val="0"/>
        <w:autoSpaceDN w:val="0"/>
        <w:adjustRightInd w:val="0"/>
        <w:spacing w:line="360" w:lineRule="auto"/>
        <w:jc w:val="center"/>
        <w:outlineLvl w:val="9"/>
        <w:rPr>
          <w:rFonts w:hint="eastAsia" w:ascii="宋体" w:hAnsi="宋体" w:eastAsia="宋体" w:cs="宋体"/>
          <w:b/>
          <w:bCs/>
          <w:color w:val="auto"/>
          <w:sz w:val="36"/>
          <w:szCs w:val="44"/>
          <w:highlight w:val="none"/>
          <w:lang w:eastAsia="zh-CN"/>
        </w:rPr>
      </w:pPr>
      <w:r>
        <w:rPr>
          <w:rFonts w:hint="eastAsia" w:ascii="宋体" w:hAnsi="宋体" w:eastAsia="宋体" w:cs="宋体"/>
          <w:b/>
          <w:bCs/>
          <w:color w:val="auto"/>
          <w:sz w:val="36"/>
          <w:szCs w:val="44"/>
          <w:highlight w:val="none"/>
          <w:lang w:eastAsia="zh-CN"/>
        </w:rPr>
        <w:t>2025年前端设备运维服务项目</w:t>
      </w:r>
    </w:p>
    <w:p w14:paraId="2AE79685">
      <w:pPr>
        <w:autoSpaceDE w:val="0"/>
        <w:autoSpaceDN w:val="0"/>
        <w:adjustRightInd w:val="0"/>
        <w:spacing w:line="360" w:lineRule="auto"/>
        <w:jc w:val="center"/>
        <w:outlineLvl w:val="9"/>
        <w:rPr>
          <w:rFonts w:hint="eastAsia" w:ascii="宋体" w:hAnsi="宋体" w:eastAsia="宋体" w:cs="宋体"/>
          <w:b/>
          <w:bCs/>
          <w:color w:val="auto"/>
          <w:sz w:val="36"/>
          <w:szCs w:val="36"/>
          <w:highlight w:val="none"/>
        </w:rPr>
      </w:pPr>
      <w:bookmarkStart w:id="494" w:name="_Toc14752_WPSOffice_Level1"/>
      <w:r>
        <w:rPr>
          <w:rFonts w:hint="eastAsia" w:ascii="宋体" w:hAnsi="宋体" w:eastAsia="宋体" w:cs="宋体"/>
          <w:b/>
          <w:bCs/>
          <w:color w:val="auto"/>
          <w:sz w:val="36"/>
          <w:szCs w:val="36"/>
          <w:highlight w:val="none"/>
          <w:lang w:val="zh-CN"/>
        </w:rPr>
        <w:t>（招标编号：YDZB25DGQY0185）</w:t>
      </w:r>
      <w:bookmarkEnd w:id="494"/>
    </w:p>
    <w:p w14:paraId="62152378">
      <w:pPr>
        <w:autoSpaceDE w:val="0"/>
        <w:autoSpaceDN w:val="0"/>
        <w:adjustRightInd w:val="0"/>
        <w:spacing w:line="360" w:lineRule="auto"/>
        <w:jc w:val="center"/>
        <w:outlineLvl w:val="9"/>
        <w:rPr>
          <w:rFonts w:hint="eastAsia" w:ascii="宋体" w:hAnsi="宋体" w:eastAsia="宋体" w:cs="宋体"/>
          <w:b/>
          <w:bCs/>
          <w:color w:val="auto"/>
          <w:sz w:val="36"/>
          <w:szCs w:val="36"/>
          <w:highlight w:val="none"/>
        </w:rPr>
      </w:pPr>
    </w:p>
    <w:p w14:paraId="75606336">
      <w:pPr>
        <w:autoSpaceDE w:val="0"/>
        <w:autoSpaceDN w:val="0"/>
        <w:adjustRightInd w:val="0"/>
        <w:spacing w:line="360" w:lineRule="auto"/>
        <w:jc w:val="center"/>
        <w:outlineLvl w:val="9"/>
        <w:rPr>
          <w:rFonts w:hint="eastAsia" w:ascii="宋体" w:hAnsi="宋体" w:eastAsia="宋体" w:cs="宋体"/>
          <w:b/>
          <w:bCs/>
          <w:color w:val="auto"/>
          <w:sz w:val="36"/>
          <w:szCs w:val="36"/>
          <w:highlight w:val="none"/>
        </w:rPr>
      </w:pPr>
    </w:p>
    <w:p w14:paraId="3FAB8850">
      <w:pPr>
        <w:autoSpaceDE w:val="0"/>
        <w:autoSpaceDN w:val="0"/>
        <w:adjustRightInd w:val="0"/>
        <w:spacing w:line="360" w:lineRule="auto"/>
        <w:jc w:val="center"/>
        <w:outlineLvl w:val="9"/>
        <w:rPr>
          <w:rFonts w:hint="eastAsia" w:ascii="宋体" w:hAnsi="宋体" w:eastAsia="宋体" w:cs="宋体"/>
          <w:b/>
          <w:bCs/>
          <w:color w:val="auto"/>
          <w:sz w:val="36"/>
          <w:szCs w:val="36"/>
          <w:highlight w:val="none"/>
        </w:rPr>
      </w:pPr>
    </w:p>
    <w:p w14:paraId="79BA0D03">
      <w:pPr>
        <w:autoSpaceDE w:val="0"/>
        <w:autoSpaceDN w:val="0"/>
        <w:adjustRightInd w:val="0"/>
        <w:spacing w:line="360" w:lineRule="auto"/>
        <w:jc w:val="center"/>
        <w:outlineLvl w:val="9"/>
        <w:rPr>
          <w:rFonts w:hint="eastAsia" w:ascii="宋体" w:hAnsi="宋体" w:eastAsia="宋体" w:cs="宋体"/>
          <w:b/>
          <w:bCs/>
          <w:color w:val="auto"/>
          <w:sz w:val="36"/>
          <w:szCs w:val="36"/>
          <w:highlight w:val="none"/>
        </w:rPr>
      </w:pPr>
    </w:p>
    <w:p w14:paraId="241C5CAD">
      <w:pPr>
        <w:autoSpaceDE w:val="0"/>
        <w:autoSpaceDN w:val="0"/>
        <w:adjustRightInd w:val="0"/>
        <w:spacing w:line="360" w:lineRule="auto"/>
        <w:jc w:val="center"/>
        <w:outlineLvl w:val="9"/>
        <w:rPr>
          <w:rFonts w:hint="eastAsia" w:ascii="宋体" w:hAnsi="宋体" w:eastAsia="宋体" w:cs="宋体"/>
          <w:b/>
          <w:bCs/>
          <w:color w:val="auto"/>
          <w:sz w:val="72"/>
          <w:szCs w:val="72"/>
          <w:highlight w:val="none"/>
          <w:lang w:val="zh-CN"/>
        </w:rPr>
      </w:pPr>
      <w:bookmarkStart w:id="495" w:name="_Toc18947_WPSOffice_Level2"/>
      <w:r>
        <w:rPr>
          <w:rFonts w:hint="eastAsia" w:ascii="宋体" w:hAnsi="宋体" w:eastAsia="宋体" w:cs="宋体"/>
          <w:b/>
          <w:bCs/>
          <w:color w:val="auto"/>
          <w:sz w:val="72"/>
          <w:szCs w:val="72"/>
          <w:highlight w:val="none"/>
          <w:lang w:val="zh-CN"/>
        </w:rPr>
        <w:t>评标工作大纲</w:t>
      </w:r>
      <w:bookmarkEnd w:id="495"/>
    </w:p>
    <w:p w14:paraId="7BFABD8D">
      <w:pPr>
        <w:autoSpaceDE w:val="0"/>
        <w:autoSpaceDN w:val="0"/>
        <w:adjustRightInd w:val="0"/>
        <w:spacing w:line="360" w:lineRule="auto"/>
        <w:jc w:val="center"/>
        <w:outlineLvl w:val="9"/>
        <w:rPr>
          <w:rFonts w:hint="eastAsia" w:ascii="宋体" w:hAnsi="宋体" w:eastAsia="宋体" w:cs="宋体"/>
          <w:b/>
          <w:bCs/>
          <w:color w:val="auto"/>
          <w:sz w:val="36"/>
          <w:szCs w:val="36"/>
          <w:highlight w:val="none"/>
        </w:rPr>
      </w:pPr>
    </w:p>
    <w:p w14:paraId="51AADA67">
      <w:pPr>
        <w:autoSpaceDE w:val="0"/>
        <w:autoSpaceDN w:val="0"/>
        <w:adjustRightInd w:val="0"/>
        <w:spacing w:line="360" w:lineRule="auto"/>
        <w:jc w:val="center"/>
        <w:outlineLvl w:val="9"/>
        <w:rPr>
          <w:rFonts w:hint="eastAsia" w:ascii="宋体" w:hAnsi="宋体" w:eastAsia="宋体" w:cs="宋体"/>
          <w:b/>
          <w:bCs/>
          <w:color w:val="auto"/>
          <w:sz w:val="36"/>
          <w:szCs w:val="36"/>
          <w:highlight w:val="none"/>
        </w:rPr>
      </w:pPr>
    </w:p>
    <w:p w14:paraId="51259FFB">
      <w:pPr>
        <w:autoSpaceDE w:val="0"/>
        <w:autoSpaceDN w:val="0"/>
        <w:adjustRightInd w:val="0"/>
        <w:spacing w:line="360" w:lineRule="auto"/>
        <w:jc w:val="center"/>
        <w:outlineLvl w:val="9"/>
        <w:rPr>
          <w:rFonts w:hint="eastAsia" w:ascii="宋体" w:hAnsi="宋体" w:eastAsia="宋体" w:cs="宋体"/>
          <w:b/>
          <w:bCs/>
          <w:color w:val="auto"/>
          <w:sz w:val="36"/>
          <w:szCs w:val="36"/>
          <w:highlight w:val="none"/>
        </w:rPr>
      </w:pPr>
    </w:p>
    <w:p w14:paraId="66D10929">
      <w:pPr>
        <w:autoSpaceDE w:val="0"/>
        <w:autoSpaceDN w:val="0"/>
        <w:adjustRightInd w:val="0"/>
        <w:spacing w:line="360" w:lineRule="auto"/>
        <w:jc w:val="center"/>
        <w:outlineLvl w:val="9"/>
        <w:rPr>
          <w:rFonts w:hint="eastAsia" w:ascii="宋体" w:hAnsi="宋体" w:eastAsia="宋体" w:cs="宋体"/>
          <w:b/>
          <w:bCs/>
          <w:color w:val="auto"/>
          <w:sz w:val="36"/>
          <w:szCs w:val="36"/>
          <w:highlight w:val="none"/>
        </w:rPr>
      </w:pPr>
    </w:p>
    <w:p w14:paraId="61B36B26">
      <w:pPr>
        <w:autoSpaceDE w:val="0"/>
        <w:autoSpaceDN w:val="0"/>
        <w:adjustRightInd w:val="0"/>
        <w:spacing w:line="360" w:lineRule="auto"/>
        <w:jc w:val="center"/>
        <w:outlineLvl w:val="9"/>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lang w:val="zh-CN"/>
        </w:rPr>
        <w:t>广东有德招标采购有限公司</w:t>
      </w:r>
    </w:p>
    <w:p w14:paraId="2D3DD4A9">
      <w:pPr>
        <w:autoSpaceDE w:val="0"/>
        <w:autoSpaceDN w:val="0"/>
        <w:adjustRightInd w:val="0"/>
        <w:spacing w:line="360" w:lineRule="auto"/>
        <w:jc w:val="center"/>
        <w:outlineLvl w:val="9"/>
        <w:rPr>
          <w:rFonts w:hint="eastAsia" w:ascii="宋体" w:hAnsi="宋体" w:eastAsia="宋体" w:cs="宋体"/>
          <w:b/>
          <w:bCs/>
          <w:color w:val="auto"/>
          <w:sz w:val="36"/>
          <w:szCs w:val="36"/>
          <w:highlight w:val="none"/>
        </w:rPr>
      </w:pPr>
    </w:p>
    <w:p w14:paraId="5B4AA51E">
      <w:pPr>
        <w:autoSpaceDE w:val="0"/>
        <w:autoSpaceDN w:val="0"/>
        <w:adjustRightInd w:val="0"/>
        <w:spacing w:line="360" w:lineRule="auto"/>
        <w:jc w:val="center"/>
        <w:outlineLvl w:val="9"/>
        <w:rPr>
          <w:rFonts w:hint="eastAsia" w:ascii="宋体" w:hAnsi="宋体" w:eastAsia="宋体" w:cs="宋体"/>
          <w:b/>
          <w:bCs/>
          <w:color w:val="auto"/>
          <w:sz w:val="36"/>
          <w:szCs w:val="36"/>
          <w:highlight w:val="none"/>
        </w:rPr>
      </w:pPr>
      <w:r>
        <w:rPr>
          <w:rFonts w:hint="eastAsia" w:ascii="宋体" w:hAnsi="宋体" w:eastAsia="宋体" w:cs="宋体"/>
          <w:color w:val="auto"/>
          <w:sz w:val="44"/>
          <w:szCs w:val="44"/>
          <w:highlight w:val="none"/>
        </w:rPr>
        <w:br w:type="page"/>
      </w:r>
      <w:bookmarkStart w:id="496" w:name="_Toc32395_WPSOffice_Level1"/>
      <w:r>
        <w:rPr>
          <w:rFonts w:hint="eastAsia" w:ascii="宋体" w:hAnsi="宋体" w:eastAsia="宋体" w:cs="宋体"/>
          <w:b/>
          <w:bCs/>
          <w:color w:val="auto"/>
          <w:sz w:val="36"/>
          <w:szCs w:val="36"/>
          <w:highlight w:val="none"/>
          <w:lang w:val="zh-CN"/>
        </w:rPr>
        <w:t>目录</w:t>
      </w:r>
      <w:bookmarkEnd w:id="496"/>
    </w:p>
    <w:p w14:paraId="49E7BB82">
      <w:pPr>
        <w:autoSpaceDE w:val="0"/>
        <w:autoSpaceDN w:val="0"/>
        <w:adjustRightInd w:val="0"/>
        <w:spacing w:line="360" w:lineRule="auto"/>
        <w:jc w:val="center"/>
        <w:outlineLvl w:val="9"/>
        <w:rPr>
          <w:rFonts w:hint="eastAsia" w:ascii="宋体" w:hAnsi="宋体" w:eastAsia="宋体" w:cs="宋体"/>
          <w:color w:val="auto"/>
          <w:sz w:val="44"/>
          <w:szCs w:val="44"/>
          <w:highlight w:val="none"/>
        </w:rPr>
      </w:pPr>
    </w:p>
    <w:p w14:paraId="0BADEF6B">
      <w:pPr>
        <w:autoSpaceDE w:val="0"/>
        <w:autoSpaceDN w:val="0"/>
        <w:adjustRightInd w:val="0"/>
        <w:spacing w:line="360" w:lineRule="auto"/>
        <w:ind w:left="567" w:hanging="567"/>
        <w:outlineLvl w:val="9"/>
        <w:rPr>
          <w:rFonts w:hint="eastAsia" w:ascii="宋体" w:hAnsi="宋体" w:eastAsia="宋体" w:cs="宋体"/>
          <w:color w:val="auto"/>
          <w:szCs w:val="30"/>
          <w:highlight w:val="none"/>
        </w:rPr>
      </w:pPr>
      <w:bookmarkStart w:id="497" w:name="_Toc21604_WPSOffice_Level1"/>
      <w:r>
        <w:rPr>
          <w:rFonts w:hint="eastAsia" w:ascii="宋体" w:hAnsi="宋体" w:eastAsia="宋体" w:cs="宋体"/>
          <w:color w:val="auto"/>
          <w:szCs w:val="30"/>
          <w:highlight w:val="none"/>
          <w:lang w:val="zh-CN"/>
        </w:rPr>
        <w:t>一、</w:t>
      </w:r>
      <w:r>
        <w:rPr>
          <w:rFonts w:hint="eastAsia" w:ascii="宋体" w:hAnsi="宋体" w:eastAsia="宋体" w:cs="宋体"/>
          <w:color w:val="auto"/>
          <w:szCs w:val="30"/>
          <w:highlight w:val="none"/>
          <w:lang w:val="zh-CN"/>
        </w:rPr>
        <w:tab/>
      </w:r>
      <w:r>
        <w:rPr>
          <w:rFonts w:hint="eastAsia" w:ascii="宋体" w:hAnsi="宋体" w:eastAsia="宋体" w:cs="宋体"/>
          <w:color w:val="auto"/>
          <w:szCs w:val="30"/>
          <w:highlight w:val="none"/>
          <w:lang w:val="zh-CN"/>
        </w:rPr>
        <w:t>总则</w:t>
      </w:r>
      <w:bookmarkEnd w:id="497"/>
    </w:p>
    <w:p w14:paraId="7B5BA0CB">
      <w:pPr>
        <w:autoSpaceDE w:val="0"/>
        <w:autoSpaceDN w:val="0"/>
        <w:adjustRightInd w:val="0"/>
        <w:spacing w:line="360" w:lineRule="auto"/>
        <w:ind w:left="567" w:hanging="567"/>
        <w:outlineLvl w:val="9"/>
        <w:rPr>
          <w:rFonts w:hint="eastAsia" w:ascii="宋体" w:hAnsi="宋体" w:eastAsia="宋体" w:cs="宋体"/>
          <w:color w:val="auto"/>
          <w:szCs w:val="30"/>
          <w:highlight w:val="none"/>
        </w:rPr>
      </w:pPr>
      <w:bookmarkStart w:id="498" w:name="_Toc1387_WPSOffice_Level1"/>
      <w:r>
        <w:rPr>
          <w:rFonts w:hint="eastAsia" w:ascii="宋体" w:hAnsi="宋体" w:eastAsia="宋体" w:cs="宋体"/>
          <w:color w:val="auto"/>
          <w:szCs w:val="30"/>
          <w:highlight w:val="none"/>
          <w:lang w:val="zh-CN"/>
        </w:rPr>
        <w:t>二、</w:t>
      </w:r>
      <w:r>
        <w:rPr>
          <w:rFonts w:hint="eastAsia" w:ascii="宋体" w:hAnsi="宋体" w:eastAsia="宋体" w:cs="宋体"/>
          <w:color w:val="auto"/>
          <w:szCs w:val="30"/>
          <w:highlight w:val="none"/>
          <w:lang w:val="zh-CN"/>
        </w:rPr>
        <w:tab/>
      </w:r>
      <w:r>
        <w:rPr>
          <w:rFonts w:hint="eastAsia" w:ascii="宋体" w:hAnsi="宋体" w:eastAsia="宋体" w:cs="宋体"/>
          <w:color w:val="auto"/>
          <w:szCs w:val="30"/>
          <w:highlight w:val="none"/>
          <w:lang w:val="zh-CN"/>
        </w:rPr>
        <w:t>投标文件的初审</w:t>
      </w:r>
      <w:bookmarkEnd w:id="498"/>
    </w:p>
    <w:p w14:paraId="07188BB8">
      <w:pPr>
        <w:autoSpaceDE w:val="0"/>
        <w:autoSpaceDN w:val="0"/>
        <w:adjustRightInd w:val="0"/>
        <w:spacing w:line="360" w:lineRule="auto"/>
        <w:ind w:left="567" w:hanging="567"/>
        <w:outlineLvl w:val="9"/>
        <w:rPr>
          <w:rFonts w:hint="eastAsia" w:ascii="宋体" w:hAnsi="宋体" w:eastAsia="宋体" w:cs="宋体"/>
          <w:color w:val="auto"/>
          <w:szCs w:val="30"/>
          <w:highlight w:val="none"/>
        </w:rPr>
      </w:pPr>
      <w:bookmarkStart w:id="499" w:name="_Toc30284_WPSOffice_Level1"/>
      <w:r>
        <w:rPr>
          <w:rFonts w:hint="eastAsia" w:ascii="宋体" w:hAnsi="宋体" w:eastAsia="宋体" w:cs="宋体"/>
          <w:color w:val="auto"/>
          <w:szCs w:val="30"/>
          <w:highlight w:val="none"/>
          <w:lang w:val="zh-CN"/>
        </w:rPr>
        <w:t>三、</w:t>
      </w:r>
      <w:r>
        <w:rPr>
          <w:rFonts w:hint="eastAsia" w:ascii="宋体" w:hAnsi="宋体" w:eastAsia="宋体" w:cs="宋体"/>
          <w:color w:val="auto"/>
          <w:szCs w:val="30"/>
          <w:highlight w:val="none"/>
          <w:lang w:val="zh-CN"/>
        </w:rPr>
        <w:tab/>
      </w:r>
      <w:r>
        <w:rPr>
          <w:rFonts w:hint="eastAsia" w:ascii="宋体" w:hAnsi="宋体" w:eastAsia="宋体" w:cs="宋体"/>
          <w:color w:val="auto"/>
          <w:szCs w:val="30"/>
          <w:highlight w:val="none"/>
          <w:lang w:val="zh-CN"/>
        </w:rPr>
        <w:t>澄清有关问题</w:t>
      </w:r>
      <w:bookmarkEnd w:id="499"/>
    </w:p>
    <w:p w14:paraId="150AB5A1">
      <w:pPr>
        <w:autoSpaceDE w:val="0"/>
        <w:autoSpaceDN w:val="0"/>
        <w:adjustRightInd w:val="0"/>
        <w:spacing w:line="360" w:lineRule="auto"/>
        <w:ind w:left="567" w:hanging="567"/>
        <w:outlineLvl w:val="9"/>
        <w:rPr>
          <w:rFonts w:hint="eastAsia" w:ascii="宋体" w:hAnsi="宋体" w:eastAsia="宋体" w:cs="宋体"/>
          <w:color w:val="auto"/>
          <w:szCs w:val="30"/>
          <w:highlight w:val="none"/>
        </w:rPr>
      </w:pPr>
      <w:bookmarkStart w:id="500" w:name="_Toc1206_WPSOffice_Level1"/>
      <w:r>
        <w:rPr>
          <w:rFonts w:hint="eastAsia" w:ascii="宋体" w:hAnsi="宋体" w:eastAsia="宋体" w:cs="宋体"/>
          <w:color w:val="auto"/>
          <w:szCs w:val="30"/>
          <w:highlight w:val="none"/>
        </w:rPr>
        <w:t>四、 比较和评价</w:t>
      </w:r>
      <w:bookmarkEnd w:id="500"/>
    </w:p>
    <w:p w14:paraId="176C0D30">
      <w:pPr>
        <w:autoSpaceDE w:val="0"/>
        <w:autoSpaceDN w:val="0"/>
        <w:adjustRightInd w:val="0"/>
        <w:spacing w:line="360" w:lineRule="auto"/>
        <w:ind w:left="567" w:hanging="567"/>
        <w:outlineLvl w:val="9"/>
        <w:rPr>
          <w:rFonts w:hint="eastAsia" w:ascii="宋体" w:hAnsi="宋体" w:eastAsia="宋体" w:cs="宋体"/>
          <w:color w:val="auto"/>
          <w:szCs w:val="30"/>
          <w:highlight w:val="none"/>
        </w:rPr>
      </w:pPr>
      <w:bookmarkStart w:id="501" w:name="_Toc12163_WPSOffice_Level1"/>
      <w:r>
        <w:rPr>
          <w:rFonts w:hint="eastAsia" w:ascii="宋体" w:hAnsi="宋体" w:eastAsia="宋体" w:cs="宋体"/>
          <w:color w:val="auto"/>
          <w:szCs w:val="30"/>
          <w:highlight w:val="none"/>
          <w:lang w:val="zh-CN"/>
        </w:rPr>
        <w:t>五、</w:t>
      </w:r>
      <w:r>
        <w:rPr>
          <w:rFonts w:hint="eastAsia" w:ascii="宋体" w:hAnsi="宋体" w:eastAsia="宋体" w:cs="宋体"/>
          <w:color w:val="auto"/>
          <w:szCs w:val="30"/>
          <w:highlight w:val="none"/>
          <w:lang w:val="zh-CN"/>
        </w:rPr>
        <w:tab/>
      </w:r>
      <w:r>
        <w:rPr>
          <w:rFonts w:hint="eastAsia" w:ascii="宋体" w:hAnsi="宋体" w:eastAsia="宋体" w:cs="宋体"/>
          <w:color w:val="auto"/>
          <w:szCs w:val="30"/>
          <w:highlight w:val="none"/>
          <w:lang w:val="zh-CN"/>
        </w:rPr>
        <w:t>推荐中标候选人名单</w:t>
      </w:r>
      <w:bookmarkEnd w:id="501"/>
    </w:p>
    <w:p w14:paraId="155F23E3">
      <w:pPr>
        <w:autoSpaceDE w:val="0"/>
        <w:autoSpaceDN w:val="0"/>
        <w:adjustRightInd w:val="0"/>
        <w:spacing w:line="360" w:lineRule="auto"/>
        <w:ind w:left="567" w:hanging="567"/>
        <w:outlineLvl w:val="9"/>
        <w:rPr>
          <w:rFonts w:hint="eastAsia" w:ascii="宋体" w:hAnsi="宋体" w:eastAsia="宋体" w:cs="宋体"/>
          <w:color w:val="auto"/>
          <w:szCs w:val="30"/>
          <w:highlight w:val="none"/>
        </w:rPr>
      </w:pPr>
      <w:bookmarkStart w:id="502" w:name="_Toc366_WPSOffice_Level1"/>
      <w:r>
        <w:rPr>
          <w:rFonts w:hint="eastAsia" w:ascii="宋体" w:hAnsi="宋体" w:eastAsia="宋体" w:cs="宋体"/>
          <w:color w:val="auto"/>
          <w:szCs w:val="30"/>
          <w:highlight w:val="none"/>
          <w:lang w:val="zh-CN"/>
        </w:rPr>
        <w:t>六、</w:t>
      </w:r>
      <w:r>
        <w:rPr>
          <w:rFonts w:hint="eastAsia" w:ascii="宋体" w:hAnsi="宋体" w:eastAsia="宋体" w:cs="宋体"/>
          <w:color w:val="auto"/>
          <w:szCs w:val="30"/>
          <w:highlight w:val="none"/>
          <w:lang w:val="zh-CN"/>
        </w:rPr>
        <w:tab/>
      </w:r>
      <w:r>
        <w:rPr>
          <w:rFonts w:hint="eastAsia" w:ascii="宋体" w:hAnsi="宋体" w:eastAsia="宋体" w:cs="宋体"/>
          <w:color w:val="auto"/>
          <w:szCs w:val="30"/>
          <w:highlight w:val="none"/>
          <w:lang w:val="zh-CN"/>
        </w:rPr>
        <w:t>编写评标报告</w:t>
      </w:r>
      <w:bookmarkEnd w:id="502"/>
    </w:p>
    <w:p w14:paraId="4DCE7369">
      <w:pPr>
        <w:autoSpaceDE w:val="0"/>
        <w:autoSpaceDN w:val="0"/>
        <w:adjustRightInd w:val="0"/>
        <w:spacing w:line="360" w:lineRule="auto"/>
        <w:ind w:left="567" w:hanging="567"/>
        <w:outlineLvl w:val="9"/>
        <w:rPr>
          <w:rFonts w:hint="eastAsia" w:ascii="宋体" w:hAnsi="宋体" w:eastAsia="宋体" w:cs="宋体"/>
          <w:color w:val="auto"/>
          <w:szCs w:val="30"/>
          <w:highlight w:val="none"/>
        </w:rPr>
      </w:pPr>
      <w:bookmarkStart w:id="503" w:name="_Toc22378_WPSOffice_Level1"/>
      <w:r>
        <w:rPr>
          <w:rFonts w:hint="eastAsia" w:ascii="宋体" w:hAnsi="宋体" w:eastAsia="宋体" w:cs="宋体"/>
          <w:color w:val="auto"/>
          <w:szCs w:val="30"/>
          <w:highlight w:val="none"/>
          <w:lang w:val="zh-CN"/>
        </w:rPr>
        <w:t>七、</w:t>
      </w:r>
      <w:r>
        <w:rPr>
          <w:rFonts w:hint="eastAsia" w:ascii="宋体" w:hAnsi="宋体" w:eastAsia="宋体" w:cs="宋体"/>
          <w:color w:val="auto"/>
          <w:szCs w:val="30"/>
          <w:highlight w:val="none"/>
          <w:lang w:val="zh-CN"/>
        </w:rPr>
        <w:tab/>
      </w:r>
      <w:r>
        <w:rPr>
          <w:rFonts w:hint="eastAsia" w:ascii="宋体" w:hAnsi="宋体" w:eastAsia="宋体" w:cs="宋体"/>
          <w:color w:val="auto"/>
          <w:szCs w:val="30"/>
          <w:highlight w:val="none"/>
          <w:lang w:val="zh-CN"/>
        </w:rPr>
        <w:t>注意事项</w:t>
      </w:r>
      <w:bookmarkEnd w:id="503"/>
    </w:p>
    <w:p w14:paraId="46504D39">
      <w:pPr>
        <w:tabs>
          <w:tab w:val="right" w:pos="7320"/>
        </w:tabs>
        <w:autoSpaceDE w:val="0"/>
        <w:autoSpaceDN w:val="0"/>
        <w:adjustRightInd w:val="0"/>
        <w:spacing w:line="360" w:lineRule="auto"/>
        <w:ind w:left="720" w:hanging="720"/>
        <w:outlineLvl w:val="9"/>
        <w:rPr>
          <w:rFonts w:hint="eastAsia" w:ascii="宋体" w:hAnsi="宋体" w:eastAsia="宋体" w:cs="宋体"/>
          <w:color w:val="auto"/>
          <w:szCs w:val="30"/>
          <w:highlight w:val="none"/>
        </w:rPr>
      </w:pPr>
    </w:p>
    <w:p w14:paraId="7D9B73DD">
      <w:pPr>
        <w:tabs>
          <w:tab w:val="right" w:pos="7320"/>
        </w:tabs>
        <w:autoSpaceDE w:val="0"/>
        <w:autoSpaceDN w:val="0"/>
        <w:adjustRightInd w:val="0"/>
        <w:spacing w:line="360" w:lineRule="auto"/>
        <w:ind w:left="720" w:hanging="720"/>
        <w:outlineLvl w:val="9"/>
        <w:rPr>
          <w:rFonts w:hint="eastAsia" w:ascii="宋体" w:hAnsi="宋体" w:eastAsia="宋体" w:cs="宋体"/>
          <w:color w:val="auto"/>
          <w:szCs w:val="30"/>
          <w:highlight w:val="none"/>
        </w:rPr>
      </w:pPr>
    </w:p>
    <w:p w14:paraId="66E93C52">
      <w:pPr>
        <w:tabs>
          <w:tab w:val="left" w:pos="1080"/>
          <w:tab w:val="right" w:pos="7320"/>
        </w:tabs>
        <w:autoSpaceDE w:val="0"/>
        <w:autoSpaceDN w:val="0"/>
        <w:adjustRightInd w:val="0"/>
        <w:spacing w:line="360" w:lineRule="auto"/>
        <w:ind w:left="720" w:hanging="720"/>
        <w:outlineLvl w:val="9"/>
        <w:rPr>
          <w:rFonts w:hint="eastAsia" w:ascii="宋体" w:hAnsi="宋体" w:eastAsia="宋体" w:cs="宋体"/>
          <w:color w:val="auto"/>
          <w:szCs w:val="30"/>
          <w:highlight w:val="none"/>
        </w:rPr>
      </w:pPr>
    </w:p>
    <w:p w14:paraId="5A7C9C9C">
      <w:pPr>
        <w:tabs>
          <w:tab w:val="left" w:pos="1140"/>
        </w:tabs>
        <w:autoSpaceDE w:val="0"/>
        <w:autoSpaceDN w:val="0"/>
        <w:adjustRightInd w:val="0"/>
        <w:spacing w:line="360" w:lineRule="auto"/>
        <w:jc w:val="center"/>
        <w:outlineLvl w:val="9"/>
        <w:rPr>
          <w:rFonts w:hint="eastAsia" w:ascii="宋体" w:hAnsi="宋体" w:eastAsia="宋体" w:cs="宋体"/>
          <w:b/>
          <w:bCs/>
          <w:color w:val="auto"/>
          <w:sz w:val="28"/>
          <w:szCs w:val="28"/>
          <w:highlight w:val="none"/>
        </w:rPr>
      </w:pPr>
      <w:r>
        <w:rPr>
          <w:rFonts w:hint="eastAsia" w:ascii="宋体" w:hAnsi="宋体" w:eastAsia="宋体" w:cs="宋体"/>
          <w:color w:val="auto"/>
          <w:sz w:val="30"/>
          <w:szCs w:val="30"/>
          <w:highlight w:val="none"/>
        </w:rPr>
        <w:br w:type="page"/>
      </w:r>
      <w:bookmarkStart w:id="504" w:name="_Toc27181_WPSOffice_Level1"/>
      <w:r>
        <w:rPr>
          <w:rFonts w:hint="eastAsia" w:ascii="宋体" w:hAnsi="宋体" w:eastAsia="宋体" w:cs="宋体"/>
          <w:color w:val="auto"/>
          <w:sz w:val="28"/>
          <w:szCs w:val="28"/>
          <w:highlight w:val="none"/>
          <w:lang w:val="zh-CN"/>
        </w:rPr>
        <w:t>一、</w:t>
      </w:r>
      <w:r>
        <w:rPr>
          <w:rFonts w:hint="eastAsia" w:ascii="宋体" w:hAnsi="宋体" w:eastAsia="宋体" w:cs="宋体"/>
          <w:b/>
          <w:bCs/>
          <w:color w:val="auto"/>
          <w:sz w:val="28"/>
          <w:szCs w:val="28"/>
          <w:highlight w:val="none"/>
          <w:lang w:val="zh-CN"/>
        </w:rPr>
        <w:t>总则</w:t>
      </w:r>
      <w:bookmarkEnd w:id="504"/>
    </w:p>
    <w:p w14:paraId="0D1D7AA4">
      <w:pPr>
        <w:tabs>
          <w:tab w:val="left" w:pos="567"/>
          <w:tab w:val="left" w:pos="600"/>
        </w:tabs>
        <w:autoSpaceDE w:val="0"/>
        <w:autoSpaceDN w:val="0"/>
        <w:adjustRightInd w:val="0"/>
        <w:spacing w:line="360" w:lineRule="auto"/>
        <w:ind w:left="600" w:hanging="600"/>
        <w:outlineLvl w:val="9"/>
        <w:rPr>
          <w:rFonts w:hint="eastAsia" w:ascii="宋体" w:hAnsi="宋体" w:eastAsia="宋体" w:cs="宋体"/>
          <w:b/>
          <w:bCs/>
          <w:color w:val="auto"/>
          <w:szCs w:val="24"/>
          <w:highlight w:val="none"/>
          <w:lang w:val="zh-CN"/>
        </w:rPr>
      </w:pPr>
      <w:r>
        <w:rPr>
          <w:rFonts w:hint="eastAsia" w:ascii="宋体" w:hAnsi="宋体" w:eastAsia="宋体" w:cs="宋体"/>
          <w:b/>
          <w:bCs/>
          <w:color w:val="auto"/>
          <w:szCs w:val="24"/>
          <w:highlight w:val="none"/>
          <w:lang w:val="zh-CN"/>
        </w:rPr>
        <w:t>1、一般规定</w:t>
      </w:r>
    </w:p>
    <w:p w14:paraId="35B41332">
      <w:pPr>
        <w:autoSpaceDE w:val="0"/>
        <w:autoSpaceDN w:val="0"/>
        <w:adjustRightInd w:val="0"/>
        <w:spacing w:line="360" w:lineRule="auto"/>
        <w:ind w:left="567" w:hanging="567"/>
        <w:outlineLvl w:val="9"/>
        <w:rPr>
          <w:rFonts w:hint="eastAsia" w:ascii="宋体" w:hAnsi="宋体" w:eastAsia="宋体" w:cs="宋体"/>
          <w:color w:val="auto"/>
          <w:kern w:val="0"/>
          <w:szCs w:val="32"/>
          <w:highlight w:val="none"/>
        </w:rPr>
      </w:pPr>
      <w:r>
        <w:rPr>
          <w:rFonts w:hint="eastAsia" w:ascii="宋体" w:hAnsi="宋体" w:eastAsia="宋体" w:cs="宋体"/>
          <w:color w:val="auto"/>
          <w:szCs w:val="21"/>
          <w:highlight w:val="none"/>
          <w:lang w:val="zh-CN"/>
        </w:rPr>
        <w:t>1.1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2025年前端设备运维服务项目(招标编号：YDZB25DGQY0185</w:t>
      </w:r>
      <w:r>
        <w:rPr>
          <w:rFonts w:hint="eastAsia" w:ascii="宋体" w:hAnsi="宋体" w:eastAsia="宋体" w:cs="宋体"/>
          <w:color w:val="auto"/>
          <w:kern w:val="0"/>
          <w:szCs w:val="32"/>
          <w:highlight w:val="none"/>
        </w:rPr>
        <w:t>)的</w:t>
      </w:r>
      <w:r>
        <w:rPr>
          <w:rFonts w:hint="eastAsia" w:ascii="宋体" w:hAnsi="宋体" w:eastAsia="宋体" w:cs="宋体"/>
          <w:color w:val="auto"/>
          <w:szCs w:val="21"/>
          <w:highlight w:val="none"/>
          <w:lang w:val="zh-CN"/>
        </w:rPr>
        <w:t>招标</w:t>
      </w:r>
      <w:r>
        <w:rPr>
          <w:rFonts w:hint="eastAsia" w:ascii="宋体" w:hAnsi="宋体" w:eastAsia="宋体" w:cs="宋体"/>
          <w:color w:val="auto"/>
          <w:kern w:val="0"/>
          <w:szCs w:val="32"/>
          <w:highlight w:val="none"/>
        </w:rPr>
        <w:t>按照《中华人民共和国招标投标法》等有关规定进行。</w:t>
      </w:r>
    </w:p>
    <w:p w14:paraId="4D2221B8">
      <w:pPr>
        <w:autoSpaceDE w:val="0"/>
        <w:autoSpaceDN w:val="0"/>
        <w:adjustRightInd w:val="0"/>
        <w:spacing w:line="360" w:lineRule="auto"/>
        <w:ind w:left="567" w:hanging="567"/>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1.2</w:t>
      </w:r>
      <w:r>
        <w:rPr>
          <w:rFonts w:hint="eastAsia" w:ascii="宋体" w:hAnsi="宋体" w:eastAsia="宋体" w:cs="宋体"/>
          <w:color w:val="auto"/>
          <w:szCs w:val="24"/>
          <w:highlight w:val="none"/>
          <w:lang w:val="zh-CN"/>
        </w:rPr>
        <w:tab/>
      </w:r>
      <w:r>
        <w:rPr>
          <w:rFonts w:hint="eastAsia" w:ascii="宋体" w:hAnsi="宋体" w:eastAsia="宋体" w:cs="宋体"/>
          <w:color w:val="auto"/>
          <w:szCs w:val="24"/>
          <w:highlight w:val="none"/>
          <w:lang w:val="zh-CN"/>
        </w:rPr>
        <w:t>评标必须遵循公平、公正、诚实信用的原则。</w:t>
      </w:r>
    </w:p>
    <w:p w14:paraId="639C173A">
      <w:pPr>
        <w:autoSpaceDE w:val="0"/>
        <w:autoSpaceDN w:val="0"/>
        <w:adjustRightInd w:val="0"/>
        <w:spacing w:line="360" w:lineRule="auto"/>
        <w:ind w:left="567" w:hanging="567"/>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1.3</w:t>
      </w:r>
      <w:r>
        <w:rPr>
          <w:rFonts w:hint="eastAsia" w:ascii="宋体" w:hAnsi="宋体" w:eastAsia="宋体" w:cs="宋体"/>
          <w:color w:val="auto"/>
          <w:szCs w:val="24"/>
          <w:highlight w:val="none"/>
          <w:lang w:val="zh-CN"/>
        </w:rPr>
        <w:tab/>
      </w:r>
      <w:r>
        <w:rPr>
          <w:rFonts w:hint="eastAsia" w:ascii="宋体" w:hAnsi="宋体" w:eastAsia="宋体" w:cs="宋体"/>
          <w:color w:val="auto"/>
          <w:szCs w:val="24"/>
          <w:highlight w:val="none"/>
          <w:lang w:val="zh-CN"/>
        </w:rPr>
        <w:t>招标代理机构</w:t>
      </w:r>
      <w:r>
        <w:rPr>
          <w:rFonts w:hint="eastAsia" w:ascii="宋体" w:hAnsi="宋体" w:eastAsia="宋体" w:cs="宋体"/>
          <w:color w:val="auto"/>
          <w:kern w:val="0"/>
          <w:szCs w:val="32"/>
          <w:highlight w:val="none"/>
        </w:rPr>
        <w:t>(广东有德招标采购有限公司）组</w:t>
      </w:r>
      <w:r>
        <w:rPr>
          <w:rFonts w:hint="eastAsia" w:ascii="宋体" w:hAnsi="宋体" w:eastAsia="宋体" w:cs="宋体"/>
          <w:color w:val="auto"/>
          <w:szCs w:val="24"/>
          <w:highlight w:val="none"/>
          <w:lang w:val="zh-CN"/>
        </w:rPr>
        <w:t>织评标工作，全过程接受招标人及相关部门的监督、管理和指导。</w:t>
      </w:r>
    </w:p>
    <w:p w14:paraId="03CC0670">
      <w:pPr>
        <w:autoSpaceDE w:val="0"/>
        <w:autoSpaceDN w:val="0"/>
        <w:adjustRightInd w:val="0"/>
        <w:spacing w:line="360" w:lineRule="auto"/>
        <w:ind w:left="567" w:hanging="567"/>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1.4</w:t>
      </w:r>
      <w:r>
        <w:rPr>
          <w:rFonts w:hint="eastAsia" w:ascii="宋体" w:hAnsi="宋体" w:eastAsia="宋体" w:cs="宋体"/>
          <w:color w:val="auto"/>
          <w:szCs w:val="24"/>
          <w:highlight w:val="none"/>
          <w:lang w:val="zh-CN"/>
        </w:rPr>
        <w:tab/>
      </w:r>
      <w:r>
        <w:rPr>
          <w:rFonts w:hint="eastAsia" w:ascii="宋体" w:hAnsi="宋体" w:eastAsia="宋体" w:cs="宋体"/>
          <w:color w:val="auto"/>
          <w:szCs w:val="24"/>
          <w:highlight w:val="none"/>
          <w:lang w:val="zh-CN"/>
        </w:rPr>
        <w:t>评标按照招标文件规定的内容进行，采取综合评分</w:t>
      </w:r>
      <w:r>
        <w:rPr>
          <w:rFonts w:hint="eastAsia" w:ascii="宋体" w:hAnsi="宋体" w:eastAsia="宋体" w:cs="宋体"/>
          <w:color w:val="auto"/>
          <w:szCs w:val="21"/>
          <w:highlight w:val="none"/>
        </w:rPr>
        <w:t>法进行评审</w:t>
      </w:r>
      <w:r>
        <w:rPr>
          <w:rFonts w:hint="eastAsia" w:ascii="宋体" w:hAnsi="宋体" w:eastAsia="宋体" w:cs="宋体"/>
          <w:color w:val="auto"/>
          <w:szCs w:val="24"/>
          <w:highlight w:val="none"/>
          <w:lang w:val="zh-CN"/>
        </w:rPr>
        <w:t>。</w:t>
      </w:r>
    </w:p>
    <w:p w14:paraId="42A540E7">
      <w:pPr>
        <w:numPr>
          <w:ilvl w:val="1"/>
          <w:numId w:val="36"/>
        </w:numPr>
        <w:autoSpaceDE w:val="0"/>
        <w:autoSpaceDN w:val="0"/>
        <w:adjustRightInd w:val="0"/>
        <w:spacing w:line="360" w:lineRule="auto"/>
        <w:ind w:left="565" w:hanging="564" w:hangingChars="269"/>
        <w:jc w:val="left"/>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rPr>
        <w:t xml:space="preserve"> </w:t>
      </w:r>
      <w:r>
        <w:rPr>
          <w:rFonts w:hint="eastAsia" w:ascii="宋体" w:hAnsi="宋体" w:eastAsia="宋体" w:cs="宋体"/>
          <w:color w:val="auto"/>
          <w:szCs w:val="24"/>
          <w:highlight w:val="none"/>
          <w:lang w:val="zh-CN"/>
        </w:rPr>
        <w:t>本办法的评审对象是指投标人按照招标文件要求提供的有效投标文件，包括投标人应评标委员会要求对原投标文件作出的正式书面澄清文件。</w:t>
      </w:r>
    </w:p>
    <w:p w14:paraId="42CFBD45">
      <w:pPr>
        <w:autoSpaceDE w:val="0"/>
        <w:autoSpaceDN w:val="0"/>
        <w:adjustRightInd w:val="0"/>
        <w:spacing w:line="360" w:lineRule="auto"/>
        <w:outlineLvl w:val="9"/>
        <w:rPr>
          <w:rFonts w:hint="eastAsia" w:ascii="宋体" w:hAnsi="宋体" w:eastAsia="宋体" w:cs="宋体"/>
          <w:color w:val="auto"/>
          <w:sz w:val="24"/>
          <w:szCs w:val="24"/>
          <w:highlight w:val="none"/>
          <w:lang w:val="zh-CN"/>
        </w:rPr>
      </w:pPr>
    </w:p>
    <w:p w14:paraId="136314E7">
      <w:pPr>
        <w:tabs>
          <w:tab w:val="left" w:pos="360"/>
          <w:tab w:val="left" w:pos="600"/>
        </w:tabs>
        <w:autoSpaceDE w:val="0"/>
        <w:autoSpaceDN w:val="0"/>
        <w:adjustRightInd w:val="0"/>
        <w:spacing w:line="360" w:lineRule="auto"/>
        <w:ind w:left="600" w:hanging="600"/>
        <w:outlineLvl w:val="9"/>
        <w:rPr>
          <w:rFonts w:hint="eastAsia" w:ascii="宋体" w:hAnsi="宋体" w:eastAsia="宋体" w:cs="宋体"/>
          <w:b/>
          <w:bCs/>
          <w:color w:val="auto"/>
          <w:szCs w:val="24"/>
          <w:highlight w:val="none"/>
          <w:lang w:val="zh-CN"/>
        </w:rPr>
      </w:pPr>
      <w:r>
        <w:rPr>
          <w:rFonts w:hint="eastAsia" w:ascii="宋体" w:hAnsi="宋体" w:eastAsia="宋体" w:cs="宋体"/>
          <w:b/>
          <w:bCs/>
          <w:color w:val="auto"/>
          <w:szCs w:val="24"/>
          <w:highlight w:val="none"/>
          <w:lang w:val="zh-CN"/>
        </w:rPr>
        <w:t>2、</w:t>
      </w:r>
      <w:r>
        <w:rPr>
          <w:rFonts w:hint="eastAsia" w:ascii="宋体" w:hAnsi="宋体" w:eastAsia="宋体" w:cs="宋体"/>
          <w:b/>
          <w:bCs/>
          <w:color w:val="auto"/>
          <w:szCs w:val="24"/>
          <w:highlight w:val="none"/>
          <w:lang w:val="zh-CN"/>
        </w:rPr>
        <w:tab/>
      </w:r>
      <w:r>
        <w:rPr>
          <w:rFonts w:hint="eastAsia" w:ascii="宋体" w:hAnsi="宋体" w:eastAsia="宋体" w:cs="宋体"/>
          <w:b/>
          <w:bCs/>
          <w:color w:val="auto"/>
          <w:szCs w:val="24"/>
          <w:highlight w:val="none"/>
          <w:lang w:val="zh-CN"/>
        </w:rPr>
        <w:t>评标组织机构的组成</w:t>
      </w:r>
    </w:p>
    <w:p w14:paraId="3F94BC42">
      <w:pPr>
        <w:tabs>
          <w:tab w:val="left" w:pos="567"/>
          <w:tab w:val="left" w:pos="1145"/>
        </w:tabs>
        <w:autoSpaceDE w:val="0"/>
        <w:autoSpaceDN w:val="0"/>
        <w:adjustRightInd w:val="0"/>
        <w:spacing w:line="360" w:lineRule="auto"/>
        <w:ind w:left="600" w:hanging="60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2.1</w:t>
      </w:r>
      <w:r>
        <w:rPr>
          <w:rFonts w:hint="eastAsia" w:ascii="宋体" w:hAnsi="宋体" w:eastAsia="宋体" w:cs="宋体"/>
          <w:color w:val="auto"/>
          <w:szCs w:val="24"/>
          <w:highlight w:val="none"/>
          <w:lang w:val="zh-CN"/>
        </w:rPr>
        <w:tab/>
      </w:r>
      <w:r>
        <w:rPr>
          <w:rFonts w:hint="eastAsia" w:ascii="宋体" w:hAnsi="宋体" w:eastAsia="宋体" w:cs="宋体"/>
          <w:color w:val="auto"/>
          <w:szCs w:val="24"/>
          <w:highlight w:val="none"/>
          <w:lang w:val="zh-CN"/>
        </w:rPr>
        <w:t>评标委员会</w:t>
      </w:r>
      <w:r>
        <w:rPr>
          <w:rFonts w:hint="eastAsia" w:ascii="宋体" w:hAnsi="宋体" w:eastAsia="宋体" w:cs="宋体"/>
          <w:color w:val="auto"/>
          <w:kern w:val="0"/>
          <w:szCs w:val="24"/>
          <w:highlight w:val="none"/>
        </w:rPr>
        <w:t>由招标人和技术、经济等方面的专家组成，成员为5人以上（含5人）单数，其中技术、经济等方面的专家不少于成员总数的三分之二。</w:t>
      </w:r>
      <w:r>
        <w:rPr>
          <w:rFonts w:hint="eastAsia" w:ascii="宋体" w:hAnsi="宋体" w:eastAsia="宋体" w:cs="宋体"/>
          <w:color w:val="auto"/>
          <w:szCs w:val="24"/>
          <w:highlight w:val="none"/>
          <w:lang w:val="zh-CN"/>
        </w:rPr>
        <w:t>专家依法从</w:t>
      </w:r>
      <w:r>
        <w:rPr>
          <w:rFonts w:hint="eastAsia" w:ascii="宋体" w:hAnsi="宋体" w:eastAsia="宋体" w:cs="宋体"/>
          <w:color w:val="auto"/>
          <w:kern w:val="0"/>
          <w:szCs w:val="24"/>
          <w:highlight w:val="none"/>
        </w:rPr>
        <w:t>专家库中随机抽取产生。</w:t>
      </w:r>
    </w:p>
    <w:p w14:paraId="501322A3">
      <w:pPr>
        <w:tabs>
          <w:tab w:val="left" w:pos="567"/>
          <w:tab w:val="left" w:pos="1145"/>
        </w:tabs>
        <w:autoSpaceDE w:val="0"/>
        <w:autoSpaceDN w:val="0"/>
        <w:adjustRightInd w:val="0"/>
        <w:spacing w:line="360" w:lineRule="auto"/>
        <w:ind w:left="600" w:hanging="60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2.2</w:t>
      </w:r>
      <w:r>
        <w:rPr>
          <w:rFonts w:hint="eastAsia" w:ascii="宋体" w:hAnsi="宋体" w:eastAsia="宋体" w:cs="宋体"/>
          <w:color w:val="auto"/>
          <w:szCs w:val="24"/>
          <w:highlight w:val="none"/>
          <w:lang w:val="zh-CN"/>
        </w:rPr>
        <w:tab/>
      </w:r>
      <w:r>
        <w:rPr>
          <w:rFonts w:hint="eastAsia" w:ascii="宋体" w:hAnsi="宋体" w:eastAsia="宋体" w:cs="宋体"/>
          <w:color w:val="auto"/>
          <w:szCs w:val="24"/>
          <w:highlight w:val="none"/>
          <w:lang w:val="zh-CN"/>
        </w:rPr>
        <w:t>评标工作组由招标人、招标代理机构及有关专家组成，由评标委员会确认，并接受其领导。</w:t>
      </w:r>
    </w:p>
    <w:p w14:paraId="0C09CF4A">
      <w:pPr>
        <w:autoSpaceDE w:val="0"/>
        <w:autoSpaceDN w:val="0"/>
        <w:adjustRightInd w:val="0"/>
        <w:spacing w:line="360" w:lineRule="auto"/>
        <w:ind w:left="600" w:hanging="60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2.3</w:t>
      </w:r>
      <w:r>
        <w:rPr>
          <w:rFonts w:hint="eastAsia" w:ascii="宋体" w:hAnsi="宋体" w:eastAsia="宋体" w:cs="宋体"/>
          <w:color w:val="auto"/>
          <w:szCs w:val="24"/>
          <w:highlight w:val="none"/>
          <w:lang w:val="zh-CN"/>
        </w:rPr>
        <w:tab/>
      </w:r>
      <w:r>
        <w:rPr>
          <w:rFonts w:hint="eastAsia" w:ascii="宋体" w:hAnsi="宋体" w:eastAsia="宋体" w:cs="宋体"/>
          <w:color w:val="auto"/>
          <w:szCs w:val="24"/>
          <w:highlight w:val="none"/>
          <w:lang w:val="zh-CN"/>
        </w:rPr>
        <w:t>评标工作组分成评标委员会、秘书组。</w:t>
      </w:r>
    </w:p>
    <w:p w14:paraId="679A8892">
      <w:pPr>
        <w:autoSpaceDE w:val="0"/>
        <w:autoSpaceDN w:val="0"/>
        <w:adjustRightInd w:val="0"/>
        <w:spacing w:line="360" w:lineRule="auto"/>
        <w:ind w:left="600" w:hanging="60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2.4</w:t>
      </w:r>
      <w:r>
        <w:rPr>
          <w:rFonts w:hint="eastAsia" w:ascii="宋体" w:hAnsi="宋体" w:eastAsia="宋体" w:cs="宋体"/>
          <w:color w:val="auto"/>
          <w:szCs w:val="24"/>
          <w:highlight w:val="none"/>
          <w:lang w:val="zh-CN"/>
        </w:rPr>
        <w:tab/>
      </w:r>
      <w:r>
        <w:rPr>
          <w:rFonts w:hint="eastAsia" w:ascii="宋体" w:hAnsi="宋体" w:eastAsia="宋体" w:cs="宋体"/>
          <w:color w:val="auto"/>
          <w:szCs w:val="24"/>
          <w:highlight w:val="none"/>
          <w:lang w:val="zh-CN"/>
        </w:rPr>
        <w:t>评标委员会应相对独立工作，负责评审、撰写评标报告。招标代理机构秘书组负责评标过程中资料的保管、发放及回收，协调技术和评标委员会评标工作的进展和整理、汇总评标资料及复核。</w:t>
      </w:r>
    </w:p>
    <w:p w14:paraId="220C7806">
      <w:pPr>
        <w:autoSpaceDE w:val="0"/>
        <w:autoSpaceDN w:val="0"/>
        <w:adjustRightInd w:val="0"/>
        <w:spacing w:line="360" w:lineRule="auto"/>
        <w:outlineLvl w:val="9"/>
        <w:rPr>
          <w:rFonts w:hint="eastAsia" w:ascii="宋体" w:hAnsi="宋体" w:eastAsia="宋体" w:cs="宋体"/>
          <w:color w:val="auto"/>
          <w:sz w:val="24"/>
          <w:szCs w:val="24"/>
          <w:highlight w:val="none"/>
          <w:lang w:val="zh-CN"/>
        </w:rPr>
      </w:pPr>
    </w:p>
    <w:p w14:paraId="7E0E9462">
      <w:pPr>
        <w:autoSpaceDE w:val="0"/>
        <w:autoSpaceDN w:val="0"/>
        <w:adjustRightInd w:val="0"/>
        <w:spacing w:line="360" w:lineRule="auto"/>
        <w:outlineLvl w:val="9"/>
        <w:rPr>
          <w:rFonts w:hint="eastAsia" w:ascii="宋体" w:hAnsi="宋体" w:eastAsia="宋体" w:cs="宋体"/>
          <w:color w:val="auto"/>
          <w:sz w:val="24"/>
          <w:szCs w:val="24"/>
          <w:highlight w:val="none"/>
          <w:lang w:val="zh-CN"/>
        </w:rPr>
      </w:pPr>
      <w:r>
        <w:rPr>
          <w:rFonts w:hint="eastAsia" w:ascii="宋体" w:hAnsi="宋体" w:eastAsia="宋体" w:cs="宋体"/>
          <w:b/>
          <w:color w:val="auto"/>
          <w:szCs w:val="21"/>
          <w:highlight w:val="none"/>
          <w:lang w:val="zh-CN"/>
        </w:rPr>
        <w:t>3、</w:t>
      </w:r>
      <w:r>
        <w:rPr>
          <w:rFonts w:hint="eastAsia" w:ascii="宋体" w:hAnsi="宋体" w:eastAsia="宋体" w:cs="宋体"/>
          <w:b/>
          <w:bCs/>
          <w:color w:val="auto"/>
          <w:szCs w:val="21"/>
          <w:highlight w:val="none"/>
          <w:lang w:val="zh-CN"/>
        </w:rPr>
        <w:t>评标</w:t>
      </w:r>
      <w:r>
        <w:rPr>
          <w:rFonts w:hint="eastAsia" w:ascii="宋体" w:hAnsi="宋体" w:eastAsia="宋体" w:cs="宋体"/>
          <w:b/>
          <w:bCs/>
          <w:color w:val="auto"/>
          <w:szCs w:val="24"/>
          <w:highlight w:val="none"/>
          <w:lang w:val="zh-CN"/>
        </w:rPr>
        <w:t>委员会职责</w:t>
      </w:r>
    </w:p>
    <w:p w14:paraId="7981FEEF">
      <w:pPr>
        <w:autoSpaceDE w:val="0"/>
        <w:autoSpaceDN w:val="0"/>
        <w:adjustRightInd w:val="0"/>
        <w:spacing w:line="360" w:lineRule="auto"/>
        <w:jc w:val="left"/>
        <w:outlineLvl w:val="9"/>
        <w:rPr>
          <w:rFonts w:hint="eastAsia"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3.1  审查投标文件是否符合招标文件要求，并作出评价；</w:t>
      </w:r>
    </w:p>
    <w:p w14:paraId="6ACDC464">
      <w:pPr>
        <w:autoSpaceDE w:val="0"/>
        <w:autoSpaceDN w:val="0"/>
        <w:adjustRightInd w:val="0"/>
        <w:spacing w:line="360" w:lineRule="auto"/>
        <w:jc w:val="left"/>
        <w:outlineLvl w:val="9"/>
        <w:rPr>
          <w:rFonts w:hint="eastAsia"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3.2  要求投标人对投标文件有关事项作出解释或者澄清；</w:t>
      </w:r>
    </w:p>
    <w:p w14:paraId="11E25EEE">
      <w:pPr>
        <w:autoSpaceDE w:val="0"/>
        <w:autoSpaceDN w:val="0"/>
        <w:adjustRightInd w:val="0"/>
        <w:spacing w:line="360" w:lineRule="auto"/>
        <w:jc w:val="left"/>
        <w:outlineLvl w:val="9"/>
        <w:rPr>
          <w:rFonts w:hint="eastAsia"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3.3</w:t>
      </w:r>
      <w:r>
        <w:rPr>
          <w:rFonts w:hint="eastAsia" w:ascii="宋体" w:hAnsi="宋体" w:eastAsia="宋体" w:cs="宋体"/>
          <w:color w:val="auto"/>
          <w:kern w:val="0"/>
          <w:szCs w:val="24"/>
          <w:highlight w:val="none"/>
          <w:lang w:val="zh-CN"/>
        </w:rPr>
        <w:tab/>
      </w:r>
      <w:r>
        <w:rPr>
          <w:rFonts w:hint="eastAsia" w:ascii="宋体" w:hAnsi="宋体" w:eastAsia="宋体" w:cs="宋体"/>
          <w:color w:val="auto"/>
          <w:kern w:val="0"/>
          <w:szCs w:val="24"/>
          <w:highlight w:val="none"/>
          <w:lang w:val="zh-CN"/>
        </w:rPr>
        <w:t xml:space="preserve"> 推荐中标候选人名单及排序；</w:t>
      </w:r>
    </w:p>
    <w:p w14:paraId="5C6FFB10">
      <w:pPr>
        <w:autoSpaceDE w:val="0"/>
        <w:autoSpaceDN w:val="0"/>
        <w:adjustRightInd w:val="0"/>
        <w:spacing w:line="360" w:lineRule="auto"/>
        <w:jc w:val="left"/>
        <w:outlineLvl w:val="9"/>
        <w:rPr>
          <w:rFonts w:hint="eastAsia"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3.4</w:t>
      </w:r>
      <w:r>
        <w:rPr>
          <w:rFonts w:hint="eastAsia" w:ascii="宋体" w:hAnsi="宋体" w:eastAsia="宋体" w:cs="宋体"/>
          <w:color w:val="auto"/>
          <w:kern w:val="0"/>
          <w:szCs w:val="24"/>
          <w:highlight w:val="none"/>
          <w:lang w:val="zh-CN"/>
        </w:rPr>
        <w:tab/>
      </w:r>
      <w:r>
        <w:rPr>
          <w:rFonts w:hint="eastAsia" w:ascii="宋体" w:hAnsi="宋体" w:eastAsia="宋体" w:cs="宋体"/>
          <w:color w:val="auto"/>
          <w:kern w:val="0"/>
          <w:szCs w:val="24"/>
          <w:highlight w:val="none"/>
          <w:lang w:val="zh-CN"/>
        </w:rPr>
        <w:t xml:space="preserve"> 向招标人、招标代理机构或者有关部门报告非法干预评标工作的行为。</w:t>
      </w:r>
    </w:p>
    <w:p w14:paraId="35325958">
      <w:pPr>
        <w:autoSpaceDE w:val="0"/>
        <w:autoSpaceDN w:val="0"/>
        <w:adjustRightInd w:val="0"/>
        <w:spacing w:line="360" w:lineRule="auto"/>
        <w:jc w:val="left"/>
        <w:outlineLvl w:val="9"/>
        <w:rPr>
          <w:rFonts w:hint="eastAsia" w:ascii="宋体" w:hAnsi="宋体" w:eastAsia="宋体" w:cs="宋体"/>
          <w:color w:val="auto"/>
          <w:kern w:val="0"/>
          <w:sz w:val="24"/>
          <w:szCs w:val="24"/>
          <w:highlight w:val="none"/>
          <w:lang w:val="zh-CN"/>
        </w:rPr>
      </w:pPr>
    </w:p>
    <w:p w14:paraId="4E4E2C24">
      <w:pPr>
        <w:tabs>
          <w:tab w:val="left" w:pos="720"/>
        </w:tabs>
        <w:autoSpaceDE w:val="0"/>
        <w:autoSpaceDN w:val="0"/>
        <w:adjustRightInd w:val="0"/>
        <w:spacing w:line="360" w:lineRule="auto"/>
        <w:outlineLvl w:val="9"/>
        <w:rPr>
          <w:rFonts w:hint="eastAsia" w:ascii="宋体" w:hAnsi="宋体" w:eastAsia="宋体" w:cs="宋体"/>
          <w:b/>
          <w:bCs/>
          <w:color w:val="auto"/>
          <w:szCs w:val="21"/>
          <w:highlight w:val="none"/>
          <w:lang w:val="zh-CN"/>
        </w:rPr>
      </w:pPr>
      <w:r>
        <w:rPr>
          <w:rFonts w:hint="eastAsia" w:ascii="宋体" w:hAnsi="宋体" w:eastAsia="宋体" w:cs="宋体"/>
          <w:b/>
          <w:bCs/>
          <w:color w:val="auto"/>
          <w:szCs w:val="21"/>
          <w:highlight w:val="none"/>
          <w:lang w:val="zh-CN"/>
        </w:rPr>
        <w:t>4、评标委员会义务</w:t>
      </w:r>
    </w:p>
    <w:p w14:paraId="44A9DA26">
      <w:pPr>
        <w:autoSpaceDE w:val="0"/>
        <w:autoSpaceDN w:val="0"/>
        <w:adjustRightInd w:val="0"/>
        <w:spacing w:line="360" w:lineRule="auto"/>
        <w:jc w:val="left"/>
        <w:outlineLvl w:val="9"/>
        <w:rPr>
          <w:rFonts w:hint="eastAsia"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4.1  遵纪守法，客观、公正、廉洁地履行职责；</w:t>
      </w:r>
    </w:p>
    <w:p w14:paraId="754A912F">
      <w:pPr>
        <w:autoSpaceDE w:val="0"/>
        <w:autoSpaceDN w:val="0"/>
        <w:adjustRightInd w:val="0"/>
        <w:spacing w:line="360" w:lineRule="auto"/>
        <w:jc w:val="left"/>
        <w:outlineLvl w:val="9"/>
        <w:rPr>
          <w:rFonts w:hint="eastAsia"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4.2  按照招标文件规定的评标方法和评标标准进行评审，对评审意见承担个人责任；</w:t>
      </w:r>
    </w:p>
    <w:p w14:paraId="1E836248">
      <w:pPr>
        <w:autoSpaceDE w:val="0"/>
        <w:autoSpaceDN w:val="0"/>
        <w:adjustRightInd w:val="0"/>
        <w:spacing w:line="360" w:lineRule="auto"/>
        <w:jc w:val="left"/>
        <w:outlineLvl w:val="9"/>
        <w:rPr>
          <w:rFonts w:hint="eastAsia"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4.3  对评标过程和结果，以及投标人的商业秘密保密；</w:t>
      </w:r>
    </w:p>
    <w:p w14:paraId="187195CD">
      <w:pPr>
        <w:autoSpaceDE w:val="0"/>
        <w:autoSpaceDN w:val="0"/>
        <w:adjustRightInd w:val="0"/>
        <w:spacing w:line="360" w:lineRule="auto"/>
        <w:jc w:val="left"/>
        <w:outlineLvl w:val="9"/>
        <w:rPr>
          <w:rFonts w:hint="eastAsia"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4.4  参与评标报告的起草；</w:t>
      </w:r>
    </w:p>
    <w:p w14:paraId="69AD46DD">
      <w:pPr>
        <w:autoSpaceDE w:val="0"/>
        <w:autoSpaceDN w:val="0"/>
        <w:adjustRightInd w:val="0"/>
        <w:spacing w:line="360" w:lineRule="auto"/>
        <w:jc w:val="left"/>
        <w:outlineLvl w:val="9"/>
        <w:rPr>
          <w:rFonts w:hint="eastAsia"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4.5  配合有关部门的投诉处理工作；</w:t>
      </w:r>
    </w:p>
    <w:p w14:paraId="7C502781">
      <w:pPr>
        <w:autoSpaceDE w:val="0"/>
        <w:autoSpaceDN w:val="0"/>
        <w:adjustRightInd w:val="0"/>
        <w:spacing w:line="360" w:lineRule="auto"/>
        <w:jc w:val="left"/>
        <w:outlineLvl w:val="9"/>
        <w:rPr>
          <w:rFonts w:hint="eastAsia"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4.6  配合招标人、招标代理机构答复投标人提出的质疑、异议。</w:t>
      </w:r>
    </w:p>
    <w:p w14:paraId="553D8822">
      <w:pPr>
        <w:tabs>
          <w:tab w:val="left" w:pos="720"/>
        </w:tabs>
        <w:autoSpaceDE w:val="0"/>
        <w:autoSpaceDN w:val="0"/>
        <w:adjustRightInd w:val="0"/>
        <w:spacing w:line="360" w:lineRule="auto"/>
        <w:outlineLvl w:val="9"/>
        <w:rPr>
          <w:rFonts w:hint="eastAsia" w:ascii="宋体" w:hAnsi="宋体" w:eastAsia="宋体" w:cs="宋体"/>
          <w:color w:val="auto"/>
          <w:sz w:val="24"/>
          <w:szCs w:val="24"/>
          <w:highlight w:val="none"/>
          <w:lang w:val="zh-CN"/>
        </w:rPr>
      </w:pPr>
    </w:p>
    <w:p w14:paraId="4964F94C">
      <w:pPr>
        <w:tabs>
          <w:tab w:val="left" w:pos="1547"/>
        </w:tabs>
        <w:autoSpaceDE w:val="0"/>
        <w:autoSpaceDN w:val="0"/>
        <w:adjustRightInd w:val="0"/>
        <w:spacing w:line="360" w:lineRule="auto"/>
        <w:outlineLvl w:val="9"/>
        <w:rPr>
          <w:rFonts w:hint="eastAsia" w:ascii="宋体" w:hAnsi="宋体" w:eastAsia="宋体" w:cs="宋体"/>
          <w:b/>
          <w:color w:val="auto"/>
          <w:szCs w:val="24"/>
          <w:highlight w:val="none"/>
          <w:lang w:val="zh-CN"/>
        </w:rPr>
      </w:pPr>
      <w:r>
        <w:rPr>
          <w:rFonts w:hint="eastAsia" w:ascii="宋体" w:hAnsi="宋体" w:eastAsia="宋体" w:cs="宋体"/>
          <w:b/>
          <w:bCs/>
          <w:color w:val="auto"/>
          <w:szCs w:val="21"/>
          <w:highlight w:val="none"/>
          <w:lang w:val="zh-CN"/>
        </w:rPr>
        <w:t>5、评审程序</w:t>
      </w:r>
    </w:p>
    <w:p w14:paraId="3BBE4015">
      <w:pPr>
        <w:autoSpaceDE w:val="0"/>
        <w:autoSpaceDN w:val="0"/>
        <w:adjustRightInd w:val="0"/>
        <w:spacing w:line="360" w:lineRule="auto"/>
        <w:ind w:left="567" w:hanging="567"/>
        <w:outlineLvl w:val="9"/>
        <w:rPr>
          <w:rFonts w:hint="eastAsia" w:ascii="宋体" w:hAnsi="宋体" w:eastAsia="宋体" w:cs="宋体"/>
          <w:b/>
          <w:color w:val="auto"/>
          <w:szCs w:val="24"/>
          <w:highlight w:val="none"/>
          <w:lang w:val="zh-CN"/>
        </w:rPr>
      </w:pPr>
      <w:r>
        <w:rPr>
          <w:rFonts w:hint="eastAsia" w:ascii="宋体" w:hAnsi="宋体" w:eastAsia="宋体" w:cs="宋体"/>
          <w:b/>
          <w:color w:val="auto"/>
          <w:szCs w:val="24"/>
          <w:highlight w:val="none"/>
          <w:lang w:val="zh-CN"/>
        </w:rPr>
        <w:t>公开招标：</w:t>
      </w:r>
    </w:p>
    <w:p w14:paraId="77549111">
      <w:pPr>
        <w:autoSpaceDE w:val="0"/>
        <w:autoSpaceDN w:val="0"/>
        <w:adjustRightInd w:val="0"/>
        <w:spacing w:line="360" w:lineRule="auto"/>
        <w:ind w:left="567" w:hanging="567"/>
        <w:outlineLvl w:val="9"/>
        <w:rPr>
          <w:rFonts w:hint="eastAsia" w:ascii="宋体" w:hAnsi="宋体" w:eastAsia="宋体" w:cs="宋体"/>
          <w:bCs/>
          <w:color w:val="auto"/>
          <w:szCs w:val="24"/>
          <w:highlight w:val="none"/>
          <w:lang w:val="zh-CN"/>
        </w:rPr>
      </w:pPr>
      <w:r>
        <w:rPr>
          <w:rFonts w:hint="eastAsia" w:ascii="宋体" w:hAnsi="宋体" w:eastAsia="宋体" w:cs="宋体"/>
          <w:color w:val="auto"/>
          <w:szCs w:val="24"/>
          <w:highlight w:val="none"/>
          <w:lang w:val="zh-CN"/>
        </w:rPr>
        <w:t>5.1</w:t>
      </w:r>
      <w:r>
        <w:rPr>
          <w:rFonts w:hint="eastAsia" w:ascii="宋体" w:hAnsi="宋体" w:eastAsia="宋体" w:cs="宋体"/>
          <w:color w:val="auto"/>
          <w:szCs w:val="24"/>
          <w:highlight w:val="none"/>
          <w:lang w:val="en-US" w:eastAsia="zh-CN"/>
        </w:rPr>
        <w:t xml:space="preserve">  </w:t>
      </w:r>
      <w:r>
        <w:rPr>
          <w:rFonts w:hint="eastAsia" w:ascii="宋体" w:hAnsi="宋体" w:eastAsia="宋体" w:cs="宋体"/>
          <w:bCs/>
          <w:color w:val="auto"/>
          <w:szCs w:val="24"/>
          <w:highlight w:val="none"/>
          <w:lang w:val="zh-CN"/>
        </w:rPr>
        <w:t>评审首先由评标委员会对投标人的</w:t>
      </w:r>
      <w:r>
        <w:rPr>
          <w:rFonts w:hint="eastAsia" w:ascii="宋体" w:hAnsi="宋体" w:eastAsia="宋体" w:cs="宋体"/>
          <w:color w:val="auto"/>
          <w:szCs w:val="24"/>
          <w:highlight w:val="none"/>
          <w:lang w:val="zh-CN"/>
        </w:rPr>
        <w:t>投标</w:t>
      </w:r>
      <w:r>
        <w:rPr>
          <w:rFonts w:hint="eastAsia" w:ascii="宋体" w:hAnsi="宋体" w:eastAsia="宋体" w:cs="宋体"/>
          <w:bCs/>
          <w:color w:val="auto"/>
          <w:szCs w:val="24"/>
          <w:highlight w:val="none"/>
          <w:lang w:val="zh-CN"/>
        </w:rPr>
        <w:t>文件做初审，对未能通过初审的投标文件不再进入下一阶段评审。</w:t>
      </w:r>
    </w:p>
    <w:p w14:paraId="17DBC4C8">
      <w:pPr>
        <w:autoSpaceDE w:val="0"/>
        <w:autoSpaceDN w:val="0"/>
        <w:adjustRightInd w:val="0"/>
        <w:spacing w:line="360" w:lineRule="auto"/>
        <w:ind w:left="567" w:hanging="567"/>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5.2</w:t>
      </w:r>
      <w:r>
        <w:rPr>
          <w:rFonts w:hint="eastAsia" w:ascii="宋体" w:hAnsi="宋体" w:eastAsia="宋体" w:cs="宋体"/>
          <w:color w:val="auto"/>
          <w:szCs w:val="24"/>
          <w:highlight w:val="none"/>
          <w:lang w:val="en-US" w:eastAsia="zh-CN"/>
        </w:rPr>
        <w:t xml:space="preserve">  </w:t>
      </w:r>
      <w:r>
        <w:rPr>
          <w:rFonts w:hint="eastAsia" w:ascii="宋体" w:hAnsi="宋体" w:eastAsia="宋体" w:cs="宋体"/>
          <w:bCs/>
          <w:color w:val="auto"/>
          <w:szCs w:val="24"/>
          <w:highlight w:val="none"/>
          <w:lang w:val="zh-CN"/>
        </w:rPr>
        <w:t>评标</w:t>
      </w:r>
      <w:r>
        <w:rPr>
          <w:rFonts w:hint="eastAsia" w:ascii="宋体" w:hAnsi="宋体" w:eastAsia="宋体" w:cs="宋体"/>
          <w:color w:val="auto"/>
          <w:szCs w:val="24"/>
          <w:highlight w:val="none"/>
          <w:lang w:val="zh-CN"/>
        </w:rPr>
        <w:t>委员会对通过初审的投标人的投标文件进行详细的比较和评价。如需要，进行必要的澄清工作。</w:t>
      </w:r>
    </w:p>
    <w:p w14:paraId="3EB1E97A">
      <w:pPr>
        <w:autoSpaceDE w:val="0"/>
        <w:autoSpaceDN w:val="0"/>
        <w:adjustRightInd w:val="0"/>
        <w:spacing w:line="360" w:lineRule="auto"/>
        <w:ind w:left="567" w:hanging="567"/>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5.3  依据评分标准以及各项权重，各位评标委员会成员单独就每个投标人的商务状况、技术状况进行比较和评价，分别评出其商务得分和技术得分。</w:t>
      </w:r>
    </w:p>
    <w:p w14:paraId="35EAF3FA">
      <w:pPr>
        <w:autoSpaceDE w:val="0"/>
        <w:autoSpaceDN w:val="0"/>
        <w:adjustRightInd w:val="0"/>
        <w:spacing w:line="360" w:lineRule="auto"/>
        <w:ind w:left="567" w:hanging="567"/>
        <w:outlineLvl w:val="9"/>
        <w:rPr>
          <w:rFonts w:hint="eastAsia"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5.</w:t>
      </w:r>
      <w:r>
        <w:rPr>
          <w:rFonts w:hint="eastAsia" w:ascii="宋体" w:hAnsi="宋体" w:eastAsia="宋体" w:cs="宋体"/>
          <w:color w:val="auto"/>
          <w:kern w:val="0"/>
          <w:szCs w:val="24"/>
          <w:highlight w:val="none"/>
          <w:lang w:val="en-US" w:eastAsia="zh-CN"/>
        </w:rPr>
        <w:t>4</w:t>
      </w:r>
      <w:r>
        <w:rPr>
          <w:rFonts w:hint="eastAsia" w:ascii="宋体" w:hAnsi="宋体" w:eastAsia="宋体" w:cs="宋体"/>
          <w:color w:val="auto"/>
          <w:kern w:val="0"/>
          <w:szCs w:val="24"/>
          <w:highlight w:val="none"/>
          <w:lang w:val="zh-CN"/>
        </w:rPr>
        <w:t xml:space="preserve">  将各</w:t>
      </w:r>
      <w:r>
        <w:rPr>
          <w:rFonts w:hint="eastAsia" w:ascii="宋体" w:hAnsi="宋体" w:eastAsia="宋体" w:cs="宋体"/>
          <w:color w:val="auto"/>
          <w:szCs w:val="24"/>
          <w:highlight w:val="none"/>
          <w:lang w:val="zh-CN"/>
        </w:rPr>
        <w:t>评委对</w:t>
      </w:r>
      <w:r>
        <w:rPr>
          <w:rFonts w:hint="eastAsia" w:ascii="宋体" w:hAnsi="宋体" w:eastAsia="宋体" w:cs="宋体"/>
          <w:color w:val="auto"/>
          <w:kern w:val="0"/>
          <w:szCs w:val="24"/>
          <w:highlight w:val="none"/>
          <w:lang w:val="zh-CN"/>
        </w:rPr>
        <w:t>投标人的技术打分的最终综合得分、商务打分的算术平均值相加得出投标人的总分。</w:t>
      </w:r>
    </w:p>
    <w:p w14:paraId="259F1C9B">
      <w:pPr>
        <w:autoSpaceDE w:val="0"/>
        <w:autoSpaceDN w:val="0"/>
        <w:adjustRightInd w:val="0"/>
        <w:spacing w:line="360" w:lineRule="auto"/>
        <w:ind w:left="567" w:hanging="567"/>
        <w:outlineLvl w:val="9"/>
        <w:rPr>
          <w:rFonts w:hint="eastAsia" w:ascii="宋体" w:hAnsi="宋体" w:eastAsia="宋体" w:cs="宋体"/>
          <w:color w:val="auto"/>
          <w:kern w:val="0"/>
          <w:szCs w:val="21"/>
          <w:highlight w:val="none"/>
        </w:rPr>
      </w:pPr>
      <w:r>
        <w:rPr>
          <w:rFonts w:hint="eastAsia" w:ascii="宋体" w:hAnsi="宋体" w:eastAsia="宋体" w:cs="宋体"/>
          <w:bCs/>
          <w:color w:val="auto"/>
          <w:kern w:val="0"/>
          <w:szCs w:val="24"/>
          <w:highlight w:val="none"/>
        </w:rPr>
        <w:t>5.</w:t>
      </w:r>
      <w:r>
        <w:rPr>
          <w:rFonts w:hint="eastAsia" w:ascii="宋体" w:hAnsi="宋体" w:eastAsia="宋体" w:cs="宋体"/>
          <w:bCs/>
          <w:color w:val="auto"/>
          <w:kern w:val="0"/>
          <w:szCs w:val="24"/>
          <w:highlight w:val="none"/>
          <w:lang w:val="en-US" w:eastAsia="zh-CN"/>
        </w:rPr>
        <w:t>5</w:t>
      </w:r>
      <w:r>
        <w:rPr>
          <w:rFonts w:hint="eastAsia" w:ascii="宋体" w:hAnsi="宋体" w:eastAsia="宋体" w:cs="宋体"/>
          <w:bCs/>
          <w:color w:val="auto"/>
          <w:kern w:val="0"/>
          <w:szCs w:val="24"/>
          <w:highlight w:val="none"/>
        </w:rPr>
        <w:t xml:space="preserve">  </w:t>
      </w:r>
      <w:r>
        <w:rPr>
          <w:rFonts w:hint="eastAsia" w:ascii="宋体" w:hAnsi="宋体" w:eastAsia="宋体" w:cs="宋体"/>
          <w:color w:val="auto"/>
          <w:kern w:val="0"/>
          <w:szCs w:val="21"/>
          <w:highlight w:val="none"/>
        </w:rPr>
        <w:t>评标委员会将向招标人推荐评标最后综合得分最高的前二名投标人为中标候选人，并标明排列顺序。</w:t>
      </w:r>
    </w:p>
    <w:p w14:paraId="02068548">
      <w:pPr>
        <w:autoSpaceDE w:val="0"/>
        <w:autoSpaceDN w:val="0"/>
        <w:adjustRightInd w:val="0"/>
        <w:spacing w:line="360" w:lineRule="auto"/>
        <w:ind w:left="525" w:hanging="525" w:hangingChars="250"/>
        <w:jc w:val="left"/>
        <w:outlineLvl w:val="9"/>
        <w:rPr>
          <w:rFonts w:hint="eastAsia" w:ascii="宋体" w:hAnsi="宋体" w:eastAsia="宋体" w:cs="宋体"/>
          <w:color w:val="auto"/>
          <w:szCs w:val="24"/>
          <w:highlight w:val="none"/>
          <w:lang w:val="zh-CN"/>
        </w:rPr>
      </w:pPr>
      <w:r>
        <w:rPr>
          <w:rFonts w:hint="eastAsia" w:ascii="宋体" w:hAnsi="宋体" w:eastAsia="宋体" w:cs="宋体"/>
          <w:color w:val="auto"/>
          <w:kern w:val="0"/>
          <w:szCs w:val="24"/>
          <w:highlight w:val="none"/>
          <w:lang w:val="zh-CN"/>
        </w:rPr>
        <w:t>5.</w:t>
      </w:r>
      <w:r>
        <w:rPr>
          <w:rFonts w:hint="eastAsia" w:ascii="宋体" w:hAnsi="宋体" w:eastAsia="宋体" w:cs="宋体"/>
          <w:color w:val="auto"/>
          <w:szCs w:val="24"/>
          <w:highlight w:val="none"/>
          <w:lang w:val="en-US" w:eastAsia="zh-CN"/>
        </w:rPr>
        <w:t>6</w:t>
      </w:r>
      <w:r>
        <w:rPr>
          <w:rFonts w:hint="eastAsia" w:ascii="宋体" w:hAnsi="宋体" w:eastAsia="宋体" w:cs="宋体"/>
          <w:color w:val="auto"/>
          <w:szCs w:val="24"/>
          <w:highlight w:val="none"/>
          <w:lang w:val="zh-CN"/>
        </w:rPr>
        <w:tab/>
      </w:r>
      <w:r>
        <w:rPr>
          <w:rFonts w:hint="eastAsia" w:ascii="宋体" w:hAnsi="宋体" w:eastAsia="宋体" w:cs="宋体"/>
          <w:color w:val="auto"/>
          <w:kern w:val="0"/>
          <w:szCs w:val="24"/>
          <w:highlight w:val="none"/>
          <w:lang w:val="zh-CN"/>
        </w:rPr>
        <w:t>评标委员会</w:t>
      </w:r>
      <w:r>
        <w:rPr>
          <w:rFonts w:hint="eastAsia" w:ascii="宋体" w:hAnsi="宋体" w:eastAsia="宋体" w:cs="宋体"/>
          <w:color w:val="auto"/>
          <w:szCs w:val="24"/>
          <w:highlight w:val="none"/>
          <w:lang w:val="zh-CN"/>
        </w:rPr>
        <w:t>根据评审结果编写评标报告。</w:t>
      </w:r>
    </w:p>
    <w:p w14:paraId="58762592">
      <w:pPr>
        <w:autoSpaceDE w:val="0"/>
        <w:autoSpaceDN w:val="0"/>
        <w:adjustRightInd w:val="0"/>
        <w:spacing w:line="360" w:lineRule="auto"/>
        <w:ind w:left="525" w:hanging="525" w:hangingChars="250"/>
        <w:jc w:val="left"/>
        <w:outlineLvl w:val="9"/>
        <w:rPr>
          <w:rFonts w:hint="eastAsia" w:ascii="宋体" w:hAnsi="宋体" w:eastAsia="宋体" w:cs="宋体"/>
          <w:color w:val="auto"/>
          <w:szCs w:val="24"/>
          <w:highlight w:val="none"/>
          <w:lang w:val="zh-CN"/>
        </w:rPr>
      </w:pPr>
    </w:p>
    <w:p w14:paraId="0ABAD1DF">
      <w:pPr>
        <w:tabs>
          <w:tab w:val="left" w:pos="1140"/>
        </w:tabs>
        <w:autoSpaceDE w:val="0"/>
        <w:autoSpaceDN w:val="0"/>
        <w:adjustRightInd w:val="0"/>
        <w:spacing w:line="360" w:lineRule="auto"/>
        <w:jc w:val="center"/>
        <w:outlineLvl w:val="9"/>
        <w:rPr>
          <w:rFonts w:hint="eastAsia" w:ascii="宋体" w:hAnsi="宋体" w:eastAsia="宋体" w:cs="宋体"/>
          <w:b/>
          <w:bCs/>
          <w:color w:val="auto"/>
          <w:sz w:val="28"/>
          <w:szCs w:val="28"/>
          <w:highlight w:val="none"/>
        </w:rPr>
      </w:pPr>
      <w:bookmarkStart w:id="505" w:name="_Toc19435_WPSOffice_Level1"/>
      <w:r>
        <w:rPr>
          <w:rFonts w:hint="eastAsia" w:ascii="宋体" w:hAnsi="宋体" w:eastAsia="宋体" w:cs="宋体"/>
          <w:b/>
          <w:bCs/>
          <w:color w:val="auto"/>
          <w:sz w:val="28"/>
          <w:szCs w:val="28"/>
          <w:highlight w:val="none"/>
          <w:lang w:val="zh-CN"/>
        </w:rPr>
        <w:t>二、投标文件的初审</w:t>
      </w:r>
      <w:bookmarkEnd w:id="505"/>
    </w:p>
    <w:p w14:paraId="31453401">
      <w:pPr>
        <w:autoSpaceDE w:val="0"/>
        <w:autoSpaceDN w:val="0"/>
        <w:adjustRightInd w:val="0"/>
        <w:spacing w:line="360" w:lineRule="auto"/>
        <w:outlineLvl w:val="9"/>
        <w:rPr>
          <w:rFonts w:hint="eastAsia" w:ascii="宋体" w:hAnsi="宋体" w:eastAsia="宋体" w:cs="宋体"/>
          <w:b/>
          <w:color w:val="auto"/>
          <w:szCs w:val="24"/>
          <w:highlight w:val="none"/>
          <w:lang w:val="zh-CN"/>
        </w:rPr>
      </w:pPr>
      <w:r>
        <w:rPr>
          <w:rFonts w:hint="eastAsia" w:ascii="宋体" w:hAnsi="宋体" w:eastAsia="宋体" w:cs="宋体"/>
          <w:b/>
          <w:color w:val="auto"/>
          <w:szCs w:val="24"/>
          <w:highlight w:val="none"/>
          <w:lang w:val="zh-CN"/>
        </w:rPr>
        <w:t>6、投标文件的初审分为资格性检查和符合性检查。</w:t>
      </w:r>
    </w:p>
    <w:p w14:paraId="400CF2A3">
      <w:pPr>
        <w:autoSpaceDE w:val="0"/>
        <w:autoSpaceDN w:val="0"/>
        <w:adjustRightInd w:val="0"/>
        <w:spacing w:line="360" w:lineRule="auto"/>
        <w:ind w:left="529" w:hanging="529" w:hangingChars="252"/>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6.1  资格性检查是指评标委员会依据法律法规和招标文件的规定，对投标文件中的资格证明、投标人（含其不具有独立法人资格的分支机构）信用（由招标代理机构在递交投标文件截止时间当天通过“信用中国”网站对投标人信用进行查询，招标代理机构将查询情况提交评标委员会评审）等进行审查，以确定投标人是否具备投标资格。</w:t>
      </w:r>
    </w:p>
    <w:p w14:paraId="1867DE88">
      <w:pPr>
        <w:autoSpaceDE w:val="0"/>
        <w:autoSpaceDN w:val="0"/>
        <w:adjustRightInd w:val="0"/>
        <w:spacing w:line="360" w:lineRule="auto"/>
        <w:ind w:left="529" w:hanging="529" w:hangingChars="252"/>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6.2  符合性检查是指评标委员会依据招标文件规定，从投标文件的有效性、完整性和对招标文件的响应程度进行审查，以确定是否对招标文件的实质性要求作出响应。</w:t>
      </w:r>
    </w:p>
    <w:p w14:paraId="58A3E72A">
      <w:pPr>
        <w:autoSpaceDE w:val="0"/>
        <w:autoSpaceDN w:val="0"/>
        <w:adjustRightInd w:val="0"/>
        <w:spacing w:line="360" w:lineRule="auto"/>
        <w:ind w:left="420" w:leftChars="200" w:firstLine="420" w:firstLineChars="20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实质性响应的投标指的是符合招标文件要求的全部“★”条款和验收标准而无任何重大偏离或保留。重大偏离或保留系指实质上影响到合同项下的</w:t>
      </w:r>
      <w:r>
        <w:rPr>
          <w:rFonts w:hint="eastAsia" w:ascii="宋体" w:hAnsi="宋体" w:eastAsia="宋体" w:cs="宋体"/>
          <w:color w:val="auto"/>
          <w:szCs w:val="24"/>
          <w:highlight w:val="none"/>
        </w:rPr>
        <w:t>供货及</w:t>
      </w:r>
      <w:r>
        <w:rPr>
          <w:rFonts w:hint="eastAsia" w:ascii="宋体" w:hAnsi="宋体" w:eastAsia="宋体" w:cs="宋体"/>
          <w:color w:val="auto"/>
          <w:szCs w:val="24"/>
          <w:highlight w:val="none"/>
          <w:lang w:val="zh-CN"/>
        </w:rPr>
        <w:t>服务范围、质量</w:t>
      </w:r>
      <w:r>
        <w:rPr>
          <w:rFonts w:hint="eastAsia" w:ascii="宋体" w:hAnsi="宋体" w:eastAsia="宋体" w:cs="宋体"/>
          <w:color w:val="auto"/>
          <w:szCs w:val="24"/>
          <w:highlight w:val="none"/>
        </w:rPr>
        <w:t>和性能</w:t>
      </w:r>
      <w:r>
        <w:rPr>
          <w:rFonts w:hint="eastAsia" w:ascii="宋体" w:hAnsi="宋体" w:eastAsia="宋体" w:cs="宋体"/>
          <w:color w:val="auto"/>
          <w:szCs w:val="24"/>
          <w:highlight w:val="none"/>
          <w:lang w:val="zh-CN"/>
        </w:rPr>
        <w:t>，或指与招标文件有实质不一致，限制了合同项下委托人的权利和承包人的义务, 或对该重大偏离的修改对提交实质性响应投标的其他投标人将不公平。</w:t>
      </w:r>
    </w:p>
    <w:p w14:paraId="08A913D4">
      <w:pPr>
        <w:autoSpaceDE w:val="0"/>
        <w:autoSpaceDN w:val="0"/>
        <w:adjustRightInd w:val="0"/>
        <w:spacing w:line="360" w:lineRule="auto"/>
        <w:ind w:firstLine="840" w:firstLineChars="40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评标委员会决定投标文件的响应性是基于投标文件的内容本身而不靠外部的证据。</w:t>
      </w:r>
    </w:p>
    <w:p w14:paraId="136712F7">
      <w:pPr>
        <w:autoSpaceDE w:val="0"/>
        <w:autoSpaceDN w:val="0"/>
        <w:adjustRightInd w:val="0"/>
        <w:spacing w:line="360" w:lineRule="auto"/>
        <w:ind w:left="420" w:leftChars="200" w:firstLine="422" w:firstLineChars="200"/>
        <w:outlineLvl w:val="9"/>
        <w:rPr>
          <w:rFonts w:hint="eastAsia" w:ascii="宋体" w:hAnsi="宋体" w:eastAsia="宋体" w:cs="宋体"/>
          <w:b/>
          <w:color w:val="auto"/>
          <w:szCs w:val="24"/>
          <w:highlight w:val="none"/>
          <w:lang w:val="zh-CN"/>
        </w:rPr>
      </w:pPr>
      <w:r>
        <w:rPr>
          <w:rFonts w:hint="eastAsia" w:ascii="宋体" w:hAnsi="宋体" w:eastAsia="宋体" w:cs="宋体"/>
          <w:b/>
          <w:color w:val="auto"/>
          <w:szCs w:val="24"/>
          <w:highlight w:val="none"/>
          <w:lang w:val="zh-CN"/>
        </w:rPr>
        <w:t>对是否符合实质性响应招标文件有争议的投标文件,评标委员会成员将以记名方式表决,根据少数服</w:t>
      </w:r>
      <w:r>
        <w:rPr>
          <w:rFonts w:hint="eastAsia" w:ascii="宋体" w:hAnsi="宋体" w:eastAsia="宋体" w:cs="宋体"/>
          <w:b/>
          <w:color w:val="auto"/>
          <w:szCs w:val="24"/>
          <w:highlight w:val="none"/>
        </w:rPr>
        <w:t>从</w:t>
      </w:r>
      <w:r>
        <w:rPr>
          <w:rFonts w:hint="eastAsia" w:ascii="宋体" w:hAnsi="宋体" w:eastAsia="宋体" w:cs="宋体"/>
          <w:b/>
          <w:color w:val="auto"/>
          <w:szCs w:val="24"/>
          <w:highlight w:val="none"/>
          <w:lang w:val="zh-CN"/>
        </w:rPr>
        <w:t>多数的原则，获多数表决通过的投标人才有资格进入下一阶段的评审,否则将被认定为无效投标文件。</w:t>
      </w:r>
    </w:p>
    <w:p w14:paraId="04811C9E">
      <w:pPr>
        <w:autoSpaceDE w:val="0"/>
        <w:autoSpaceDN w:val="0"/>
        <w:adjustRightInd w:val="0"/>
        <w:spacing w:line="360" w:lineRule="auto"/>
        <w:outlineLvl w:val="9"/>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7、投标文件出现下列情况之一的，被认定为无效投标：</w:t>
      </w:r>
    </w:p>
    <w:p w14:paraId="0462AD1D">
      <w:pPr>
        <w:autoSpaceDE w:val="0"/>
        <w:autoSpaceDN w:val="0"/>
        <w:adjustRightInd w:val="0"/>
        <w:spacing w:line="360" w:lineRule="auto"/>
        <w:outlineLvl w:val="9"/>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 xml:space="preserve">7.1  </w:t>
      </w:r>
      <w:r>
        <w:rPr>
          <w:rFonts w:hint="eastAsia" w:ascii="宋体" w:hAnsi="宋体" w:eastAsia="宋体" w:cs="宋体"/>
          <w:b/>
          <w:bCs/>
          <w:color w:val="auto"/>
          <w:kern w:val="0"/>
          <w:szCs w:val="21"/>
          <w:highlight w:val="none"/>
        </w:rPr>
        <w:t>投标人未按招标文件要求交纳投标保证金的；</w:t>
      </w:r>
    </w:p>
    <w:p w14:paraId="70C3FEDC">
      <w:pPr>
        <w:tabs>
          <w:tab w:val="left" w:pos="567"/>
        </w:tabs>
        <w:spacing w:line="360" w:lineRule="auto"/>
        <w:ind w:left="630" w:hanging="632" w:hangingChars="300"/>
        <w:outlineLvl w:val="9"/>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 xml:space="preserve">7.2  </w:t>
      </w:r>
      <w:r>
        <w:rPr>
          <w:rFonts w:hint="eastAsia" w:ascii="宋体" w:hAnsi="宋体" w:eastAsia="宋体" w:cs="宋体"/>
          <w:b/>
          <w:color w:val="auto"/>
          <w:kern w:val="0"/>
          <w:szCs w:val="21"/>
          <w:highlight w:val="none"/>
        </w:rPr>
        <w:t>投标文件中的投标报价高于项目预算</w:t>
      </w:r>
      <w:r>
        <w:rPr>
          <w:rFonts w:hint="eastAsia" w:ascii="宋体" w:hAnsi="宋体" w:eastAsia="宋体" w:cs="宋体"/>
          <w:b/>
          <w:color w:val="auto"/>
          <w:kern w:val="0"/>
          <w:szCs w:val="21"/>
          <w:highlight w:val="none"/>
          <w:lang w:val="en-US" w:eastAsia="zh-CN"/>
        </w:rPr>
        <w:t>或①电费/②迁移费用（总价或各项单价）/③备品备件费用高于最高限价</w:t>
      </w:r>
      <w:r>
        <w:rPr>
          <w:rFonts w:hint="eastAsia" w:ascii="宋体" w:hAnsi="宋体" w:eastAsia="宋体" w:cs="宋体"/>
          <w:b/>
          <w:color w:val="auto"/>
          <w:kern w:val="0"/>
          <w:szCs w:val="21"/>
          <w:highlight w:val="none"/>
        </w:rPr>
        <w:t>的</w:t>
      </w:r>
      <w:r>
        <w:rPr>
          <w:rFonts w:hint="eastAsia" w:ascii="宋体" w:hAnsi="宋体" w:eastAsia="宋体" w:cs="宋体"/>
          <w:b/>
          <w:bCs/>
          <w:color w:val="auto"/>
          <w:kern w:val="0"/>
          <w:szCs w:val="21"/>
          <w:highlight w:val="none"/>
        </w:rPr>
        <w:t>；</w:t>
      </w:r>
    </w:p>
    <w:p w14:paraId="257B8431">
      <w:pPr>
        <w:tabs>
          <w:tab w:val="left" w:pos="567"/>
        </w:tabs>
        <w:spacing w:line="360" w:lineRule="auto"/>
        <w:ind w:left="630" w:hanging="632" w:hangingChars="300"/>
        <w:outlineLvl w:val="9"/>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7.</w:t>
      </w:r>
      <w:r>
        <w:rPr>
          <w:rFonts w:hint="eastAsia" w:ascii="宋体" w:hAnsi="宋体" w:eastAsia="宋体" w:cs="宋体"/>
          <w:b/>
          <w:color w:val="auto"/>
          <w:kern w:val="0"/>
          <w:szCs w:val="21"/>
          <w:highlight w:val="none"/>
          <w:lang w:val="en-US" w:eastAsia="zh-CN"/>
        </w:rPr>
        <w:t>3</w:t>
      </w:r>
      <w:r>
        <w:rPr>
          <w:rFonts w:hint="eastAsia" w:ascii="宋体" w:hAnsi="宋体" w:eastAsia="宋体" w:cs="宋体"/>
          <w:b/>
          <w:color w:val="auto"/>
          <w:kern w:val="0"/>
          <w:szCs w:val="21"/>
          <w:highlight w:val="none"/>
        </w:rPr>
        <w:t xml:space="preserve">  投标人递交两份或多份内容不同的投标文件，或在一份投标文件中报有两个或多个报价，且未书面声明哪一个有效；</w:t>
      </w:r>
    </w:p>
    <w:p w14:paraId="714D28AE">
      <w:pPr>
        <w:tabs>
          <w:tab w:val="left" w:pos="567"/>
        </w:tabs>
        <w:spacing w:line="360" w:lineRule="auto"/>
        <w:ind w:left="630" w:hanging="632" w:hangingChars="300"/>
        <w:outlineLvl w:val="9"/>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7.</w:t>
      </w:r>
      <w:r>
        <w:rPr>
          <w:rFonts w:hint="eastAsia" w:ascii="宋体" w:hAnsi="宋体" w:eastAsia="宋体" w:cs="宋体"/>
          <w:b/>
          <w:bCs/>
          <w:color w:val="auto"/>
          <w:kern w:val="0"/>
          <w:szCs w:val="21"/>
          <w:highlight w:val="none"/>
          <w:lang w:val="en-US" w:eastAsia="zh-CN"/>
        </w:rPr>
        <w:t>4</w:t>
      </w:r>
      <w:r>
        <w:rPr>
          <w:rFonts w:hint="eastAsia" w:ascii="宋体" w:hAnsi="宋体" w:eastAsia="宋体" w:cs="宋体"/>
          <w:b/>
          <w:bCs/>
          <w:color w:val="auto"/>
          <w:kern w:val="0"/>
          <w:szCs w:val="21"/>
          <w:highlight w:val="none"/>
        </w:rPr>
        <w:t xml:space="preserve">  </w:t>
      </w:r>
      <w:r>
        <w:rPr>
          <w:rFonts w:hint="eastAsia" w:ascii="宋体" w:hAnsi="宋体" w:eastAsia="宋体" w:cs="宋体"/>
          <w:b/>
          <w:color w:val="auto"/>
          <w:kern w:val="0"/>
          <w:szCs w:val="21"/>
          <w:highlight w:val="none"/>
        </w:rPr>
        <w:t>投标人不符合合格投标人的基本条件[含未提供资格证明文件，或投标人（含其不具有独立法人资格的分支机构）被列入“信用中国”网站（www.creditchina.gov.cn）失信被执行人、重大税收违法失信主体、政府采购严重违法失信行为记录名单（处罚期限届满的除外）]；</w:t>
      </w:r>
    </w:p>
    <w:p w14:paraId="14D5CCF5">
      <w:pPr>
        <w:spacing w:line="360" w:lineRule="auto"/>
        <w:ind w:left="525" w:hanging="527" w:hangingChars="250"/>
        <w:outlineLvl w:val="9"/>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7.</w:t>
      </w:r>
      <w:r>
        <w:rPr>
          <w:rFonts w:hint="eastAsia" w:ascii="宋体" w:hAnsi="宋体" w:eastAsia="宋体" w:cs="宋体"/>
          <w:b/>
          <w:bCs/>
          <w:color w:val="auto"/>
          <w:kern w:val="0"/>
          <w:szCs w:val="21"/>
          <w:highlight w:val="none"/>
          <w:lang w:val="en-US" w:eastAsia="zh-CN"/>
        </w:rPr>
        <w:t>5</w:t>
      </w:r>
      <w:r>
        <w:rPr>
          <w:rFonts w:hint="eastAsia" w:ascii="宋体" w:hAnsi="宋体" w:eastAsia="宋体" w:cs="宋体"/>
          <w:b/>
          <w:bCs/>
          <w:color w:val="auto"/>
          <w:kern w:val="0"/>
          <w:szCs w:val="21"/>
          <w:highlight w:val="none"/>
        </w:rPr>
        <w:t xml:space="preserve">  投标文件未按照招标文件规定要求密封；投标文件无法定代表人或其授权代表签字（或盖私章），或签字人无法定代表人有效授权的；签字盖章不符合招标文件要求的； </w:t>
      </w:r>
    </w:p>
    <w:p w14:paraId="404A87DD">
      <w:pPr>
        <w:spacing w:line="360" w:lineRule="auto"/>
        <w:ind w:left="525" w:hanging="527" w:hangingChars="250"/>
        <w:outlineLvl w:val="9"/>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7.</w:t>
      </w:r>
      <w:r>
        <w:rPr>
          <w:rFonts w:hint="eastAsia" w:ascii="宋体" w:hAnsi="宋体" w:eastAsia="宋体" w:cs="宋体"/>
          <w:b/>
          <w:bCs/>
          <w:color w:val="auto"/>
          <w:kern w:val="0"/>
          <w:szCs w:val="21"/>
          <w:highlight w:val="none"/>
          <w:lang w:val="en-US" w:eastAsia="zh-CN"/>
        </w:rPr>
        <w:t>6</w:t>
      </w:r>
      <w:r>
        <w:rPr>
          <w:rFonts w:hint="eastAsia" w:ascii="宋体" w:hAnsi="宋体" w:eastAsia="宋体" w:cs="宋体"/>
          <w:b/>
          <w:bCs/>
          <w:color w:val="auto"/>
          <w:kern w:val="0"/>
          <w:szCs w:val="21"/>
          <w:highlight w:val="none"/>
        </w:rPr>
        <w:t xml:space="preserve">  投标有效期限不符合要求；</w:t>
      </w:r>
    </w:p>
    <w:p w14:paraId="35DB2A91">
      <w:pPr>
        <w:spacing w:line="360" w:lineRule="auto"/>
        <w:ind w:left="525" w:hanging="527" w:hangingChars="250"/>
        <w:outlineLvl w:val="9"/>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7.</w:t>
      </w:r>
      <w:r>
        <w:rPr>
          <w:rFonts w:hint="eastAsia" w:ascii="宋体" w:hAnsi="宋体" w:eastAsia="宋体" w:cs="宋体"/>
          <w:b/>
          <w:bCs/>
          <w:color w:val="auto"/>
          <w:kern w:val="0"/>
          <w:szCs w:val="21"/>
          <w:highlight w:val="none"/>
          <w:lang w:val="en-US" w:eastAsia="zh-CN"/>
        </w:rPr>
        <w:t>7</w:t>
      </w:r>
      <w:r>
        <w:rPr>
          <w:rFonts w:hint="eastAsia" w:ascii="宋体" w:hAnsi="宋体" w:eastAsia="宋体" w:cs="宋体"/>
          <w:b/>
          <w:bCs/>
          <w:color w:val="auto"/>
          <w:kern w:val="0"/>
          <w:szCs w:val="21"/>
          <w:highlight w:val="none"/>
        </w:rPr>
        <w:t xml:space="preserve">  投标文件未对招标范围内的全部内容进行投标报价</w:t>
      </w:r>
      <w:r>
        <w:rPr>
          <w:rFonts w:hint="eastAsia" w:ascii="宋体" w:hAnsi="宋体" w:eastAsia="宋体" w:cs="宋体"/>
          <w:b/>
          <w:color w:val="auto"/>
          <w:kern w:val="0"/>
          <w:szCs w:val="21"/>
          <w:highlight w:val="none"/>
        </w:rPr>
        <w:t>或投标方案不是唯一</w:t>
      </w:r>
      <w:r>
        <w:rPr>
          <w:rFonts w:hint="eastAsia" w:ascii="宋体" w:hAnsi="宋体" w:eastAsia="宋体" w:cs="宋体"/>
          <w:b/>
          <w:bCs/>
          <w:color w:val="auto"/>
          <w:kern w:val="0"/>
          <w:szCs w:val="21"/>
          <w:highlight w:val="none"/>
        </w:rPr>
        <w:t>；</w:t>
      </w:r>
    </w:p>
    <w:p w14:paraId="19F9B04A">
      <w:pPr>
        <w:spacing w:line="360" w:lineRule="auto"/>
        <w:ind w:left="412" w:hanging="413" w:hangingChars="196"/>
        <w:outlineLvl w:val="9"/>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7.</w:t>
      </w:r>
      <w:r>
        <w:rPr>
          <w:rFonts w:hint="eastAsia" w:ascii="宋体" w:hAnsi="宋体" w:eastAsia="宋体" w:cs="宋体"/>
          <w:b/>
          <w:color w:val="auto"/>
          <w:kern w:val="0"/>
          <w:szCs w:val="21"/>
          <w:highlight w:val="none"/>
          <w:lang w:val="en-US" w:eastAsia="zh-CN"/>
        </w:rPr>
        <w:t>8</w:t>
      </w:r>
      <w:r>
        <w:rPr>
          <w:rFonts w:hint="eastAsia" w:ascii="宋体" w:hAnsi="宋体" w:eastAsia="宋体" w:cs="宋体"/>
          <w:b/>
          <w:color w:val="auto"/>
          <w:kern w:val="0"/>
          <w:szCs w:val="21"/>
          <w:highlight w:val="none"/>
        </w:rPr>
        <w:t xml:space="preserve">  未填写或虚假填写《用户需求响应表》的；</w:t>
      </w:r>
    </w:p>
    <w:p w14:paraId="1910AF4B">
      <w:pPr>
        <w:spacing w:line="360" w:lineRule="auto"/>
        <w:ind w:left="412" w:hanging="413" w:hangingChars="196"/>
        <w:outlineLvl w:val="9"/>
        <w:rPr>
          <w:rFonts w:hint="eastAsia" w:ascii="宋体" w:hAnsi="宋体" w:eastAsia="宋体" w:cs="宋体"/>
          <w:b/>
          <w:color w:val="auto"/>
          <w:kern w:val="0"/>
          <w:szCs w:val="21"/>
          <w:highlight w:val="none"/>
          <w:lang w:eastAsia="zh-CN"/>
        </w:rPr>
      </w:pPr>
      <w:r>
        <w:rPr>
          <w:rFonts w:hint="eastAsia" w:ascii="宋体" w:hAnsi="宋体" w:eastAsia="宋体" w:cs="宋体"/>
          <w:b/>
          <w:color w:val="auto"/>
          <w:kern w:val="0"/>
          <w:szCs w:val="21"/>
          <w:highlight w:val="none"/>
        </w:rPr>
        <w:t>7.</w:t>
      </w:r>
      <w:r>
        <w:rPr>
          <w:rFonts w:hint="eastAsia" w:ascii="宋体" w:hAnsi="宋体" w:eastAsia="宋体" w:cs="宋体"/>
          <w:b/>
          <w:color w:val="auto"/>
          <w:kern w:val="0"/>
          <w:szCs w:val="21"/>
          <w:highlight w:val="none"/>
          <w:lang w:val="en-US" w:eastAsia="zh-CN"/>
        </w:rPr>
        <w:t>9</w:t>
      </w:r>
      <w:r>
        <w:rPr>
          <w:rFonts w:hint="eastAsia" w:ascii="宋体" w:hAnsi="宋体" w:eastAsia="宋体" w:cs="宋体"/>
          <w:b/>
          <w:color w:val="auto"/>
          <w:kern w:val="0"/>
          <w:szCs w:val="21"/>
          <w:highlight w:val="none"/>
        </w:rPr>
        <w:t xml:space="preserve">  未响应招标文件提出的实质性要求和条件（标注★的条款）</w:t>
      </w:r>
      <w:r>
        <w:rPr>
          <w:rFonts w:hint="eastAsia" w:ascii="宋体" w:hAnsi="宋体" w:eastAsia="宋体" w:cs="宋体"/>
          <w:b/>
          <w:color w:val="auto"/>
          <w:kern w:val="0"/>
          <w:szCs w:val="21"/>
          <w:highlight w:val="none"/>
          <w:lang w:eastAsia="zh-CN"/>
        </w:rPr>
        <w:t>；</w:t>
      </w:r>
    </w:p>
    <w:p w14:paraId="4C6FCE8B">
      <w:pPr>
        <w:spacing w:line="360" w:lineRule="auto"/>
        <w:ind w:left="412" w:hanging="413" w:hangingChars="196"/>
        <w:outlineLvl w:val="9"/>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lang w:val="en-US" w:eastAsia="zh-CN"/>
        </w:rPr>
        <w:t xml:space="preserve">7.10  </w:t>
      </w:r>
      <w:r>
        <w:rPr>
          <w:rFonts w:hint="eastAsia" w:ascii="宋体" w:hAnsi="宋体" w:eastAsia="宋体" w:cs="宋体"/>
          <w:b/>
          <w:color w:val="auto"/>
          <w:sz w:val="21"/>
          <w:szCs w:val="21"/>
          <w:highlight w:val="none"/>
        </w:rPr>
        <w:t>存在</w:t>
      </w:r>
      <w:r>
        <w:rPr>
          <w:rFonts w:hint="eastAsia" w:ascii="宋体" w:hAnsi="宋体" w:eastAsia="宋体" w:cs="宋体"/>
          <w:b/>
          <w:color w:val="auto"/>
          <w:sz w:val="21"/>
          <w:szCs w:val="21"/>
          <w:highlight w:val="none"/>
          <w:lang w:val="en-US" w:eastAsia="zh-CN"/>
        </w:rPr>
        <w:t>总公司及独家授权的分支机构同时参与投标或同一总公司授权的多家分支机构同时参与投标</w:t>
      </w:r>
      <w:r>
        <w:rPr>
          <w:rFonts w:hint="eastAsia" w:ascii="宋体" w:hAnsi="宋体" w:eastAsia="宋体" w:cs="宋体"/>
          <w:b/>
          <w:color w:val="auto"/>
          <w:kern w:val="0"/>
          <w:szCs w:val="21"/>
          <w:highlight w:val="none"/>
        </w:rPr>
        <w:t>。</w:t>
      </w:r>
    </w:p>
    <w:p w14:paraId="75688CB1">
      <w:pPr>
        <w:autoSpaceDE w:val="0"/>
        <w:autoSpaceDN w:val="0"/>
        <w:adjustRightInd w:val="0"/>
        <w:spacing w:line="360" w:lineRule="auto"/>
        <w:ind w:left="315" w:hanging="315" w:hangingChars="150"/>
        <w:outlineLvl w:val="9"/>
        <w:rPr>
          <w:rFonts w:hint="eastAsia" w:ascii="宋体" w:hAnsi="宋体" w:eastAsia="宋体" w:cs="宋体"/>
          <w:color w:val="auto"/>
          <w:kern w:val="0"/>
          <w:szCs w:val="24"/>
          <w:highlight w:val="none"/>
          <w:lang w:val="zh-CN"/>
        </w:rPr>
      </w:pPr>
      <w:r>
        <w:rPr>
          <w:rFonts w:hint="eastAsia" w:ascii="宋体" w:hAnsi="宋体" w:eastAsia="宋体" w:cs="宋体"/>
          <w:bCs/>
          <w:color w:val="auto"/>
          <w:kern w:val="0"/>
          <w:szCs w:val="24"/>
          <w:highlight w:val="none"/>
          <w:lang w:val="zh-CN"/>
        </w:rPr>
        <w:t>8、</w:t>
      </w:r>
      <w:r>
        <w:rPr>
          <w:rFonts w:hint="eastAsia" w:ascii="宋体" w:hAnsi="宋体" w:eastAsia="宋体" w:cs="宋体"/>
          <w:color w:val="auto"/>
          <w:kern w:val="0"/>
          <w:szCs w:val="24"/>
          <w:highlight w:val="none"/>
          <w:lang w:val="zh-CN"/>
        </w:rPr>
        <w:t>评标委员会应当书面要求存在细微偏差的投标人在开标评审结束前予以补正。细微偏差是指投标文件在实质上响应招标文件要求，但在个别地方存在漏项或者提供了不完整的技术方案信息和数据等情况，并且补正这些遗漏或者不完整不会对其他投标人造成不公平的结果。细微偏差不影响投标文件的有效性。</w:t>
      </w:r>
    </w:p>
    <w:p w14:paraId="6F21A3A0">
      <w:pPr>
        <w:spacing w:line="360" w:lineRule="auto"/>
        <w:ind w:left="480"/>
        <w:outlineLvl w:val="9"/>
        <w:rPr>
          <w:rFonts w:hint="eastAsia" w:ascii="宋体" w:hAnsi="宋体" w:eastAsia="宋体" w:cs="宋体"/>
          <w:b/>
          <w:color w:val="auto"/>
          <w:kern w:val="0"/>
          <w:szCs w:val="21"/>
          <w:highlight w:val="none"/>
        </w:rPr>
      </w:pPr>
    </w:p>
    <w:p w14:paraId="3845B954">
      <w:pPr>
        <w:tabs>
          <w:tab w:val="left" w:pos="1140"/>
        </w:tabs>
        <w:autoSpaceDE w:val="0"/>
        <w:autoSpaceDN w:val="0"/>
        <w:adjustRightInd w:val="0"/>
        <w:spacing w:line="360" w:lineRule="auto"/>
        <w:ind w:firstLine="3528" w:firstLineChars="1255"/>
        <w:jc w:val="left"/>
        <w:outlineLvl w:val="9"/>
        <w:rPr>
          <w:rFonts w:hint="eastAsia" w:ascii="宋体" w:hAnsi="宋体" w:eastAsia="宋体" w:cs="宋体"/>
          <w:b/>
          <w:bCs/>
          <w:color w:val="auto"/>
          <w:sz w:val="28"/>
          <w:szCs w:val="28"/>
          <w:highlight w:val="none"/>
        </w:rPr>
      </w:pPr>
      <w:bookmarkStart w:id="506" w:name="_Toc4109_WPSOffice_Level1"/>
      <w:r>
        <w:rPr>
          <w:rFonts w:hint="eastAsia" w:ascii="宋体" w:hAnsi="宋体" w:eastAsia="宋体" w:cs="宋体"/>
          <w:b/>
          <w:bCs/>
          <w:color w:val="auto"/>
          <w:sz w:val="28"/>
          <w:szCs w:val="28"/>
          <w:highlight w:val="none"/>
          <w:lang w:val="zh-CN"/>
        </w:rPr>
        <w:t>三、澄清有关问题</w:t>
      </w:r>
      <w:bookmarkEnd w:id="506"/>
    </w:p>
    <w:p w14:paraId="1C53A584">
      <w:pPr>
        <w:autoSpaceDE w:val="0"/>
        <w:autoSpaceDN w:val="0"/>
        <w:adjustRightInd w:val="0"/>
        <w:spacing w:line="360" w:lineRule="auto"/>
        <w:ind w:left="315" w:hanging="315" w:hangingChars="150"/>
        <w:outlineLvl w:val="9"/>
        <w:rPr>
          <w:rFonts w:hint="eastAsia" w:ascii="宋体" w:hAnsi="宋体" w:eastAsia="宋体" w:cs="宋体"/>
          <w:color w:val="auto"/>
          <w:szCs w:val="24"/>
          <w:highlight w:val="none"/>
          <w:lang w:val="zh-CN"/>
        </w:rPr>
      </w:pPr>
      <w:r>
        <w:rPr>
          <w:rFonts w:hint="eastAsia" w:ascii="宋体" w:hAnsi="宋体" w:eastAsia="宋体" w:cs="宋体"/>
          <w:bCs/>
          <w:color w:val="auto"/>
          <w:szCs w:val="24"/>
          <w:highlight w:val="none"/>
          <w:lang w:val="zh-CN"/>
        </w:rPr>
        <w:t>9、</w:t>
      </w:r>
      <w:r>
        <w:rPr>
          <w:rFonts w:hint="eastAsia" w:ascii="宋体" w:hAnsi="宋体" w:eastAsia="宋体" w:cs="宋体"/>
          <w:color w:val="auto"/>
          <w:szCs w:val="24"/>
          <w:highlight w:val="none"/>
          <w:lang w:val="zh-CN"/>
        </w:rPr>
        <w:t>在</w:t>
      </w:r>
      <w:r>
        <w:rPr>
          <w:rFonts w:hint="eastAsia" w:ascii="宋体" w:hAnsi="宋体" w:eastAsia="宋体" w:cs="宋体"/>
          <w:color w:val="auto"/>
          <w:kern w:val="0"/>
          <w:szCs w:val="24"/>
          <w:highlight w:val="none"/>
          <w:lang w:val="zh-CN"/>
        </w:rPr>
        <w:t>投标文件</w:t>
      </w:r>
      <w:r>
        <w:rPr>
          <w:rFonts w:hint="eastAsia" w:ascii="宋体" w:hAnsi="宋体" w:eastAsia="宋体" w:cs="宋体"/>
          <w:color w:val="auto"/>
          <w:szCs w:val="24"/>
          <w:highlight w:val="none"/>
          <w:lang w:val="zh-CN"/>
        </w:rPr>
        <w:t>的商务、技术资格性检查及符合性检查过程中，</w:t>
      </w:r>
      <w:r>
        <w:rPr>
          <w:rFonts w:hint="eastAsia" w:ascii="宋体" w:hAnsi="宋体" w:eastAsia="宋体" w:cs="宋体"/>
          <w:color w:val="auto"/>
          <w:kern w:val="0"/>
          <w:szCs w:val="24"/>
          <w:highlight w:val="none"/>
          <w:lang w:val="zh-CN"/>
        </w:rPr>
        <w:t>投标人</w:t>
      </w:r>
      <w:r>
        <w:rPr>
          <w:rFonts w:hint="eastAsia" w:ascii="宋体" w:hAnsi="宋体" w:eastAsia="宋体" w:cs="宋体"/>
          <w:color w:val="auto"/>
          <w:szCs w:val="24"/>
          <w:highlight w:val="none"/>
          <w:lang w:val="zh-CN"/>
        </w:rPr>
        <w:t>可应评标委员会要求对</w:t>
      </w:r>
      <w:r>
        <w:rPr>
          <w:rFonts w:hint="eastAsia" w:ascii="宋体" w:hAnsi="宋体" w:eastAsia="宋体" w:cs="宋体"/>
          <w:color w:val="auto"/>
          <w:kern w:val="0"/>
          <w:szCs w:val="24"/>
          <w:highlight w:val="none"/>
          <w:lang w:val="zh-CN"/>
        </w:rPr>
        <w:t>投标文件</w:t>
      </w:r>
      <w:r>
        <w:rPr>
          <w:rFonts w:hint="eastAsia" w:ascii="宋体" w:hAnsi="宋体" w:eastAsia="宋体" w:cs="宋体"/>
          <w:color w:val="auto"/>
          <w:szCs w:val="24"/>
          <w:highlight w:val="none"/>
          <w:lang w:val="zh-CN"/>
        </w:rPr>
        <w:t>中有关问题进行书面澄清。该书面澄清作为其</w:t>
      </w:r>
      <w:r>
        <w:rPr>
          <w:rFonts w:hint="eastAsia" w:ascii="宋体" w:hAnsi="宋体" w:eastAsia="宋体" w:cs="宋体"/>
          <w:color w:val="auto"/>
          <w:kern w:val="0"/>
          <w:szCs w:val="24"/>
          <w:highlight w:val="none"/>
          <w:lang w:val="zh-CN"/>
        </w:rPr>
        <w:t>投标文件</w:t>
      </w:r>
      <w:r>
        <w:rPr>
          <w:rFonts w:hint="eastAsia" w:ascii="宋体" w:hAnsi="宋体" w:eastAsia="宋体" w:cs="宋体"/>
          <w:color w:val="auto"/>
          <w:szCs w:val="24"/>
          <w:highlight w:val="none"/>
          <w:lang w:val="zh-CN"/>
        </w:rPr>
        <w:t>的一部分。</w:t>
      </w:r>
    </w:p>
    <w:p w14:paraId="59F7B2F8">
      <w:pPr>
        <w:autoSpaceDE w:val="0"/>
        <w:autoSpaceDN w:val="0"/>
        <w:adjustRightInd w:val="0"/>
        <w:spacing w:line="360" w:lineRule="auto"/>
        <w:ind w:left="529" w:hanging="529" w:hangingChars="252"/>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9.1  对</w:t>
      </w:r>
      <w:r>
        <w:rPr>
          <w:rFonts w:hint="eastAsia" w:ascii="宋体" w:hAnsi="宋体" w:eastAsia="宋体" w:cs="宋体"/>
          <w:color w:val="auto"/>
          <w:kern w:val="0"/>
          <w:szCs w:val="24"/>
          <w:highlight w:val="none"/>
          <w:lang w:val="zh-CN"/>
        </w:rPr>
        <w:t>投标文件</w:t>
      </w:r>
      <w:r>
        <w:rPr>
          <w:rFonts w:hint="eastAsia" w:ascii="宋体" w:hAnsi="宋体" w:eastAsia="宋体" w:cs="宋体"/>
          <w:color w:val="auto"/>
          <w:szCs w:val="24"/>
          <w:highlight w:val="none"/>
          <w:lang w:val="zh-CN"/>
        </w:rPr>
        <w:t>中含义不明确、同类问题表述不一致或者有明显文字和计算错误的内容，评标委员会可以书面形式（由评标委员会专家签字）要求投标人作出必要的澄清、说明或者纠正。</w:t>
      </w:r>
    </w:p>
    <w:p w14:paraId="098C7DA9">
      <w:pPr>
        <w:autoSpaceDE w:val="0"/>
        <w:autoSpaceDN w:val="0"/>
        <w:adjustRightInd w:val="0"/>
        <w:spacing w:line="360" w:lineRule="auto"/>
        <w:ind w:left="529" w:hanging="529" w:hangingChars="252"/>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9.2  投标人的澄清、说明或者纠正应当采用书面形式，经加盖其公章或其合法代表人（法定代表人或法定代表人授权书列明的被授权人）签署方有效，并不得超出投标文件的范围或者改变投标文件的实质性内容。</w:t>
      </w:r>
    </w:p>
    <w:p w14:paraId="2ADF0C25">
      <w:pPr>
        <w:autoSpaceDE w:val="0"/>
        <w:autoSpaceDN w:val="0"/>
        <w:adjustRightInd w:val="0"/>
        <w:spacing w:line="360" w:lineRule="auto"/>
        <w:ind w:left="529" w:right="18" w:hanging="529" w:hangingChars="252"/>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9.3  经过澄清后仍不符合要求，则该项目在下一步评审进行评分调整；若重大（实质性）偏差仍存在，且不可接受，投标人则被认为是“不响应招标文件要求的投标人”，不再进入下一步评审。</w:t>
      </w:r>
    </w:p>
    <w:p w14:paraId="7D56A2EE">
      <w:pPr>
        <w:spacing w:line="360" w:lineRule="auto"/>
        <w:ind w:left="424" w:hanging="424" w:hangingChars="202"/>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9.4  投标文件报价计算错误的修正</w:t>
      </w:r>
    </w:p>
    <w:p w14:paraId="670A9490">
      <w:pPr>
        <w:spacing w:line="360" w:lineRule="auto"/>
        <w:ind w:left="567" w:hanging="567" w:hangingChars="27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（1）评标委员会将对确定为实质上响应招标文件要求的投标文件进行校核，看其是否有计算或表达上的错误，修正错误的原则为： </w:t>
      </w:r>
    </w:p>
    <w:p w14:paraId="21AE63F2">
      <w:pPr>
        <w:spacing w:line="360" w:lineRule="auto"/>
        <w:ind w:firstLine="420" w:firstLineChars="200"/>
        <w:jc w:val="left"/>
        <w:outlineLvl w:val="9"/>
        <w:rPr>
          <w:rFonts w:hint="eastAsia" w:ascii="宋体" w:hAnsi="宋体" w:eastAsia="宋体" w:cs="宋体"/>
          <w:color w:val="auto"/>
          <w:kern w:val="0"/>
          <w:szCs w:val="21"/>
          <w:highlight w:val="none"/>
          <w:lang w:val="zh-CN"/>
        </w:rPr>
      </w:pPr>
      <w:r>
        <w:rPr>
          <w:rFonts w:hint="eastAsia" w:ascii="宋体" w:hAnsi="宋体" w:eastAsia="宋体" w:cs="宋体"/>
          <w:color w:val="auto"/>
          <w:kern w:val="0"/>
          <w:szCs w:val="21"/>
          <w:highlight w:val="none"/>
          <w:lang w:val="zh-CN"/>
        </w:rPr>
        <w:t>（</w:t>
      </w:r>
      <w:r>
        <w:rPr>
          <w:rFonts w:hint="eastAsia" w:ascii="宋体" w:hAnsi="宋体" w:eastAsia="宋体" w:cs="宋体"/>
          <w:color w:val="auto"/>
          <w:kern w:val="0"/>
          <w:szCs w:val="21"/>
          <w:highlight w:val="none"/>
        </w:rPr>
        <w:t>A</w:t>
      </w:r>
      <w:r>
        <w:rPr>
          <w:rFonts w:hint="eastAsia" w:ascii="宋体" w:hAnsi="宋体" w:eastAsia="宋体" w:cs="宋体"/>
          <w:color w:val="auto"/>
          <w:kern w:val="0"/>
          <w:szCs w:val="21"/>
          <w:highlight w:val="none"/>
          <w:lang w:val="zh-CN"/>
        </w:rPr>
        <w:t>）当以数字表示的金额与以文字表示的金额不一致时，以文字表示的金额为准；</w:t>
      </w:r>
    </w:p>
    <w:p w14:paraId="5A8969C0">
      <w:pPr>
        <w:spacing w:line="360" w:lineRule="auto"/>
        <w:ind w:left="420" w:leftChars="200"/>
        <w:jc w:val="left"/>
        <w:outlineLvl w:val="9"/>
        <w:rPr>
          <w:rFonts w:hint="eastAsia" w:ascii="宋体" w:hAnsi="宋体" w:eastAsia="宋体" w:cs="宋体"/>
          <w:color w:val="auto"/>
          <w:kern w:val="0"/>
          <w:szCs w:val="21"/>
          <w:highlight w:val="none"/>
          <w:lang w:val="zh-CN"/>
        </w:rPr>
      </w:pPr>
      <w:r>
        <w:rPr>
          <w:rFonts w:hint="eastAsia" w:ascii="宋体" w:hAnsi="宋体" w:eastAsia="宋体" w:cs="宋体"/>
          <w:color w:val="auto"/>
          <w:kern w:val="0"/>
          <w:szCs w:val="21"/>
          <w:highlight w:val="none"/>
          <w:lang w:val="zh-CN"/>
        </w:rPr>
        <w:t>（</w:t>
      </w:r>
      <w:r>
        <w:rPr>
          <w:rFonts w:hint="eastAsia" w:ascii="宋体" w:hAnsi="宋体" w:eastAsia="宋体" w:cs="宋体"/>
          <w:color w:val="auto"/>
          <w:kern w:val="0"/>
          <w:szCs w:val="21"/>
          <w:highlight w:val="none"/>
        </w:rPr>
        <w:t>B</w:t>
      </w:r>
      <w:r>
        <w:rPr>
          <w:rFonts w:hint="eastAsia" w:ascii="宋体" w:hAnsi="宋体" w:eastAsia="宋体" w:cs="宋体"/>
          <w:color w:val="auto"/>
          <w:kern w:val="0"/>
          <w:szCs w:val="21"/>
          <w:highlight w:val="none"/>
          <w:lang w:val="zh-CN"/>
        </w:rPr>
        <w:t>）当开标一览表(投标报价表)内总报价金额与按综合单价计算的总价不一致的，以综合单价计算结果为准，单项金额小数点有明显错位的，应以总价为准，并修正综合单价金额；</w:t>
      </w:r>
    </w:p>
    <w:p w14:paraId="52CBD957">
      <w:pPr>
        <w:spacing w:line="360" w:lineRule="auto"/>
        <w:ind w:left="420" w:leftChars="200"/>
        <w:jc w:val="left"/>
        <w:outlineLvl w:val="9"/>
        <w:rPr>
          <w:rFonts w:hint="eastAsia" w:ascii="宋体" w:hAnsi="宋体" w:eastAsia="宋体" w:cs="宋体"/>
          <w:color w:val="auto"/>
          <w:kern w:val="0"/>
          <w:szCs w:val="21"/>
          <w:highlight w:val="none"/>
          <w:lang w:val="zh-CN"/>
        </w:rPr>
      </w:pPr>
      <w:r>
        <w:rPr>
          <w:rFonts w:hint="eastAsia" w:ascii="宋体" w:hAnsi="宋体" w:eastAsia="宋体" w:cs="宋体"/>
          <w:color w:val="auto"/>
          <w:kern w:val="0"/>
          <w:szCs w:val="21"/>
          <w:highlight w:val="none"/>
          <w:lang w:val="zh-CN"/>
        </w:rPr>
        <w:t>（</w:t>
      </w:r>
      <w:r>
        <w:rPr>
          <w:rFonts w:hint="eastAsia" w:ascii="宋体" w:hAnsi="宋体" w:eastAsia="宋体" w:cs="宋体"/>
          <w:color w:val="auto"/>
          <w:kern w:val="0"/>
          <w:szCs w:val="21"/>
          <w:highlight w:val="none"/>
        </w:rPr>
        <w:t>C</w:t>
      </w:r>
      <w:r>
        <w:rPr>
          <w:rFonts w:hint="eastAsia" w:ascii="宋体" w:hAnsi="宋体" w:eastAsia="宋体" w:cs="宋体"/>
          <w:color w:val="auto"/>
          <w:kern w:val="0"/>
          <w:szCs w:val="21"/>
          <w:highlight w:val="none"/>
          <w:lang w:val="zh-CN"/>
        </w:rPr>
        <w:t>）当分项明细报价表内累计与投标报价表内报价不符时，以投标报价表（开标一览表）为准，修正分项明细报价表内的各分项报价；</w:t>
      </w:r>
    </w:p>
    <w:p w14:paraId="66EFF2FA">
      <w:pPr>
        <w:spacing w:line="360" w:lineRule="auto"/>
        <w:ind w:firstLine="420" w:firstLineChars="200"/>
        <w:jc w:val="left"/>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Cs w:val="21"/>
          <w:highlight w:val="none"/>
          <w:lang w:val="zh-CN"/>
        </w:rPr>
        <w:t>（</w:t>
      </w:r>
      <w:r>
        <w:rPr>
          <w:rFonts w:hint="eastAsia" w:ascii="宋体" w:hAnsi="宋体" w:eastAsia="宋体" w:cs="宋体"/>
          <w:color w:val="auto"/>
          <w:kern w:val="0"/>
          <w:szCs w:val="21"/>
          <w:highlight w:val="none"/>
        </w:rPr>
        <w:t>D</w:t>
      </w:r>
      <w:r>
        <w:rPr>
          <w:rFonts w:hint="eastAsia" w:ascii="宋体" w:hAnsi="宋体" w:eastAsia="宋体" w:cs="宋体"/>
          <w:color w:val="auto"/>
          <w:kern w:val="0"/>
          <w:szCs w:val="21"/>
          <w:highlight w:val="none"/>
          <w:lang w:val="zh-CN"/>
        </w:rPr>
        <w:t>）按前述修正原则排序依次进行修正至唯一值后的报价表经双方确认后，作为合同文件的组成部分。</w:t>
      </w:r>
    </w:p>
    <w:p w14:paraId="5E0F2CB8">
      <w:pPr>
        <w:spacing w:line="360" w:lineRule="auto"/>
        <w:ind w:left="567" w:hanging="567" w:hangingChars="270"/>
        <w:outlineLvl w:val="9"/>
        <w:rPr>
          <w:rFonts w:hint="eastAsia" w:ascii="宋体" w:hAnsi="宋体" w:eastAsia="宋体" w:cs="宋体"/>
          <w:b/>
          <w:color w:val="auto"/>
          <w:kern w:val="0"/>
          <w:szCs w:val="21"/>
          <w:highlight w:val="none"/>
          <w:lang w:val="zh-CN"/>
        </w:rPr>
      </w:pPr>
      <w:r>
        <w:rPr>
          <w:rFonts w:hint="eastAsia" w:ascii="宋体" w:hAnsi="宋体" w:eastAsia="宋体" w:cs="宋体"/>
          <w:color w:val="auto"/>
          <w:kern w:val="0"/>
          <w:szCs w:val="21"/>
          <w:highlight w:val="none"/>
          <w:lang w:val="zh-CN"/>
        </w:rPr>
        <w:t>（2）</w:t>
      </w:r>
      <w:r>
        <w:rPr>
          <w:rFonts w:hint="eastAsia" w:ascii="宋体" w:hAnsi="宋体" w:eastAsia="宋体" w:cs="宋体"/>
          <w:b/>
          <w:color w:val="auto"/>
          <w:kern w:val="0"/>
          <w:szCs w:val="21"/>
          <w:highlight w:val="none"/>
          <w:u w:val="single"/>
          <w:lang w:val="zh-CN"/>
        </w:rPr>
        <w:t>按上述修正</w:t>
      </w:r>
      <w:r>
        <w:rPr>
          <w:rFonts w:hint="eastAsia" w:ascii="宋体" w:hAnsi="宋体" w:eastAsia="宋体" w:cs="宋体"/>
          <w:b/>
          <w:color w:val="auto"/>
          <w:kern w:val="0"/>
          <w:szCs w:val="21"/>
          <w:highlight w:val="none"/>
          <w:u w:val="single"/>
        </w:rPr>
        <w:t>错误</w:t>
      </w:r>
      <w:r>
        <w:rPr>
          <w:rFonts w:hint="eastAsia" w:ascii="宋体" w:hAnsi="宋体" w:eastAsia="宋体" w:cs="宋体"/>
          <w:b/>
          <w:color w:val="auto"/>
          <w:kern w:val="0"/>
          <w:szCs w:val="21"/>
          <w:highlight w:val="none"/>
          <w:u w:val="single"/>
          <w:lang w:val="zh-CN"/>
        </w:rPr>
        <w:t>的原则及方法调整或修正投标文件的投标报价，调整后的投标报价对投标人起约束作用。如果投标人不接受修正后的报价，则其投标将被拒绝，作为无效投标处理</w:t>
      </w:r>
      <w:r>
        <w:rPr>
          <w:rFonts w:hint="eastAsia" w:ascii="宋体" w:hAnsi="宋体" w:eastAsia="宋体" w:cs="宋体"/>
          <w:b/>
          <w:color w:val="auto"/>
          <w:kern w:val="0"/>
          <w:szCs w:val="21"/>
          <w:highlight w:val="none"/>
          <w:lang w:val="zh-CN"/>
        </w:rPr>
        <w:t>。</w:t>
      </w:r>
    </w:p>
    <w:p w14:paraId="5A5E182B">
      <w:pPr>
        <w:autoSpaceDE w:val="0"/>
        <w:autoSpaceDN w:val="0"/>
        <w:adjustRightInd w:val="0"/>
        <w:spacing w:line="360" w:lineRule="auto"/>
        <w:jc w:val="center"/>
        <w:outlineLvl w:val="9"/>
        <w:rPr>
          <w:rFonts w:hint="eastAsia" w:ascii="宋体" w:hAnsi="宋体" w:eastAsia="宋体" w:cs="宋体"/>
          <w:b/>
          <w:bCs/>
          <w:color w:val="auto"/>
          <w:sz w:val="28"/>
          <w:szCs w:val="28"/>
          <w:highlight w:val="none"/>
          <w:lang w:val="zh-CN"/>
        </w:rPr>
      </w:pPr>
      <w:bookmarkStart w:id="507" w:name="_Toc8518_WPSOffice_Level1"/>
    </w:p>
    <w:p w14:paraId="0698B6AD">
      <w:pPr>
        <w:autoSpaceDE w:val="0"/>
        <w:autoSpaceDN w:val="0"/>
        <w:adjustRightInd w:val="0"/>
        <w:spacing w:line="360" w:lineRule="auto"/>
        <w:jc w:val="center"/>
        <w:outlineLvl w:val="9"/>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lang w:val="zh-CN"/>
        </w:rPr>
        <w:t>四、比较和评价</w:t>
      </w:r>
      <w:bookmarkEnd w:id="507"/>
    </w:p>
    <w:p w14:paraId="38E18A90">
      <w:pPr>
        <w:autoSpaceDE w:val="0"/>
        <w:autoSpaceDN w:val="0"/>
        <w:adjustRightInd w:val="0"/>
        <w:spacing w:line="360" w:lineRule="auto"/>
        <w:ind w:left="422" w:leftChars="1" w:hanging="420" w:hangingChars="200"/>
        <w:outlineLvl w:val="9"/>
        <w:rPr>
          <w:rFonts w:hint="eastAsia" w:ascii="宋体" w:hAnsi="宋体" w:eastAsia="宋体" w:cs="宋体"/>
          <w:color w:val="auto"/>
          <w:szCs w:val="24"/>
          <w:highlight w:val="none"/>
          <w:lang w:val="zh-CN"/>
        </w:rPr>
      </w:pPr>
      <w:r>
        <w:rPr>
          <w:rFonts w:hint="eastAsia" w:ascii="宋体" w:hAnsi="宋体" w:eastAsia="宋体" w:cs="宋体"/>
          <w:bCs/>
          <w:color w:val="auto"/>
          <w:szCs w:val="24"/>
          <w:highlight w:val="none"/>
          <w:lang w:val="zh-CN"/>
        </w:rPr>
        <w:t>10、</w:t>
      </w:r>
      <w:r>
        <w:rPr>
          <w:rFonts w:hint="eastAsia" w:ascii="宋体" w:hAnsi="宋体" w:eastAsia="宋体" w:cs="宋体"/>
          <w:color w:val="auto"/>
          <w:szCs w:val="24"/>
          <w:highlight w:val="none"/>
          <w:lang w:val="zh-CN"/>
        </w:rPr>
        <w:t>评标委员会按招标文件中规定的评审方法和标准，对资格性检查和符合性检查合格的投标文件进行商务和技术评审、综合比较与评价；评标委员会根据商务和技术评审的结果，采用综合评分法，分别对投标文件的商务、技术等内容进行打分。</w:t>
      </w:r>
    </w:p>
    <w:p w14:paraId="500C7496">
      <w:pPr>
        <w:autoSpaceDE w:val="0"/>
        <w:autoSpaceDN w:val="0"/>
        <w:adjustRightInd w:val="0"/>
        <w:spacing w:line="360" w:lineRule="auto"/>
        <w:ind w:left="422" w:leftChars="1" w:hanging="420" w:hangingChars="200"/>
        <w:outlineLvl w:val="9"/>
        <w:rPr>
          <w:rFonts w:hint="eastAsia" w:ascii="宋体" w:hAnsi="宋体" w:eastAsia="宋体" w:cs="宋体"/>
          <w:color w:val="auto"/>
          <w:szCs w:val="24"/>
          <w:highlight w:val="none"/>
          <w:lang w:val="zh-CN"/>
        </w:rPr>
      </w:pPr>
    </w:p>
    <w:p w14:paraId="1C7BE5CB">
      <w:pPr>
        <w:tabs>
          <w:tab w:val="left" w:pos="1701"/>
        </w:tabs>
        <w:autoSpaceDE w:val="0"/>
        <w:autoSpaceDN w:val="0"/>
        <w:adjustRightInd w:val="0"/>
        <w:spacing w:line="360" w:lineRule="auto"/>
        <w:outlineLvl w:val="9"/>
        <w:rPr>
          <w:rFonts w:hint="eastAsia" w:ascii="宋体" w:hAnsi="宋体" w:eastAsia="宋体" w:cs="宋体"/>
          <w:b/>
          <w:color w:val="auto"/>
          <w:szCs w:val="24"/>
          <w:highlight w:val="none"/>
          <w:lang w:val="zh-CN"/>
        </w:rPr>
      </w:pPr>
      <w:r>
        <w:rPr>
          <w:rFonts w:hint="eastAsia" w:ascii="宋体" w:hAnsi="宋体" w:eastAsia="宋体" w:cs="宋体"/>
          <w:b/>
          <w:color w:val="auto"/>
          <w:szCs w:val="24"/>
          <w:highlight w:val="none"/>
          <w:lang w:val="zh-CN"/>
        </w:rPr>
        <w:t>11、评委打分办法</w:t>
      </w:r>
    </w:p>
    <w:p w14:paraId="15E2A88C">
      <w:pPr>
        <w:autoSpaceDE w:val="0"/>
        <w:autoSpaceDN w:val="0"/>
        <w:adjustRightInd w:val="0"/>
        <w:spacing w:line="360" w:lineRule="auto"/>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11.1 参加评分的评委应尽力体现客观、实事求是，避免学派偏见和个人偏好。</w:t>
      </w:r>
    </w:p>
    <w:p w14:paraId="29C19A5A">
      <w:pPr>
        <w:autoSpaceDE w:val="0"/>
        <w:autoSpaceDN w:val="0"/>
        <w:adjustRightInd w:val="0"/>
        <w:spacing w:line="360" w:lineRule="auto"/>
        <w:ind w:left="567" w:hanging="567" w:hangingChars="27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11.2 衡量、对比的依据，应以招标文件、投标文件、提供的正式试验数据、开标澄清中的文字为准，口头回答和收集的资料只作为参考。</w:t>
      </w:r>
    </w:p>
    <w:p w14:paraId="313991DF">
      <w:pPr>
        <w:autoSpaceDE w:val="0"/>
        <w:autoSpaceDN w:val="0"/>
        <w:adjustRightInd w:val="0"/>
        <w:spacing w:line="360" w:lineRule="auto"/>
        <w:ind w:left="567" w:hanging="567" w:hangingChars="270"/>
        <w:outlineLvl w:val="9"/>
        <w:rPr>
          <w:rFonts w:hint="eastAsia" w:ascii="宋体" w:hAnsi="宋体" w:eastAsia="宋体" w:cs="宋体"/>
          <w:color w:val="auto"/>
          <w:kern w:val="0"/>
          <w:szCs w:val="21"/>
          <w:highlight w:val="none"/>
        </w:rPr>
      </w:pPr>
      <w:r>
        <w:rPr>
          <w:rFonts w:hint="eastAsia" w:ascii="宋体" w:hAnsi="宋体" w:eastAsia="宋体" w:cs="宋体"/>
          <w:color w:val="auto"/>
          <w:szCs w:val="24"/>
          <w:highlight w:val="none"/>
          <w:lang w:val="zh-CN"/>
        </w:rPr>
        <w:t>11.3 评分主要是为比较各投标人的商务、技术综合排序。</w:t>
      </w:r>
      <w:r>
        <w:rPr>
          <w:rFonts w:hint="eastAsia" w:ascii="宋体" w:hAnsi="宋体" w:eastAsia="宋体" w:cs="宋体"/>
          <w:color w:val="auto"/>
          <w:kern w:val="0"/>
          <w:szCs w:val="21"/>
          <w:highlight w:val="none"/>
        </w:rPr>
        <w:t>评标委员会专家组的每一位评委根据招标文件评分标准对投标文件分别评审，对有效投标人投标文件的商务、技术分别评分。</w:t>
      </w:r>
    </w:p>
    <w:p w14:paraId="4A4B4E56">
      <w:pPr>
        <w:autoSpaceDE w:val="0"/>
        <w:autoSpaceDN w:val="0"/>
        <w:adjustRightInd w:val="0"/>
        <w:spacing w:line="360" w:lineRule="auto"/>
        <w:ind w:left="567" w:hanging="567" w:hangingChars="270"/>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（1）评标委员会首先对商务标进行评审，按评标标准打分后，取所有评委评分的平均值得出该投标人的商务评分；</w:t>
      </w:r>
    </w:p>
    <w:p w14:paraId="57C6F20A">
      <w:pPr>
        <w:autoSpaceDE w:val="0"/>
        <w:autoSpaceDN w:val="0"/>
        <w:adjustRightInd w:val="0"/>
        <w:spacing w:line="360" w:lineRule="auto"/>
        <w:ind w:left="567" w:hanging="567" w:hangingChars="270"/>
        <w:outlineLvl w:val="9"/>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（2）然后评标委员会对技术标进行评审，按评标标准打分后，取所有评委评分的平均值得出该投标人的商务评分；</w:t>
      </w:r>
    </w:p>
    <w:p w14:paraId="6EE89072">
      <w:pPr>
        <w:tabs>
          <w:tab w:val="left" w:pos="600"/>
        </w:tabs>
        <w:autoSpaceDE w:val="0"/>
        <w:autoSpaceDN w:val="0"/>
        <w:adjustRightInd w:val="0"/>
        <w:spacing w:line="360" w:lineRule="auto"/>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11.4 评标委员会打分采取记名形式。</w:t>
      </w:r>
    </w:p>
    <w:p w14:paraId="3DAF5FFB">
      <w:pPr>
        <w:autoSpaceDE w:val="0"/>
        <w:autoSpaceDN w:val="0"/>
        <w:adjustRightInd w:val="0"/>
        <w:spacing w:line="360" w:lineRule="auto"/>
        <w:ind w:left="567" w:hanging="567" w:hangingChars="27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11.5 各评委根据秘书组提供的打分表严格按照评标大纲内的评分标准独立自主打分，任何人不得要求评委统一打分或统一确定等次顺序。</w:t>
      </w:r>
    </w:p>
    <w:p w14:paraId="6B6AE44E">
      <w:pPr>
        <w:autoSpaceDE w:val="0"/>
        <w:autoSpaceDN w:val="0"/>
        <w:adjustRightInd w:val="0"/>
        <w:spacing w:line="360" w:lineRule="auto"/>
        <w:ind w:left="426" w:hanging="426"/>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11.6 对打分表中的每项条款，各评委应根据投标文件、澄清材料、招标文件要求，按满足的程度给投标人打分。</w:t>
      </w:r>
    </w:p>
    <w:p w14:paraId="1550C3DA">
      <w:pPr>
        <w:tabs>
          <w:tab w:val="left" w:pos="600"/>
        </w:tabs>
        <w:autoSpaceDE w:val="0"/>
        <w:autoSpaceDN w:val="0"/>
        <w:adjustRightInd w:val="0"/>
        <w:spacing w:line="360" w:lineRule="auto"/>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11.7 评分程序</w:t>
      </w:r>
    </w:p>
    <w:p w14:paraId="1333387E">
      <w:pPr>
        <w:tabs>
          <w:tab w:val="left" w:pos="1134"/>
        </w:tabs>
        <w:autoSpaceDE w:val="0"/>
        <w:autoSpaceDN w:val="0"/>
        <w:adjustRightInd w:val="0"/>
        <w:spacing w:line="360" w:lineRule="auto"/>
        <w:ind w:left="567" w:hanging="567" w:hangingChars="27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（1）就投标人的投标文件对照整理出商务、技术评标因素对比表、偏差表，并在经过校核的基础上逐项打分。</w:t>
      </w:r>
    </w:p>
    <w:p w14:paraId="7364E9D3">
      <w:pPr>
        <w:tabs>
          <w:tab w:val="left" w:pos="1134"/>
        </w:tabs>
        <w:autoSpaceDE w:val="0"/>
        <w:autoSpaceDN w:val="0"/>
        <w:adjustRightInd w:val="0"/>
        <w:spacing w:line="360" w:lineRule="auto"/>
        <w:ind w:left="567" w:hanging="567" w:hangingChars="27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（2）各评委独立完成打分后，将统计好的评分表交给招标代理机构秘书组复核。</w:t>
      </w:r>
    </w:p>
    <w:p w14:paraId="3070B9D9">
      <w:pPr>
        <w:tabs>
          <w:tab w:val="left" w:pos="1134"/>
        </w:tabs>
        <w:autoSpaceDE w:val="0"/>
        <w:autoSpaceDN w:val="0"/>
        <w:adjustRightInd w:val="0"/>
        <w:spacing w:line="360" w:lineRule="auto"/>
        <w:ind w:left="567" w:hanging="567" w:hangingChars="27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（3）评分统计表中各投标人技术得分应为最终综合得分，商务得分应为评委打分的算术平均值。</w:t>
      </w:r>
    </w:p>
    <w:p w14:paraId="56BC727C">
      <w:pPr>
        <w:autoSpaceDE w:val="0"/>
        <w:autoSpaceDN w:val="0"/>
        <w:adjustRightInd w:val="0"/>
        <w:spacing w:line="360" w:lineRule="auto"/>
        <w:outlineLvl w:val="9"/>
        <w:rPr>
          <w:rFonts w:hint="eastAsia" w:ascii="宋体" w:hAnsi="宋体" w:eastAsia="宋体" w:cs="宋体"/>
          <w:color w:val="auto"/>
          <w:szCs w:val="24"/>
          <w:highlight w:val="none"/>
          <w:lang w:val="zh-CN"/>
        </w:rPr>
      </w:pPr>
    </w:p>
    <w:p w14:paraId="52C73742">
      <w:pPr>
        <w:tabs>
          <w:tab w:val="left" w:pos="1701"/>
        </w:tabs>
        <w:autoSpaceDE w:val="0"/>
        <w:autoSpaceDN w:val="0"/>
        <w:adjustRightInd w:val="0"/>
        <w:spacing w:line="360" w:lineRule="auto"/>
        <w:outlineLvl w:val="9"/>
        <w:rPr>
          <w:rFonts w:hint="eastAsia" w:ascii="宋体" w:hAnsi="宋体" w:eastAsia="宋体" w:cs="宋体"/>
          <w:b/>
          <w:color w:val="auto"/>
          <w:szCs w:val="24"/>
          <w:highlight w:val="none"/>
          <w:lang w:val="zh-CN"/>
        </w:rPr>
      </w:pPr>
      <w:r>
        <w:rPr>
          <w:rFonts w:hint="eastAsia" w:ascii="宋体" w:hAnsi="宋体" w:eastAsia="宋体" w:cs="宋体"/>
          <w:b/>
          <w:color w:val="auto"/>
          <w:szCs w:val="24"/>
          <w:highlight w:val="none"/>
          <w:lang w:val="zh-CN"/>
        </w:rPr>
        <w:t>12、评分因素及分值</w:t>
      </w:r>
    </w:p>
    <w:tbl>
      <w:tblPr>
        <w:tblStyle w:val="41"/>
        <w:tblW w:w="1037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97"/>
        <w:gridCol w:w="5173"/>
      </w:tblGrid>
      <w:tr w14:paraId="742C42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5197" w:type="dxa"/>
            <w:tcBorders>
              <w:top w:val="single" w:color="auto" w:sz="4" w:space="0"/>
              <w:left w:val="single" w:color="auto" w:sz="4" w:space="0"/>
              <w:bottom w:val="single" w:color="auto" w:sz="4" w:space="0"/>
              <w:right w:val="single" w:color="auto" w:sz="4" w:space="0"/>
            </w:tcBorders>
            <w:vAlign w:val="center"/>
          </w:tcPr>
          <w:p w14:paraId="3B434F26">
            <w:pPr>
              <w:spacing w:line="360" w:lineRule="auto"/>
              <w:jc w:val="center"/>
              <w:outlineLvl w:val="9"/>
              <w:rPr>
                <w:rFonts w:hint="eastAsia" w:ascii="宋体" w:hAnsi="宋体" w:eastAsia="宋体" w:cs="宋体"/>
                <w:b/>
                <w:color w:val="auto"/>
                <w:kern w:val="0"/>
                <w:sz w:val="22"/>
                <w:highlight w:val="none"/>
                <w:lang w:val="zh-CN"/>
              </w:rPr>
            </w:pPr>
            <w:r>
              <w:rPr>
                <w:rFonts w:hint="eastAsia" w:ascii="宋体" w:hAnsi="宋体" w:eastAsia="宋体" w:cs="宋体"/>
                <w:b/>
                <w:color w:val="auto"/>
                <w:kern w:val="0"/>
                <w:sz w:val="22"/>
                <w:highlight w:val="none"/>
                <w:lang w:val="zh-CN"/>
              </w:rPr>
              <w:t>评分因素</w:t>
            </w:r>
          </w:p>
        </w:tc>
        <w:tc>
          <w:tcPr>
            <w:tcW w:w="5173" w:type="dxa"/>
            <w:tcBorders>
              <w:top w:val="single" w:color="auto" w:sz="4" w:space="0"/>
              <w:left w:val="single" w:color="auto" w:sz="4" w:space="0"/>
              <w:bottom w:val="single" w:color="auto" w:sz="4" w:space="0"/>
              <w:right w:val="single" w:color="auto" w:sz="4" w:space="0"/>
            </w:tcBorders>
            <w:vAlign w:val="center"/>
          </w:tcPr>
          <w:p w14:paraId="1E63640C">
            <w:pPr>
              <w:spacing w:line="360" w:lineRule="auto"/>
              <w:jc w:val="center"/>
              <w:outlineLvl w:val="9"/>
              <w:rPr>
                <w:rFonts w:hint="eastAsia" w:ascii="宋体" w:hAnsi="宋体" w:eastAsia="宋体" w:cs="宋体"/>
                <w:b/>
                <w:color w:val="auto"/>
                <w:kern w:val="0"/>
                <w:sz w:val="22"/>
                <w:highlight w:val="none"/>
                <w:lang w:val="zh-CN"/>
              </w:rPr>
            </w:pPr>
            <w:r>
              <w:rPr>
                <w:rFonts w:hint="eastAsia" w:ascii="宋体" w:hAnsi="宋体" w:eastAsia="宋体" w:cs="宋体"/>
                <w:b/>
                <w:color w:val="auto"/>
                <w:kern w:val="0"/>
                <w:sz w:val="22"/>
                <w:highlight w:val="none"/>
                <w:lang w:val="zh-CN"/>
              </w:rPr>
              <w:t>分值</w:t>
            </w:r>
          </w:p>
        </w:tc>
      </w:tr>
      <w:tr w14:paraId="432300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5197" w:type="dxa"/>
            <w:tcBorders>
              <w:top w:val="single" w:color="auto" w:sz="4" w:space="0"/>
              <w:left w:val="single" w:color="auto" w:sz="4" w:space="0"/>
              <w:bottom w:val="single" w:color="auto" w:sz="4" w:space="0"/>
              <w:right w:val="single" w:color="auto" w:sz="4" w:space="0"/>
            </w:tcBorders>
            <w:vAlign w:val="center"/>
          </w:tcPr>
          <w:p w14:paraId="6741B1C4">
            <w:pPr>
              <w:spacing w:line="360" w:lineRule="auto"/>
              <w:jc w:val="center"/>
              <w:outlineLvl w:val="9"/>
              <w:rPr>
                <w:rFonts w:hint="eastAsia" w:ascii="宋体" w:hAnsi="宋体" w:eastAsia="宋体" w:cs="宋体"/>
                <w:bCs/>
                <w:color w:val="auto"/>
                <w:kern w:val="0"/>
                <w:sz w:val="22"/>
                <w:highlight w:val="none"/>
                <w:lang w:val="zh-CN"/>
              </w:rPr>
            </w:pPr>
            <w:r>
              <w:rPr>
                <w:rFonts w:hint="eastAsia" w:ascii="宋体" w:hAnsi="宋体" w:eastAsia="宋体" w:cs="宋体"/>
                <w:bCs/>
                <w:color w:val="auto"/>
                <w:kern w:val="0"/>
                <w:sz w:val="22"/>
                <w:highlight w:val="none"/>
                <w:lang w:val="zh-CN"/>
              </w:rPr>
              <w:t>1、商务</w:t>
            </w:r>
          </w:p>
        </w:tc>
        <w:tc>
          <w:tcPr>
            <w:tcW w:w="5173" w:type="dxa"/>
            <w:tcBorders>
              <w:top w:val="single" w:color="auto" w:sz="4" w:space="0"/>
              <w:left w:val="single" w:color="auto" w:sz="4" w:space="0"/>
              <w:bottom w:val="single" w:color="auto" w:sz="4" w:space="0"/>
              <w:right w:val="single" w:color="auto" w:sz="4" w:space="0"/>
            </w:tcBorders>
            <w:vAlign w:val="center"/>
          </w:tcPr>
          <w:p w14:paraId="25B2EAF3">
            <w:pPr>
              <w:autoSpaceDE w:val="0"/>
              <w:autoSpaceDN w:val="0"/>
              <w:adjustRightInd w:val="0"/>
              <w:spacing w:line="360" w:lineRule="auto"/>
              <w:jc w:val="center"/>
              <w:outlineLvl w:val="9"/>
              <w:rPr>
                <w:rFonts w:hint="eastAsia" w:ascii="宋体" w:hAnsi="宋体" w:eastAsia="宋体" w:cs="宋体"/>
                <w:bCs/>
                <w:color w:val="auto"/>
                <w:kern w:val="0"/>
                <w:sz w:val="22"/>
                <w:highlight w:val="none"/>
                <w:lang w:val="zh-CN"/>
              </w:rPr>
            </w:pPr>
            <w:r>
              <w:rPr>
                <w:rFonts w:hint="eastAsia" w:ascii="宋体" w:hAnsi="宋体" w:eastAsia="宋体" w:cs="宋体"/>
                <w:b/>
                <w:color w:val="auto"/>
                <w:szCs w:val="21"/>
                <w:highlight w:val="none"/>
                <w:lang w:val="en-US" w:eastAsia="zh-CN"/>
              </w:rPr>
              <w:t>50</w:t>
            </w:r>
            <w:r>
              <w:rPr>
                <w:rFonts w:hint="eastAsia" w:ascii="宋体" w:hAnsi="宋体" w:eastAsia="宋体" w:cs="宋体"/>
                <w:b/>
                <w:color w:val="auto"/>
                <w:szCs w:val="21"/>
                <w:highlight w:val="none"/>
                <w:lang w:val="zh-CN"/>
              </w:rPr>
              <w:t>分</w:t>
            </w:r>
          </w:p>
        </w:tc>
      </w:tr>
      <w:tr w14:paraId="3FF2E8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5197" w:type="dxa"/>
            <w:tcBorders>
              <w:top w:val="single" w:color="auto" w:sz="4" w:space="0"/>
              <w:left w:val="single" w:color="auto" w:sz="4" w:space="0"/>
              <w:bottom w:val="single" w:color="auto" w:sz="4" w:space="0"/>
              <w:right w:val="single" w:color="auto" w:sz="4" w:space="0"/>
            </w:tcBorders>
            <w:vAlign w:val="center"/>
          </w:tcPr>
          <w:p w14:paraId="78836E12">
            <w:pPr>
              <w:spacing w:line="360" w:lineRule="auto"/>
              <w:jc w:val="center"/>
              <w:outlineLvl w:val="9"/>
              <w:rPr>
                <w:rFonts w:hint="eastAsia" w:ascii="宋体" w:hAnsi="宋体" w:eastAsia="宋体" w:cs="宋体"/>
                <w:bCs/>
                <w:color w:val="auto"/>
                <w:kern w:val="0"/>
                <w:sz w:val="22"/>
                <w:highlight w:val="none"/>
                <w:lang w:val="zh-CN"/>
              </w:rPr>
            </w:pPr>
            <w:r>
              <w:rPr>
                <w:rFonts w:hint="eastAsia" w:ascii="宋体" w:hAnsi="宋体" w:eastAsia="宋体" w:cs="宋体"/>
                <w:bCs/>
                <w:color w:val="auto"/>
                <w:kern w:val="0"/>
                <w:sz w:val="22"/>
                <w:highlight w:val="none"/>
                <w:lang w:val="zh-CN"/>
              </w:rPr>
              <w:t>2、技术</w:t>
            </w:r>
          </w:p>
        </w:tc>
        <w:tc>
          <w:tcPr>
            <w:tcW w:w="5173" w:type="dxa"/>
            <w:tcBorders>
              <w:top w:val="single" w:color="auto" w:sz="4" w:space="0"/>
              <w:left w:val="single" w:color="auto" w:sz="4" w:space="0"/>
              <w:bottom w:val="single" w:color="auto" w:sz="4" w:space="0"/>
              <w:right w:val="single" w:color="auto" w:sz="4" w:space="0"/>
            </w:tcBorders>
            <w:vAlign w:val="center"/>
          </w:tcPr>
          <w:p w14:paraId="6B1D481F">
            <w:pPr>
              <w:autoSpaceDE w:val="0"/>
              <w:autoSpaceDN w:val="0"/>
              <w:adjustRightInd w:val="0"/>
              <w:spacing w:line="360" w:lineRule="auto"/>
              <w:jc w:val="center"/>
              <w:outlineLvl w:val="9"/>
              <w:rPr>
                <w:rFonts w:hint="eastAsia" w:ascii="宋体" w:hAnsi="宋体" w:eastAsia="宋体" w:cs="宋体"/>
                <w:bCs/>
                <w:color w:val="auto"/>
                <w:kern w:val="0"/>
                <w:sz w:val="22"/>
                <w:highlight w:val="none"/>
                <w:lang w:val="zh-CN"/>
              </w:rPr>
            </w:pPr>
            <w:r>
              <w:rPr>
                <w:rFonts w:hint="eastAsia" w:ascii="宋体" w:hAnsi="宋体" w:eastAsia="宋体" w:cs="宋体"/>
                <w:b/>
                <w:color w:val="auto"/>
                <w:szCs w:val="21"/>
                <w:highlight w:val="none"/>
                <w:lang w:val="en-US" w:eastAsia="zh-CN"/>
              </w:rPr>
              <w:t>40</w:t>
            </w:r>
            <w:r>
              <w:rPr>
                <w:rFonts w:hint="eastAsia" w:ascii="宋体" w:hAnsi="宋体" w:eastAsia="宋体" w:cs="宋体"/>
                <w:b/>
                <w:color w:val="auto"/>
                <w:szCs w:val="21"/>
                <w:highlight w:val="none"/>
                <w:lang w:val="zh-CN"/>
              </w:rPr>
              <w:t>分</w:t>
            </w:r>
          </w:p>
        </w:tc>
      </w:tr>
      <w:tr w14:paraId="6E1320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5197" w:type="dxa"/>
            <w:tcBorders>
              <w:top w:val="single" w:color="auto" w:sz="4" w:space="0"/>
              <w:left w:val="single" w:color="auto" w:sz="4" w:space="0"/>
              <w:bottom w:val="single" w:color="auto" w:sz="4" w:space="0"/>
              <w:right w:val="single" w:color="auto" w:sz="4" w:space="0"/>
            </w:tcBorders>
            <w:vAlign w:val="center"/>
          </w:tcPr>
          <w:p w14:paraId="758F991C">
            <w:pPr>
              <w:spacing w:line="360" w:lineRule="auto"/>
              <w:jc w:val="center"/>
              <w:outlineLvl w:val="9"/>
              <w:rPr>
                <w:rFonts w:hint="eastAsia" w:ascii="宋体" w:hAnsi="宋体" w:eastAsia="宋体" w:cs="宋体"/>
                <w:bCs/>
                <w:color w:val="auto"/>
                <w:kern w:val="0"/>
                <w:sz w:val="22"/>
                <w:highlight w:val="none"/>
                <w:lang w:val="en-US" w:eastAsia="zh-CN"/>
              </w:rPr>
            </w:pPr>
            <w:bookmarkStart w:id="508" w:name="_Toc18349_WPSOffice_Level2"/>
            <w:r>
              <w:rPr>
                <w:rFonts w:hint="eastAsia" w:ascii="宋体" w:hAnsi="宋体" w:eastAsia="宋体" w:cs="宋体"/>
                <w:bCs/>
                <w:color w:val="auto"/>
                <w:kern w:val="0"/>
                <w:sz w:val="22"/>
                <w:highlight w:val="none"/>
                <w:lang w:val="en-US" w:eastAsia="zh-CN"/>
              </w:rPr>
              <w:t>3、价格</w:t>
            </w:r>
          </w:p>
        </w:tc>
        <w:tc>
          <w:tcPr>
            <w:tcW w:w="5173" w:type="dxa"/>
            <w:tcBorders>
              <w:top w:val="single" w:color="auto" w:sz="4" w:space="0"/>
              <w:left w:val="single" w:color="auto" w:sz="4" w:space="0"/>
              <w:bottom w:val="single" w:color="auto" w:sz="4" w:space="0"/>
              <w:right w:val="single" w:color="auto" w:sz="4" w:space="0"/>
            </w:tcBorders>
            <w:vAlign w:val="center"/>
          </w:tcPr>
          <w:p w14:paraId="70F033C5">
            <w:pPr>
              <w:autoSpaceDE w:val="0"/>
              <w:autoSpaceDN w:val="0"/>
              <w:adjustRightInd w:val="0"/>
              <w:spacing w:line="360" w:lineRule="auto"/>
              <w:jc w:val="center"/>
              <w:outlineLvl w:val="9"/>
              <w:rPr>
                <w:rFonts w:hint="eastAsia" w:ascii="宋体" w:hAnsi="宋体" w:eastAsia="宋体" w:cs="宋体"/>
                <w:b/>
                <w:color w:val="auto"/>
                <w:szCs w:val="21"/>
                <w:highlight w:val="none"/>
                <w:lang w:val="en-US" w:eastAsia="zh-CN"/>
              </w:rPr>
            </w:pPr>
            <w:r>
              <w:rPr>
                <w:rFonts w:hint="eastAsia" w:ascii="宋体" w:hAnsi="宋体" w:eastAsia="宋体" w:cs="宋体"/>
                <w:b/>
                <w:color w:val="auto"/>
                <w:szCs w:val="21"/>
                <w:highlight w:val="none"/>
                <w:lang w:val="en-US" w:eastAsia="zh-CN"/>
              </w:rPr>
              <w:t>10</w:t>
            </w:r>
            <w:r>
              <w:rPr>
                <w:rFonts w:hint="eastAsia" w:ascii="宋体" w:hAnsi="宋体" w:eastAsia="宋体" w:cs="宋体"/>
                <w:b/>
                <w:color w:val="auto"/>
                <w:szCs w:val="21"/>
                <w:highlight w:val="none"/>
                <w:lang w:val="zh-CN"/>
              </w:rPr>
              <w:t>分</w:t>
            </w:r>
          </w:p>
        </w:tc>
      </w:tr>
    </w:tbl>
    <w:p w14:paraId="7FB8F4AA">
      <w:pPr>
        <w:tabs>
          <w:tab w:val="left" w:pos="585"/>
        </w:tabs>
        <w:autoSpaceDE w:val="0"/>
        <w:autoSpaceDN w:val="0"/>
        <w:adjustRightInd w:val="0"/>
        <w:spacing w:line="360" w:lineRule="auto"/>
        <w:outlineLvl w:val="9"/>
        <w:rPr>
          <w:rFonts w:hint="eastAsia" w:ascii="宋体" w:hAnsi="宋体" w:eastAsia="宋体" w:cs="宋体"/>
          <w:b/>
          <w:color w:val="auto"/>
          <w:szCs w:val="21"/>
          <w:highlight w:val="none"/>
        </w:rPr>
      </w:pPr>
    </w:p>
    <w:p w14:paraId="0A17F233">
      <w:pPr>
        <w:tabs>
          <w:tab w:val="left" w:pos="585"/>
        </w:tabs>
        <w:autoSpaceDE w:val="0"/>
        <w:autoSpaceDN w:val="0"/>
        <w:adjustRightInd w:val="0"/>
        <w:spacing w:line="360" w:lineRule="auto"/>
        <w:outlineLvl w:val="9"/>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rPr>
        <w:t>（1）</w:t>
      </w:r>
      <w:r>
        <w:rPr>
          <w:rFonts w:hint="eastAsia" w:ascii="宋体" w:hAnsi="宋体" w:eastAsia="宋体" w:cs="宋体"/>
          <w:b/>
          <w:color w:val="auto"/>
          <w:szCs w:val="21"/>
          <w:highlight w:val="none"/>
          <w:lang w:val="zh-CN"/>
        </w:rPr>
        <w:t>商务：总分</w:t>
      </w:r>
      <w:r>
        <w:rPr>
          <w:rFonts w:hint="eastAsia" w:ascii="宋体" w:hAnsi="宋体" w:eastAsia="宋体" w:cs="宋体"/>
          <w:b/>
          <w:color w:val="auto"/>
          <w:szCs w:val="21"/>
          <w:highlight w:val="none"/>
          <w:lang w:val="en-US" w:eastAsia="zh-CN"/>
        </w:rPr>
        <w:t>50</w:t>
      </w:r>
      <w:r>
        <w:rPr>
          <w:rFonts w:hint="eastAsia" w:ascii="宋体" w:hAnsi="宋体" w:eastAsia="宋体" w:cs="宋体"/>
          <w:b/>
          <w:color w:val="auto"/>
          <w:szCs w:val="21"/>
          <w:highlight w:val="none"/>
          <w:lang w:val="zh-CN"/>
        </w:rPr>
        <w:t>分</w:t>
      </w:r>
      <w:bookmarkEnd w:id="508"/>
    </w:p>
    <w:tbl>
      <w:tblPr>
        <w:tblStyle w:val="41"/>
        <w:tblW w:w="103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1134"/>
        <w:gridCol w:w="7655"/>
        <w:gridCol w:w="907"/>
      </w:tblGrid>
      <w:tr w14:paraId="1BA80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674" w:type="dxa"/>
            <w:tcBorders>
              <w:top w:val="single" w:color="auto" w:sz="4" w:space="0"/>
              <w:left w:val="single" w:color="auto" w:sz="4" w:space="0"/>
              <w:bottom w:val="single" w:color="auto" w:sz="4" w:space="0"/>
              <w:right w:val="single" w:color="auto" w:sz="4" w:space="0"/>
            </w:tcBorders>
            <w:vAlign w:val="center"/>
          </w:tcPr>
          <w:p w14:paraId="0F3C7781">
            <w:pPr>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序号</w:t>
            </w:r>
          </w:p>
        </w:tc>
        <w:tc>
          <w:tcPr>
            <w:tcW w:w="1134" w:type="dxa"/>
            <w:tcBorders>
              <w:top w:val="single" w:color="auto" w:sz="4" w:space="0"/>
              <w:left w:val="single" w:color="auto" w:sz="4" w:space="0"/>
              <w:bottom w:val="single" w:color="auto" w:sz="4" w:space="0"/>
              <w:right w:val="single" w:color="auto" w:sz="4" w:space="0"/>
            </w:tcBorders>
            <w:vAlign w:val="center"/>
          </w:tcPr>
          <w:p w14:paraId="019DF6A4">
            <w:pPr>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b/>
                <w:color w:val="auto"/>
                <w:kern w:val="0"/>
                <w:sz w:val="21"/>
                <w:szCs w:val="21"/>
                <w:highlight w:val="none"/>
              </w:rPr>
            </w:pPr>
            <w:r>
              <w:rPr>
                <w:rFonts w:hint="eastAsia" w:ascii="宋体" w:hAnsi="宋体" w:eastAsia="宋体" w:cs="宋体"/>
                <w:b/>
                <w:color w:val="auto"/>
                <w:sz w:val="21"/>
                <w:szCs w:val="21"/>
                <w:highlight w:val="none"/>
                <w:lang w:val="zh-CN"/>
              </w:rPr>
              <w:t>评审内容</w:t>
            </w:r>
          </w:p>
        </w:tc>
        <w:tc>
          <w:tcPr>
            <w:tcW w:w="7655" w:type="dxa"/>
            <w:tcBorders>
              <w:top w:val="single" w:color="auto" w:sz="4" w:space="0"/>
              <w:left w:val="single" w:color="auto" w:sz="4" w:space="0"/>
              <w:bottom w:val="single" w:color="auto" w:sz="4" w:space="0"/>
              <w:right w:val="single" w:color="auto" w:sz="4" w:space="0"/>
            </w:tcBorders>
            <w:vAlign w:val="center"/>
          </w:tcPr>
          <w:p w14:paraId="2D3B5177">
            <w:pPr>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评审细则</w:t>
            </w:r>
          </w:p>
        </w:tc>
        <w:tc>
          <w:tcPr>
            <w:tcW w:w="907" w:type="dxa"/>
            <w:tcBorders>
              <w:top w:val="single" w:color="auto" w:sz="4" w:space="0"/>
              <w:left w:val="single" w:color="auto" w:sz="4" w:space="0"/>
              <w:bottom w:val="single" w:color="auto" w:sz="4" w:space="0"/>
              <w:right w:val="single" w:color="auto" w:sz="4" w:space="0"/>
            </w:tcBorders>
            <w:vAlign w:val="center"/>
          </w:tcPr>
          <w:p w14:paraId="24149C77">
            <w:pPr>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满分值</w:t>
            </w:r>
          </w:p>
        </w:tc>
      </w:tr>
      <w:tr w14:paraId="41B22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674" w:type="dxa"/>
            <w:tcBorders>
              <w:top w:val="single" w:color="auto" w:sz="4" w:space="0"/>
              <w:left w:val="single" w:color="auto" w:sz="4" w:space="0"/>
              <w:bottom w:val="single" w:color="auto" w:sz="4" w:space="0"/>
              <w:right w:val="single" w:color="auto" w:sz="4" w:space="0"/>
            </w:tcBorders>
            <w:vAlign w:val="center"/>
          </w:tcPr>
          <w:p w14:paraId="6D06982F">
            <w:pPr>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w:t>
            </w:r>
          </w:p>
        </w:tc>
        <w:tc>
          <w:tcPr>
            <w:tcW w:w="1134" w:type="dxa"/>
            <w:tcBorders>
              <w:top w:val="single" w:color="auto" w:sz="4" w:space="0"/>
              <w:left w:val="single" w:color="auto" w:sz="4" w:space="0"/>
              <w:bottom w:val="single" w:color="auto" w:sz="4" w:space="0"/>
              <w:right w:val="single" w:color="auto" w:sz="4" w:space="0"/>
            </w:tcBorders>
            <w:vAlign w:val="center"/>
          </w:tcPr>
          <w:p w14:paraId="6DEDF66C">
            <w:pPr>
              <w:keepNext w:val="0"/>
              <w:keepLines w:val="0"/>
              <w:pageBreakBefore w:val="0"/>
              <w:widowControl w:val="0"/>
              <w:kinsoku/>
              <w:wordWrap/>
              <w:overflowPunct/>
              <w:topLinePunct w:val="0"/>
              <w:autoSpaceDE w:val="0"/>
              <w:autoSpaceDN w:val="0"/>
              <w:bidi w:val="0"/>
              <w:snapToGrid/>
              <w:spacing w:line="400" w:lineRule="exact"/>
              <w:jc w:val="center"/>
              <w:textAlignment w:val="auto"/>
              <w:outlineLvl w:val="9"/>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投标人综合实力</w:t>
            </w:r>
          </w:p>
        </w:tc>
        <w:tc>
          <w:tcPr>
            <w:tcW w:w="7655" w:type="dxa"/>
            <w:tcBorders>
              <w:top w:val="single" w:color="auto" w:sz="4" w:space="0"/>
              <w:left w:val="single" w:color="auto" w:sz="4" w:space="0"/>
              <w:bottom w:val="single" w:color="auto" w:sz="4" w:space="0"/>
              <w:right w:val="single" w:color="auto" w:sz="4" w:space="0"/>
            </w:tcBorders>
            <w:vAlign w:val="center"/>
          </w:tcPr>
          <w:p w14:paraId="324E07E4">
            <w:pPr>
              <w:keepNext w:val="0"/>
              <w:keepLines w:val="0"/>
              <w:pageBreakBefore w:val="0"/>
              <w:widowControl w:val="0"/>
              <w:kinsoku/>
              <w:wordWrap/>
              <w:overflowPunct/>
              <w:topLinePunct w:val="0"/>
              <w:bidi w:val="0"/>
              <w:snapToGrid/>
              <w:spacing w:line="400" w:lineRule="exact"/>
              <w:textAlignment w:val="auto"/>
              <w:outlineLvl w:val="9"/>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投标人（含其总公司）具有由国家认证认可监督管理部门批准设立的认证机构颁发的有效的①质量管理体系认证证书、②环境管理体系认证证书、③职业健康安全管理体系认证证书，每提供1个得4分，最高得12分。</w:t>
            </w:r>
          </w:p>
          <w:p w14:paraId="0B1BC154">
            <w:pPr>
              <w:keepNext w:val="0"/>
              <w:keepLines w:val="0"/>
              <w:pageBreakBefore w:val="0"/>
              <w:widowControl w:val="0"/>
              <w:kinsoku/>
              <w:wordWrap/>
              <w:overflowPunct/>
              <w:topLinePunct w:val="0"/>
              <w:bidi w:val="0"/>
              <w:snapToGrid/>
              <w:spacing w:line="400" w:lineRule="exact"/>
              <w:textAlignment w:val="auto"/>
              <w:outlineLvl w:val="9"/>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注：须同时提供以上证书扫描件及国家认证认可监督管理委员的“全国认证认可信息公共服务平台”（http://cx.cnca.cn）查询结果截图，失效、撤销或暂停的对应证书项不得分。因企业成立时间不足，导致未能取得相关认证，但提供相关认证书面说明的，可获得对应证书的分值。</w:t>
            </w:r>
          </w:p>
        </w:tc>
        <w:tc>
          <w:tcPr>
            <w:tcW w:w="907" w:type="dxa"/>
            <w:tcBorders>
              <w:top w:val="single" w:color="auto" w:sz="4" w:space="0"/>
              <w:left w:val="single" w:color="auto" w:sz="4" w:space="0"/>
              <w:bottom w:val="single" w:color="auto" w:sz="4" w:space="0"/>
              <w:right w:val="single" w:color="auto" w:sz="4" w:space="0"/>
            </w:tcBorders>
            <w:vAlign w:val="center"/>
          </w:tcPr>
          <w:p w14:paraId="527B5AD9">
            <w:pPr>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12分</w:t>
            </w:r>
          </w:p>
        </w:tc>
      </w:tr>
      <w:tr w14:paraId="71362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674" w:type="dxa"/>
            <w:tcBorders>
              <w:top w:val="single" w:color="auto" w:sz="4" w:space="0"/>
              <w:left w:val="single" w:color="auto" w:sz="4" w:space="0"/>
              <w:bottom w:val="single" w:color="auto" w:sz="4" w:space="0"/>
              <w:right w:val="single" w:color="auto" w:sz="4" w:space="0"/>
            </w:tcBorders>
            <w:vAlign w:val="center"/>
          </w:tcPr>
          <w:p w14:paraId="29D20A19">
            <w:pPr>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p>
        </w:tc>
        <w:tc>
          <w:tcPr>
            <w:tcW w:w="1134" w:type="dxa"/>
            <w:tcBorders>
              <w:top w:val="single" w:color="auto" w:sz="4" w:space="0"/>
              <w:left w:val="single" w:color="auto" w:sz="4" w:space="0"/>
              <w:bottom w:val="single" w:color="auto" w:sz="4" w:space="0"/>
              <w:right w:val="single" w:color="auto" w:sz="4" w:space="0"/>
            </w:tcBorders>
            <w:vAlign w:val="center"/>
          </w:tcPr>
          <w:p w14:paraId="4C5BB25A">
            <w:pPr>
              <w:keepNext w:val="0"/>
              <w:keepLines w:val="0"/>
              <w:pageBreakBefore w:val="0"/>
              <w:widowControl w:val="0"/>
              <w:kinsoku/>
              <w:wordWrap/>
              <w:overflowPunct/>
              <w:topLinePunct w:val="0"/>
              <w:autoSpaceDE w:val="0"/>
              <w:autoSpaceDN w:val="0"/>
              <w:bidi w:val="0"/>
              <w:snapToGrid/>
              <w:spacing w:line="400" w:lineRule="exact"/>
              <w:jc w:val="center"/>
              <w:textAlignment w:val="auto"/>
              <w:outlineLvl w:val="9"/>
              <w:rPr>
                <w:rFonts w:hint="eastAsia"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val="en-US" w:eastAsia="zh-CN"/>
              </w:rPr>
              <w:t>拟投入本项目项目负责人</w:t>
            </w:r>
          </w:p>
        </w:tc>
        <w:tc>
          <w:tcPr>
            <w:tcW w:w="7655" w:type="dxa"/>
            <w:tcBorders>
              <w:top w:val="single" w:color="auto" w:sz="4" w:space="0"/>
              <w:left w:val="single" w:color="auto" w:sz="4" w:space="0"/>
              <w:bottom w:val="single" w:color="auto" w:sz="4" w:space="0"/>
              <w:right w:val="single" w:color="auto" w:sz="4" w:space="0"/>
            </w:tcBorders>
            <w:vAlign w:val="center"/>
          </w:tcPr>
          <w:p w14:paraId="17A85961">
            <w:pPr>
              <w:keepNext w:val="0"/>
              <w:keepLines w:val="0"/>
              <w:pageBreakBefore w:val="0"/>
              <w:widowControl w:val="0"/>
              <w:kinsoku/>
              <w:wordWrap/>
              <w:overflowPunct/>
              <w:topLinePunct w:val="0"/>
              <w:bidi w:val="0"/>
              <w:snapToGrid/>
              <w:spacing w:line="400" w:lineRule="exact"/>
              <w:textAlignment w:val="auto"/>
              <w:outlineLvl w:val="9"/>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根据投标人（含其总公司）拟投入本项目的项目负责人（1人）进行评审：</w:t>
            </w:r>
          </w:p>
          <w:p w14:paraId="7EBABA65">
            <w:pPr>
              <w:keepNext w:val="0"/>
              <w:keepLines w:val="0"/>
              <w:pageBreakBefore w:val="0"/>
              <w:widowControl w:val="0"/>
              <w:kinsoku/>
              <w:wordWrap/>
              <w:overflowPunct/>
              <w:topLinePunct w:val="0"/>
              <w:bidi w:val="0"/>
              <w:snapToGrid/>
              <w:spacing w:line="400" w:lineRule="exact"/>
              <w:textAlignment w:val="auto"/>
              <w:outlineLvl w:val="9"/>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1、具有人力资源和社会保障部（含原人事部门）</w:t>
            </w:r>
            <w:r>
              <w:rPr>
                <w:rFonts w:hint="eastAsia" w:ascii="宋体" w:hAnsi="宋体" w:eastAsia="宋体" w:cs="宋体"/>
                <w:b w:val="0"/>
                <w:bCs w:val="0"/>
                <w:color w:val="auto"/>
                <w:sz w:val="21"/>
                <w:szCs w:val="21"/>
                <w:highlight w:val="none"/>
                <w:u w:val="none"/>
                <w:lang w:val="en-US" w:eastAsia="zh-CN"/>
              </w:rPr>
              <w:t>和</w:t>
            </w:r>
            <w:r>
              <w:rPr>
                <w:rFonts w:hint="eastAsia" w:ascii="宋体" w:hAnsi="宋体" w:eastAsia="宋体" w:cs="宋体"/>
                <w:b w:val="0"/>
                <w:bCs w:val="0"/>
                <w:color w:val="auto"/>
                <w:sz w:val="21"/>
                <w:szCs w:val="21"/>
                <w:highlight w:val="none"/>
                <w:u w:val="none"/>
              </w:rPr>
              <w:t>工业和信息化部（含原信息产业部门）颁发的信息系统项目管理师证书，得2分；</w:t>
            </w:r>
          </w:p>
          <w:p w14:paraId="0FF6CDFC">
            <w:pPr>
              <w:keepNext w:val="0"/>
              <w:keepLines w:val="0"/>
              <w:pageBreakBefore w:val="0"/>
              <w:widowControl w:val="0"/>
              <w:kinsoku/>
              <w:wordWrap/>
              <w:overflowPunct/>
              <w:topLinePunct w:val="0"/>
              <w:bidi w:val="0"/>
              <w:snapToGrid/>
              <w:spacing w:line="400" w:lineRule="exact"/>
              <w:textAlignment w:val="auto"/>
              <w:outlineLvl w:val="9"/>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2、具有人社部门或其他具备职称评定资格的单位或机构颁发的通信相关中级或以上职称证书，得2分；</w:t>
            </w:r>
          </w:p>
          <w:p w14:paraId="03F45F10">
            <w:pPr>
              <w:keepNext w:val="0"/>
              <w:keepLines w:val="0"/>
              <w:pageBreakBefore w:val="0"/>
              <w:widowControl w:val="0"/>
              <w:kinsoku/>
              <w:wordWrap/>
              <w:overflowPunct/>
              <w:topLinePunct w:val="0"/>
              <w:bidi w:val="0"/>
              <w:snapToGrid/>
              <w:spacing w:line="400" w:lineRule="exact"/>
              <w:textAlignment w:val="auto"/>
              <w:outlineLvl w:val="9"/>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3、具有人力资源和社会保障部门（含原人事部门）</w:t>
            </w:r>
            <w:r>
              <w:rPr>
                <w:rFonts w:hint="eastAsia" w:ascii="宋体" w:hAnsi="宋体" w:eastAsia="宋体" w:cs="宋体"/>
                <w:b w:val="0"/>
                <w:bCs w:val="0"/>
                <w:color w:val="auto"/>
                <w:sz w:val="21"/>
                <w:szCs w:val="21"/>
                <w:highlight w:val="none"/>
                <w:u w:val="none"/>
                <w:lang w:val="en-US" w:eastAsia="zh-CN"/>
              </w:rPr>
              <w:t>和</w:t>
            </w:r>
            <w:r>
              <w:rPr>
                <w:rFonts w:hint="eastAsia" w:ascii="宋体" w:hAnsi="宋体" w:eastAsia="宋体" w:cs="宋体"/>
                <w:b w:val="0"/>
                <w:bCs w:val="0"/>
                <w:color w:val="auto"/>
                <w:sz w:val="21"/>
                <w:szCs w:val="21"/>
                <w:highlight w:val="none"/>
                <w:u w:val="none"/>
              </w:rPr>
              <w:t>工业和信息化部门（含原信息产业部门）颁发的信息安全工程师</w:t>
            </w:r>
            <w:r>
              <w:rPr>
                <w:rFonts w:hint="eastAsia" w:ascii="宋体" w:hAnsi="宋体" w:eastAsia="宋体" w:cs="宋体"/>
                <w:b w:val="0"/>
                <w:bCs w:val="0"/>
                <w:color w:val="auto"/>
                <w:sz w:val="21"/>
                <w:szCs w:val="21"/>
                <w:highlight w:val="none"/>
                <w:u w:val="none"/>
                <w:lang w:val="en-US"/>
              </w:rPr>
              <w:t>或</w:t>
            </w:r>
            <w:r>
              <w:rPr>
                <w:rFonts w:hint="eastAsia" w:ascii="宋体" w:hAnsi="宋体" w:eastAsia="宋体" w:cs="宋体"/>
                <w:b w:val="0"/>
                <w:bCs w:val="0"/>
                <w:color w:val="auto"/>
                <w:sz w:val="21"/>
                <w:szCs w:val="21"/>
                <w:highlight w:val="none"/>
                <w:u w:val="none"/>
              </w:rPr>
              <w:t>具有中国信息安全测评中心颁发的注册信息安全专业人员证书，得2分。</w:t>
            </w:r>
          </w:p>
          <w:p w14:paraId="69B5FF4A">
            <w:pPr>
              <w:keepNext w:val="0"/>
              <w:keepLines w:val="0"/>
              <w:pageBreakBefore w:val="0"/>
              <w:widowControl w:val="0"/>
              <w:kinsoku/>
              <w:wordWrap/>
              <w:overflowPunct/>
              <w:topLinePunct w:val="0"/>
              <w:bidi w:val="0"/>
              <w:snapToGrid/>
              <w:spacing w:line="400" w:lineRule="exact"/>
              <w:textAlignment w:val="auto"/>
              <w:outlineLvl w:val="9"/>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注：本项满分6分，投标人须提供有效证书复印件及社会保障部门出具的近6个月内任意1个月（含开标当月）在投标单位缴纳社会保险的有效凭证的复印件并加盖投标人公章。</w:t>
            </w:r>
          </w:p>
        </w:tc>
        <w:tc>
          <w:tcPr>
            <w:tcW w:w="907" w:type="dxa"/>
            <w:tcBorders>
              <w:top w:val="single" w:color="auto" w:sz="4" w:space="0"/>
              <w:left w:val="single" w:color="auto" w:sz="4" w:space="0"/>
              <w:bottom w:val="single" w:color="auto" w:sz="4" w:space="0"/>
              <w:right w:val="single" w:color="auto" w:sz="4" w:space="0"/>
            </w:tcBorders>
            <w:vAlign w:val="center"/>
          </w:tcPr>
          <w:p w14:paraId="1DE4FC35">
            <w:pPr>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6分</w:t>
            </w:r>
          </w:p>
        </w:tc>
      </w:tr>
      <w:tr w14:paraId="27398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674" w:type="dxa"/>
            <w:tcBorders>
              <w:top w:val="single" w:color="auto" w:sz="4" w:space="0"/>
              <w:left w:val="single" w:color="auto" w:sz="4" w:space="0"/>
              <w:bottom w:val="single" w:color="auto" w:sz="4" w:space="0"/>
              <w:right w:val="single" w:color="auto" w:sz="4" w:space="0"/>
            </w:tcBorders>
            <w:vAlign w:val="center"/>
          </w:tcPr>
          <w:p w14:paraId="4238E831">
            <w:pPr>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color w:val="auto"/>
                <w:kern w:val="0"/>
                <w:sz w:val="21"/>
                <w:szCs w:val="21"/>
                <w:highlight w:val="none"/>
                <w:lang w:val="en-US" w:eastAsia="zh-CN"/>
              </w:rPr>
            </w:pPr>
            <w:bookmarkStart w:id="509" w:name="_Toc11639_WPSOffice_Level2"/>
            <w:r>
              <w:rPr>
                <w:rFonts w:hint="eastAsia" w:ascii="宋体" w:hAnsi="宋体" w:eastAsia="宋体" w:cs="宋体"/>
                <w:color w:val="auto"/>
                <w:kern w:val="0"/>
                <w:sz w:val="21"/>
                <w:szCs w:val="21"/>
                <w:highlight w:val="none"/>
                <w:lang w:val="en-US" w:eastAsia="zh-CN"/>
              </w:rPr>
              <w:t>3</w:t>
            </w:r>
          </w:p>
        </w:tc>
        <w:tc>
          <w:tcPr>
            <w:tcW w:w="1134" w:type="dxa"/>
            <w:tcBorders>
              <w:top w:val="single" w:color="auto" w:sz="4" w:space="0"/>
              <w:left w:val="single" w:color="auto" w:sz="4" w:space="0"/>
              <w:bottom w:val="single" w:color="auto" w:sz="4" w:space="0"/>
              <w:right w:val="single" w:color="auto" w:sz="4" w:space="0"/>
            </w:tcBorders>
            <w:vAlign w:val="center"/>
          </w:tcPr>
          <w:p w14:paraId="3BA40AAF">
            <w:pPr>
              <w:keepNext w:val="0"/>
              <w:keepLines w:val="0"/>
              <w:pageBreakBefore w:val="0"/>
              <w:widowControl w:val="0"/>
              <w:kinsoku/>
              <w:wordWrap/>
              <w:overflowPunct/>
              <w:topLinePunct w:val="0"/>
              <w:autoSpaceDE w:val="0"/>
              <w:autoSpaceDN w:val="0"/>
              <w:bidi w:val="0"/>
              <w:snapToGrid/>
              <w:spacing w:line="400" w:lineRule="exact"/>
              <w:jc w:val="center"/>
              <w:textAlignment w:val="auto"/>
              <w:outlineLvl w:val="9"/>
              <w:rPr>
                <w:rFonts w:hint="eastAsia"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val="en-US" w:eastAsia="zh-CN"/>
              </w:rPr>
              <w:t>拟投入本项目技术负责人</w:t>
            </w:r>
          </w:p>
        </w:tc>
        <w:tc>
          <w:tcPr>
            <w:tcW w:w="7655" w:type="dxa"/>
            <w:tcBorders>
              <w:top w:val="single" w:color="auto" w:sz="4" w:space="0"/>
              <w:left w:val="single" w:color="auto" w:sz="4" w:space="0"/>
              <w:bottom w:val="single" w:color="auto" w:sz="4" w:space="0"/>
              <w:right w:val="single" w:color="auto" w:sz="4" w:space="0"/>
            </w:tcBorders>
            <w:vAlign w:val="center"/>
          </w:tcPr>
          <w:p w14:paraId="64441888">
            <w:pPr>
              <w:keepNext w:val="0"/>
              <w:keepLines w:val="0"/>
              <w:pageBreakBefore w:val="0"/>
              <w:widowControl w:val="0"/>
              <w:kinsoku/>
              <w:wordWrap/>
              <w:overflowPunct/>
              <w:topLinePunct w:val="0"/>
              <w:bidi w:val="0"/>
              <w:snapToGrid/>
              <w:spacing w:line="400" w:lineRule="exact"/>
              <w:textAlignment w:val="auto"/>
              <w:outlineLvl w:val="9"/>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根据投标人（含其总公司）拟投入本项目的技术负责人（1人</w:t>
            </w:r>
            <w:r>
              <w:rPr>
                <w:rFonts w:hint="eastAsia" w:ascii="宋体" w:hAnsi="宋体" w:eastAsia="宋体" w:cs="宋体"/>
                <w:b w:val="0"/>
                <w:bCs w:val="0"/>
                <w:color w:val="auto"/>
                <w:sz w:val="21"/>
                <w:szCs w:val="21"/>
                <w:highlight w:val="none"/>
                <w:u w:val="none"/>
                <w:lang w:eastAsia="zh-CN"/>
              </w:rPr>
              <w:t>，</w:t>
            </w:r>
            <w:r>
              <w:rPr>
                <w:rFonts w:hint="eastAsia" w:ascii="宋体" w:hAnsi="宋体" w:eastAsia="宋体" w:cs="宋体"/>
                <w:b w:val="0"/>
                <w:bCs w:val="0"/>
                <w:color w:val="auto"/>
                <w:sz w:val="21"/>
                <w:szCs w:val="21"/>
                <w:highlight w:val="none"/>
                <w:u w:val="none"/>
                <w:lang w:val="en-US" w:eastAsia="zh-CN"/>
              </w:rPr>
              <w:t>项目负责人除外</w:t>
            </w:r>
            <w:r>
              <w:rPr>
                <w:rFonts w:hint="eastAsia" w:ascii="宋体" w:hAnsi="宋体" w:eastAsia="宋体" w:cs="宋体"/>
                <w:b w:val="0"/>
                <w:bCs w:val="0"/>
                <w:color w:val="auto"/>
                <w:sz w:val="21"/>
                <w:szCs w:val="21"/>
                <w:highlight w:val="none"/>
                <w:u w:val="none"/>
              </w:rPr>
              <w:t>）进行评审：</w:t>
            </w:r>
          </w:p>
          <w:p w14:paraId="4CBB7706">
            <w:pPr>
              <w:keepNext w:val="0"/>
              <w:keepLines w:val="0"/>
              <w:pageBreakBefore w:val="0"/>
              <w:widowControl w:val="0"/>
              <w:kinsoku/>
              <w:wordWrap/>
              <w:overflowPunct/>
              <w:topLinePunct w:val="0"/>
              <w:bidi w:val="0"/>
              <w:snapToGrid/>
              <w:spacing w:line="400" w:lineRule="exact"/>
              <w:textAlignment w:val="auto"/>
              <w:outlineLvl w:val="9"/>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1、具有人力资源和社会保障部（含原人事部门）</w:t>
            </w:r>
            <w:r>
              <w:rPr>
                <w:rFonts w:hint="eastAsia" w:ascii="宋体" w:hAnsi="宋体" w:eastAsia="宋体" w:cs="宋体"/>
                <w:b w:val="0"/>
                <w:bCs w:val="0"/>
                <w:color w:val="auto"/>
                <w:sz w:val="21"/>
                <w:szCs w:val="21"/>
                <w:highlight w:val="none"/>
                <w:u w:val="none"/>
                <w:lang w:val="en-US" w:eastAsia="zh-CN"/>
              </w:rPr>
              <w:t>和</w:t>
            </w:r>
            <w:r>
              <w:rPr>
                <w:rFonts w:hint="eastAsia" w:ascii="宋体" w:hAnsi="宋体" w:eastAsia="宋体" w:cs="宋体"/>
                <w:b w:val="0"/>
                <w:bCs w:val="0"/>
                <w:color w:val="auto"/>
                <w:sz w:val="21"/>
                <w:szCs w:val="21"/>
                <w:highlight w:val="none"/>
                <w:u w:val="none"/>
              </w:rPr>
              <w:t>工业和信息化部（含原信息产业部门）颁发的信息系统项目管理师证书，得2分；</w:t>
            </w:r>
          </w:p>
          <w:p w14:paraId="4F295432">
            <w:pPr>
              <w:keepNext w:val="0"/>
              <w:keepLines w:val="0"/>
              <w:pageBreakBefore w:val="0"/>
              <w:widowControl w:val="0"/>
              <w:kinsoku/>
              <w:wordWrap/>
              <w:overflowPunct/>
              <w:topLinePunct w:val="0"/>
              <w:bidi w:val="0"/>
              <w:snapToGrid/>
              <w:spacing w:line="400" w:lineRule="exact"/>
              <w:textAlignment w:val="auto"/>
              <w:outlineLvl w:val="9"/>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2、具有中国信息安全测评中心颁发的注册信息安全专业人员证书或中国网络安全审查技术与认证中心颁发的信息安全保障人员认证证书，得2分。</w:t>
            </w:r>
          </w:p>
          <w:p w14:paraId="6E2BDF6A">
            <w:pPr>
              <w:keepNext w:val="0"/>
              <w:keepLines w:val="0"/>
              <w:pageBreakBefore w:val="0"/>
              <w:widowControl w:val="0"/>
              <w:kinsoku/>
              <w:wordWrap/>
              <w:overflowPunct/>
              <w:topLinePunct w:val="0"/>
              <w:bidi w:val="0"/>
              <w:snapToGrid/>
              <w:spacing w:line="400" w:lineRule="exact"/>
              <w:textAlignment w:val="auto"/>
              <w:outlineLvl w:val="9"/>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注：本项满分4分，投标人须提供有效证书复印件及社会保障部门出具的近6个月内任意1个月（含开标当月）在投标单位缴纳社会保险的有效凭证的复印件并加盖投标人公章。</w:t>
            </w:r>
          </w:p>
        </w:tc>
        <w:tc>
          <w:tcPr>
            <w:tcW w:w="907" w:type="dxa"/>
            <w:tcBorders>
              <w:top w:val="single" w:color="auto" w:sz="4" w:space="0"/>
              <w:left w:val="single" w:color="auto" w:sz="4" w:space="0"/>
              <w:bottom w:val="single" w:color="auto" w:sz="4" w:space="0"/>
              <w:right w:val="single" w:color="auto" w:sz="4" w:space="0"/>
            </w:tcBorders>
            <w:vAlign w:val="center"/>
          </w:tcPr>
          <w:p w14:paraId="4445A148">
            <w:pPr>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4分</w:t>
            </w:r>
          </w:p>
        </w:tc>
      </w:tr>
      <w:tr w14:paraId="121EE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674" w:type="dxa"/>
            <w:tcBorders>
              <w:top w:val="single" w:color="auto" w:sz="4" w:space="0"/>
              <w:left w:val="single" w:color="auto" w:sz="4" w:space="0"/>
              <w:bottom w:val="single" w:color="auto" w:sz="4" w:space="0"/>
              <w:right w:val="single" w:color="auto" w:sz="4" w:space="0"/>
            </w:tcBorders>
            <w:vAlign w:val="center"/>
          </w:tcPr>
          <w:p w14:paraId="22DF2874">
            <w:pPr>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4</w:t>
            </w:r>
          </w:p>
        </w:tc>
        <w:tc>
          <w:tcPr>
            <w:tcW w:w="1134" w:type="dxa"/>
            <w:tcBorders>
              <w:top w:val="single" w:color="auto" w:sz="4" w:space="0"/>
              <w:left w:val="single" w:color="auto" w:sz="4" w:space="0"/>
              <w:bottom w:val="single" w:color="auto" w:sz="4" w:space="0"/>
              <w:right w:val="single" w:color="auto" w:sz="4" w:space="0"/>
            </w:tcBorders>
            <w:vAlign w:val="center"/>
          </w:tcPr>
          <w:p w14:paraId="48839EB5">
            <w:pPr>
              <w:keepNext w:val="0"/>
              <w:keepLines w:val="0"/>
              <w:pageBreakBefore w:val="0"/>
              <w:widowControl w:val="0"/>
              <w:kinsoku/>
              <w:wordWrap/>
              <w:overflowPunct/>
              <w:topLinePunct w:val="0"/>
              <w:autoSpaceDE w:val="0"/>
              <w:autoSpaceDN w:val="0"/>
              <w:bidi w:val="0"/>
              <w:snapToGrid/>
              <w:spacing w:line="400" w:lineRule="exact"/>
              <w:jc w:val="center"/>
              <w:textAlignment w:val="auto"/>
              <w:outlineLvl w:val="9"/>
              <w:rPr>
                <w:rFonts w:hint="eastAsia"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val="en-US" w:eastAsia="zh-CN"/>
              </w:rPr>
              <w:t>拟投入本项目安全负责人</w:t>
            </w:r>
          </w:p>
        </w:tc>
        <w:tc>
          <w:tcPr>
            <w:tcW w:w="7655" w:type="dxa"/>
            <w:tcBorders>
              <w:top w:val="single" w:color="auto" w:sz="4" w:space="0"/>
              <w:left w:val="single" w:color="auto" w:sz="4" w:space="0"/>
              <w:bottom w:val="single" w:color="auto" w:sz="4" w:space="0"/>
              <w:right w:val="single" w:color="auto" w:sz="4" w:space="0"/>
            </w:tcBorders>
            <w:vAlign w:val="center"/>
          </w:tcPr>
          <w:p w14:paraId="1167F28F">
            <w:pPr>
              <w:keepNext w:val="0"/>
              <w:keepLines w:val="0"/>
              <w:pageBreakBefore w:val="0"/>
              <w:widowControl w:val="0"/>
              <w:kinsoku/>
              <w:wordWrap/>
              <w:overflowPunct/>
              <w:topLinePunct w:val="0"/>
              <w:bidi w:val="0"/>
              <w:snapToGrid/>
              <w:spacing w:line="400" w:lineRule="exact"/>
              <w:textAlignment w:val="auto"/>
              <w:outlineLvl w:val="9"/>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根据投标人（含其总公司）拟投入本项目的安全负责人（1人</w:t>
            </w:r>
            <w:r>
              <w:rPr>
                <w:rFonts w:hint="eastAsia" w:ascii="宋体" w:hAnsi="宋体" w:eastAsia="宋体" w:cs="宋体"/>
                <w:b w:val="0"/>
                <w:bCs w:val="0"/>
                <w:color w:val="auto"/>
                <w:sz w:val="21"/>
                <w:szCs w:val="21"/>
                <w:highlight w:val="none"/>
                <w:u w:val="none"/>
                <w:lang w:eastAsia="zh-CN"/>
              </w:rPr>
              <w:t>，</w:t>
            </w:r>
            <w:r>
              <w:rPr>
                <w:rFonts w:hint="eastAsia" w:ascii="宋体" w:hAnsi="宋体" w:eastAsia="宋体" w:cs="宋体"/>
                <w:b w:val="0"/>
                <w:bCs w:val="0"/>
                <w:color w:val="auto"/>
                <w:sz w:val="21"/>
                <w:szCs w:val="21"/>
                <w:highlight w:val="none"/>
                <w:u w:val="none"/>
                <w:lang w:val="en-US" w:eastAsia="zh-CN"/>
              </w:rPr>
              <w:t>项目负责人、技术负责人除外</w:t>
            </w:r>
            <w:r>
              <w:rPr>
                <w:rFonts w:hint="eastAsia" w:ascii="宋体" w:hAnsi="宋体" w:eastAsia="宋体" w:cs="宋体"/>
                <w:b w:val="0"/>
                <w:bCs w:val="0"/>
                <w:color w:val="auto"/>
                <w:sz w:val="21"/>
                <w:szCs w:val="21"/>
                <w:highlight w:val="none"/>
                <w:u w:val="none"/>
              </w:rPr>
              <w:t>）进行评审：</w:t>
            </w:r>
          </w:p>
          <w:p w14:paraId="10A5F129">
            <w:pPr>
              <w:keepNext w:val="0"/>
              <w:keepLines w:val="0"/>
              <w:pageBreakBefore w:val="0"/>
              <w:widowControl w:val="0"/>
              <w:kinsoku/>
              <w:wordWrap/>
              <w:overflowPunct/>
              <w:topLinePunct w:val="0"/>
              <w:bidi w:val="0"/>
              <w:snapToGrid/>
              <w:spacing w:line="400" w:lineRule="exact"/>
              <w:textAlignment w:val="auto"/>
              <w:outlineLvl w:val="9"/>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1、具有人力资源和社会保障部门（含原人事部门）</w:t>
            </w:r>
            <w:r>
              <w:rPr>
                <w:rFonts w:hint="eastAsia" w:ascii="宋体" w:hAnsi="宋体" w:eastAsia="宋体" w:cs="宋体"/>
                <w:b w:val="0"/>
                <w:bCs w:val="0"/>
                <w:color w:val="auto"/>
                <w:sz w:val="21"/>
                <w:szCs w:val="21"/>
                <w:highlight w:val="none"/>
                <w:u w:val="none"/>
                <w:lang w:val="en-US" w:eastAsia="zh-CN"/>
              </w:rPr>
              <w:t>和</w:t>
            </w:r>
            <w:r>
              <w:rPr>
                <w:rFonts w:hint="eastAsia" w:ascii="宋体" w:hAnsi="宋体" w:eastAsia="宋体" w:cs="宋体"/>
                <w:b w:val="0"/>
                <w:bCs w:val="0"/>
                <w:color w:val="auto"/>
                <w:sz w:val="21"/>
                <w:szCs w:val="21"/>
                <w:highlight w:val="none"/>
                <w:u w:val="none"/>
              </w:rPr>
              <w:t>工业和信息化部门（含原信息产业部门）颁发的信息安全工程师，得2分；</w:t>
            </w:r>
          </w:p>
          <w:p w14:paraId="662C6766">
            <w:pPr>
              <w:keepNext w:val="0"/>
              <w:keepLines w:val="0"/>
              <w:pageBreakBefore w:val="0"/>
              <w:widowControl w:val="0"/>
              <w:kinsoku/>
              <w:wordWrap/>
              <w:overflowPunct/>
              <w:topLinePunct w:val="0"/>
              <w:bidi w:val="0"/>
              <w:snapToGrid/>
              <w:spacing w:line="400" w:lineRule="exact"/>
              <w:textAlignment w:val="auto"/>
              <w:outlineLvl w:val="9"/>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2、具有中国信息安全测评中心颁发的注册信息安全专业人员证书或中国网络安全审查技术与认证中心颁发的信息安全保障人员认证证书，得2分。</w:t>
            </w:r>
          </w:p>
          <w:p w14:paraId="4E2DE493">
            <w:pPr>
              <w:keepNext w:val="0"/>
              <w:keepLines w:val="0"/>
              <w:pageBreakBefore w:val="0"/>
              <w:widowControl w:val="0"/>
              <w:kinsoku/>
              <w:wordWrap/>
              <w:overflowPunct/>
              <w:topLinePunct w:val="0"/>
              <w:bidi w:val="0"/>
              <w:snapToGrid/>
              <w:spacing w:line="400" w:lineRule="exact"/>
              <w:textAlignment w:val="auto"/>
              <w:outlineLvl w:val="9"/>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注：本项满分4分，投标人须提供有效证书复印件及社会保障部门出具的近6个月内任意1个月（含开标当月）在投标单位缴纳社会保险的有效凭证的复印件并加盖供应商公章。</w:t>
            </w:r>
          </w:p>
        </w:tc>
        <w:tc>
          <w:tcPr>
            <w:tcW w:w="907" w:type="dxa"/>
            <w:tcBorders>
              <w:top w:val="single" w:color="auto" w:sz="4" w:space="0"/>
              <w:left w:val="single" w:color="auto" w:sz="4" w:space="0"/>
              <w:bottom w:val="single" w:color="auto" w:sz="4" w:space="0"/>
              <w:right w:val="single" w:color="auto" w:sz="4" w:space="0"/>
            </w:tcBorders>
            <w:vAlign w:val="center"/>
          </w:tcPr>
          <w:p w14:paraId="61302D53">
            <w:pPr>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4分</w:t>
            </w:r>
          </w:p>
        </w:tc>
      </w:tr>
      <w:tr w14:paraId="29E25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674" w:type="dxa"/>
            <w:tcBorders>
              <w:top w:val="single" w:color="auto" w:sz="4" w:space="0"/>
              <w:left w:val="single" w:color="auto" w:sz="4" w:space="0"/>
              <w:bottom w:val="single" w:color="auto" w:sz="4" w:space="0"/>
              <w:right w:val="single" w:color="auto" w:sz="4" w:space="0"/>
            </w:tcBorders>
            <w:vAlign w:val="center"/>
          </w:tcPr>
          <w:p w14:paraId="1301A8D0">
            <w:pPr>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5</w:t>
            </w:r>
          </w:p>
        </w:tc>
        <w:tc>
          <w:tcPr>
            <w:tcW w:w="1134" w:type="dxa"/>
            <w:tcBorders>
              <w:top w:val="single" w:color="auto" w:sz="4" w:space="0"/>
              <w:left w:val="single" w:color="auto" w:sz="4" w:space="0"/>
              <w:bottom w:val="single" w:color="auto" w:sz="4" w:space="0"/>
              <w:right w:val="single" w:color="auto" w:sz="4" w:space="0"/>
            </w:tcBorders>
            <w:vAlign w:val="center"/>
          </w:tcPr>
          <w:p w14:paraId="16821A8D">
            <w:pPr>
              <w:keepNext w:val="0"/>
              <w:keepLines w:val="0"/>
              <w:pageBreakBefore w:val="0"/>
              <w:widowControl w:val="0"/>
              <w:kinsoku/>
              <w:wordWrap/>
              <w:overflowPunct/>
              <w:topLinePunct w:val="0"/>
              <w:autoSpaceDE w:val="0"/>
              <w:autoSpaceDN w:val="0"/>
              <w:bidi w:val="0"/>
              <w:snapToGrid/>
              <w:spacing w:line="400" w:lineRule="exact"/>
              <w:jc w:val="center"/>
              <w:textAlignment w:val="auto"/>
              <w:outlineLvl w:val="9"/>
              <w:rPr>
                <w:rFonts w:hint="eastAsia"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val="en-US" w:eastAsia="zh-CN"/>
              </w:rPr>
              <w:t>拟投入本项目团队人员情况</w:t>
            </w:r>
          </w:p>
        </w:tc>
        <w:tc>
          <w:tcPr>
            <w:tcW w:w="7655" w:type="dxa"/>
            <w:tcBorders>
              <w:top w:val="single" w:color="auto" w:sz="4" w:space="0"/>
              <w:left w:val="single" w:color="auto" w:sz="4" w:space="0"/>
              <w:bottom w:val="single" w:color="auto" w:sz="4" w:space="0"/>
              <w:right w:val="single" w:color="auto" w:sz="4" w:space="0"/>
            </w:tcBorders>
            <w:vAlign w:val="center"/>
          </w:tcPr>
          <w:p w14:paraId="1226A635">
            <w:pPr>
              <w:keepNext w:val="0"/>
              <w:keepLines w:val="0"/>
              <w:pageBreakBefore w:val="0"/>
              <w:widowControl w:val="0"/>
              <w:kinsoku/>
              <w:wordWrap/>
              <w:overflowPunct/>
              <w:topLinePunct w:val="0"/>
              <w:bidi w:val="0"/>
              <w:snapToGrid/>
              <w:spacing w:line="400" w:lineRule="exact"/>
              <w:textAlignment w:val="auto"/>
              <w:outlineLvl w:val="9"/>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根据投标人（含其总公司）拟投入本项目的团队人员（除项目负责人、技术负责人和安全负责人外）进行评审：</w:t>
            </w:r>
          </w:p>
          <w:p w14:paraId="316DEFDA">
            <w:pPr>
              <w:keepNext w:val="0"/>
              <w:keepLines w:val="0"/>
              <w:pageBreakBefore w:val="0"/>
              <w:widowControl w:val="0"/>
              <w:kinsoku/>
              <w:wordWrap/>
              <w:overflowPunct/>
              <w:topLinePunct w:val="0"/>
              <w:bidi w:val="0"/>
              <w:snapToGrid/>
              <w:spacing w:line="400" w:lineRule="exact"/>
              <w:textAlignment w:val="auto"/>
              <w:outlineLvl w:val="9"/>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1、具有人力资源和社会保障部门（含原人事部门）</w:t>
            </w:r>
            <w:r>
              <w:rPr>
                <w:rFonts w:hint="eastAsia" w:ascii="宋体" w:hAnsi="宋体" w:eastAsia="宋体" w:cs="宋体"/>
                <w:b w:val="0"/>
                <w:bCs w:val="0"/>
                <w:color w:val="auto"/>
                <w:sz w:val="21"/>
                <w:szCs w:val="21"/>
                <w:highlight w:val="none"/>
                <w:u w:val="none"/>
                <w:lang w:val="en-US" w:eastAsia="zh-CN"/>
              </w:rPr>
              <w:t>和</w:t>
            </w:r>
            <w:r>
              <w:rPr>
                <w:rFonts w:hint="eastAsia" w:ascii="宋体" w:hAnsi="宋体" w:eastAsia="宋体" w:cs="宋体"/>
                <w:b w:val="0"/>
                <w:bCs w:val="0"/>
                <w:color w:val="auto"/>
                <w:sz w:val="21"/>
                <w:szCs w:val="21"/>
                <w:highlight w:val="none"/>
                <w:u w:val="none"/>
              </w:rPr>
              <w:t>工业和信息化部门（含原信息产业部门）颁发的网络规划设计师证书，提供1个得2分，最高得2分；</w:t>
            </w:r>
          </w:p>
          <w:p w14:paraId="34C5C0B5">
            <w:pPr>
              <w:keepNext w:val="0"/>
              <w:keepLines w:val="0"/>
              <w:pageBreakBefore w:val="0"/>
              <w:widowControl w:val="0"/>
              <w:kinsoku/>
              <w:wordWrap/>
              <w:overflowPunct/>
              <w:topLinePunct w:val="0"/>
              <w:bidi w:val="0"/>
              <w:snapToGrid/>
              <w:spacing w:line="400" w:lineRule="exact"/>
              <w:textAlignment w:val="auto"/>
              <w:outlineLvl w:val="9"/>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2、具有人力资源和社会保障部门（含原人事部门）</w:t>
            </w:r>
            <w:r>
              <w:rPr>
                <w:rFonts w:hint="eastAsia" w:ascii="宋体" w:hAnsi="宋体" w:eastAsia="宋体" w:cs="宋体"/>
                <w:b w:val="0"/>
                <w:bCs w:val="0"/>
                <w:color w:val="auto"/>
                <w:sz w:val="21"/>
                <w:szCs w:val="21"/>
                <w:highlight w:val="none"/>
                <w:u w:val="none"/>
                <w:lang w:val="en-US" w:eastAsia="zh-CN"/>
              </w:rPr>
              <w:t>和</w:t>
            </w:r>
            <w:r>
              <w:rPr>
                <w:rFonts w:hint="eastAsia" w:ascii="宋体" w:hAnsi="宋体" w:eastAsia="宋体" w:cs="宋体"/>
                <w:b w:val="0"/>
                <w:bCs w:val="0"/>
                <w:color w:val="auto"/>
                <w:sz w:val="21"/>
                <w:szCs w:val="21"/>
                <w:highlight w:val="none"/>
                <w:u w:val="none"/>
              </w:rPr>
              <w:t>工业和信息化部门（含原信息产业部门）颁发的网络工程师证书，提供1个得1.5分，最高得6分；</w:t>
            </w:r>
          </w:p>
          <w:p w14:paraId="2D94D76F">
            <w:pPr>
              <w:keepNext w:val="0"/>
              <w:keepLines w:val="0"/>
              <w:pageBreakBefore w:val="0"/>
              <w:widowControl w:val="0"/>
              <w:kinsoku/>
              <w:wordWrap/>
              <w:overflowPunct/>
              <w:topLinePunct w:val="0"/>
              <w:bidi w:val="0"/>
              <w:snapToGrid/>
              <w:spacing w:line="400" w:lineRule="exact"/>
              <w:textAlignment w:val="auto"/>
              <w:outlineLvl w:val="9"/>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3、具有经人社部门备案的职业技能等级评价机构</w:t>
            </w:r>
            <w:r>
              <w:rPr>
                <w:rFonts w:hint="eastAsia" w:ascii="宋体" w:hAnsi="宋体" w:eastAsia="宋体" w:cs="宋体"/>
                <w:color w:val="auto"/>
                <w:highlight w:val="none"/>
              </w:rPr>
              <w:t>或工业和信息化部门(含原信息产业部门)</w:t>
            </w:r>
            <w:r>
              <w:rPr>
                <w:rFonts w:hint="eastAsia" w:ascii="宋体" w:hAnsi="宋体" w:eastAsia="宋体" w:cs="宋体"/>
                <w:b w:val="0"/>
                <w:bCs w:val="0"/>
                <w:color w:val="auto"/>
                <w:sz w:val="21"/>
                <w:szCs w:val="21"/>
                <w:highlight w:val="none"/>
                <w:u w:val="none"/>
              </w:rPr>
              <w:t>颁发的信息通信网络运行管理员</w:t>
            </w:r>
            <w:r>
              <w:rPr>
                <w:rFonts w:hint="eastAsia" w:ascii="宋体" w:hAnsi="宋体" w:eastAsia="宋体" w:cs="宋体"/>
                <w:b w:val="0"/>
                <w:bCs w:val="0"/>
                <w:color w:val="auto"/>
                <w:sz w:val="21"/>
                <w:szCs w:val="21"/>
                <w:highlight w:val="none"/>
                <w:u w:val="none"/>
                <w:lang w:val="en-US" w:eastAsia="zh-CN"/>
              </w:rPr>
              <w:t>一级高级技师（或原</w:t>
            </w:r>
            <w:r>
              <w:rPr>
                <w:rFonts w:hint="eastAsia" w:ascii="宋体" w:hAnsi="宋体" w:eastAsia="宋体" w:cs="宋体"/>
                <w:b w:val="0"/>
                <w:bCs w:val="0"/>
                <w:color w:val="auto"/>
                <w:sz w:val="21"/>
                <w:szCs w:val="21"/>
                <w:highlight w:val="none"/>
                <w:u w:val="none"/>
              </w:rPr>
              <w:t>通信网络管理员一级技师</w:t>
            </w:r>
            <w:r>
              <w:rPr>
                <w:rFonts w:hint="eastAsia" w:ascii="宋体" w:hAnsi="宋体" w:eastAsia="宋体" w:cs="宋体"/>
                <w:b w:val="0"/>
                <w:bCs w:val="0"/>
                <w:color w:val="auto"/>
                <w:sz w:val="21"/>
                <w:szCs w:val="21"/>
                <w:highlight w:val="none"/>
                <w:u w:val="none"/>
                <w:lang w:eastAsia="zh-CN"/>
              </w:rPr>
              <w:t>）</w:t>
            </w:r>
            <w:r>
              <w:rPr>
                <w:rFonts w:hint="eastAsia" w:ascii="宋体" w:hAnsi="宋体" w:eastAsia="宋体" w:cs="宋体"/>
                <w:b w:val="0"/>
                <w:bCs w:val="0"/>
                <w:color w:val="auto"/>
                <w:sz w:val="21"/>
                <w:szCs w:val="21"/>
                <w:highlight w:val="none"/>
                <w:u w:val="none"/>
              </w:rPr>
              <w:t>证书，提供1个得1.5分，最高得3分。</w:t>
            </w:r>
          </w:p>
          <w:p w14:paraId="5664C25F">
            <w:pPr>
              <w:keepNext w:val="0"/>
              <w:keepLines w:val="0"/>
              <w:pageBreakBefore w:val="0"/>
              <w:widowControl w:val="0"/>
              <w:kinsoku/>
              <w:wordWrap/>
              <w:overflowPunct/>
              <w:topLinePunct w:val="0"/>
              <w:bidi w:val="0"/>
              <w:snapToGrid/>
              <w:spacing w:line="400" w:lineRule="exact"/>
              <w:textAlignment w:val="auto"/>
              <w:outlineLvl w:val="9"/>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4、具有中国信息安全测评中心颁发的注册信息安全专业人员证书或中国网络安全审查技术与认证中心颁发的信息安全保障人员认证证书的，提供1个得1分，最高得3分</w:t>
            </w:r>
            <w:r>
              <w:rPr>
                <w:rFonts w:hint="eastAsia" w:ascii="宋体" w:hAnsi="宋体" w:eastAsia="宋体" w:cs="宋体"/>
                <w:b w:val="0"/>
                <w:bCs w:val="0"/>
                <w:color w:val="auto"/>
                <w:sz w:val="21"/>
                <w:szCs w:val="21"/>
                <w:highlight w:val="none"/>
                <w:u w:val="none"/>
                <w:lang w:eastAsia="zh-CN"/>
              </w:rPr>
              <w:t>。</w:t>
            </w:r>
          </w:p>
          <w:p w14:paraId="623298E8">
            <w:pPr>
              <w:keepNext w:val="0"/>
              <w:keepLines w:val="0"/>
              <w:pageBreakBefore w:val="0"/>
              <w:widowControl w:val="0"/>
              <w:kinsoku/>
              <w:wordWrap/>
              <w:overflowPunct/>
              <w:topLinePunct w:val="0"/>
              <w:bidi w:val="0"/>
              <w:snapToGrid/>
              <w:spacing w:line="400" w:lineRule="exact"/>
              <w:textAlignment w:val="auto"/>
              <w:outlineLvl w:val="9"/>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注：本项满分14分，以上人员具备多个证书的，不重复计分，以分数高的计算得分。投标人须提供以上人员的有效证书及社会保障部门出具的近6个月内任意1个月（含开标当月）在本单位缴纳社会保险的有效凭证的复印件并加盖投标人公章。</w:t>
            </w:r>
          </w:p>
        </w:tc>
        <w:tc>
          <w:tcPr>
            <w:tcW w:w="907" w:type="dxa"/>
            <w:tcBorders>
              <w:top w:val="single" w:color="auto" w:sz="4" w:space="0"/>
              <w:left w:val="single" w:color="auto" w:sz="4" w:space="0"/>
              <w:bottom w:val="single" w:color="auto" w:sz="4" w:space="0"/>
              <w:right w:val="single" w:color="auto" w:sz="4" w:space="0"/>
            </w:tcBorders>
            <w:vAlign w:val="center"/>
          </w:tcPr>
          <w:p w14:paraId="23440D51">
            <w:pPr>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14分</w:t>
            </w:r>
          </w:p>
        </w:tc>
      </w:tr>
      <w:tr w14:paraId="6BC09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674" w:type="dxa"/>
            <w:tcBorders>
              <w:top w:val="single" w:color="auto" w:sz="4" w:space="0"/>
              <w:left w:val="single" w:color="auto" w:sz="4" w:space="0"/>
              <w:bottom w:val="single" w:color="auto" w:sz="4" w:space="0"/>
              <w:right w:val="single" w:color="auto" w:sz="4" w:space="0"/>
            </w:tcBorders>
            <w:vAlign w:val="center"/>
          </w:tcPr>
          <w:p w14:paraId="32EE32C5">
            <w:pPr>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6</w:t>
            </w:r>
          </w:p>
        </w:tc>
        <w:tc>
          <w:tcPr>
            <w:tcW w:w="1134" w:type="dxa"/>
            <w:tcBorders>
              <w:top w:val="single" w:color="auto" w:sz="4" w:space="0"/>
              <w:left w:val="single" w:color="auto" w:sz="4" w:space="0"/>
              <w:bottom w:val="single" w:color="auto" w:sz="4" w:space="0"/>
              <w:right w:val="single" w:color="auto" w:sz="4" w:space="0"/>
            </w:tcBorders>
            <w:vAlign w:val="center"/>
          </w:tcPr>
          <w:p w14:paraId="2D25D1CE">
            <w:pPr>
              <w:keepNext w:val="0"/>
              <w:keepLines w:val="0"/>
              <w:pageBreakBefore w:val="0"/>
              <w:widowControl w:val="0"/>
              <w:kinsoku/>
              <w:wordWrap/>
              <w:overflowPunct/>
              <w:topLinePunct w:val="0"/>
              <w:autoSpaceDE w:val="0"/>
              <w:autoSpaceDN w:val="0"/>
              <w:bidi w:val="0"/>
              <w:snapToGrid/>
              <w:spacing w:line="400" w:lineRule="exact"/>
              <w:jc w:val="center"/>
              <w:textAlignment w:val="auto"/>
              <w:outlineLvl w:val="9"/>
              <w:rPr>
                <w:rFonts w:hint="eastAsia"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val="en-US" w:eastAsia="zh-CN"/>
              </w:rPr>
              <w:t>供应商业绩</w:t>
            </w:r>
          </w:p>
        </w:tc>
        <w:tc>
          <w:tcPr>
            <w:tcW w:w="7655" w:type="dxa"/>
            <w:tcBorders>
              <w:top w:val="single" w:color="auto" w:sz="4" w:space="0"/>
              <w:left w:val="single" w:color="auto" w:sz="4" w:space="0"/>
              <w:bottom w:val="single" w:color="auto" w:sz="4" w:space="0"/>
              <w:right w:val="single" w:color="auto" w:sz="4" w:space="0"/>
            </w:tcBorders>
            <w:vAlign w:val="center"/>
          </w:tcPr>
          <w:p w14:paraId="2D6353DF">
            <w:pPr>
              <w:keepNext w:val="0"/>
              <w:keepLines w:val="0"/>
              <w:pageBreakBefore w:val="0"/>
              <w:widowControl w:val="0"/>
              <w:kinsoku/>
              <w:wordWrap/>
              <w:overflowPunct/>
              <w:topLinePunct w:val="0"/>
              <w:bidi w:val="0"/>
              <w:snapToGrid/>
              <w:spacing w:line="400" w:lineRule="exact"/>
              <w:textAlignment w:val="auto"/>
              <w:outlineLvl w:val="9"/>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投标人（含其总公司）自2022年1月1日至今(以合同/协议签订日期为准)承担的信息化运维相关服务业绩，每提供一份得2分；本项最高得10分。</w:t>
            </w:r>
          </w:p>
          <w:p w14:paraId="62F50FDD">
            <w:pPr>
              <w:keepNext w:val="0"/>
              <w:keepLines w:val="0"/>
              <w:pageBreakBefore w:val="0"/>
              <w:widowControl w:val="0"/>
              <w:kinsoku/>
              <w:wordWrap/>
              <w:overflowPunct/>
              <w:topLinePunct w:val="0"/>
              <w:bidi w:val="0"/>
              <w:snapToGrid/>
              <w:spacing w:line="400" w:lineRule="exact"/>
              <w:textAlignment w:val="auto"/>
              <w:outlineLvl w:val="9"/>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注：投标人须在投标文件中提供合同/协议关键页复印件（包括但不限于合同/协议首页、服务内容页、盖章页）并加盖投标人公章，无不得分。</w:t>
            </w:r>
          </w:p>
        </w:tc>
        <w:tc>
          <w:tcPr>
            <w:tcW w:w="907" w:type="dxa"/>
            <w:tcBorders>
              <w:top w:val="single" w:color="auto" w:sz="4" w:space="0"/>
              <w:left w:val="single" w:color="auto" w:sz="4" w:space="0"/>
              <w:bottom w:val="single" w:color="auto" w:sz="4" w:space="0"/>
              <w:right w:val="single" w:color="auto" w:sz="4" w:space="0"/>
            </w:tcBorders>
            <w:vAlign w:val="center"/>
          </w:tcPr>
          <w:p w14:paraId="24EDE570">
            <w:pPr>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10分</w:t>
            </w:r>
          </w:p>
        </w:tc>
      </w:tr>
    </w:tbl>
    <w:p w14:paraId="2FBB93AD">
      <w:pPr>
        <w:autoSpaceDE w:val="0"/>
        <w:autoSpaceDN w:val="0"/>
        <w:adjustRightInd w:val="0"/>
        <w:spacing w:line="360" w:lineRule="auto"/>
        <w:ind w:right="-26" w:firstLine="480"/>
        <w:jc w:val="center"/>
        <w:outlineLvl w:val="9"/>
        <w:rPr>
          <w:rFonts w:hint="eastAsia" w:ascii="宋体" w:hAnsi="宋体" w:eastAsia="宋体" w:cs="宋体"/>
          <w:b/>
          <w:bCs/>
          <w:color w:val="auto"/>
          <w:kern w:val="0"/>
          <w:sz w:val="24"/>
          <w:szCs w:val="24"/>
          <w:highlight w:val="none"/>
        </w:rPr>
      </w:pPr>
    </w:p>
    <w:p w14:paraId="2CDBAEA4">
      <w:pPr>
        <w:tabs>
          <w:tab w:val="left" w:pos="585"/>
        </w:tabs>
        <w:autoSpaceDE w:val="0"/>
        <w:autoSpaceDN w:val="0"/>
        <w:adjustRightInd w:val="0"/>
        <w:spacing w:line="360" w:lineRule="auto"/>
        <w:outlineLvl w:val="9"/>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w:t>
      </w:r>
      <w:r>
        <w:rPr>
          <w:rFonts w:hint="eastAsia" w:ascii="宋体" w:hAnsi="宋体" w:eastAsia="宋体" w:cs="宋体"/>
          <w:b/>
          <w:color w:val="auto"/>
          <w:szCs w:val="24"/>
          <w:highlight w:val="none"/>
        </w:rPr>
        <w:t>2）</w:t>
      </w:r>
      <w:r>
        <w:rPr>
          <w:rFonts w:hint="eastAsia" w:ascii="宋体" w:hAnsi="宋体" w:eastAsia="宋体" w:cs="宋体"/>
          <w:b/>
          <w:color w:val="auto"/>
          <w:szCs w:val="24"/>
          <w:highlight w:val="none"/>
          <w:lang w:val="zh-CN"/>
        </w:rPr>
        <w:t>技术：</w:t>
      </w:r>
      <w:r>
        <w:rPr>
          <w:rFonts w:hint="eastAsia" w:ascii="宋体" w:hAnsi="宋体" w:eastAsia="宋体" w:cs="宋体"/>
          <w:b/>
          <w:color w:val="auto"/>
          <w:szCs w:val="21"/>
          <w:highlight w:val="none"/>
          <w:lang w:val="zh-CN"/>
        </w:rPr>
        <w:t>总分</w:t>
      </w:r>
      <w:r>
        <w:rPr>
          <w:rFonts w:hint="eastAsia" w:ascii="宋体" w:hAnsi="宋体" w:eastAsia="宋体" w:cs="宋体"/>
          <w:b/>
          <w:color w:val="auto"/>
          <w:szCs w:val="21"/>
          <w:highlight w:val="none"/>
          <w:lang w:val="en-US" w:eastAsia="zh-CN"/>
        </w:rPr>
        <w:t>40</w:t>
      </w:r>
      <w:r>
        <w:rPr>
          <w:rFonts w:hint="eastAsia" w:ascii="宋体" w:hAnsi="宋体" w:eastAsia="宋体" w:cs="宋体"/>
          <w:b/>
          <w:color w:val="auto"/>
          <w:szCs w:val="21"/>
          <w:highlight w:val="none"/>
          <w:lang w:val="zh-CN"/>
        </w:rPr>
        <w:t>分</w:t>
      </w:r>
      <w:bookmarkEnd w:id="509"/>
    </w:p>
    <w:tbl>
      <w:tblPr>
        <w:tblStyle w:val="41"/>
        <w:tblW w:w="103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1134"/>
        <w:gridCol w:w="7655"/>
        <w:gridCol w:w="907"/>
      </w:tblGrid>
      <w:tr w14:paraId="6081C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4" w:type="dxa"/>
            <w:tcBorders>
              <w:top w:val="single" w:color="auto" w:sz="4" w:space="0"/>
              <w:left w:val="single" w:color="auto" w:sz="4" w:space="0"/>
              <w:bottom w:val="single" w:color="auto" w:sz="4" w:space="0"/>
              <w:right w:val="single" w:color="auto" w:sz="4" w:space="0"/>
            </w:tcBorders>
            <w:vAlign w:val="center"/>
          </w:tcPr>
          <w:p w14:paraId="2B673B7A">
            <w:pPr>
              <w:keepNext w:val="0"/>
              <w:keepLines w:val="0"/>
              <w:pageBreakBefore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b/>
                <w:color w:val="auto"/>
                <w:kern w:val="0"/>
                <w:szCs w:val="21"/>
                <w:highlight w:val="none"/>
              </w:rPr>
            </w:pPr>
            <w:bookmarkStart w:id="510" w:name="_Hlk104987779"/>
            <w:r>
              <w:rPr>
                <w:rFonts w:hint="eastAsia" w:ascii="宋体" w:hAnsi="宋体" w:eastAsia="宋体" w:cs="宋体"/>
                <w:b/>
                <w:color w:val="auto"/>
                <w:kern w:val="0"/>
                <w:szCs w:val="21"/>
                <w:highlight w:val="none"/>
              </w:rPr>
              <w:t>序号</w:t>
            </w:r>
          </w:p>
        </w:tc>
        <w:tc>
          <w:tcPr>
            <w:tcW w:w="1134" w:type="dxa"/>
            <w:tcBorders>
              <w:top w:val="single" w:color="auto" w:sz="4" w:space="0"/>
              <w:left w:val="single" w:color="auto" w:sz="4" w:space="0"/>
              <w:bottom w:val="single" w:color="auto" w:sz="4" w:space="0"/>
              <w:right w:val="single" w:color="auto" w:sz="4" w:space="0"/>
            </w:tcBorders>
            <w:vAlign w:val="center"/>
          </w:tcPr>
          <w:p w14:paraId="3A05CB95">
            <w:pPr>
              <w:keepNext w:val="0"/>
              <w:keepLines w:val="0"/>
              <w:pageBreakBefore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b/>
                <w:color w:val="auto"/>
                <w:kern w:val="0"/>
                <w:szCs w:val="21"/>
                <w:highlight w:val="none"/>
              </w:rPr>
            </w:pPr>
            <w:r>
              <w:rPr>
                <w:rFonts w:hint="eastAsia" w:ascii="宋体" w:hAnsi="宋体" w:eastAsia="宋体" w:cs="宋体"/>
                <w:b/>
                <w:color w:val="auto"/>
                <w:szCs w:val="21"/>
                <w:highlight w:val="none"/>
                <w:lang w:val="zh-CN"/>
              </w:rPr>
              <w:t>评审内容</w:t>
            </w:r>
          </w:p>
        </w:tc>
        <w:tc>
          <w:tcPr>
            <w:tcW w:w="7655" w:type="dxa"/>
            <w:tcBorders>
              <w:top w:val="single" w:color="auto" w:sz="4" w:space="0"/>
              <w:left w:val="single" w:color="auto" w:sz="4" w:space="0"/>
              <w:bottom w:val="single" w:color="auto" w:sz="4" w:space="0"/>
              <w:right w:val="single" w:color="auto" w:sz="4" w:space="0"/>
            </w:tcBorders>
            <w:vAlign w:val="center"/>
          </w:tcPr>
          <w:p w14:paraId="1AD30494">
            <w:pPr>
              <w:keepNext w:val="0"/>
              <w:keepLines w:val="0"/>
              <w:pageBreakBefore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评审细则</w:t>
            </w:r>
          </w:p>
        </w:tc>
        <w:tc>
          <w:tcPr>
            <w:tcW w:w="907" w:type="dxa"/>
            <w:tcBorders>
              <w:top w:val="single" w:color="auto" w:sz="4" w:space="0"/>
              <w:left w:val="single" w:color="auto" w:sz="4" w:space="0"/>
              <w:bottom w:val="single" w:color="auto" w:sz="4" w:space="0"/>
              <w:right w:val="single" w:color="auto" w:sz="4" w:space="0"/>
            </w:tcBorders>
            <w:vAlign w:val="center"/>
          </w:tcPr>
          <w:p w14:paraId="1DD91154">
            <w:pPr>
              <w:keepNext w:val="0"/>
              <w:keepLines w:val="0"/>
              <w:pageBreakBefore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满分值</w:t>
            </w:r>
          </w:p>
        </w:tc>
      </w:tr>
      <w:tr w14:paraId="3CDAB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4" w:type="dxa"/>
            <w:tcBorders>
              <w:top w:val="single" w:color="auto" w:sz="4" w:space="0"/>
              <w:left w:val="single" w:color="auto" w:sz="4" w:space="0"/>
              <w:bottom w:val="single" w:color="auto" w:sz="4" w:space="0"/>
              <w:right w:val="single" w:color="auto" w:sz="4" w:space="0"/>
            </w:tcBorders>
            <w:vAlign w:val="center"/>
          </w:tcPr>
          <w:p w14:paraId="4DCC5FB8">
            <w:pPr>
              <w:keepNext w:val="0"/>
              <w:keepLines w:val="0"/>
              <w:pageBreakBefore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p>
        </w:tc>
        <w:tc>
          <w:tcPr>
            <w:tcW w:w="1134" w:type="dxa"/>
            <w:tcBorders>
              <w:top w:val="single" w:color="auto" w:sz="4" w:space="0"/>
              <w:left w:val="single" w:color="auto" w:sz="4" w:space="0"/>
              <w:bottom w:val="single" w:color="auto" w:sz="4" w:space="0"/>
              <w:right w:val="single" w:color="auto" w:sz="4" w:space="0"/>
            </w:tcBorders>
            <w:vAlign w:val="center"/>
          </w:tcPr>
          <w:p w14:paraId="2ED3D67A">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对本项目的理解</w:t>
            </w:r>
          </w:p>
        </w:tc>
        <w:tc>
          <w:tcPr>
            <w:tcW w:w="7655" w:type="dxa"/>
            <w:tcBorders>
              <w:top w:val="single" w:color="auto" w:sz="4" w:space="0"/>
              <w:left w:val="single" w:color="auto" w:sz="4" w:space="0"/>
              <w:bottom w:val="single" w:color="auto" w:sz="4" w:space="0"/>
              <w:right w:val="single" w:color="auto" w:sz="4" w:space="0"/>
            </w:tcBorders>
            <w:vAlign w:val="center"/>
          </w:tcPr>
          <w:p w14:paraId="350CDF8E">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根据投标人对本项目的理解（必须包括项目背景、目标、项目服务内容的理解，对项目的重点难点几个方面内容，投标人可在此基础上自行扩展增加其它内容）进行评审：</w:t>
            </w:r>
          </w:p>
          <w:p w14:paraId="16531618">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①对项目的背景、目标以及项目服务内容理解透彻，准确分析出项目的重点难点以及关键点的，完全满足且优于采购需求的，得10分；</w:t>
            </w:r>
          </w:p>
          <w:p w14:paraId="15E83532">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②对项目背景、目标以及项目服务内容理解较全面，基本能分析出项目的重点难点以及关键点的，满足采购需求的，得7分；</w:t>
            </w:r>
          </w:p>
          <w:p w14:paraId="7EBE1C54">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③对项目的背景、目标以及项目服务内容基本理解，能分析出项目得部分重点难点以及部分关键点的，部分满足采购需求的，得4分；</w:t>
            </w:r>
          </w:p>
          <w:p w14:paraId="43DFC9AB">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④对项目理解不透彻、不深入，未能分析出项目的重点难点以及关键点的，不满足采购需求的，得1分；</w:t>
            </w:r>
          </w:p>
          <w:p w14:paraId="2F8DB161">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highlight w:val="none"/>
                <w:lang w:val="zh-CN"/>
              </w:rPr>
            </w:pPr>
            <w:r>
              <w:rPr>
                <w:rFonts w:hint="eastAsia" w:ascii="宋体" w:hAnsi="宋体" w:eastAsia="宋体" w:cs="宋体"/>
                <w:color w:val="auto"/>
                <w:szCs w:val="21"/>
                <w:highlight w:val="none"/>
                <w:lang w:val="zh-CN"/>
              </w:rPr>
              <w:t>⑤没有提供相关内容不得分。</w:t>
            </w:r>
          </w:p>
        </w:tc>
        <w:tc>
          <w:tcPr>
            <w:tcW w:w="907" w:type="dxa"/>
            <w:tcBorders>
              <w:top w:val="single" w:color="auto" w:sz="4" w:space="0"/>
              <w:left w:val="single" w:color="auto" w:sz="4" w:space="0"/>
              <w:bottom w:val="single" w:color="auto" w:sz="4" w:space="0"/>
              <w:right w:val="single" w:color="auto" w:sz="4" w:space="0"/>
            </w:tcBorders>
            <w:vAlign w:val="center"/>
          </w:tcPr>
          <w:p w14:paraId="0CCB4B24">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10分</w:t>
            </w:r>
          </w:p>
        </w:tc>
      </w:tr>
      <w:tr w14:paraId="63C9D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4" w:type="dxa"/>
            <w:tcBorders>
              <w:top w:val="single" w:color="auto" w:sz="4" w:space="0"/>
              <w:left w:val="single" w:color="auto" w:sz="4" w:space="0"/>
              <w:bottom w:val="single" w:color="auto" w:sz="4" w:space="0"/>
              <w:right w:val="single" w:color="auto" w:sz="4" w:space="0"/>
            </w:tcBorders>
            <w:vAlign w:val="center"/>
          </w:tcPr>
          <w:p w14:paraId="1F6C866E">
            <w:pPr>
              <w:keepNext w:val="0"/>
              <w:keepLines w:val="0"/>
              <w:pageBreakBefore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w:t>
            </w:r>
          </w:p>
        </w:tc>
        <w:tc>
          <w:tcPr>
            <w:tcW w:w="1134" w:type="dxa"/>
            <w:tcBorders>
              <w:top w:val="single" w:color="auto" w:sz="4" w:space="0"/>
              <w:left w:val="single" w:color="auto" w:sz="4" w:space="0"/>
              <w:bottom w:val="single" w:color="auto" w:sz="4" w:space="0"/>
              <w:right w:val="single" w:color="auto" w:sz="4" w:space="0"/>
            </w:tcBorders>
            <w:vAlign w:val="center"/>
          </w:tcPr>
          <w:p w14:paraId="37D7ACB0">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运维实施方案</w:t>
            </w:r>
          </w:p>
        </w:tc>
        <w:tc>
          <w:tcPr>
            <w:tcW w:w="7655" w:type="dxa"/>
            <w:tcBorders>
              <w:top w:val="single" w:color="auto" w:sz="4" w:space="0"/>
              <w:left w:val="single" w:color="auto" w:sz="4" w:space="0"/>
              <w:bottom w:val="single" w:color="auto" w:sz="4" w:space="0"/>
              <w:right w:val="single" w:color="auto" w:sz="4" w:space="0"/>
            </w:tcBorders>
            <w:vAlign w:val="center"/>
          </w:tcPr>
          <w:p w14:paraId="51E8DD86">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根据投标人提供的运维实施方案（必须包括运维实施、预防及应急性响应方案、方法与措施几个方面内容，投标人可在此基础上自行扩展增加其它内容）进行评审：</w:t>
            </w:r>
          </w:p>
          <w:p w14:paraId="35CB9F2B">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①运维实施方案全面，分析到位，措施可行性高，完全满足并优于采购需求的，得12分；</w:t>
            </w:r>
          </w:p>
          <w:p w14:paraId="53205485">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②运维实施方案较全面，分析较到位，措施可行性较高，满足采购需求的，得9分；</w:t>
            </w:r>
          </w:p>
          <w:p w14:paraId="14F783D7">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③运维实施方案一般，措施可行性一般，部分满足采购需求的，得6分；</w:t>
            </w:r>
          </w:p>
          <w:p w14:paraId="1C6D10FD">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④运维实施方案简单，措施可行性差，不满足采购需求的，得3分。</w:t>
            </w:r>
          </w:p>
          <w:p w14:paraId="4F60087E">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highlight w:val="none"/>
              </w:rPr>
            </w:pPr>
            <w:r>
              <w:rPr>
                <w:rFonts w:hint="eastAsia" w:ascii="宋体" w:hAnsi="宋体" w:eastAsia="宋体" w:cs="宋体"/>
                <w:color w:val="auto"/>
                <w:szCs w:val="21"/>
                <w:highlight w:val="none"/>
                <w:lang w:val="zh-CN"/>
              </w:rPr>
              <w:t>⑤没有提供相关方案或内容不得分。</w:t>
            </w:r>
          </w:p>
        </w:tc>
        <w:tc>
          <w:tcPr>
            <w:tcW w:w="907" w:type="dxa"/>
            <w:tcBorders>
              <w:top w:val="single" w:color="auto" w:sz="4" w:space="0"/>
              <w:left w:val="single" w:color="auto" w:sz="4" w:space="0"/>
              <w:bottom w:val="single" w:color="auto" w:sz="4" w:space="0"/>
              <w:right w:val="single" w:color="auto" w:sz="4" w:space="0"/>
            </w:tcBorders>
            <w:vAlign w:val="center"/>
          </w:tcPr>
          <w:p w14:paraId="2B150A55">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12分</w:t>
            </w:r>
          </w:p>
        </w:tc>
      </w:tr>
      <w:tr w14:paraId="33ECD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4" w:type="dxa"/>
            <w:tcBorders>
              <w:top w:val="single" w:color="auto" w:sz="4" w:space="0"/>
              <w:left w:val="single" w:color="auto" w:sz="4" w:space="0"/>
              <w:bottom w:val="single" w:color="auto" w:sz="4" w:space="0"/>
              <w:right w:val="single" w:color="auto" w:sz="4" w:space="0"/>
            </w:tcBorders>
            <w:vAlign w:val="center"/>
          </w:tcPr>
          <w:p w14:paraId="50C0D1A3">
            <w:pPr>
              <w:keepNext w:val="0"/>
              <w:keepLines w:val="0"/>
              <w:pageBreakBefore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val="en-US" w:eastAsia="zh-CN"/>
              </w:rPr>
              <w:t>3</w:t>
            </w:r>
          </w:p>
        </w:tc>
        <w:tc>
          <w:tcPr>
            <w:tcW w:w="1134" w:type="dxa"/>
            <w:tcBorders>
              <w:top w:val="single" w:color="auto" w:sz="4" w:space="0"/>
              <w:left w:val="single" w:color="auto" w:sz="4" w:space="0"/>
              <w:bottom w:val="single" w:color="auto" w:sz="4" w:space="0"/>
              <w:right w:val="single" w:color="auto" w:sz="4" w:space="0"/>
            </w:tcBorders>
            <w:vAlign w:val="center"/>
          </w:tcPr>
          <w:p w14:paraId="5BBDBDB6">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系统及数据安全保障措施</w:t>
            </w:r>
          </w:p>
        </w:tc>
        <w:tc>
          <w:tcPr>
            <w:tcW w:w="7655" w:type="dxa"/>
            <w:tcBorders>
              <w:top w:val="single" w:color="auto" w:sz="4" w:space="0"/>
              <w:left w:val="single" w:color="auto" w:sz="4" w:space="0"/>
              <w:bottom w:val="single" w:color="auto" w:sz="4" w:space="0"/>
              <w:right w:val="single" w:color="auto" w:sz="4" w:space="0"/>
            </w:tcBorders>
            <w:vAlign w:val="center"/>
          </w:tcPr>
          <w:p w14:paraId="45597F78">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根据投标人针对本项目是否详细制定系统及数据安全保障方案，对系统及数据存在的风险分析，对保障安全措施制定方案的合理性及可行性进行评审：</w:t>
            </w:r>
          </w:p>
          <w:p w14:paraId="365FC719">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①详细制定系统及数据安全保障方案，对系统及数据存在的风险分析到位，方案切实可行，完全满足并优于采购需求的，得10分；</w:t>
            </w:r>
          </w:p>
          <w:p w14:paraId="6B5029A8">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②系统及数据安全保障方案较完整，对系统及数据存在的风险有分析，方案可行，满足采购需求的，得7分；</w:t>
            </w:r>
          </w:p>
          <w:p w14:paraId="3E7181EC">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③系统及数据安全保障方案基本完整，对系统及数据存在的风险分析较少，方案可行较差，部分满足采购需求的，得4分；</w:t>
            </w:r>
          </w:p>
          <w:p w14:paraId="1820D7E5">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④系统及数据安全保障方案简单，对系统及数据存在的风险分析不充分，方案基本不可行，不满足采购需求的，得1分；</w:t>
            </w:r>
          </w:p>
          <w:p w14:paraId="431CAEC2">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zh-CN"/>
              </w:rPr>
              <w:t>⑤没有提供相关内容不得分。</w:t>
            </w:r>
          </w:p>
        </w:tc>
        <w:tc>
          <w:tcPr>
            <w:tcW w:w="907" w:type="dxa"/>
            <w:tcBorders>
              <w:top w:val="single" w:color="auto" w:sz="4" w:space="0"/>
              <w:left w:val="single" w:color="auto" w:sz="4" w:space="0"/>
              <w:bottom w:val="single" w:color="auto" w:sz="4" w:space="0"/>
              <w:right w:val="single" w:color="auto" w:sz="4" w:space="0"/>
            </w:tcBorders>
            <w:vAlign w:val="center"/>
          </w:tcPr>
          <w:p w14:paraId="3729FDD6">
            <w:pPr>
              <w:keepNext w:val="0"/>
              <w:keepLines w:val="0"/>
              <w:pageBreakBefore w:val="0"/>
              <w:widowControl/>
              <w:kinsoku/>
              <w:wordWrap/>
              <w:overflowPunct/>
              <w:topLinePunct w:val="0"/>
              <w:bidi w:val="0"/>
              <w:snapToGrid/>
              <w:spacing w:line="400" w:lineRule="exact"/>
              <w:jc w:val="center"/>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10分</w:t>
            </w:r>
          </w:p>
        </w:tc>
      </w:tr>
      <w:tr w14:paraId="413A4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4" w:type="dxa"/>
            <w:tcBorders>
              <w:top w:val="single" w:color="auto" w:sz="4" w:space="0"/>
              <w:left w:val="single" w:color="auto" w:sz="4" w:space="0"/>
              <w:bottom w:val="single" w:color="auto" w:sz="4" w:space="0"/>
              <w:right w:val="single" w:color="auto" w:sz="4" w:space="0"/>
            </w:tcBorders>
            <w:vAlign w:val="center"/>
          </w:tcPr>
          <w:p w14:paraId="19AD0BC4">
            <w:pPr>
              <w:keepNext w:val="0"/>
              <w:keepLines w:val="0"/>
              <w:pageBreakBefore w:val="0"/>
              <w:kinsoku/>
              <w:wordWrap/>
              <w:overflowPunct/>
              <w:topLinePunct w:val="0"/>
              <w:autoSpaceDE w:val="0"/>
              <w:autoSpaceDN w:val="0"/>
              <w:bidi w:val="0"/>
              <w:adjustRightInd w:val="0"/>
              <w:snapToGrid/>
              <w:spacing w:line="400" w:lineRule="exact"/>
              <w:jc w:val="center"/>
              <w:textAlignment w:val="auto"/>
              <w:outlineLvl w:val="9"/>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val="en-US" w:eastAsia="zh-CN"/>
              </w:rPr>
              <w:t>4</w:t>
            </w:r>
          </w:p>
        </w:tc>
        <w:tc>
          <w:tcPr>
            <w:tcW w:w="1134" w:type="dxa"/>
            <w:tcBorders>
              <w:top w:val="single" w:color="auto" w:sz="4" w:space="0"/>
              <w:left w:val="single" w:color="auto" w:sz="4" w:space="0"/>
              <w:bottom w:val="single" w:color="auto" w:sz="4" w:space="0"/>
              <w:right w:val="single" w:color="auto" w:sz="4" w:space="0"/>
            </w:tcBorders>
            <w:vAlign w:val="center"/>
          </w:tcPr>
          <w:p w14:paraId="6AC35C66">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rPr>
              <w:t>质量保障方案</w:t>
            </w:r>
          </w:p>
        </w:tc>
        <w:tc>
          <w:tcPr>
            <w:tcW w:w="7655" w:type="dxa"/>
            <w:tcBorders>
              <w:top w:val="single" w:color="auto" w:sz="4" w:space="0"/>
              <w:left w:val="single" w:color="auto" w:sz="4" w:space="0"/>
              <w:bottom w:val="single" w:color="auto" w:sz="4" w:space="0"/>
              <w:right w:val="single" w:color="auto" w:sz="4" w:space="0"/>
            </w:tcBorders>
            <w:vAlign w:val="center"/>
          </w:tcPr>
          <w:p w14:paraId="4294A696">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根据投标人提供的本项目质量保障方案（必须包括质量目标、质量控制流程、预防及纠正措施、质量评估标准几个方面内容，投标人可在此基础上自行扩展增加其它内容）的合理性、完善性进行评审：</w:t>
            </w:r>
          </w:p>
          <w:p w14:paraId="387C37AC">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①质量保障方案全面、合理，完全满足并优于采购需求，得8分；</w:t>
            </w:r>
          </w:p>
          <w:p w14:paraId="30012E17">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②质量保障方案较全面、较合理，满足采购需求，得6分；</w:t>
            </w:r>
          </w:p>
          <w:p w14:paraId="4A2484AF">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③质量保障方案一般，合理性一般，部分满足采购需求，得4分；</w:t>
            </w:r>
          </w:p>
          <w:p w14:paraId="0933DA3B">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④质量保障方案内容简单，合理性较差，不满足采购需求，得2分；</w:t>
            </w:r>
          </w:p>
          <w:p w14:paraId="014DD669">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⑤没有提供质量保障方案不得分。</w:t>
            </w:r>
          </w:p>
        </w:tc>
        <w:tc>
          <w:tcPr>
            <w:tcW w:w="907" w:type="dxa"/>
            <w:tcBorders>
              <w:top w:val="single" w:color="auto" w:sz="4" w:space="0"/>
              <w:left w:val="single" w:color="auto" w:sz="4" w:space="0"/>
              <w:bottom w:val="single" w:color="auto" w:sz="4" w:space="0"/>
              <w:right w:val="single" w:color="auto" w:sz="4" w:space="0"/>
            </w:tcBorders>
            <w:vAlign w:val="center"/>
          </w:tcPr>
          <w:p w14:paraId="24AA098D">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8分</w:t>
            </w:r>
          </w:p>
        </w:tc>
      </w:tr>
      <w:bookmarkEnd w:id="510"/>
    </w:tbl>
    <w:p w14:paraId="3FA77B88">
      <w:pPr>
        <w:autoSpaceDE w:val="0"/>
        <w:autoSpaceDN w:val="0"/>
        <w:adjustRightInd w:val="0"/>
        <w:spacing w:line="360" w:lineRule="auto"/>
        <w:ind w:right="-26" w:firstLine="480"/>
        <w:jc w:val="center"/>
        <w:outlineLvl w:val="9"/>
        <w:rPr>
          <w:rFonts w:hint="eastAsia" w:ascii="宋体" w:hAnsi="宋体" w:eastAsia="宋体" w:cs="宋体"/>
          <w:b/>
          <w:color w:val="auto"/>
          <w:szCs w:val="21"/>
          <w:highlight w:val="none"/>
          <w:lang w:val="zh-CN"/>
        </w:rPr>
      </w:pPr>
    </w:p>
    <w:p w14:paraId="368E0801">
      <w:pPr>
        <w:tabs>
          <w:tab w:val="left" w:pos="585"/>
        </w:tabs>
        <w:autoSpaceDE w:val="0"/>
        <w:autoSpaceDN w:val="0"/>
        <w:adjustRightInd w:val="0"/>
        <w:spacing w:line="360" w:lineRule="auto"/>
        <w:outlineLvl w:val="9"/>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3</w:t>
      </w:r>
      <w:r>
        <w:rPr>
          <w:rFonts w:hint="eastAsia" w:ascii="宋体" w:hAnsi="宋体" w:eastAsia="宋体" w:cs="宋体"/>
          <w:b/>
          <w:color w:val="auto"/>
          <w:szCs w:val="21"/>
          <w:highlight w:val="none"/>
          <w:lang w:val="zh-CN"/>
        </w:rPr>
        <w:t>）价格评分方法</w:t>
      </w:r>
    </w:p>
    <w:p w14:paraId="256EC23A">
      <w:pPr>
        <w:spacing w:line="360" w:lineRule="auto"/>
        <w:ind w:left="480" w:firstLine="211" w:firstLineChars="100"/>
        <w:outlineLvl w:val="9"/>
        <w:rPr>
          <w:rFonts w:hint="eastAsia" w:ascii="宋体" w:hAnsi="宋体" w:eastAsia="宋体" w:cs="宋体"/>
          <w:b/>
          <w:bCs/>
          <w:color w:val="auto"/>
          <w:kern w:val="0"/>
          <w:szCs w:val="21"/>
          <w:highlight w:val="none"/>
          <w:lang w:val="zh-CN"/>
        </w:rPr>
      </w:pPr>
      <w:r>
        <w:rPr>
          <w:rFonts w:hint="eastAsia" w:ascii="宋体" w:hAnsi="宋体" w:eastAsia="宋体" w:cs="宋体"/>
          <w:b/>
          <w:bCs/>
          <w:color w:val="auto"/>
          <w:kern w:val="0"/>
          <w:szCs w:val="28"/>
          <w:highlight w:val="none"/>
          <w:lang w:val="zh-CN"/>
        </w:rPr>
        <w:t>1）价格文件的符合性审查</w:t>
      </w:r>
    </w:p>
    <w:p w14:paraId="1517EADD">
      <w:pPr>
        <w:spacing w:line="360" w:lineRule="auto"/>
        <w:ind w:left="420" w:leftChars="200" w:firstLine="420" w:firstLineChars="200"/>
        <w:outlineLvl w:val="9"/>
        <w:rPr>
          <w:rFonts w:hint="eastAsia" w:ascii="宋体" w:hAnsi="宋体" w:eastAsia="宋体" w:cs="宋体"/>
          <w:color w:val="auto"/>
          <w:kern w:val="0"/>
          <w:szCs w:val="21"/>
          <w:highlight w:val="none"/>
          <w:lang w:val="zh-CN"/>
        </w:rPr>
      </w:pPr>
      <w:r>
        <w:rPr>
          <w:rFonts w:hint="eastAsia" w:ascii="宋体" w:hAnsi="宋体" w:eastAsia="宋体" w:cs="宋体"/>
          <w:color w:val="auto"/>
          <w:kern w:val="0"/>
          <w:szCs w:val="21"/>
          <w:highlight w:val="none"/>
          <w:lang w:val="zh-CN"/>
        </w:rPr>
        <w:t>评标委员会对合格的投标人的投标报价，进行详细分析、核准，检查其是否存在计算错误。评标委员会将按照本评标大纲的规定修正计算错误的投标报价，经投标人代表确认后，调整后的价格对投标人具有约束力。</w:t>
      </w:r>
      <w:r>
        <w:rPr>
          <w:rFonts w:hint="eastAsia" w:ascii="宋体" w:hAnsi="宋体" w:eastAsia="宋体" w:cs="宋体"/>
          <w:b/>
          <w:color w:val="auto"/>
          <w:kern w:val="0"/>
          <w:szCs w:val="21"/>
          <w:highlight w:val="none"/>
          <w:u w:val="single"/>
          <w:lang w:val="zh-CN"/>
        </w:rPr>
        <w:t>如果投标人不接受修正后的报价，则其投标将被拒绝，作为无效投标处理</w:t>
      </w:r>
      <w:r>
        <w:rPr>
          <w:rFonts w:hint="eastAsia" w:ascii="宋体" w:hAnsi="宋体" w:eastAsia="宋体" w:cs="宋体"/>
          <w:b/>
          <w:color w:val="auto"/>
          <w:kern w:val="0"/>
          <w:szCs w:val="21"/>
          <w:highlight w:val="none"/>
          <w:lang w:val="zh-CN"/>
        </w:rPr>
        <w:t>。</w:t>
      </w:r>
    </w:p>
    <w:p w14:paraId="04BF8309">
      <w:pPr>
        <w:autoSpaceDE w:val="0"/>
        <w:autoSpaceDN w:val="0"/>
        <w:adjustRightInd w:val="0"/>
        <w:spacing w:line="360" w:lineRule="auto"/>
        <w:ind w:left="420" w:leftChars="200" w:firstLine="420" w:firstLineChars="200"/>
        <w:outlineLvl w:val="9"/>
        <w:rPr>
          <w:rFonts w:hint="eastAsia" w:ascii="宋体" w:hAnsi="宋体" w:eastAsia="宋体" w:cs="宋体"/>
          <w:b/>
          <w:color w:val="auto"/>
          <w:szCs w:val="24"/>
          <w:highlight w:val="none"/>
          <w:u w:val="single"/>
          <w:lang w:val="zh-CN"/>
        </w:rPr>
      </w:pPr>
      <w:r>
        <w:rPr>
          <w:rFonts w:hint="eastAsia" w:ascii="宋体" w:hAnsi="宋体" w:eastAsia="宋体" w:cs="宋体"/>
          <w:color w:val="auto"/>
          <w:szCs w:val="24"/>
          <w:highlight w:val="none"/>
          <w:lang w:val="zh-CN"/>
        </w:rPr>
        <w:t>若投标人出现超低报价，</w:t>
      </w:r>
      <w:r>
        <w:rPr>
          <w:rFonts w:hint="eastAsia" w:ascii="宋体" w:hAnsi="宋体" w:eastAsia="宋体" w:cs="宋体"/>
          <w:color w:val="auto"/>
          <w:kern w:val="0"/>
          <w:szCs w:val="21"/>
          <w:highlight w:val="none"/>
        </w:rPr>
        <w:t>有可能影响服务质量和不能诚信履约的，</w:t>
      </w:r>
      <w:r>
        <w:rPr>
          <w:rFonts w:hint="eastAsia" w:ascii="宋体" w:hAnsi="宋体" w:eastAsia="宋体" w:cs="宋体"/>
          <w:color w:val="auto"/>
          <w:szCs w:val="24"/>
          <w:highlight w:val="none"/>
          <w:lang w:val="zh-CN"/>
        </w:rPr>
        <w:t>评标委员会</w:t>
      </w:r>
      <w:r>
        <w:rPr>
          <w:rFonts w:hint="eastAsia" w:ascii="宋体" w:hAnsi="宋体" w:eastAsia="宋体" w:cs="宋体"/>
          <w:color w:val="auto"/>
          <w:kern w:val="0"/>
          <w:szCs w:val="21"/>
          <w:highlight w:val="none"/>
          <w:lang w:val="zh-CN"/>
        </w:rPr>
        <w:t>将要求该投标人作出书面说明并提供相关证明材料，</w:t>
      </w:r>
      <w:r>
        <w:rPr>
          <w:rFonts w:hint="eastAsia" w:ascii="宋体" w:hAnsi="宋体" w:eastAsia="宋体" w:cs="宋体"/>
          <w:color w:val="auto"/>
          <w:szCs w:val="24"/>
          <w:highlight w:val="none"/>
          <w:lang w:val="zh-CN"/>
        </w:rPr>
        <w:t>以确定投标人是否以低于企业成本价报价。</w:t>
      </w:r>
      <w:r>
        <w:rPr>
          <w:rFonts w:hint="eastAsia" w:ascii="宋体" w:hAnsi="宋体" w:eastAsia="宋体" w:cs="宋体"/>
          <w:b/>
          <w:color w:val="auto"/>
          <w:szCs w:val="24"/>
          <w:highlight w:val="none"/>
          <w:u w:val="single"/>
          <w:lang w:val="zh-CN"/>
        </w:rPr>
        <w:t>若投标人不能合理说明或不能提供相关证明材料的，评标委员会将认定其投标报价低于成本，同时否决其投标。</w:t>
      </w:r>
    </w:p>
    <w:p w14:paraId="3778F568">
      <w:pPr>
        <w:spacing w:line="360" w:lineRule="auto"/>
        <w:ind w:left="420" w:leftChars="200" w:firstLine="422" w:firstLineChars="200"/>
        <w:outlineLvl w:val="9"/>
        <w:rPr>
          <w:rFonts w:hint="eastAsia" w:ascii="宋体" w:hAnsi="宋体" w:eastAsia="宋体" w:cs="宋体"/>
          <w:b/>
          <w:color w:val="auto"/>
          <w:kern w:val="0"/>
          <w:szCs w:val="21"/>
          <w:highlight w:val="none"/>
          <w:lang w:val="zh-CN"/>
        </w:rPr>
      </w:pPr>
      <w:r>
        <w:rPr>
          <w:rFonts w:hint="eastAsia" w:ascii="宋体" w:hAnsi="宋体" w:eastAsia="宋体" w:cs="宋体"/>
          <w:b/>
          <w:color w:val="auto"/>
          <w:kern w:val="0"/>
          <w:szCs w:val="21"/>
          <w:highlight w:val="none"/>
          <w:lang w:val="zh-CN"/>
        </w:rPr>
        <w:t>对是否低于企业成本价报价的事宜有争议的投标文件,评标委员会成员将以记名方式表决,根据少数服</w:t>
      </w:r>
      <w:r>
        <w:rPr>
          <w:rFonts w:hint="eastAsia" w:ascii="宋体" w:hAnsi="宋体" w:eastAsia="宋体" w:cs="宋体"/>
          <w:b/>
          <w:color w:val="auto"/>
          <w:kern w:val="0"/>
          <w:szCs w:val="21"/>
          <w:highlight w:val="none"/>
        </w:rPr>
        <w:t>从</w:t>
      </w:r>
      <w:r>
        <w:rPr>
          <w:rFonts w:hint="eastAsia" w:ascii="宋体" w:hAnsi="宋体" w:eastAsia="宋体" w:cs="宋体"/>
          <w:b/>
          <w:color w:val="auto"/>
          <w:kern w:val="0"/>
          <w:szCs w:val="21"/>
          <w:highlight w:val="none"/>
          <w:lang w:val="zh-CN"/>
        </w:rPr>
        <w:t>多数的原则，获多数表决通过的投标人才有资格进入下一阶段的评审,否则将按无效投标处理。</w:t>
      </w:r>
    </w:p>
    <w:p w14:paraId="60EABC08">
      <w:pPr>
        <w:spacing w:line="360" w:lineRule="auto"/>
        <w:ind w:left="420" w:leftChars="200" w:firstLine="420" w:firstLineChars="200"/>
        <w:outlineLvl w:val="9"/>
        <w:rPr>
          <w:rFonts w:hint="eastAsia" w:ascii="宋体" w:hAnsi="宋体" w:eastAsia="宋体" w:cs="宋体"/>
          <w:color w:val="auto"/>
          <w:kern w:val="0"/>
          <w:szCs w:val="21"/>
          <w:highlight w:val="none"/>
          <w:lang w:val="zh-CN"/>
        </w:rPr>
      </w:pPr>
    </w:p>
    <w:p w14:paraId="2D3C24BD">
      <w:pPr>
        <w:spacing w:line="360" w:lineRule="auto"/>
        <w:ind w:left="480" w:firstLine="211" w:firstLineChars="100"/>
        <w:outlineLvl w:val="9"/>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lang w:val="zh-CN"/>
        </w:rPr>
        <w:t>2）</w:t>
      </w:r>
      <w:r>
        <w:rPr>
          <w:rFonts w:hint="eastAsia" w:ascii="宋体" w:hAnsi="宋体" w:eastAsia="宋体" w:cs="宋体"/>
          <w:b/>
          <w:bCs/>
          <w:color w:val="auto"/>
          <w:kern w:val="0"/>
          <w:szCs w:val="28"/>
          <w:highlight w:val="none"/>
          <w:lang w:val="zh-CN"/>
        </w:rPr>
        <w:t>价格评分</w:t>
      </w:r>
      <w:r>
        <w:rPr>
          <w:rFonts w:hint="eastAsia" w:ascii="宋体" w:hAnsi="宋体" w:eastAsia="宋体" w:cs="宋体"/>
          <w:b/>
          <w:bCs/>
          <w:color w:val="auto"/>
          <w:kern w:val="0"/>
          <w:szCs w:val="21"/>
          <w:highlight w:val="none"/>
        </w:rPr>
        <w:t>：</w:t>
      </w:r>
      <w:r>
        <w:rPr>
          <w:rFonts w:hint="eastAsia" w:ascii="宋体" w:hAnsi="宋体" w:eastAsia="宋体" w:cs="宋体"/>
          <w:b/>
          <w:bCs/>
          <w:color w:val="auto"/>
          <w:kern w:val="0"/>
          <w:szCs w:val="21"/>
          <w:highlight w:val="none"/>
          <w:lang w:val="zh-CN"/>
        </w:rPr>
        <w:t>总分</w:t>
      </w:r>
      <w:r>
        <w:rPr>
          <w:rFonts w:hint="eastAsia" w:ascii="宋体" w:hAnsi="宋体" w:eastAsia="宋体" w:cs="宋体"/>
          <w:b/>
          <w:bCs/>
          <w:color w:val="auto"/>
          <w:kern w:val="0"/>
          <w:szCs w:val="21"/>
          <w:highlight w:val="none"/>
          <w:lang w:val="en-US" w:eastAsia="zh-CN"/>
        </w:rPr>
        <w:t>10</w:t>
      </w:r>
      <w:r>
        <w:rPr>
          <w:rFonts w:hint="eastAsia" w:ascii="宋体" w:hAnsi="宋体" w:eastAsia="宋体" w:cs="宋体"/>
          <w:b/>
          <w:bCs/>
          <w:color w:val="auto"/>
          <w:kern w:val="0"/>
          <w:szCs w:val="21"/>
          <w:highlight w:val="none"/>
          <w:lang w:val="zh-CN"/>
        </w:rPr>
        <w:t>分</w:t>
      </w:r>
    </w:p>
    <w:p w14:paraId="4FE6D8EF">
      <w:pPr>
        <w:autoSpaceDN w:val="0"/>
        <w:adjustRightInd w:val="0"/>
        <w:snapToGrid w:val="0"/>
        <w:spacing w:line="360" w:lineRule="auto"/>
        <w:ind w:left="420" w:leftChars="100" w:hanging="210" w:hangingChars="100"/>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A、根据有效投标人的投标报价，最低价作为基准价（Y）。投标人报价（X）等于基准价的得满分</w:t>
      </w:r>
      <w:r>
        <w:rPr>
          <w:rFonts w:hint="eastAsia" w:ascii="宋体" w:hAnsi="宋体" w:eastAsia="宋体" w:cs="宋体"/>
          <w:color w:val="auto"/>
          <w:kern w:val="0"/>
          <w:szCs w:val="21"/>
          <w:highlight w:val="none"/>
          <w:lang w:val="en-US" w:eastAsia="zh-CN"/>
        </w:rPr>
        <w:t>10</w:t>
      </w:r>
      <w:r>
        <w:rPr>
          <w:rFonts w:hint="eastAsia" w:ascii="宋体" w:hAnsi="宋体" w:eastAsia="宋体" w:cs="宋体"/>
          <w:color w:val="auto"/>
          <w:kern w:val="0"/>
          <w:szCs w:val="21"/>
          <w:highlight w:val="none"/>
        </w:rPr>
        <w:t>分，其他投标人的价格得分统一按照下列公式计算：</w:t>
      </w:r>
    </w:p>
    <w:p w14:paraId="2D02C5FB">
      <w:pPr>
        <w:autoSpaceDN w:val="0"/>
        <w:adjustRightInd w:val="0"/>
        <w:snapToGrid w:val="0"/>
        <w:spacing w:line="360" w:lineRule="auto"/>
        <w:ind w:left="420" w:leftChars="100" w:hanging="210" w:hangingChars="100"/>
        <w:outlineLvl w:val="9"/>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rPr>
        <w:t xml:space="preserve">    价格得分=(基准价／投标报价)×</w:t>
      </w:r>
      <w:r>
        <w:rPr>
          <w:rFonts w:hint="eastAsia" w:ascii="宋体" w:hAnsi="宋体" w:eastAsia="宋体" w:cs="宋体"/>
          <w:color w:val="auto"/>
          <w:kern w:val="0"/>
          <w:szCs w:val="21"/>
          <w:highlight w:val="none"/>
          <w:lang w:val="en-US" w:eastAsia="zh-CN"/>
        </w:rPr>
        <w:t>10</w:t>
      </w:r>
    </w:p>
    <w:p w14:paraId="4B54F58C">
      <w:pPr>
        <w:autoSpaceDN w:val="0"/>
        <w:adjustRightInd w:val="0"/>
        <w:snapToGrid w:val="0"/>
        <w:spacing w:line="360" w:lineRule="auto"/>
        <w:ind w:firstLine="210" w:firstLineChars="100"/>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B、分数出现小数点，保留小数点后2位，从小数点后第3位四舍五入。</w:t>
      </w:r>
    </w:p>
    <w:p w14:paraId="257CD676">
      <w:pPr>
        <w:tabs>
          <w:tab w:val="left" w:pos="585"/>
        </w:tabs>
        <w:autoSpaceDE w:val="0"/>
        <w:autoSpaceDN w:val="0"/>
        <w:adjustRightInd w:val="0"/>
        <w:spacing w:line="360" w:lineRule="auto"/>
        <w:outlineLvl w:val="9"/>
        <w:rPr>
          <w:rFonts w:hint="eastAsia" w:ascii="宋体" w:hAnsi="宋体" w:eastAsia="宋体" w:cs="宋体"/>
          <w:b/>
          <w:color w:val="auto"/>
          <w:szCs w:val="21"/>
          <w:highlight w:val="none"/>
          <w:lang w:val="zh-CN"/>
        </w:rPr>
      </w:pPr>
    </w:p>
    <w:p w14:paraId="0BA76704">
      <w:pPr>
        <w:tabs>
          <w:tab w:val="left" w:pos="585"/>
        </w:tabs>
        <w:autoSpaceDE w:val="0"/>
        <w:autoSpaceDN w:val="0"/>
        <w:adjustRightInd w:val="0"/>
        <w:spacing w:line="360" w:lineRule="auto"/>
        <w:outlineLvl w:val="9"/>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4</w:t>
      </w:r>
      <w:r>
        <w:rPr>
          <w:rFonts w:hint="eastAsia" w:ascii="宋体" w:hAnsi="宋体" w:eastAsia="宋体" w:cs="宋体"/>
          <w:b/>
          <w:color w:val="auto"/>
          <w:szCs w:val="21"/>
          <w:highlight w:val="none"/>
          <w:lang w:val="zh-CN"/>
        </w:rPr>
        <w:t>）综合得分</w:t>
      </w:r>
    </w:p>
    <w:p w14:paraId="03AF548C">
      <w:pPr>
        <w:spacing w:line="360" w:lineRule="auto"/>
        <w:ind w:firstLine="848" w:firstLineChars="404"/>
        <w:outlineLvl w:val="9"/>
        <w:rPr>
          <w:rFonts w:hint="eastAsia" w:ascii="宋体" w:hAnsi="宋体" w:eastAsia="宋体" w:cs="宋体"/>
          <w:color w:val="auto"/>
          <w:kern w:val="0"/>
          <w:szCs w:val="28"/>
          <w:highlight w:val="none"/>
          <w:lang w:val="zh-CN"/>
        </w:rPr>
      </w:pPr>
      <w:bookmarkStart w:id="511" w:name="_Toc31624_WPSOffice_Level2"/>
      <w:r>
        <w:rPr>
          <w:rFonts w:hint="eastAsia" w:ascii="宋体" w:hAnsi="宋体" w:eastAsia="宋体" w:cs="宋体"/>
          <w:color w:val="auto"/>
          <w:kern w:val="0"/>
          <w:szCs w:val="28"/>
          <w:highlight w:val="none"/>
          <w:lang w:val="zh-CN"/>
        </w:rPr>
        <w:t>评标总得分=F1＋F2＋……+Fn</w:t>
      </w:r>
      <w:bookmarkEnd w:id="511"/>
    </w:p>
    <w:p w14:paraId="21DA88CE">
      <w:pPr>
        <w:widowControl/>
        <w:autoSpaceDE w:val="0"/>
        <w:autoSpaceDN w:val="0"/>
        <w:adjustRightInd w:val="0"/>
        <w:spacing w:line="360" w:lineRule="auto"/>
        <w:ind w:firstLine="840" w:firstLineChars="400"/>
        <w:jc w:val="left"/>
        <w:outlineLvl w:val="9"/>
        <w:rPr>
          <w:rFonts w:hint="eastAsia" w:ascii="宋体" w:hAnsi="宋体" w:eastAsia="宋体" w:cs="宋体"/>
          <w:color w:val="auto"/>
          <w:kern w:val="0"/>
          <w:szCs w:val="21"/>
          <w:highlight w:val="none"/>
        </w:rPr>
      </w:pPr>
      <w:bookmarkStart w:id="512" w:name="_Toc13236_WPSOffice_Level2"/>
      <w:r>
        <w:rPr>
          <w:rFonts w:hint="eastAsia" w:ascii="宋体" w:hAnsi="宋体" w:eastAsia="宋体" w:cs="宋体"/>
          <w:color w:val="auto"/>
          <w:kern w:val="0"/>
          <w:szCs w:val="21"/>
          <w:highlight w:val="none"/>
        </w:rPr>
        <w:t>F1、F2、……Fn分别为各项评分因素的得分</w:t>
      </w:r>
      <w:bookmarkEnd w:id="512"/>
      <w:r>
        <w:rPr>
          <w:rFonts w:hint="eastAsia" w:ascii="宋体" w:hAnsi="宋体" w:eastAsia="宋体" w:cs="宋体"/>
          <w:color w:val="auto"/>
          <w:kern w:val="0"/>
          <w:szCs w:val="21"/>
          <w:highlight w:val="none"/>
        </w:rPr>
        <w:t>。</w:t>
      </w:r>
    </w:p>
    <w:p w14:paraId="3EDD58F0">
      <w:pPr>
        <w:autoSpaceDE w:val="0"/>
        <w:autoSpaceDN w:val="0"/>
        <w:adjustRightInd w:val="0"/>
        <w:spacing w:line="360" w:lineRule="auto"/>
        <w:ind w:left="564" w:leftChars="1" w:hanging="562" w:hangingChars="200"/>
        <w:outlineLvl w:val="9"/>
        <w:rPr>
          <w:rFonts w:hint="eastAsia" w:ascii="宋体" w:hAnsi="宋体" w:eastAsia="宋体" w:cs="宋体"/>
          <w:b/>
          <w:bCs/>
          <w:color w:val="auto"/>
          <w:sz w:val="28"/>
          <w:szCs w:val="28"/>
          <w:highlight w:val="none"/>
        </w:rPr>
      </w:pPr>
    </w:p>
    <w:p w14:paraId="2B69132D">
      <w:pPr>
        <w:autoSpaceDE w:val="0"/>
        <w:autoSpaceDN w:val="0"/>
        <w:adjustRightInd w:val="0"/>
        <w:spacing w:line="360" w:lineRule="auto"/>
        <w:jc w:val="center"/>
        <w:outlineLvl w:val="9"/>
        <w:rPr>
          <w:rFonts w:hint="eastAsia" w:ascii="宋体" w:hAnsi="宋体" w:eastAsia="宋体" w:cs="宋体"/>
          <w:b/>
          <w:bCs/>
          <w:color w:val="auto"/>
          <w:sz w:val="28"/>
          <w:szCs w:val="28"/>
          <w:highlight w:val="none"/>
        </w:rPr>
      </w:pPr>
      <w:bookmarkStart w:id="513" w:name="_Toc518_WPSOffice_Level1"/>
      <w:r>
        <w:rPr>
          <w:rFonts w:hint="eastAsia" w:ascii="宋体" w:hAnsi="宋体" w:eastAsia="宋体" w:cs="宋体"/>
          <w:b/>
          <w:bCs/>
          <w:color w:val="auto"/>
          <w:sz w:val="28"/>
          <w:szCs w:val="28"/>
          <w:highlight w:val="none"/>
          <w:lang w:val="zh-CN"/>
        </w:rPr>
        <w:t>五、推荐中标人</w:t>
      </w:r>
      <w:bookmarkEnd w:id="513"/>
    </w:p>
    <w:p w14:paraId="18C49C34">
      <w:pPr>
        <w:autoSpaceDE w:val="0"/>
        <w:autoSpaceDN w:val="0"/>
        <w:adjustRightInd w:val="0"/>
        <w:spacing w:line="360" w:lineRule="auto"/>
        <w:ind w:left="420" w:hanging="420" w:hangingChars="20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w:t>
      </w:r>
      <w:r>
        <w:rPr>
          <w:rFonts w:hint="eastAsia" w:ascii="宋体" w:hAnsi="宋体" w:eastAsia="宋体" w:cs="宋体"/>
          <w:color w:val="auto"/>
          <w:szCs w:val="24"/>
          <w:highlight w:val="none"/>
          <w:lang w:val="zh-CN"/>
        </w:rPr>
        <w:t>评标委员会按评审后得分由高到低顺序排列</w:t>
      </w:r>
      <w:r>
        <w:rPr>
          <w:rFonts w:hint="eastAsia" w:ascii="宋体" w:hAnsi="宋体" w:eastAsia="宋体" w:cs="宋体"/>
          <w:color w:val="auto"/>
          <w:kern w:val="0"/>
          <w:szCs w:val="21"/>
          <w:highlight w:val="none"/>
        </w:rPr>
        <w:t>，并向招标人推荐最后综合得分最高的前二名投标人为中标候选人（最后综合得分排名第一、第二的投标人分别为第一、第二中标候选人），招标人将确定第一中标候选人为中标人。</w:t>
      </w:r>
    </w:p>
    <w:p w14:paraId="5202156F">
      <w:pPr>
        <w:autoSpaceDE w:val="0"/>
        <w:autoSpaceDN w:val="0"/>
        <w:adjustRightInd w:val="0"/>
        <w:spacing w:line="360" w:lineRule="auto"/>
        <w:ind w:left="420" w:leftChars="200" w:firstLine="420" w:firstLineChars="200"/>
        <w:jc w:val="left"/>
        <w:outlineLvl w:val="9"/>
        <w:rPr>
          <w:rFonts w:hint="eastAsia" w:ascii="宋体" w:hAnsi="宋体" w:eastAsia="宋体" w:cs="宋体"/>
          <w:color w:val="auto"/>
          <w:kern w:val="0"/>
          <w:szCs w:val="24"/>
          <w:highlight w:val="none"/>
          <w:lang w:val="zh-CN"/>
        </w:rPr>
      </w:pPr>
      <w:r>
        <w:rPr>
          <w:rFonts w:hint="eastAsia" w:ascii="宋体" w:hAnsi="宋体" w:eastAsia="宋体" w:cs="宋体"/>
          <w:color w:val="auto"/>
          <w:kern w:val="0"/>
          <w:szCs w:val="21"/>
          <w:highlight w:val="none"/>
        </w:rPr>
        <w:t>如果有两个或以上的投标人的最后综合得分相同，则在最后综合得分相同的投标人中按技术标的评标得分</w:t>
      </w:r>
      <w:r>
        <w:rPr>
          <w:rFonts w:hint="eastAsia" w:ascii="宋体" w:hAnsi="宋体" w:eastAsia="宋体" w:cs="宋体"/>
          <w:color w:val="auto"/>
          <w:kern w:val="0"/>
          <w:szCs w:val="21"/>
          <w:highlight w:val="none"/>
          <w:lang w:val="zh-CN"/>
        </w:rPr>
        <w:t>由低到高顺序排出次序，报价低的排前，报价高的排后。</w:t>
      </w:r>
      <w:r>
        <w:rPr>
          <w:rFonts w:hint="eastAsia" w:ascii="宋体" w:hAnsi="宋体" w:eastAsia="宋体" w:cs="宋体"/>
          <w:color w:val="auto"/>
          <w:kern w:val="0"/>
          <w:szCs w:val="21"/>
          <w:highlight w:val="none"/>
        </w:rPr>
        <w:t>如果出现投标人的最后综合得分及技术标的评标得分相同时，由评标委员会进行投票，得票多的排名在先。当第一轮投票结果为投标人得票数相同时，再次进行投票，如此类推，直到能确定排序次序为止。</w:t>
      </w:r>
    </w:p>
    <w:p w14:paraId="4F8D17E7">
      <w:pPr>
        <w:widowControl/>
        <w:spacing w:line="360" w:lineRule="auto"/>
        <w:jc w:val="left"/>
        <w:outlineLvl w:val="9"/>
        <w:rPr>
          <w:rFonts w:hint="eastAsia" w:ascii="宋体" w:hAnsi="宋体" w:eastAsia="宋体" w:cs="宋体"/>
          <w:color w:val="auto"/>
          <w:kern w:val="0"/>
          <w:szCs w:val="21"/>
          <w:highlight w:val="none"/>
        </w:rPr>
      </w:pPr>
    </w:p>
    <w:p w14:paraId="202B7127">
      <w:pPr>
        <w:autoSpaceDE w:val="0"/>
        <w:autoSpaceDN w:val="0"/>
        <w:adjustRightInd w:val="0"/>
        <w:spacing w:line="360" w:lineRule="auto"/>
        <w:ind w:left="185" w:leftChars="88" w:firstLine="3443" w:firstLineChars="1225"/>
        <w:outlineLvl w:val="9"/>
        <w:rPr>
          <w:rFonts w:hint="eastAsia" w:ascii="宋体" w:hAnsi="宋体" w:eastAsia="宋体" w:cs="宋体"/>
          <w:b/>
          <w:bCs/>
          <w:color w:val="auto"/>
          <w:sz w:val="28"/>
          <w:szCs w:val="28"/>
          <w:highlight w:val="none"/>
          <w:lang w:val="zh-CN"/>
        </w:rPr>
      </w:pPr>
      <w:bookmarkStart w:id="514" w:name="_Toc22724_WPSOffice_Level1"/>
      <w:r>
        <w:rPr>
          <w:rFonts w:hint="eastAsia" w:ascii="宋体" w:hAnsi="宋体" w:eastAsia="宋体" w:cs="宋体"/>
          <w:b/>
          <w:bCs/>
          <w:color w:val="auto"/>
          <w:sz w:val="28"/>
          <w:szCs w:val="28"/>
          <w:highlight w:val="none"/>
          <w:lang w:val="zh-CN"/>
        </w:rPr>
        <w:t>六、编写评标报告</w:t>
      </w:r>
      <w:bookmarkEnd w:id="514"/>
    </w:p>
    <w:p w14:paraId="6CBAC5F5">
      <w:pPr>
        <w:autoSpaceDE w:val="0"/>
        <w:autoSpaceDN w:val="0"/>
        <w:adjustRightInd w:val="0"/>
        <w:spacing w:line="360" w:lineRule="auto"/>
        <w:ind w:left="420" w:hanging="420" w:hangingChars="200"/>
        <w:jc w:val="left"/>
        <w:outlineLvl w:val="9"/>
        <w:rPr>
          <w:rFonts w:hint="eastAsia" w:ascii="宋体" w:hAnsi="宋体" w:eastAsia="宋体" w:cs="宋体"/>
          <w:b/>
          <w:bCs/>
          <w:color w:val="auto"/>
          <w:szCs w:val="32"/>
          <w:highlight w:val="none"/>
          <w:lang w:val="zh-CN"/>
        </w:rPr>
      </w:pPr>
      <w:r>
        <w:rPr>
          <w:rFonts w:hint="eastAsia" w:ascii="宋体" w:hAnsi="宋体" w:eastAsia="宋体" w:cs="宋体"/>
          <w:color w:val="auto"/>
          <w:szCs w:val="24"/>
          <w:highlight w:val="none"/>
          <w:lang w:val="zh-CN"/>
        </w:rPr>
        <w:t>14、评标委员会根据评审结果撰写评标报告。评标报告是评标委员会根据全体评标委员会成员签字的原始评审记录和评审结果编写的报告，其主要内容包括：</w:t>
      </w:r>
    </w:p>
    <w:p w14:paraId="3B0512CD">
      <w:pPr>
        <w:autoSpaceDE w:val="0"/>
        <w:autoSpaceDN w:val="0"/>
        <w:adjustRightInd w:val="0"/>
        <w:spacing w:line="360" w:lineRule="auto"/>
        <w:jc w:val="left"/>
        <w:outlineLvl w:val="9"/>
        <w:rPr>
          <w:rFonts w:hint="eastAsia"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（1）开标邀请时间、开标日期和地点；</w:t>
      </w:r>
    </w:p>
    <w:p w14:paraId="370AB399">
      <w:pPr>
        <w:autoSpaceDE w:val="0"/>
        <w:autoSpaceDN w:val="0"/>
        <w:adjustRightInd w:val="0"/>
        <w:spacing w:line="360" w:lineRule="auto"/>
        <w:jc w:val="left"/>
        <w:outlineLvl w:val="9"/>
        <w:rPr>
          <w:rFonts w:hint="eastAsia"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（2）</w:t>
      </w:r>
      <w:r>
        <w:rPr>
          <w:rFonts w:hint="eastAsia" w:ascii="宋体" w:hAnsi="宋体" w:eastAsia="宋体" w:cs="宋体"/>
          <w:color w:val="auto"/>
          <w:kern w:val="0"/>
          <w:szCs w:val="24"/>
          <w:highlight w:val="none"/>
        </w:rPr>
        <w:t>获取</w:t>
      </w:r>
      <w:r>
        <w:rPr>
          <w:rFonts w:hint="eastAsia" w:ascii="宋体" w:hAnsi="宋体" w:eastAsia="宋体" w:cs="宋体"/>
          <w:color w:val="auto"/>
          <w:kern w:val="0"/>
          <w:szCs w:val="24"/>
          <w:highlight w:val="none"/>
          <w:lang w:val="zh-CN"/>
        </w:rPr>
        <w:t>招标文件的投标人名单和评标委员会成员名单；</w:t>
      </w:r>
    </w:p>
    <w:p w14:paraId="134D7EDF">
      <w:pPr>
        <w:autoSpaceDE w:val="0"/>
        <w:autoSpaceDN w:val="0"/>
        <w:adjustRightInd w:val="0"/>
        <w:spacing w:line="360" w:lineRule="auto"/>
        <w:jc w:val="left"/>
        <w:outlineLvl w:val="9"/>
        <w:rPr>
          <w:rFonts w:hint="eastAsia"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（3）开标评审方法和标准；</w:t>
      </w:r>
    </w:p>
    <w:p w14:paraId="7AF1150E">
      <w:pPr>
        <w:autoSpaceDE w:val="0"/>
        <w:autoSpaceDN w:val="0"/>
        <w:adjustRightInd w:val="0"/>
        <w:spacing w:line="360" w:lineRule="auto"/>
        <w:jc w:val="left"/>
        <w:outlineLvl w:val="9"/>
        <w:rPr>
          <w:rFonts w:hint="eastAsia"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（4）开标评审记录和评审情况及说明，包括投标无效投标人名单及原因；</w:t>
      </w:r>
    </w:p>
    <w:p w14:paraId="5BCE6011">
      <w:pPr>
        <w:autoSpaceDE w:val="0"/>
        <w:autoSpaceDN w:val="0"/>
        <w:adjustRightInd w:val="0"/>
        <w:spacing w:line="360" w:lineRule="auto"/>
        <w:jc w:val="left"/>
        <w:outlineLvl w:val="9"/>
        <w:rPr>
          <w:rFonts w:hint="eastAsia"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（5）评审结果和中标候选投标人排序表；</w:t>
      </w:r>
    </w:p>
    <w:p w14:paraId="4D151C28">
      <w:pPr>
        <w:autoSpaceDE w:val="0"/>
        <w:autoSpaceDN w:val="0"/>
        <w:adjustRightInd w:val="0"/>
        <w:spacing w:line="360" w:lineRule="auto"/>
        <w:jc w:val="left"/>
        <w:outlineLvl w:val="9"/>
        <w:rPr>
          <w:rFonts w:hint="eastAsia" w:ascii="宋体" w:hAnsi="宋体" w:eastAsia="宋体" w:cs="宋体"/>
          <w:color w:val="auto"/>
          <w:szCs w:val="24"/>
          <w:highlight w:val="none"/>
          <w:lang w:val="zh-CN" w:eastAsia="zh-CN"/>
        </w:rPr>
      </w:pPr>
      <w:r>
        <w:rPr>
          <w:rFonts w:hint="eastAsia" w:ascii="宋体" w:hAnsi="宋体" w:eastAsia="宋体" w:cs="宋体"/>
          <w:color w:val="auto"/>
          <w:kern w:val="0"/>
          <w:szCs w:val="24"/>
          <w:highlight w:val="none"/>
          <w:lang w:val="zh-CN"/>
        </w:rPr>
        <w:t>（6）评标委员会的推荐</w:t>
      </w:r>
      <w:r>
        <w:rPr>
          <w:rFonts w:hint="eastAsia" w:ascii="宋体" w:hAnsi="宋体" w:eastAsia="宋体" w:cs="宋体"/>
          <w:color w:val="auto"/>
          <w:szCs w:val="24"/>
          <w:highlight w:val="none"/>
          <w:lang w:val="zh-CN"/>
        </w:rPr>
        <w:t>建议。</w:t>
      </w:r>
      <w:bookmarkStart w:id="515" w:name="auto_fouce_41"/>
    </w:p>
    <w:bookmarkEnd w:id="515"/>
    <w:p w14:paraId="72B2E32C">
      <w:pPr>
        <w:pStyle w:val="6"/>
        <w:rPr>
          <w:rFonts w:hint="eastAsia" w:ascii="宋体" w:hAnsi="宋体" w:eastAsia="宋体" w:cs="宋体"/>
          <w:color w:val="auto"/>
          <w:highlight w:val="none"/>
          <w:lang w:val="zh-CN" w:eastAsia="zh-CN"/>
        </w:rPr>
      </w:pPr>
    </w:p>
    <w:p w14:paraId="05F932E6">
      <w:pPr>
        <w:autoSpaceDE w:val="0"/>
        <w:autoSpaceDN w:val="0"/>
        <w:adjustRightInd w:val="0"/>
        <w:spacing w:line="360" w:lineRule="auto"/>
        <w:jc w:val="center"/>
        <w:outlineLvl w:val="9"/>
        <w:rPr>
          <w:rFonts w:hint="eastAsia" w:ascii="宋体" w:hAnsi="宋体" w:eastAsia="宋体" w:cs="宋体"/>
          <w:b/>
          <w:bCs/>
          <w:color w:val="auto"/>
          <w:sz w:val="28"/>
          <w:szCs w:val="28"/>
          <w:highlight w:val="none"/>
          <w:lang w:val="zh-CN"/>
        </w:rPr>
      </w:pPr>
    </w:p>
    <w:p w14:paraId="719B0C11">
      <w:pPr>
        <w:autoSpaceDE w:val="0"/>
        <w:autoSpaceDN w:val="0"/>
        <w:adjustRightInd w:val="0"/>
        <w:spacing w:line="360" w:lineRule="auto"/>
        <w:jc w:val="center"/>
        <w:outlineLvl w:val="9"/>
        <w:rPr>
          <w:rFonts w:hint="eastAsia" w:ascii="宋体" w:hAnsi="宋体" w:eastAsia="宋体" w:cs="宋体"/>
          <w:b/>
          <w:bCs/>
          <w:color w:val="auto"/>
          <w:sz w:val="30"/>
          <w:szCs w:val="30"/>
          <w:highlight w:val="none"/>
          <w:lang w:val="zh-CN"/>
        </w:rPr>
      </w:pPr>
      <w:bookmarkStart w:id="516" w:name="_Toc23773_WPSOffice_Level1"/>
      <w:r>
        <w:rPr>
          <w:rFonts w:hint="eastAsia" w:ascii="宋体" w:hAnsi="宋体" w:eastAsia="宋体" w:cs="宋体"/>
          <w:b/>
          <w:bCs/>
          <w:color w:val="auto"/>
          <w:sz w:val="28"/>
          <w:szCs w:val="28"/>
          <w:highlight w:val="none"/>
          <w:lang w:val="zh-CN"/>
        </w:rPr>
        <w:t>七、注意事项</w:t>
      </w:r>
      <w:bookmarkEnd w:id="516"/>
    </w:p>
    <w:p w14:paraId="0E23974D">
      <w:pPr>
        <w:autoSpaceDE w:val="0"/>
        <w:autoSpaceDN w:val="0"/>
        <w:adjustRightInd w:val="0"/>
        <w:spacing w:line="360" w:lineRule="auto"/>
        <w:ind w:left="420" w:hanging="420" w:hangingChars="200"/>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15、为确保评审工作的顺利进行，防止因泄密或其它意外而造成的不良后果及影响，凡参加评审工作的人员都必须认真执行本规定：</w:t>
      </w:r>
    </w:p>
    <w:p w14:paraId="6EA4A20E">
      <w:pPr>
        <w:autoSpaceDE w:val="0"/>
        <w:autoSpaceDN w:val="0"/>
        <w:adjustRightInd w:val="0"/>
        <w:spacing w:line="360" w:lineRule="auto"/>
        <w:ind w:left="436" w:leftChars="-59" w:hanging="560" w:hangingChars="267"/>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（1）在评审工作期间，所有分发的投标文件、资料等仅限于在评审场所中使用，不得带往其它地方，所有的招标文件、投标文件、资料等一律编号登记；</w:t>
      </w:r>
    </w:p>
    <w:p w14:paraId="79F5FF61">
      <w:pPr>
        <w:autoSpaceDE w:val="0"/>
        <w:autoSpaceDN w:val="0"/>
        <w:adjustRightInd w:val="0"/>
        <w:spacing w:line="360" w:lineRule="auto"/>
        <w:ind w:left="436" w:leftChars="-59" w:hanging="560" w:hangingChars="267"/>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（2）评审人员及工作人员不得在公共场合谈论有关评审内容；</w:t>
      </w:r>
    </w:p>
    <w:p w14:paraId="68F4EF9C">
      <w:pPr>
        <w:autoSpaceDE w:val="0"/>
        <w:autoSpaceDN w:val="0"/>
        <w:adjustRightInd w:val="0"/>
        <w:spacing w:line="360" w:lineRule="auto"/>
        <w:ind w:left="436" w:leftChars="-59" w:hanging="560" w:hangingChars="267"/>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3）评审人员及工作人员不得以书信、电讯、口述等方式将有关评审内容（如资料、投标文件、投标报价、评审方式、评标委员会的决定、评审组织机构、评审人员名单等）披露给未参加评审的任何无关人员，包括上级领导、同级和下级人员，任何与评审无关的人员（包括亲朋好友和同事）不得进入评审场所；</w:t>
      </w:r>
    </w:p>
    <w:p w14:paraId="5F35BA17">
      <w:pPr>
        <w:autoSpaceDE w:val="0"/>
        <w:autoSpaceDN w:val="0"/>
        <w:adjustRightInd w:val="0"/>
        <w:spacing w:line="360" w:lineRule="auto"/>
        <w:ind w:left="436" w:leftChars="-59" w:hanging="560" w:hangingChars="267"/>
        <w:outlineLvl w:val="9"/>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（4）</w:t>
      </w:r>
      <w:r>
        <w:rPr>
          <w:rFonts w:hint="eastAsia" w:ascii="宋体" w:hAnsi="宋体" w:eastAsia="宋体" w:cs="宋体"/>
          <w:color w:val="auto"/>
          <w:szCs w:val="24"/>
          <w:highlight w:val="none"/>
        </w:rPr>
        <w:t>如有需要举行</w:t>
      </w:r>
      <w:r>
        <w:rPr>
          <w:rFonts w:hint="eastAsia" w:ascii="宋体" w:hAnsi="宋体" w:eastAsia="宋体" w:cs="宋体"/>
          <w:color w:val="auto"/>
          <w:szCs w:val="24"/>
          <w:highlight w:val="none"/>
          <w:lang w:val="zh-CN"/>
        </w:rPr>
        <w:t>澄清会</w:t>
      </w:r>
      <w:r>
        <w:rPr>
          <w:rFonts w:hint="eastAsia" w:ascii="宋体" w:hAnsi="宋体" w:eastAsia="宋体" w:cs="宋体"/>
          <w:color w:val="auto"/>
          <w:szCs w:val="24"/>
          <w:highlight w:val="none"/>
        </w:rPr>
        <w:t>，</w:t>
      </w:r>
      <w:r>
        <w:rPr>
          <w:rFonts w:hint="eastAsia" w:ascii="宋体" w:hAnsi="宋体" w:eastAsia="宋体" w:cs="宋体"/>
          <w:color w:val="auto"/>
          <w:szCs w:val="24"/>
          <w:highlight w:val="none"/>
          <w:lang w:val="zh-CN"/>
        </w:rPr>
        <w:t>在举行与各投标人的澄清会之前评标委员会应明确参加会议的人员及主谈人。任何需要投标人在澄清会上澄清的问题必须经评标委员会成员签字并由主谈人提出。在澄清期间，对于涉及本规定保密范畴的所有内容，主谈人不得向投标人透露；</w:t>
      </w:r>
    </w:p>
    <w:p w14:paraId="78549FC2">
      <w:pPr>
        <w:autoSpaceDE w:val="0"/>
        <w:autoSpaceDN w:val="0"/>
        <w:adjustRightInd w:val="0"/>
        <w:spacing w:line="360" w:lineRule="auto"/>
        <w:ind w:left="436" w:leftChars="-59" w:hanging="560" w:hangingChars="267"/>
        <w:outlineLvl w:val="9"/>
        <w:rPr>
          <w:rFonts w:hint="eastAsia" w:ascii="宋体" w:hAnsi="宋体" w:eastAsia="宋体" w:cs="宋体"/>
          <w:color w:val="auto"/>
          <w:highlight w:val="none"/>
        </w:rPr>
      </w:pPr>
      <w:r>
        <w:rPr>
          <w:rFonts w:hint="eastAsia" w:ascii="宋体" w:hAnsi="宋体" w:eastAsia="宋体" w:cs="宋体"/>
          <w:color w:val="auto"/>
          <w:szCs w:val="24"/>
          <w:highlight w:val="none"/>
          <w:lang w:val="zh-CN"/>
        </w:rPr>
        <w:t>（5）任何评审人员和工作人员不得对外公布评审的一切内容。</w:t>
      </w:r>
      <w:bookmarkEnd w:id="487"/>
      <w:bookmarkEnd w:id="491"/>
      <w:bookmarkEnd w:id="492"/>
      <w:bookmarkEnd w:id="493"/>
    </w:p>
    <w:sectPr>
      <w:pgSz w:w="12240" w:h="15840"/>
      <w:pgMar w:top="1191" w:right="1043" w:bottom="1191" w:left="1043" w:header="720" w:footer="720" w:gutter="0"/>
      <w:cols w:space="720" w:num="1"/>
      <w:titlePg/>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ˎ̥">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FrutigerNext LT Light">
    <w:altName w:val="宋体"/>
    <w:panose1 w:val="00000000000000000000"/>
    <w:charset w:val="86"/>
    <w:family w:val="swiss"/>
    <w:pitch w:val="default"/>
    <w:sig w:usb0="00000000" w:usb1="00000000" w:usb2="00000010" w:usb3="00000000" w:csb0="00040001"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1C5FF8">
    <w:pPr>
      <w:pStyle w:val="29"/>
      <w:jc w:val="center"/>
    </w:pPr>
    <w:r>
      <w:rPr>
        <w:rFonts w:hint="eastAsia"/>
      </w:rPr>
      <w:t>第</w:t>
    </w:r>
    <w:r>
      <w:rPr>
        <w:bCs/>
      </w:rPr>
      <w:fldChar w:fldCharType="begin"/>
    </w:r>
    <w:r>
      <w:rPr>
        <w:bCs/>
      </w:rPr>
      <w:instrText xml:space="preserve">PAGE</w:instrText>
    </w:r>
    <w:r>
      <w:rPr>
        <w:bCs/>
      </w:rPr>
      <w:fldChar w:fldCharType="separate"/>
    </w:r>
    <w:r>
      <w:rPr>
        <w:bCs/>
      </w:rPr>
      <w:t>25</w:t>
    </w:r>
    <w:r>
      <w:rPr>
        <w:bCs/>
      </w:rPr>
      <w:fldChar w:fldCharType="end"/>
    </w:r>
    <w:r>
      <w:rPr>
        <w:rFonts w:hint="eastAsia"/>
        <w:lang w:val="zh-CN"/>
      </w:rPr>
      <w:t>页 共</w:t>
    </w:r>
    <w:r>
      <w:rPr>
        <w:bCs/>
      </w:rPr>
      <w:fldChar w:fldCharType="begin"/>
    </w:r>
    <w:r>
      <w:rPr>
        <w:bCs/>
      </w:rPr>
      <w:instrText xml:space="preserve">NUMPAGES</w:instrText>
    </w:r>
    <w:r>
      <w:rPr>
        <w:bCs/>
      </w:rPr>
      <w:fldChar w:fldCharType="separate"/>
    </w:r>
    <w:r>
      <w:rPr>
        <w:bCs/>
      </w:rPr>
      <w:t>69</w:t>
    </w:r>
    <w:r>
      <w:rPr>
        <w:bCs/>
      </w:rPr>
      <w:fldChar w:fldCharType="end"/>
    </w:r>
    <w:r>
      <w:rPr>
        <w:rFonts w:hint="eastAsia"/>
        <w:bCs/>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12265">
    <w:pPr>
      <w:pStyle w:val="29"/>
      <w:jc w:val="center"/>
    </w:pPr>
    <w:r>
      <w:rPr>
        <w:rFonts w:hint="eastAsia"/>
      </w:rPr>
      <w:t>第</w:t>
    </w:r>
    <w:r>
      <w:rPr>
        <w:bCs/>
      </w:rPr>
      <w:fldChar w:fldCharType="begin"/>
    </w:r>
    <w:r>
      <w:rPr>
        <w:bCs/>
      </w:rPr>
      <w:instrText xml:space="preserve">PAGE</w:instrText>
    </w:r>
    <w:r>
      <w:rPr>
        <w:bCs/>
      </w:rPr>
      <w:fldChar w:fldCharType="separate"/>
    </w:r>
    <w:r>
      <w:rPr>
        <w:bCs/>
      </w:rPr>
      <w:t>1</w:t>
    </w:r>
    <w:r>
      <w:rPr>
        <w:bCs/>
      </w:rPr>
      <w:fldChar w:fldCharType="end"/>
    </w:r>
    <w:r>
      <w:rPr>
        <w:rFonts w:hint="eastAsia"/>
        <w:lang w:val="zh-CN"/>
      </w:rPr>
      <w:t>页 共</w:t>
    </w:r>
    <w:r>
      <w:rPr>
        <w:bCs/>
      </w:rPr>
      <w:fldChar w:fldCharType="begin"/>
    </w:r>
    <w:r>
      <w:rPr>
        <w:bCs/>
      </w:rPr>
      <w:instrText xml:space="preserve">NUMPAGES</w:instrText>
    </w:r>
    <w:r>
      <w:rPr>
        <w:bCs/>
      </w:rPr>
      <w:fldChar w:fldCharType="separate"/>
    </w:r>
    <w:r>
      <w:rPr>
        <w:bCs/>
      </w:rPr>
      <w:t>69</w:t>
    </w:r>
    <w:r>
      <w:rPr>
        <w:bCs/>
      </w:rPr>
      <w:fldChar w:fldCharType="end"/>
    </w:r>
    <w:r>
      <w:rPr>
        <w:rFonts w:hint="eastAsia"/>
        <w:bCs/>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DE0FC3">
    <w:pPr>
      <w:pStyle w:val="29"/>
      <w:jc w:val="center"/>
    </w:pPr>
    <w:r>
      <w:rPr>
        <w:rFonts w:hint="eastAsia"/>
      </w:rPr>
      <w:t>第</w:t>
    </w:r>
    <w:r>
      <w:rPr>
        <w:bCs/>
      </w:rPr>
      <w:fldChar w:fldCharType="begin"/>
    </w:r>
    <w:r>
      <w:rPr>
        <w:bCs/>
      </w:rPr>
      <w:instrText xml:space="preserve">PAGE</w:instrText>
    </w:r>
    <w:r>
      <w:rPr>
        <w:bCs/>
      </w:rPr>
      <w:fldChar w:fldCharType="separate"/>
    </w:r>
    <w:r>
      <w:rPr>
        <w:bCs/>
      </w:rPr>
      <w:t>2</w:t>
    </w:r>
    <w:r>
      <w:rPr>
        <w:bCs/>
      </w:rPr>
      <w:fldChar w:fldCharType="end"/>
    </w:r>
    <w:r>
      <w:rPr>
        <w:rFonts w:hint="eastAsia"/>
        <w:lang w:val="zh-CN"/>
      </w:rPr>
      <w:t>页 共</w:t>
    </w:r>
    <w:r>
      <w:rPr>
        <w:bCs/>
      </w:rPr>
      <w:fldChar w:fldCharType="begin"/>
    </w:r>
    <w:r>
      <w:rPr>
        <w:bCs/>
      </w:rPr>
      <w:instrText xml:space="preserve">NUMPAGES</w:instrText>
    </w:r>
    <w:r>
      <w:rPr>
        <w:bCs/>
      </w:rPr>
      <w:fldChar w:fldCharType="separate"/>
    </w:r>
    <w:r>
      <w:rPr>
        <w:bCs/>
      </w:rPr>
      <w:t>106</w:t>
    </w:r>
    <w:r>
      <w:rPr>
        <w:bCs/>
      </w:rPr>
      <w:fldChar w:fldCharType="end"/>
    </w:r>
    <w:r>
      <w:rPr>
        <w:rFonts w:hint="eastAsia"/>
        <w:bCs/>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EEA31B">
    <w:pPr>
      <w:pStyle w:val="29"/>
      <w:jc w:val="center"/>
    </w:pPr>
    <w:r>
      <w:rPr>
        <w:rFonts w:hint="eastAsia"/>
      </w:rPr>
      <w:t>第</w:t>
    </w:r>
    <w:r>
      <w:rPr>
        <w:bCs/>
      </w:rPr>
      <w:fldChar w:fldCharType="begin"/>
    </w:r>
    <w:r>
      <w:rPr>
        <w:bCs/>
      </w:rPr>
      <w:instrText xml:space="preserve">PAGE</w:instrText>
    </w:r>
    <w:r>
      <w:rPr>
        <w:bCs/>
      </w:rPr>
      <w:fldChar w:fldCharType="separate"/>
    </w:r>
    <w:r>
      <w:rPr>
        <w:bCs/>
      </w:rPr>
      <w:t>1</w:t>
    </w:r>
    <w:r>
      <w:rPr>
        <w:bCs/>
      </w:rPr>
      <w:fldChar w:fldCharType="end"/>
    </w:r>
    <w:r>
      <w:rPr>
        <w:rFonts w:hint="eastAsia"/>
        <w:lang w:val="zh-CN"/>
      </w:rPr>
      <w:t>页 共</w:t>
    </w:r>
    <w:r>
      <w:rPr>
        <w:bCs/>
      </w:rPr>
      <w:fldChar w:fldCharType="begin"/>
    </w:r>
    <w:r>
      <w:rPr>
        <w:bCs/>
      </w:rPr>
      <w:instrText xml:space="preserve">NUMPAGES</w:instrText>
    </w:r>
    <w:r>
      <w:rPr>
        <w:bCs/>
      </w:rPr>
      <w:fldChar w:fldCharType="separate"/>
    </w:r>
    <w:r>
      <w:rPr>
        <w:bCs/>
      </w:rPr>
      <w:t>106</w:t>
    </w:r>
    <w:r>
      <w:rPr>
        <w:bCs/>
      </w:rPr>
      <w:fldChar w:fldCharType="end"/>
    </w:r>
    <w:r>
      <w:rPr>
        <w:rFonts w:hint="eastAsia"/>
        <w:bCs/>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B09435">
    <w:pPr>
      <w:pStyle w:val="29"/>
      <w:jc w:val="center"/>
    </w:pPr>
    <w:r>
      <w:rPr>
        <w:rFonts w:hint="eastAsia"/>
      </w:rPr>
      <w:t>第</w:t>
    </w:r>
    <w:r>
      <w:rPr>
        <w:bCs/>
      </w:rPr>
      <w:fldChar w:fldCharType="begin"/>
    </w:r>
    <w:r>
      <w:rPr>
        <w:bCs/>
      </w:rPr>
      <w:instrText xml:space="preserve">PAGE</w:instrText>
    </w:r>
    <w:r>
      <w:rPr>
        <w:bCs/>
      </w:rPr>
      <w:fldChar w:fldCharType="separate"/>
    </w:r>
    <w:r>
      <w:rPr>
        <w:bCs/>
      </w:rPr>
      <w:t>78</w:t>
    </w:r>
    <w:r>
      <w:rPr>
        <w:bCs/>
      </w:rPr>
      <w:fldChar w:fldCharType="end"/>
    </w:r>
    <w:r>
      <w:rPr>
        <w:rFonts w:hint="eastAsia"/>
        <w:lang w:val="zh-CN"/>
      </w:rPr>
      <w:t>页 共</w:t>
    </w:r>
    <w:r>
      <w:rPr>
        <w:bCs/>
      </w:rPr>
      <w:fldChar w:fldCharType="begin"/>
    </w:r>
    <w:r>
      <w:rPr>
        <w:bCs/>
      </w:rPr>
      <w:instrText xml:space="preserve">NUMPAGES</w:instrText>
    </w:r>
    <w:r>
      <w:rPr>
        <w:bCs/>
      </w:rPr>
      <w:fldChar w:fldCharType="separate"/>
    </w:r>
    <w:r>
      <w:rPr>
        <w:bCs/>
      </w:rPr>
      <w:t>106</w:t>
    </w:r>
    <w:r>
      <w:rPr>
        <w:bCs/>
      </w:rPr>
      <w:fldChar w:fldCharType="end"/>
    </w:r>
    <w:r>
      <w:rPr>
        <w:rFonts w:hint="eastAsia"/>
        <w:bCs/>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290E58">
    <w:pPr>
      <w:pStyle w:val="29"/>
      <w:jc w:val="center"/>
    </w:pPr>
    <w:r>
      <w:rPr>
        <w:rFonts w:hint="eastAsia"/>
      </w:rPr>
      <w:t>第</w:t>
    </w:r>
    <w:r>
      <w:rPr>
        <w:bCs/>
      </w:rPr>
      <w:fldChar w:fldCharType="begin"/>
    </w:r>
    <w:r>
      <w:rPr>
        <w:bCs/>
      </w:rPr>
      <w:instrText xml:space="preserve">PAGE</w:instrText>
    </w:r>
    <w:r>
      <w:rPr>
        <w:bCs/>
      </w:rPr>
      <w:fldChar w:fldCharType="separate"/>
    </w:r>
    <w:r>
      <w:rPr>
        <w:bCs/>
      </w:rPr>
      <w:t>87</w:t>
    </w:r>
    <w:r>
      <w:rPr>
        <w:bCs/>
      </w:rPr>
      <w:fldChar w:fldCharType="end"/>
    </w:r>
    <w:r>
      <w:rPr>
        <w:rFonts w:hint="eastAsia"/>
        <w:lang w:val="zh-CN"/>
      </w:rPr>
      <w:t>页 共</w:t>
    </w:r>
    <w:r>
      <w:rPr>
        <w:bCs/>
      </w:rPr>
      <w:fldChar w:fldCharType="begin"/>
    </w:r>
    <w:r>
      <w:rPr>
        <w:bCs/>
      </w:rPr>
      <w:instrText xml:space="preserve">NUMPAGES</w:instrText>
    </w:r>
    <w:r>
      <w:rPr>
        <w:bCs/>
      </w:rPr>
      <w:fldChar w:fldCharType="separate"/>
    </w:r>
    <w:r>
      <w:rPr>
        <w:bCs/>
      </w:rPr>
      <w:t>106</w:t>
    </w:r>
    <w:r>
      <w:rPr>
        <w:bCs/>
      </w:rPr>
      <w:fldChar w:fldCharType="end"/>
    </w:r>
    <w:r>
      <w:rPr>
        <w:rFonts w:hint="eastAsia"/>
        <w:bCs/>
      </w:rPr>
      <w:t>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663AE0">
    <w:pPr>
      <w:pStyle w:val="29"/>
      <w:jc w:val="center"/>
    </w:pPr>
    <w:r>
      <w:rPr>
        <w:rFonts w:hint="eastAsia"/>
      </w:rPr>
      <w:t>第</w:t>
    </w:r>
    <w:r>
      <w:rPr>
        <w:lang w:val="zh-CN"/>
      </w:rPr>
      <w:t xml:space="preserve"> </w:t>
    </w:r>
    <w:r>
      <w:rPr>
        <w:bCs/>
        <w:sz w:val="24"/>
        <w:szCs w:val="24"/>
      </w:rPr>
      <w:fldChar w:fldCharType="begin"/>
    </w:r>
    <w:r>
      <w:rPr>
        <w:bCs/>
      </w:rPr>
      <w:instrText xml:space="preserve">PAGE</w:instrText>
    </w:r>
    <w:r>
      <w:rPr>
        <w:bCs/>
        <w:sz w:val="24"/>
        <w:szCs w:val="24"/>
      </w:rPr>
      <w:fldChar w:fldCharType="separate"/>
    </w:r>
    <w:r>
      <w:rPr>
        <w:bCs/>
      </w:rPr>
      <w:t>85</w:t>
    </w:r>
    <w:r>
      <w:rPr>
        <w:bCs/>
        <w:sz w:val="24"/>
        <w:szCs w:val="24"/>
      </w:rPr>
      <w:fldChar w:fldCharType="end"/>
    </w:r>
    <w:r>
      <w:rPr>
        <w:lang w:val="zh-CN"/>
      </w:rPr>
      <w:t xml:space="preserve"> </w:t>
    </w:r>
    <w:r>
      <w:rPr>
        <w:rFonts w:hint="eastAsia"/>
        <w:lang w:val="zh-CN"/>
      </w:rPr>
      <w:t>页，共</w:t>
    </w:r>
    <w:r>
      <w:rPr>
        <w:lang w:val="zh-CN"/>
      </w:rPr>
      <w:t xml:space="preserve"> </w:t>
    </w:r>
    <w:r>
      <w:rPr>
        <w:bCs/>
        <w:sz w:val="24"/>
        <w:szCs w:val="24"/>
      </w:rPr>
      <w:fldChar w:fldCharType="begin"/>
    </w:r>
    <w:r>
      <w:rPr>
        <w:bCs/>
      </w:rPr>
      <w:instrText xml:space="preserve">NUMPAGES</w:instrText>
    </w:r>
    <w:r>
      <w:rPr>
        <w:bCs/>
        <w:sz w:val="24"/>
        <w:szCs w:val="24"/>
      </w:rPr>
      <w:fldChar w:fldCharType="separate"/>
    </w:r>
    <w:r>
      <w:rPr>
        <w:bCs/>
      </w:rPr>
      <w:t>106</w:t>
    </w:r>
    <w:r>
      <w:rPr>
        <w:bCs/>
        <w:sz w:val="24"/>
        <w:szCs w:val="24"/>
      </w:rPr>
      <w:fldChar w:fldCharType="end"/>
    </w:r>
    <w:r>
      <w:rPr>
        <w:b/>
        <w:bCs/>
        <w:sz w:val="24"/>
        <w:szCs w:val="24"/>
      </w:rPr>
      <w:t xml:space="preserve"> </w:t>
    </w:r>
    <w:r>
      <w:rPr>
        <w:rFonts w:hint="eastAsia"/>
      </w:rPr>
      <w:t>页</w:t>
    </w:r>
  </w:p>
  <w:p w14:paraId="4A9161A6">
    <w:pPr>
      <w:pStyle w:val="2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96925"/>
    <w:multiLevelType w:val="singleLevel"/>
    <w:tmpl w:val="81196925"/>
    <w:lvl w:ilvl="0" w:tentative="0">
      <w:start w:val="1"/>
      <w:numFmt w:val="decimal"/>
      <w:suff w:val="space"/>
      <w:lvlText w:val="%1."/>
      <w:lvlJc w:val="left"/>
      <w:pPr>
        <w:ind w:left="425" w:hanging="425"/>
      </w:pPr>
      <w:rPr>
        <w:rFonts w:hint="default"/>
        <w:b/>
        <w:bCs/>
        <w:color w:val="auto"/>
      </w:rPr>
    </w:lvl>
  </w:abstractNum>
  <w:abstractNum w:abstractNumId="1">
    <w:nsid w:val="96302AC9"/>
    <w:multiLevelType w:val="singleLevel"/>
    <w:tmpl w:val="96302AC9"/>
    <w:lvl w:ilvl="0" w:tentative="0">
      <w:start w:val="2"/>
      <w:numFmt w:val="chineseCounting"/>
      <w:suff w:val="space"/>
      <w:lvlText w:val="第%1条"/>
      <w:lvlJc w:val="left"/>
      <w:rPr>
        <w:rFonts w:hint="eastAsia"/>
      </w:rPr>
    </w:lvl>
  </w:abstractNum>
  <w:abstractNum w:abstractNumId="2">
    <w:nsid w:val="9BEABF84"/>
    <w:multiLevelType w:val="singleLevel"/>
    <w:tmpl w:val="9BEABF84"/>
    <w:lvl w:ilvl="0" w:tentative="0">
      <w:start w:val="1"/>
      <w:numFmt w:val="decimal"/>
      <w:lvlText w:val="%1."/>
      <w:lvlJc w:val="left"/>
      <w:pPr>
        <w:ind w:left="425" w:hanging="425"/>
      </w:pPr>
      <w:rPr>
        <w:rFonts w:hint="default"/>
      </w:rPr>
    </w:lvl>
  </w:abstractNum>
  <w:abstractNum w:abstractNumId="3">
    <w:nsid w:val="AA54EEB2"/>
    <w:multiLevelType w:val="singleLevel"/>
    <w:tmpl w:val="AA54EEB2"/>
    <w:lvl w:ilvl="0" w:tentative="0">
      <w:start w:val="1"/>
      <w:numFmt w:val="decimal"/>
      <w:lvlText w:val="(%1)"/>
      <w:lvlJc w:val="left"/>
      <w:pPr>
        <w:ind w:left="425" w:hanging="425"/>
      </w:pPr>
      <w:rPr>
        <w:rFonts w:hint="default"/>
      </w:rPr>
    </w:lvl>
  </w:abstractNum>
  <w:abstractNum w:abstractNumId="4">
    <w:nsid w:val="AD8C68AA"/>
    <w:multiLevelType w:val="singleLevel"/>
    <w:tmpl w:val="AD8C68AA"/>
    <w:lvl w:ilvl="0" w:tentative="0">
      <w:start w:val="1"/>
      <w:numFmt w:val="decimal"/>
      <w:lvlText w:val="%1)"/>
      <w:lvlJc w:val="left"/>
      <w:pPr>
        <w:ind w:left="425" w:hanging="425"/>
      </w:pPr>
      <w:rPr>
        <w:rFonts w:hint="default"/>
      </w:rPr>
    </w:lvl>
  </w:abstractNum>
  <w:abstractNum w:abstractNumId="5">
    <w:nsid w:val="B86FC51A"/>
    <w:multiLevelType w:val="singleLevel"/>
    <w:tmpl w:val="B86FC51A"/>
    <w:lvl w:ilvl="0" w:tentative="0">
      <w:start w:val="1"/>
      <w:numFmt w:val="decimal"/>
      <w:lvlText w:val="%1)"/>
      <w:lvlJc w:val="left"/>
      <w:pPr>
        <w:ind w:left="425" w:hanging="425"/>
      </w:pPr>
      <w:rPr>
        <w:rFonts w:hint="default"/>
      </w:rPr>
    </w:lvl>
  </w:abstractNum>
  <w:abstractNum w:abstractNumId="6">
    <w:nsid w:val="DD4523EF"/>
    <w:multiLevelType w:val="singleLevel"/>
    <w:tmpl w:val="DD4523EF"/>
    <w:lvl w:ilvl="0" w:tentative="0">
      <w:start w:val="1"/>
      <w:numFmt w:val="decimal"/>
      <w:lvlText w:val="(%1)"/>
      <w:lvlJc w:val="left"/>
      <w:pPr>
        <w:ind w:left="425" w:hanging="425"/>
      </w:pPr>
      <w:rPr>
        <w:rFonts w:hint="default"/>
      </w:rPr>
    </w:lvl>
  </w:abstractNum>
  <w:abstractNum w:abstractNumId="7">
    <w:nsid w:val="E3BF557F"/>
    <w:multiLevelType w:val="singleLevel"/>
    <w:tmpl w:val="E3BF557F"/>
    <w:lvl w:ilvl="0" w:tentative="0">
      <w:start w:val="1"/>
      <w:numFmt w:val="decimal"/>
      <w:lvlText w:val="%1)"/>
      <w:lvlJc w:val="left"/>
      <w:pPr>
        <w:ind w:left="425" w:hanging="425"/>
      </w:pPr>
      <w:rPr>
        <w:rFonts w:hint="default"/>
      </w:rPr>
    </w:lvl>
  </w:abstractNum>
  <w:abstractNum w:abstractNumId="8">
    <w:nsid w:val="F00CD8A6"/>
    <w:multiLevelType w:val="multilevel"/>
    <w:tmpl w:val="F00CD8A6"/>
    <w:lvl w:ilvl="0" w:tentative="0">
      <w:start w:val="1"/>
      <w:numFmt w:val="decimal"/>
      <w:lvlText w:val="%1."/>
      <w:lvlJc w:val="left"/>
      <w:pPr>
        <w:ind w:left="425" w:hanging="425"/>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9">
    <w:nsid w:val="F4C8920B"/>
    <w:multiLevelType w:val="multilevel"/>
    <w:tmpl w:val="F4C8920B"/>
    <w:lvl w:ilvl="0" w:tentative="0">
      <w:start w:val="1"/>
      <w:numFmt w:val="chineseCountingThousand"/>
      <w:suff w:val="space"/>
      <w:lvlText w:val="(%1)"/>
      <w:lvlJc w:val="left"/>
      <w:pPr>
        <w:ind w:left="420" w:hanging="420"/>
      </w:pPr>
      <w:rPr>
        <w:rFonts w:hint="eastAsia"/>
        <w:b/>
        <w:bCs/>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0">
    <w:nsid w:val="00000056"/>
    <w:multiLevelType w:val="multilevel"/>
    <w:tmpl w:val="00000056"/>
    <w:lvl w:ilvl="0" w:tentative="0">
      <w:start w:val="1"/>
      <w:numFmt w:val="decimal"/>
      <w:lvlText w:val="%1、"/>
      <w:lvlJc w:val="left"/>
      <w:pPr>
        <w:ind w:left="735" w:hanging="420"/>
      </w:pPr>
      <w:rPr>
        <w:rFonts w:hint="default" w:ascii="宋体" w:hAnsi="宋体" w:eastAsia="宋体" w:cs="Times New Roman"/>
        <w:b w:val="0"/>
        <w:i w:val="0"/>
        <w:sz w:val="21"/>
      </w:rPr>
    </w:lvl>
    <w:lvl w:ilvl="1" w:tentative="0">
      <w:start w:val="1"/>
      <w:numFmt w:val="lowerLetter"/>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abstractNum w:abstractNumId="11">
    <w:nsid w:val="00000084"/>
    <w:multiLevelType w:val="multilevel"/>
    <w:tmpl w:val="00000084"/>
    <w:lvl w:ilvl="0" w:tentative="0">
      <w:start w:val="1"/>
      <w:numFmt w:val="decimal"/>
      <w:lvlText w:val="%1、"/>
      <w:lvlJc w:val="left"/>
      <w:pPr>
        <w:ind w:left="735" w:hanging="420"/>
      </w:pPr>
      <w:rPr>
        <w:rFonts w:hint="default" w:cs="Times New Roman"/>
        <w:b w:val="0"/>
        <w:i w:val="0"/>
        <w:sz w:val="21"/>
      </w:rPr>
    </w:lvl>
    <w:lvl w:ilvl="1" w:tentative="0">
      <w:start w:val="1"/>
      <w:numFmt w:val="lowerLetter"/>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abstractNum w:abstractNumId="12">
    <w:nsid w:val="0DBEAF8D"/>
    <w:multiLevelType w:val="singleLevel"/>
    <w:tmpl w:val="0DBEAF8D"/>
    <w:lvl w:ilvl="0" w:tentative="0">
      <w:start w:val="1"/>
      <w:numFmt w:val="decimal"/>
      <w:suff w:val="nothing"/>
      <w:lvlText w:val="（%1）"/>
      <w:lvlJc w:val="left"/>
      <w:rPr>
        <w:rFonts w:hint="default"/>
        <w:sz w:val="21"/>
        <w:szCs w:val="21"/>
      </w:rPr>
    </w:lvl>
  </w:abstractNum>
  <w:abstractNum w:abstractNumId="13">
    <w:nsid w:val="2066C24E"/>
    <w:multiLevelType w:val="singleLevel"/>
    <w:tmpl w:val="2066C24E"/>
    <w:lvl w:ilvl="0" w:tentative="0">
      <w:start w:val="1"/>
      <w:numFmt w:val="decimal"/>
      <w:lvlText w:val="(%1)"/>
      <w:lvlJc w:val="left"/>
      <w:pPr>
        <w:ind w:left="425" w:hanging="425"/>
      </w:pPr>
      <w:rPr>
        <w:rFonts w:hint="default"/>
      </w:rPr>
    </w:lvl>
  </w:abstractNum>
  <w:abstractNum w:abstractNumId="14">
    <w:nsid w:val="2381D9D5"/>
    <w:multiLevelType w:val="singleLevel"/>
    <w:tmpl w:val="2381D9D5"/>
    <w:lvl w:ilvl="0" w:tentative="0">
      <w:start w:val="1"/>
      <w:numFmt w:val="decimal"/>
      <w:suff w:val="space"/>
      <w:lvlText w:val="%1."/>
      <w:lvlJc w:val="left"/>
      <w:pPr>
        <w:ind w:left="425" w:hanging="425"/>
      </w:pPr>
      <w:rPr>
        <w:rFonts w:hint="default"/>
        <w:b/>
        <w:bCs/>
        <w:color w:val="auto"/>
      </w:rPr>
    </w:lvl>
  </w:abstractNum>
  <w:abstractNum w:abstractNumId="15">
    <w:nsid w:val="2B80F5BC"/>
    <w:multiLevelType w:val="multilevel"/>
    <w:tmpl w:val="2B80F5BC"/>
    <w:lvl w:ilvl="0" w:tentative="0">
      <w:start w:val="1"/>
      <w:numFmt w:val="japaneseCounting"/>
      <w:suff w:val="space"/>
      <w:lvlText w:val="%1、"/>
      <w:lvlJc w:val="left"/>
      <w:pPr>
        <w:ind w:left="500" w:hanging="500"/>
      </w:pPr>
      <w:rPr>
        <w:rFonts w:hint="eastAsia"/>
        <w:b/>
        <w:bCs/>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6">
    <w:nsid w:val="2C4909CA"/>
    <w:multiLevelType w:val="singleLevel"/>
    <w:tmpl w:val="2C4909CA"/>
    <w:lvl w:ilvl="0" w:tentative="0">
      <w:start w:val="1"/>
      <w:numFmt w:val="decimal"/>
      <w:lvlText w:val="(%1)"/>
      <w:lvlJc w:val="left"/>
      <w:pPr>
        <w:ind w:left="425" w:hanging="425"/>
      </w:pPr>
      <w:rPr>
        <w:rFonts w:hint="default"/>
        <w:b/>
        <w:bCs/>
      </w:rPr>
    </w:lvl>
  </w:abstractNum>
  <w:abstractNum w:abstractNumId="17">
    <w:nsid w:val="2DEA56DE"/>
    <w:multiLevelType w:val="singleLevel"/>
    <w:tmpl w:val="2DEA56DE"/>
    <w:lvl w:ilvl="0" w:tentative="0">
      <w:start w:val="1"/>
      <w:numFmt w:val="decimal"/>
      <w:lvlText w:val="%1)"/>
      <w:lvlJc w:val="left"/>
      <w:pPr>
        <w:ind w:left="425" w:hanging="425"/>
      </w:pPr>
      <w:rPr>
        <w:rFonts w:hint="default"/>
      </w:rPr>
    </w:lvl>
  </w:abstractNum>
  <w:abstractNum w:abstractNumId="18">
    <w:nsid w:val="2F8D6FBB"/>
    <w:multiLevelType w:val="multilevel"/>
    <w:tmpl w:val="2F8D6FBB"/>
    <w:lvl w:ilvl="0" w:tentative="0">
      <w:start w:val="1"/>
      <w:numFmt w:val="decimal"/>
      <w:lvlText w:val="%1."/>
      <w:legacy w:legacy="1" w:legacySpace="0" w:legacyIndent="360"/>
      <w:lvlJc w:val="left"/>
      <w:rPr>
        <w:rFonts w:hint="eastAsia" w:ascii="宋体" w:hAnsi="宋体" w:eastAsia="宋体"/>
      </w:rPr>
    </w:lvl>
    <w:lvl w:ilvl="1" w:tentative="0">
      <w:start w:val="5"/>
      <w:numFmt w:val="decimal"/>
      <w:isLgl/>
      <w:lvlText w:val="%1.%2"/>
      <w:lvlJc w:val="left"/>
      <w:pPr>
        <w:tabs>
          <w:tab w:val="left" w:pos="0"/>
        </w:tabs>
        <w:ind w:left="0" w:firstLine="0"/>
      </w:pPr>
      <w:rPr>
        <w:rFonts w:hint="default"/>
      </w:rPr>
    </w:lvl>
    <w:lvl w:ilvl="2" w:tentative="0">
      <w:start w:val="1"/>
      <w:numFmt w:val="decimal"/>
      <w:isLgl/>
      <w:lvlText w:val="%1.%2.%3"/>
      <w:lvlJc w:val="left"/>
      <w:pPr>
        <w:tabs>
          <w:tab w:val="left" w:pos="0"/>
        </w:tabs>
        <w:ind w:left="0" w:firstLine="0"/>
      </w:pPr>
      <w:rPr>
        <w:rFonts w:hint="default"/>
      </w:rPr>
    </w:lvl>
    <w:lvl w:ilvl="3" w:tentative="0">
      <w:start w:val="1"/>
      <w:numFmt w:val="decimal"/>
      <w:isLgl/>
      <w:lvlText w:val="%1.%2.%3.%4"/>
      <w:lvlJc w:val="left"/>
      <w:pPr>
        <w:tabs>
          <w:tab w:val="left" w:pos="0"/>
        </w:tabs>
        <w:ind w:left="0" w:firstLine="0"/>
      </w:pPr>
      <w:rPr>
        <w:rFonts w:hint="default"/>
      </w:rPr>
    </w:lvl>
    <w:lvl w:ilvl="4" w:tentative="0">
      <w:start w:val="1"/>
      <w:numFmt w:val="decimal"/>
      <w:isLgl/>
      <w:lvlText w:val="%1.%2.%3.%4.%5"/>
      <w:lvlJc w:val="left"/>
      <w:pPr>
        <w:tabs>
          <w:tab w:val="left" w:pos="0"/>
        </w:tabs>
        <w:ind w:left="0" w:firstLine="0"/>
      </w:pPr>
      <w:rPr>
        <w:rFonts w:hint="default"/>
      </w:rPr>
    </w:lvl>
    <w:lvl w:ilvl="5" w:tentative="0">
      <w:start w:val="1"/>
      <w:numFmt w:val="decimal"/>
      <w:isLgl/>
      <w:lvlText w:val="%1.%2.%3.%4.%5.%6"/>
      <w:lvlJc w:val="left"/>
      <w:pPr>
        <w:tabs>
          <w:tab w:val="left" w:pos="0"/>
        </w:tabs>
        <w:ind w:left="0" w:firstLine="0"/>
      </w:pPr>
      <w:rPr>
        <w:rFonts w:hint="default"/>
      </w:rPr>
    </w:lvl>
    <w:lvl w:ilvl="6" w:tentative="0">
      <w:start w:val="1"/>
      <w:numFmt w:val="decimal"/>
      <w:isLgl/>
      <w:lvlText w:val="%1.%2.%3.%4.%5.%6.%7"/>
      <w:lvlJc w:val="left"/>
      <w:pPr>
        <w:tabs>
          <w:tab w:val="left" w:pos="0"/>
        </w:tabs>
        <w:ind w:left="0" w:firstLine="0"/>
      </w:pPr>
      <w:rPr>
        <w:rFonts w:hint="default"/>
      </w:rPr>
    </w:lvl>
    <w:lvl w:ilvl="7" w:tentative="0">
      <w:start w:val="1"/>
      <w:numFmt w:val="decimal"/>
      <w:isLgl/>
      <w:lvlText w:val="%1.%2.%3.%4.%5.%6.%7.%8"/>
      <w:lvlJc w:val="left"/>
      <w:pPr>
        <w:tabs>
          <w:tab w:val="left" w:pos="0"/>
        </w:tabs>
        <w:ind w:left="0" w:firstLine="0"/>
      </w:pPr>
      <w:rPr>
        <w:rFonts w:hint="default"/>
      </w:rPr>
    </w:lvl>
    <w:lvl w:ilvl="8" w:tentative="0">
      <w:start w:val="1"/>
      <w:numFmt w:val="decimal"/>
      <w:isLgl/>
      <w:lvlText w:val="%1.%2.%3.%4.%5.%6.%7.%8.%9"/>
      <w:lvlJc w:val="left"/>
      <w:pPr>
        <w:tabs>
          <w:tab w:val="left" w:pos="0"/>
        </w:tabs>
        <w:ind w:left="0" w:firstLine="0"/>
      </w:pPr>
      <w:rPr>
        <w:rFonts w:hint="default"/>
      </w:rPr>
    </w:lvl>
  </w:abstractNum>
  <w:abstractNum w:abstractNumId="19">
    <w:nsid w:val="35190F1E"/>
    <w:multiLevelType w:val="singleLevel"/>
    <w:tmpl w:val="35190F1E"/>
    <w:lvl w:ilvl="0" w:tentative="0">
      <w:start w:val="1"/>
      <w:numFmt w:val="decimal"/>
      <w:lvlText w:val="(%1)"/>
      <w:lvlJc w:val="left"/>
      <w:pPr>
        <w:ind w:left="425" w:hanging="425"/>
      </w:pPr>
      <w:rPr>
        <w:rFonts w:hint="default"/>
        <w:b/>
        <w:bCs/>
      </w:rPr>
    </w:lvl>
  </w:abstractNum>
  <w:abstractNum w:abstractNumId="20">
    <w:nsid w:val="3592BAFC"/>
    <w:multiLevelType w:val="multilevel"/>
    <w:tmpl w:val="3592BAFC"/>
    <w:lvl w:ilvl="0" w:tentative="0">
      <w:start w:val="1"/>
      <w:numFmt w:val="decimal"/>
      <w:lvlText w:val="(%1)"/>
      <w:lvlJc w:val="left"/>
      <w:pPr>
        <w:ind w:left="425" w:hanging="425"/>
      </w:pPr>
      <w:rPr>
        <w:rFonts w:hint="default"/>
        <w:b w:val="0"/>
        <w:bCs w:val="0"/>
      </w:rPr>
    </w:lvl>
    <w:lvl w:ilvl="1" w:tentative="0">
      <w:start w:val="1"/>
      <w:numFmt w:val="decimalEnclosedCircleChinese"/>
      <w:lvlText w:val="%2"/>
      <w:lvlJc w:val="left"/>
      <w:pPr>
        <w:tabs>
          <w:tab w:val="left" w:pos="840"/>
        </w:tabs>
        <w:ind w:left="840" w:leftChars="0" w:hanging="420" w:firstLineChars="0"/>
      </w:pPr>
      <w:rPr>
        <w:rFonts w:hint="default"/>
      </w:rPr>
    </w:lvl>
    <w:lvl w:ilvl="2" w:tentative="0">
      <w:start w:val="1"/>
      <w:numFmt w:val="decimal"/>
      <w:lvlText w:val="%3)"/>
      <w:lvlJc w:val="left"/>
      <w:pPr>
        <w:tabs>
          <w:tab w:val="left" w:pos="1260"/>
        </w:tabs>
        <w:ind w:left="1260" w:leftChars="0" w:hanging="420" w:firstLineChars="0"/>
      </w:pPr>
      <w:rPr>
        <w:rFonts w:hint="default"/>
      </w:rPr>
    </w:lvl>
    <w:lvl w:ilvl="3" w:tentative="0">
      <w:start w:val="1"/>
      <w:numFmt w:val="lowerLetter"/>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Roman"/>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Letter"/>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abstractNum w:abstractNumId="21">
    <w:nsid w:val="37209000"/>
    <w:multiLevelType w:val="singleLevel"/>
    <w:tmpl w:val="37209000"/>
    <w:lvl w:ilvl="0" w:tentative="0">
      <w:start w:val="1"/>
      <w:numFmt w:val="decimal"/>
      <w:suff w:val="space"/>
      <w:lvlText w:val="%1."/>
      <w:lvlJc w:val="left"/>
      <w:pPr>
        <w:ind w:left="425" w:hanging="425"/>
      </w:pPr>
      <w:rPr>
        <w:rFonts w:hint="default"/>
        <w:b w:val="0"/>
        <w:bCs w:val="0"/>
        <w:color w:val="auto"/>
      </w:rPr>
    </w:lvl>
  </w:abstractNum>
  <w:abstractNum w:abstractNumId="22">
    <w:nsid w:val="3835662B"/>
    <w:multiLevelType w:val="singleLevel"/>
    <w:tmpl w:val="3835662B"/>
    <w:lvl w:ilvl="0" w:tentative="0">
      <w:start w:val="1"/>
      <w:numFmt w:val="decimal"/>
      <w:lvlText w:val="(%1)"/>
      <w:lvlJc w:val="left"/>
      <w:pPr>
        <w:ind w:left="425" w:hanging="425"/>
      </w:pPr>
      <w:rPr>
        <w:rFonts w:hint="default"/>
      </w:rPr>
    </w:lvl>
  </w:abstractNum>
  <w:abstractNum w:abstractNumId="23">
    <w:nsid w:val="3D538480"/>
    <w:multiLevelType w:val="singleLevel"/>
    <w:tmpl w:val="3D538480"/>
    <w:lvl w:ilvl="0" w:tentative="0">
      <w:start w:val="1"/>
      <w:numFmt w:val="decimal"/>
      <w:lvlText w:val="(%1)"/>
      <w:lvlJc w:val="left"/>
      <w:pPr>
        <w:ind w:left="425" w:hanging="425"/>
      </w:pPr>
      <w:rPr>
        <w:rFonts w:hint="default"/>
        <w:b/>
        <w:bCs/>
      </w:rPr>
    </w:lvl>
  </w:abstractNum>
  <w:abstractNum w:abstractNumId="24">
    <w:nsid w:val="3EDA68BD"/>
    <w:multiLevelType w:val="multilevel"/>
    <w:tmpl w:val="3EDA68B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442A3BA7"/>
    <w:multiLevelType w:val="multilevel"/>
    <w:tmpl w:val="442A3BA7"/>
    <w:lvl w:ilvl="0" w:tentative="0">
      <w:start w:val="1"/>
      <w:numFmt w:val="decimal"/>
      <w:lvlText w:val="%1"/>
      <w:lvlJc w:val="left"/>
      <w:pPr>
        <w:ind w:left="360" w:hanging="360"/>
      </w:pPr>
      <w:rPr>
        <w:rFonts w:hint="default"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4ADD5168"/>
    <w:multiLevelType w:val="multilevel"/>
    <w:tmpl w:val="4ADD5168"/>
    <w:lvl w:ilvl="0" w:tentative="0">
      <w:start w:val="1"/>
      <w:numFmt w:val="decimal"/>
      <w:lvlText w:val="%1）"/>
      <w:lvlJc w:val="left"/>
      <w:pPr>
        <w:ind w:left="418" w:hanging="420"/>
      </w:pPr>
      <w:rPr>
        <w:rFonts w:hint="default"/>
      </w:rPr>
    </w:lvl>
    <w:lvl w:ilvl="1" w:tentative="0">
      <w:start w:val="1"/>
      <w:numFmt w:val="lowerLetter"/>
      <w:lvlText w:val="%2)"/>
      <w:lvlJc w:val="left"/>
      <w:pPr>
        <w:ind w:left="838" w:hanging="420"/>
      </w:pPr>
    </w:lvl>
    <w:lvl w:ilvl="2" w:tentative="0">
      <w:start w:val="1"/>
      <w:numFmt w:val="lowerRoman"/>
      <w:lvlText w:val="%3."/>
      <w:lvlJc w:val="right"/>
      <w:pPr>
        <w:ind w:left="1258" w:hanging="420"/>
      </w:pPr>
    </w:lvl>
    <w:lvl w:ilvl="3" w:tentative="0">
      <w:start w:val="1"/>
      <w:numFmt w:val="decimal"/>
      <w:lvlText w:val="%4."/>
      <w:lvlJc w:val="left"/>
      <w:pPr>
        <w:ind w:left="1678" w:hanging="420"/>
      </w:pPr>
    </w:lvl>
    <w:lvl w:ilvl="4" w:tentative="0">
      <w:start w:val="1"/>
      <w:numFmt w:val="lowerLetter"/>
      <w:lvlText w:val="%5)"/>
      <w:lvlJc w:val="left"/>
      <w:pPr>
        <w:ind w:left="2098" w:hanging="420"/>
      </w:pPr>
    </w:lvl>
    <w:lvl w:ilvl="5" w:tentative="0">
      <w:start w:val="1"/>
      <w:numFmt w:val="lowerRoman"/>
      <w:lvlText w:val="%6."/>
      <w:lvlJc w:val="right"/>
      <w:pPr>
        <w:ind w:left="2518" w:hanging="420"/>
      </w:pPr>
    </w:lvl>
    <w:lvl w:ilvl="6" w:tentative="0">
      <w:start w:val="1"/>
      <w:numFmt w:val="decimal"/>
      <w:lvlText w:val="%7."/>
      <w:lvlJc w:val="left"/>
      <w:pPr>
        <w:ind w:left="2938" w:hanging="420"/>
      </w:pPr>
    </w:lvl>
    <w:lvl w:ilvl="7" w:tentative="0">
      <w:start w:val="1"/>
      <w:numFmt w:val="lowerLetter"/>
      <w:lvlText w:val="%8)"/>
      <w:lvlJc w:val="left"/>
      <w:pPr>
        <w:ind w:left="3358" w:hanging="420"/>
      </w:pPr>
    </w:lvl>
    <w:lvl w:ilvl="8" w:tentative="0">
      <w:start w:val="1"/>
      <w:numFmt w:val="lowerRoman"/>
      <w:lvlText w:val="%9."/>
      <w:lvlJc w:val="right"/>
      <w:pPr>
        <w:ind w:left="3778" w:hanging="420"/>
      </w:pPr>
    </w:lvl>
  </w:abstractNum>
  <w:abstractNum w:abstractNumId="27">
    <w:nsid w:val="4C8DACE1"/>
    <w:multiLevelType w:val="singleLevel"/>
    <w:tmpl w:val="4C8DACE1"/>
    <w:lvl w:ilvl="0" w:tentative="0">
      <w:start w:val="9"/>
      <w:numFmt w:val="chineseCounting"/>
      <w:suff w:val="space"/>
      <w:lvlText w:val="第%1条"/>
      <w:lvlJc w:val="left"/>
      <w:rPr>
        <w:rFonts w:hint="eastAsia"/>
        <w:b/>
        <w:bCs/>
      </w:rPr>
    </w:lvl>
  </w:abstractNum>
  <w:abstractNum w:abstractNumId="28">
    <w:nsid w:val="55C19AA1"/>
    <w:multiLevelType w:val="singleLevel"/>
    <w:tmpl w:val="55C19AA1"/>
    <w:lvl w:ilvl="0" w:tentative="0">
      <w:start w:val="1"/>
      <w:numFmt w:val="decimal"/>
      <w:lvlText w:val="(%1)"/>
      <w:lvlJc w:val="left"/>
      <w:pPr>
        <w:ind w:left="425" w:hanging="425"/>
      </w:pPr>
      <w:rPr>
        <w:rFonts w:hint="default"/>
        <w:b/>
        <w:bCs/>
      </w:rPr>
    </w:lvl>
  </w:abstractNum>
  <w:abstractNum w:abstractNumId="29">
    <w:nsid w:val="55CF31B5"/>
    <w:multiLevelType w:val="multilevel"/>
    <w:tmpl w:val="55CF31B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595E40E8"/>
    <w:multiLevelType w:val="multilevel"/>
    <w:tmpl w:val="595E40E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63BC7DAF"/>
    <w:multiLevelType w:val="multilevel"/>
    <w:tmpl w:val="63BC7DA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68968C6D"/>
    <w:multiLevelType w:val="singleLevel"/>
    <w:tmpl w:val="68968C6D"/>
    <w:lvl w:ilvl="0" w:tentative="0">
      <w:start w:val="1"/>
      <w:numFmt w:val="decimal"/>
      <w:lvlText w:val="%1."/>
      <w:lvlJc w:val="left"/>
      <w:pPr>
        <w:tabs>
          <w:tab w:val="left" w:pos="312"/>
        </w:tabs>
      </w:pPr>
    </w:lvl>
  </w:abstractNum>
  <w:abstractNum w:abstractNumId="33">
    <w:nsid w:val="6BFB67D8"/>
    <w:multiLevelType w:val="singleLevel"/>
    <w:tmpl w:val="6BFB67D8"/>
    <w:lvl w:ilvl="0" w:tentative="0">
      <w:start w:val="1"/>
      <w:numFmt w:val="decimal"/>
      <w:lvlText w:val="(%1)"/>
      <w:lvlJc w:val="left"/>
      <w:pPr>
        <w:ind w:left="425" w:hanging="425"/>
      </w:pPr>
      <w:rPr>
        <w:rFonts w:hint="default"/>
      </w:rPr>
    </w:lvl>
  </w:abstractNum>
  <w:abstractNum w:abstractNumId="34">
    <w:nsid w:val="78CA6ACE"/>
    <w:multiLevelType w:val="singleLevel"/>
    <w:tmpl w:val="78CA6ACE"/>
    <w:lvl w:ilvl="0" w:tentative="0">
      <w:start w:val="1"/>
      <w:numFmt w:val="decimal"/>
      <w:lvlText w:val="%1)"/>
      <w:lvlJc w:val="left"/>
      <w:pPr>
        <w:ind w:left="425" w:hanging="425"/>
      </w:pPr>
      <w:rPr>
        <w:rFonts w:hint="default"/>
      </w:rPr>
    </w:lvl>
  </w:abstractNum>
  <w:abstractNum w:abstractNumId="35">
    <w:nsid w:val="78DBC4A8"/>
    <w:multiLevelType w:val="singleLevel"/>
    <w:tmpl w:val="78DBC4A8"/>
    <w:lvl w:ilvl="0" w:tentative="0">
      <w:start w:val="1"/>
      <w:numFmt w:val="decimal"/>
      <w:suff w:val="space"/>
      <w:lvlText w:val="%1."/>
      <w:lvlJc w:val="left"/>
      <w:pPr>
        <w:ind w:left="425" w:hanging="425"/>
      </w:pPr>
      <w:rPr>
        <w:rFonts w:hint="default"/>
        <w:b w:val="0"/>
        <w:bCs w:val="0"/>
        <w:color w:val="auto"/>
      </w:rPr>
    </w:lvl>
  </w:abstractNum>
  <w:num w:numId="1">
    <w:abstractNumId w:val="25"/>
  </w:num>
  <w:num w:numId="2">
    <w:abstractNumId w:val="30"/>
  </w:num>
  <w:num w:numId="3">
    <w:abstractNumId w:val="15"/>
  </w:num>
  <w:num w:numId="4">
    <w:abstractNumId w:val="9"/>
  </w:num>
  <w:num w:numId="5">
    <w:abstractNumId w:val="0"/>
  </w:num>
  <w:num w:numId="6">
    <w:abstractNumId w:val="23"/>
  </w:num>
  <w:num w:numId="7">
    <w:abstractNumId w:val="34"/>
  </w:num>
  <w:num w:numId="8">
    <w:abstractNumId w:val="5"/>
  </w:num>
  <w:num w:numId="9">
    <w:abstractNumId w:val="4"/>
  </w:num>
  <w:num w:numId="10">
    <w:abstractNumId w:val="28"/>
  </w:num>
  <w:num w:numId="11">
    <w:abstractNumId w:val="7"/>
  </w:num>
  <w:num w:numId="12">
    <w:abstractNumId w:val="16"/>
  </w:num>
  <w:num w:numId="13">
    <w:abstractNumId w:val="17"/>
  </w:num>
  <w:num w:numId="14">
    <w:abstractNumId w:val="19"/>
  </w:num>
  <w:num w:numId="15">
    <w:abstractNumId w:val="35"/>
  </w:num>
  <w:num w:numId="16">
    <w:abstractNumId w:val="21"/>
  </w:num>
  <w:num w:numId="17">
    <w:abstractNumId w:val="14"/>
  </w:num>
  <w:num w:numId="18">
    <w:abstractNumId w:val="20"/>
  </w:num>
  <w:num w:numId="19">
    <w:abstractNumId w:val="8"/>
  </w:num>
  <w:num w:numId="20">
    <w:abstractNumId w:val="2"/>
  </w:num>
  <w:num w:numId="21">
    <w:abstractNumId w:val="3"/>
  </w:num>
  <w:num w:numId="22">
    <w:abstractNumId w:val="6"/>
  </w:num>
  <w:num w:numId="23">
    <w:abstractNumId w:val="22"/>
  </w:num>
  <w:num w:numId="24">
    <w:abstractNumId w:val="13"/>
  </w:num>
  <w:num w:numId="25">
    <w:abstractNumId w:val="33"/>
  </w:num>
  <w:num w:numId="26">
    <w:abstractNumId w:val="1"/>
  </w:num>
  <w:num w:numId="27">
    <w:abstractNumId w:val="27"/>
  </w:num>
  <w:num w:numId="28">
    <w:abstractNumId w:val="32"/>
  </w:num>
  <w:num w:numId="29">
    <w:abstractNumId w:val="11"/>
  </w:num>
  <w:num w:numId="30">
    <w:abstractNumId w:val="10"/>
  </w:num>
  <w:num w:numId="31">
    <w:abstractNumId w:val="31"/>
  </w:num>
  <w:num w:numId="32">
    <w:abstractNumId w:val="12"/>
  </w:num>
  <w:num w:numId="33">
    <w:abstractNumId w:val="26"/>
  </w:num>
  <w:num w:numId="34">
    <w:abstractNumId w:val="24"/>
  </w:num>
  <w:num w:numId="35">
    <w:abstractNumId w:val="29"/>
  </w:num>
  <w:num w:numId="3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IwNDZhMTMxM2EyYzUxY2RmNGE4YzgzZTdiOWQwYWQifQ=="/>
  </w:docVars>
  <w:rsids>
    <w:rsidRoot w:val="00172A27"/>
    <w:rsid w:val="00011FE2"/>
    <w:rsid w:val="00013844"/>
    <w:rsid w:val="000155B6"/>
    <w:rsid w:val="00073C66"/>
    <w:rsid w:val="0009172F"/>
    <w:rsid w:val="000C3490"/>
    <w:rsid w:val="000E378C"/>
    <w:rsid w:val="000E6560"/>
    <w:rsid w:val="001612BE"/>
    <w:rsid w:val="00172A27"/>
    <w:rsid w:val="00192F10"/>
    <w:rsid w:val="002014D6"/>
    <w:rsid w:val="00215DB9"/>
    <w:rsid w:val="00215ED4"/>
    <w:rsid w:val="002532E3"/>
    <w:rsid w:val="00257A43"/>
    <w:rsid w:val="002B267A"/>
    <w:rsid w:val="002C060E"/>
    <w:rsid w:val="00306198"/>
    <w:rsid w:val="0031102B"/>
    <w:rsid w:val="00323435"/>
    <w:rsid w:val="003340D4"/>
    <w:rsid w:val="0033716B"/>
    <w:rsid w:val="00337EF5"/>
    <w:rsid w:val="00342CF8"/>
    <w:rsid w:val="00354461"/>
    <w:rsid w:val="003557B7"/>
    <w:rsid w:val="003648C8"/>
    <w:rsid w:val="00364C5D"/>
    <w:rsid w:val="00391ABC"/>
    <w:rsid w:val="00440556"/>
    <w:rsid w:val="00471B5F"/>
    <w:rsid w:val="00472446"/>
    <w:rsid w:val="004A7F99"/>
    <w:rsid w:val="004D7B41"/>
    <w:rsid w:val="004E65F2"/>
    <w:rsid w:val="004F661D"/>
    <w:rsid w:val="005249EA"/>
    <w:rsid w:val="00525BF9"/>
    <w:rsid w:val="00582F89"/>
    <w:rsid w:val="00593252"/>
    <w:rsid w:val="005965C0"/>
    <w:rsid w:val="005E56A6"/>
    <w:rsid w:val="00631C17"/>
    <w:rsid w:val="0068500E"/>
    <w:rsid w:val="00686F65"/>
    <w:rsid w:val="006E5CFE"/>
    <w:rsid w:val="006F296C"/>
    <w:rsid w:val="00710A48"/>
    <w:rsid w:val="00715A8B"/>
    <w:rsid w:val="007224FF"/>
    <w:rsid w:val="007439C6"/>
    <w:rsid w:val="0075098D"/>
    <w:rsid w:val="00773FC7"/>
    <w:rsid w:val="00815A65"/>
    <w:rsid w:val="0086044F"/>
    <w:rsid w:val="00860568"/>
    <w:rsid w:val="00877A00"/>
    <w:rsid w:val="008B7162"/>
    <w:rsid w:val="008C1931"/>
    <w:rsid w:val="008C348B"/>
    <w:rsid w:val="008C3D65"/>
    <w:rsid w:val="008C63DC"/>
    <w:rsid w:val="008E0965"/>
    <w:rsid w:val="00917C96"/>
    <w:rsid w:val="009200F2"/>
    <w:rsid w:val="00975629"/>
    <w:rsid w:val="009845B6"/>
    <w:rsid w:val="009E7655"/>
    <w:rsid w:val="009F4DE1"/>
    <w:rsid w:val="00A03210"/>
    <w:rsid w:val="00A5381B"/>
    <w:rsid w:val="00A87EEB"/>
    <w:rsid w:val="00AA1048"/>
    <w:rsid w:val="00AA4DB2"/>
    <w:rsid w:val="00AB1151"/>
    <w:rsid w:val="00AC06CA"/>
    <w:rsid w:val="00AC6D66"/>
    <w:rsid w:val="00AD1500"/>
    <w:rsid w:val="00AF5A4A"/>
    <w:rsid w:val="00AF5F6A"/>
    <w:rsid w:val="00B13636"/>
    <w:rsid w:val="00B27CEA"/>
    <w:rsid w:val="00B45FE7"/>
    <w:rsid w:val="00B62242"/>
    <w:rsid w:val="00B75C83"/>
    <w:rsid w:val="00B9147A"/>
    <w:rsid w:val="00BB7B0C"/>
    <w:rsid w:val="00BC22EA"/>
    <w:rsid w:val="00BE1DC7"/>
    <w:rsid w:val="00C00705"/>
    <w:rsid w:val="00C00727"/>
    <w:rsid w:val="00C17A20"/>
    <w:rsid w:val="00C72473"/>
    <w:rsid w:val="00C97092"/>
    <w:rsid w:val="00CA25BB"/>
    <w:rsid w:val="00CE0675"/>
    <w:rsid w:val="00D17ECC"/>
    <w:rsid w:val="00D83D50"/>
    <w:rsid w:val="00DC62A3"/>
    <w:rsid w:val="00DE6441"/>
    <w:rsid w:val="00DE6DC6"/>
    <w:rsid w:val="00DF2B40"/>
    <w:rsid w:val="00E436E8"/>
    <w:rsid w:val="00E44571"/>
    <w:rsid w:val="00E54012"/>
    <w:rsid w:val="00E56371"/>
    <w:rsid w:val="00E942C4"/>
    <w:rsid w:val="00E95C16"/>
    <w:rsid w:val="00ED1316"/>
    <w:rsid w:val="00EE1F55"/>
    <w:rsid w:val="00F03970"/>
    <w:rsid w:val="00F1462A"/>
    <w:rsid w:val="00F27F4A"/>
    <w:rsid w:val="00F40D62"/>
    <w:rsid w:val="00F56C00"/>
    <w:rsid w:val="00F639E1"/>
    <w:rsid w:val="00F911CA"/>
    <w:rsid w:val="00F93F00"/>
    <w:rsid w:val="01DB4E22"/>
    <w:rsid w:val="04650ACA"/>
    <w:rsid w:val="053C236F"/>
    <w:rsid w:val="05CD222A"/>
    <w:rsid w:val="06AA4E32"/>
    <w:rsid w:val="079838F6"/>
    <w:rsid w:val="08B3683A"/>
    <w:rsid w:val="090917CB"/>
    <w:rsid w:val="0A482EEB"/>
    <w:rsid w:val="0AE53E38"/>
    <w:rsid w:val="0B2F5078"/>
    <w:rsid w:val="0D292DA8"/>
    <w:rsid w:val="0D786F20"/>
    <w:rsid w:val="0E0E2583"/>
    <w:rsid w:val="0F950479"/>
    <w:rsid w:val="124243FD"/>
    <w:rsid w:val="12675B9C"/>
    <w:rsid w:val="136F54AC"/>
    <w:rsid w:val="16861701"/>
    <w:rsid w:val="171E28E6"/>
    <w:rsid w:val="17C6779E"/>
    <w:rsid w:val="182D2D36"/>
    <w:rsid w:val="183B37C0"/>
    <w:rsid w:val="19443EBA"/>
    <w:rsid w:val="1962191F"/>
    <w:rsid w:val="1A154F75"/>
    <w:rsid w:val="1A8D0182"/>
    <w:rsid w:val="1B1066FE"/>
    <w:rsid w:val="1B363DCC"/>
    <w:rsid w:val="1C4612CE"/>
    <w:rsid w:val="1CEA368C"/>
    <w:rsid w:val="1E551226"/>
    <w:rsid w:val="1ED0129B"/>
    <w:rsid w:val="1F0D1A06"/>
    <w:rsid w:val="1F332CA6"/>
    <w:rsid w:val="21081881"/>
    <w:rsid w:val="2195384D"/>
    <w:rsid w:val="22444146"/>
    <w:rsid w:val="226522C7"/>
    <w:rsid w:val="23103A2A"/>
    <w:rsid w:val="23EB7FF4"/>
    <w:rsid w:val="2442014B"/>
    <w:rsid w:val="24A1669D"/>
    <w:rsid w:val="25DE2B61"/>
    <w:rsid w:val="27742D9A"/>
    <w:rsid w:val="27F84A85"/>
    <w:rsid w:val="280D0539"/>
    <w:rsid w:val="2A24600D"/>
    <w:rsid w:val="2A39324A"/>
    <w:rsid w:val="2A407E0C"/>
    <w:rsid w:val="2A6D85AC"/>
    <w:rsid w:val="2D8F1518"/>
    <w:rsid w:val="2DC47735"/>
    <w:rsid w:val="2EFFA0CD"/>
    <w:rsid w:val="2F06A150"/>
    <w:rsid w:val="2F7D9A9F"/>
    <w:rsid w:val="2FFFDDCA"/>
    <w:rsid w:val="3029612C"/>
    <w:rsid w:val="30C33464"/>
    <w:rsid w:val="32D3237F"/>
    <w:rsid w:val="32D977A2"/>
    <w:rsid w:val="3736112E"/>
    <w:rsid w:val="376D605F"/>
    <w:rsid w:val="3781684D"/>
    <w:rsid w:val="3925393E"/>
    <w:rsid w:val="3ABB3E24"/>
    <w:rsid w:val="3B544944"/>
    <w:rsid w:val="3B7E61EA"/>
    <w:rsid w:val="3BD84727"/>
    <w:rsid w:val="3BFD4C3B"/>
    <w:rsid w:val="3D2F385A"/>
    <w:rsid w:val="3D61561F"/>
    <w:rsid w:val="3D9B5C3D"/>
    <w:rsid w:val="3DB55F9C"/>
    <w:rsid w:val="3E083824"/>
    <w:rsid w:val="3E9A30D7"/>
    <w:rsid w:val="3F96438B"/>
    <w:rsid w:val="3F987C2C"/>
    <w:rsid w:val="3FEF4AC0"/>
    <w:rsid w:val="3FF2DC49"/>
    <w:rsid w:val="41FC3544"/>
    <w:rsid w:val="43054D4D"/>
    <w:rsid w:val="434B5B37"/>
    <w:rsid w:val="445E2F64"/>
    <w:rsid w:val="48F63EC0"/>
    <w:rsid w:val="49A43EB7"/>
    <w:rsid w:val="4B789B1B"/>
    <w:rsid w:val="4CFD01CE"/>
    <w:rsid w:val="4EAD7AD0"/>
    <w:rsid w:val="4F7C6F48"/>
    <w:rsid w:val="4FCD2F62"/>
    <w:rsid w:val="55740A8D"/>
    <w:rsid w:val="575E5A6C"/>
    <w:rsid w:val="579F758F"/>
    <w:rsid w:val="58067F76"/>
    <w:rsid w:val="585171A3"/>
    <w:rsid w:val="599C7652"/>
    <w:rsid w:val="5E7C43E4"/>
    <w:rsid w:val="5ECD081E"/>
    <w:rsid w:val="5FEF72C1"/>
    <w:rsid w:val="5FF75C8C"/>
    <w:rsid w:val="60182C0E"/>
    <w:rsid w:val="61BD6F56"/>
    <w:rsid w:val="634906F2"/>
    <w:rsid w:val="640717EC"/>
    <w:rsid w:val="64966A06"/>
    <w:rsid w:val="65976AE2"/>
    <w:rsid w:val="662662D8"/>
    <w:rsid w:val="67EA1118"/>
    <w:rsid w:val="695B21AB"/>
    <w:rsid w:val="69E101AC"/>
    <w:rsid w:val="6A327F0E"/>
    <w:rsid w:val="6BEF4D76"/>
    <w:rsid w:val="6D650C3F"/>
    <w:rsid w:val="6ED2525C"/>
    <w:rsid w:val="6FFF8AF0"/>
    <w:rsid w:val="70DA254F"/>
    <w:rsid w:val="711A3E9C"/>
    <w:rsid w:val="718D5813"/>
    <w:rsid w:val="722F294A"/>
    <w:rsid w:val="7422751A"/>
    <w:rsid w:val="751F5685"/>
    <w:rsid w:val="77011AFB"/>
    <w:rsid w:val="771813C8"/>
    <w:rsid w:val="777D03BE"/>
    <w:rsid w:val="77D780D2"/>
    <w:rsid w:val="77F33200"/>
    <w:rsid w:val="788A6217"/>
    <w:rsid w:val="79811468"/>
    <w:rsid w:val="79EE674A"/>
    <w:rsid w:val="7A506EB6"/>
    <w:rsid w:val="7AC5636F"/>
    <w:rsid w:val="7B7B7572"/>
    <w:rsid w:val="7B9DE05B"/>
    <w:rsid w:val="7CA364A8"/>
    <w:rsid w:val="7D766002"/>
    <w:rsid w:val="7E4A06B1"/>
    <w:rsid w:val="7F0375C7"/>
    <w:rsid w:val="7F2F0318"/>
    <w:rsid w:val="7F631896"/>
    <w:rsid w:val="7F753653"/>
    <w:rsid w:val="7F7FF9BC"/>
    <w:rsid w:val="7F990F20"/>
    <w:rsid w:val="7FE67AF8"/>
    <w:rsid w:val="95FEC606"/>
    <w:rsid w:val="9F7B10FA"/>
    <w:rsid w:val="B3FCAB05"/>
    <w:rsid w:val="B9EB95D3"/>
    <w:rsid w:val="BBB4311D"/>
    <w:rsid w:val="D87F87A6"/>
    <w:rsid w:val="DFAFA8C0"/>
    <w:rsid w:val="E7FFA9A5"/>
    <w:rsid w:val="ED9EE59F"/>
    <w:rsid w:val="EFBC7DDD"/>
    <w:rsid w:val="FAC320A4"/>
    <w:rsid w:val="FCFFD806"/>
    <w:rsid w:val="FEDF1DC5"/>
    <w:rsid w:val="FF573367"/>
    <w:rsid w:val="FFDDB3F0"/>
    <w:rsid w:val="FFFC5BB8"/>
    <w:rsid w:val="FFFF6AE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iPriority="99"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nhideWhenUsed="0"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黑体"/>
      <w:kern w:val="2"/>
      <w:sz w:val="21"/>
      <w:szCs w:val="22"/>
      <w:lang w:val="en-US" w:eastAsia="zh-CN" w:bidi="ar-SA"/>
    </w:rPr>
  </w:style>
  <w:style w:type="paragraph" w:styleId="4">
    <w:name w:val="heading 1"/>
    <w:basedOn w:val="1"/>
    <w:next w:val="1"/>
    <w:link w:val="186"/>
    <w:qFormat/>
    <w:uiPriority w:val="9"/>
    <w:pPr>
      <w:autoSpaceDE w:val="0"/>
      <w:autoSpaceDN w:val="0"/>
      <w:adjustRightInd w:val="0"/>
      <w:jc w:val="left"/>
      <w:outlineLvl w:val="0"/>
    </w:pPr>
    <w:rPr>
      <w:rFonts w:ascii="宋体" w:hAnsi="Calibri" w:eastAsia="宋体" w:cs="Times New Roman"/>
      <w:kern w:val="0"/>
      <w:sz w:val="24"/>
      <w:szCs w:val="24"/>
    </w:rPr>
  </w:style>
  <w:style w:type="paragraph" w:styleId="5">
    <w:name w:val="heading 2"/>
    <w:basedOn w:val="1"/>
    <w:next w:val="1"/>
    <w:link w:val="93"/>
    <w:qFormat/>
    <w:uiPriority w:val="0"/>
    <w:pPr>
      <w:pageBreakBefore/>
      <w:autoSpaceDE w:val="0"/>
      <w:autoSpaceDN w:val="0"/>
      <w:adjustRightInd w:val="0"/>
      <w:spacing w:line="415" w:lineRule="auto"/>
      <w:jc w:val="left"/>
      <w:outlineLvl w:val="1"/>
    </w:pPr>
    <w:rPr>
      <w:rFonts w:ascii="宋体" w:hAnsi="Calibri" w:eastAsia="宋体" w:cs="Times New Roman"/>
      <w:kern w:val="0"/>
      <w:sz w:val="24"/>
      <w:szCs w:val="24"/>
    </w:rPr>
  </w:style>
  <w:style w:type="paragraph" w:styleId="6">
    <w:name w:val="heading 3"/>
    <w:basedOn w:val="1"/>
    <w:next w:val="1"/>
    <w:link w:val="180"/>
    <w:qFormat/>
    <w:uiPriority w:val="0"/>
    <w:pPr>
      <w:autoSpaceDE w:val="0"/>
      <w:autoSpaceDN w:val="0"/>
      <w:adjustRightInd w:val="0"/>
      <w:jc w:val="left"/>
      <w:outlineLvl w:val="2"/>
    </w:pPr>
    <w:rPr>
      <w:rFonts w:ascii="宋体" w:hAnsi="Calibri" w:eastAsia="宋体" w:cs="Times New Roman"/>
      <w:kern w:val="0"/>
      <w:sz w:val="24"/>
      <w:szCs w:val="24"/>
    </w:rPr>
  </w:style>
  <w:style w:type="paragraph" w:styleId="7">
    <w:name w:val="heading 4"/>
    <w:basedOn w:val="1"/>
    <w:next w:val="1"/>
    <w:link w:val="95"/>
    <w:qFormat/>
    <w:uiPriority w:val="9"/>
    <w:pPr>
      <w:keepNext/>
      <w:keepLines/>
      <w:autoSpaceDE w:val="0"/>
      <w:autoSpaceDN w:val="0"/>
      <w:adjustRightInd w:val="0"/>
      <w:spacing w:before="280" w:after="290" w:line="376" w:lineRule="auto"/>
      <w:jc w:val="left"/>
      <w:outlineLvl w:val="3"/>
    </w:pPr>
    <w:rPr>
      <w:rFonts w:ascii="Arial" w:hAnsi="Arial" w:eastAsia="黑体" w:cs="Times New Roman"/>
      <w:b/>
      <w:bCs/>
      <w:kern w:val="0"/>
      <w:sz w:val="28"/>
      <w:szCs w:val="28"/>
    </w:rPr>
  </w:style>
  <w:style w:type="paragraph" w:styleId="8">
    <w:name w:val="heading 5"/>
    <w:basedOn w:val="1"/>
    <w:next w:val="1"/>
    <w:link w:val="169"/>
    <w:qFormat/>
    <w:uiPriority w:val="9"/>
    <w:pPr>
      <w:keepNext/>
      <w:keepLines/>
      <w:autoSpaceDE w:val="0"/>
      <w:autoSpaceDN w:val="0"/>
      <w:adjustRightInd w:val="0"/>
      <w:spacing w:before="280" w:after="290" w:line="376" w:lineRule="auto"/>
      <w:jc w:val="left"/>
      <w:outlineLvl w:val="4"/>
    </w:pPr>
    <w:rPr>
      <w:rFonts w:ascii="宋体" w:hAnsi="Calibri" w:eastAsia="宋体" w:cs="Times New Roman"/>
      <w:b/>
      <w:bCs/>
      <w:kern w:val="0"/>
      <w:sz w:val="28"/>
      <w:szCs w:val="28"/>
    </w:rPr>
  </w:style>
  <w:style w:type="paragraph" w:styleId="9">
    <w:name w:val="heading 6"/>
    <w:basedOn w:val="1"/>
    <w:next w:val="10"/>
    <w:link w:val="178"/>
    <w:qFormat/>
    <w:uiPriority w:val="9"/>
    <w:pPr>
      <w:keepLines/>
      <w:tabs>
        <w:tab w:val="left" w:pos="1152"/>
      </w:tabs>
      <w:adjustRightInd w:val="0"/>
      <w:snapToGrid w:val="0"/>
      <w:spacing w:beforeLines="50" w:line="360" w:lineRule="auto"/>
      <w:ind w:left="1152" w:hanging="1152"/>
      <w:jc w:val="left"/>
      <w:textAlignment w:val="baseline"/>
      <w:outlineLvl w:val="5"/>
    </w:pPr>
    <w:rPr>
      <w:rFonts w:ascii="Times New Roman" w:hAnsi="Calibri" w:eastAsia="黑体" w:cs="Times New Roman"/>
      <w:b/>
      <w:bCs/>
      <w:kern w:val="0"/>
      <w:sz w:val="28"/>
      <w:szCs w:val="24"/>
    </w:rPr>
  </w:style>
  <w:style w:type="paragraph" w:styleId="11">
    <w:name w:val="heading 7"/>
    <w:basedOn w:val="1"/>
    <w:next w:val="10"/>
    <w:link w:val="98"/>
    <w:qFormat/>
    <w:uiPriority w:val="9"/>
    <w:pPr>
      <w:keepNext/>
      <w:keepLines/>
      <w:tabs>
        <w:tab w:val="left" w:pos="1296"/>
      </w:tabs>
      <w:adjustRightInd w:val="0"/>
      <w:snapToGrid w:val="0"/>
      <w:spacing w:before="240" w:after="120"/>
      <w:ind w:left="1296" w:hanging="1296"/>
      <w:textAlignment w:val="baseline"/>
      <w:outlineLvl w:val="6"/>
    </w:pPr>
    <w:rPr>
      <w:rFonts w:ascii="Times New Roman" w:hAnsi="Calibri" w:eastAsia="黑体" w:cs="Times New Roman"/>
      <w:b/>
      <w:bCs/>
      <w:kern w:val="0"/>
      <w:sz w:val="28"/>
      <w:szCs w:val="24"/>
    </w:rPr>
  </w:style>
  <w:style w:type="paragraph" w:styleId="12">
    <w:name w:val="heading 8"/>
    <w:basedOn w:val="1"/>
    <w:next w:val="10"/>
    <w:link w:val="99"/>
    <w:qFormat/>
    <w:uiPriority w:val="9"/>
    <w:pPr>
      <w:keepNext/>
      <w:keepLines/>
      <w:tabs>
        <w:tab w:val="left" w:pos="1440"/>
      </w:tabs>
      <w:snapToGrid w:val="0"/>
      <w:spacing w:before="240" w:after="120"/>
      <w:ind w:left="1440" w:hanging="1440"/>
      <w:outlineLvl w:val="7"/>
    </w:pPr>
    <w:rPr>
      <w:rFonts w:ascii="Times New Roman" w:hAnsi="Calibri" w:eastAsia="黑体" w:cs="Times New Roman"/>
      <w:b/>
      <w:kern w:val="0"/>
      <w:sz w:val="28"/>
      <w:szCs w:val="24"/>
    </w:rPr>
  </w:style>
  <w:style w:type="paragraph" w:styleId="13">
    <w:name w:val="heading 9"/>
    <w:basedOn w:val="1"/>
    <w:next w:val="10"/>
    <w:link w:val="100"/>
    <w:qFormat/>
    <w:uiPriority w:val="9"/>
    <w:pPr>
      <w:keepNext/>
      <w:keepLines/>
      <w:tabs>
        <w:tab w:val="left" w:pos="1584"/>
      </w:tabs>
      <w:snapToGrid w:val="0"/>
      <w:spacing w:before="240" w:after="120"/>
      <w:ind w:left="1584" w:hanging="1584"/>
      <w:outlineLvl w:val="8"/>
    </w:pPr>
    <w:rPr>
      <w:rFonts w:ascii="Times New Roman" w:hAnsi="Calibri" w:eastAsia="黑体" w:cs="Times New Roman"/>
      <w:b/>
      <w:kern w:val="0"/>
      <w:sz w:val="28"/>
      <w:szCs w:val="24"/>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customStyle="1" w:styleId="2">
    <w:name w:val="表格文字"/>
    <w:basedOn w:val="3"/>
    <w:link w:val="160"/>
    <w:qFormat/>
    <w:uiPriority w:val="0"/>
    <w:pPr>
      <w:tabs>
        <w:tab w:val="left" w:pos="360"/>
        <w:tab w:val="left" w:pos="720"/>
      </w:tabs>
    </w:pPr>
    <w:rPr>
      <w:rFonts w:eastAsia="仿宋_GB2312"/>
      <w:sz w:val="28"/>
      <w:szCs w:val="24"/>
    </w:rPr>
  </w:style>
  <w:style w:type="paragraph" w:customStyle="1" w:styleId="3">
    <w:name w:val="项目符号"/>
    <w:basedOn w:val="1"/>
    <w:qFormat/>
    <w:uiPriority w:val="0"/>
    <w:pPr>
      <w:tabs>
        <w:tab w:val="left" w:pos="360"/>
        <w:tab w:val="left" w:pos="720"/>
      </w:tabs>
      <w:ind w:left="200" w:hanging="200" w:hangingChars="200"/>
    </w:pPr>
    <w:rPr>
      <w:rFonts w:ascii="宋体" w:hAnsi="ˎ̥" w:cs="宋体"/>
      <w:color w:val="000000"/>
      <w:sz w:val="24"/>
    </w:rPr>
  </w:style>
  <w:style w:type="paragraph" w:customStyle="1" w:styleId="10">
    <w:name w:val="模板正文"/>
    <w:basedOn w:val="1"/>
    <w:link w:val="134"/>
    <w:qFormat/>
    <w:uiPriority w:val="0"/>
    <w:pPr>
      <w:wordWrap w:val="0"/>
      <w:autoSpaceDE w:val="0"/>
      <w:autoSpaceDN w:val="0"/>
      <w:adjustRightInd w:val="0"/>
      <w:spacing w:beforeLines="50" w:line="360" w:lineRule="auto"/>
      <w:ind w:firstLine="200" w:firstLineChars="200"/>
      <w:jc w:val="left"/>
    </w:pPr>
    <w:rPr>
      <w:rFonts w:ascii="宋体" w:eastAsia="仿宋"/>
      <w:sz w:val="24"/>
      <w:szCs w:val="21"/>
    </w:rPr>
  </w:style>
  <w:style w:type="paragraph" w:styleId="14">
    <w:name w:val="Normal Indent"/>
    <w:basedOn w:val="1"/>
    <w:qFormat/>
    <w:uiPriority w:val="0"/>
    <w:pPr>
      <w:widowControl/>
      <w:autoSpaceDE w:val="0"/>
      <w:autoSpaceDN w:val="0"/>
      <w:adjustRightInd w:val="0"/>
      <w:ind w:firstLine="420" w:firstLineChars="200"/>
      <w:jc w:val="left"/>
    </w:pPr>
    <w:rPr>
      <w:rFonts w:ascii="宋体" w:hAnsi="Calibri" w:eastAsia="宋体" w:cs="Times New Roman"/>
      <w:kern w:val="0"/>
      <w:sz w:val="20"/>
      <w:szCs w:val="20"/>
    </w:rPr>
  </w:style>
  <w:style w:type="paragraph" w:styleId="15">
    <w:name w:val="caption"/>
    <w:basedOn w:val="1"/>
    <w:next w:val="1"/>
    <w:link w:val="124"/>
    <w:qFormat/>
    <w:uiPriority w:val="0"/>
    <w:pPr>
      <w:autoSpaceDE w:val="0"/>
      <w:autoSpaceDN w:val="0"/>
      <w:adjustRightInd w:val="0"/>
      <w:spacing w:before="152" w:after="160"/>
      <w:jc w:val="left"/>
    </w:pPr>
    <w:rPr>
      <w:rFonts w:ascii="Arial" w:hAnsi="Arial" w:eastAsia="黑体" w:cs="Arial"/>
    </w:rPr>
  </w:style>
  <w:style w:type="paragraph" w:styleId="16">
    <w:name w:val="Document Map"/>
    <w:basedOn w:val="1"/>
    <w:link w:val="155"/>
    <w:semiHidden/>
    <w:qFormat/>
    <w:uiPriority w:val="99"/>
    <w:pPr>
      <w:shd w:val="clear" w:color="auto" w:fill="000080"/>
      <w:autoSpaceDE w:val="0"/>
      <w:autoSpaceDN w:val="0"/>
      <w:adjustRightInd w:val="0"/>
      <w:jc w:val="left"/>
    </w:pPr>
    <w:rPr>
      <w:rFonts w:ascii="宋体" w:hAnsi="Times New Roman" w:eastAsia="宋体" w:cs="Times New Roman"/>
      <w:kern w:val="0"/>
      <w:sz w:val="24"/>
      <w:szCs w:val="24"/>
    </w:rPr>
  </w:style>
  <w:style w:type="paragraph" w:styleId="17">
    <w:name w:val="toa heading"/>
    <w:basedOn w:val="1"/>
    <w:next w:val="1"/>
    <w:qFormat/>
    <w:uiPriority w:val="0"/>
    <w:pPr>
      <w:autoSpaceDE w:val="0"/>
      <w:autoSpaceDN w:val="0"/>
      <w:adjustRightInd w:val="0"/>
      <w:snapToGrid w:val="0"/>
      <w:spacing w:before="120" w:line="360" w:lineRule="auto"/>
    </w:pPr>
    <w:rPr>
      <w:rFonts w:ascii="Arial" w:hAnsi="Arial"/>
      <w:snapToGrid w:val="0"/>
      <w:color w:val="000000"/>
      <w:kern w:val="0"/>
      <w:szCs w:val="20"/>
    </w:rPr>
  </w:style>
  <w:style w:type="paragraph" w:styleId="18">
    <w:name w:val="annotation text"/>
    <w:basedOn w:val="1"/>
    <w:link w:val="197"/>
    <w:unhideWhenUsed/>
    <w:qFormat/>
    <w:uiPriority w:val="99"/>
    <w:pPr>
      <w:jc w:val="left"/>
    </w:pPr>
  </w:style>
  <w:style w:type="paragraph" w:styleId="19">
    <w:name w:val="Body Text 3"/>
    <w:basedOn w:val="1"/>
    <w:link w:val="192"/>
    <w:qFormat/>
    <w:uiPriority w:val="0"/>
    <w:pPr>
      <w:autoSpaceDE w:val="0"/>
      <w:autoSpaceDN w:val="0"/>
      <w:adjustRightInd w:val="0"/>
      <w:ind w:right="-26"/>
      <w:jc w:val="center"/>
    </w:pPr>
    <w:rPr>
      <w:rFonts w:ascii="宋体" w:hAnsi="Times New Roman" w:eastAsia="宋体" w:cs="Times New Roman"/>
      <w:b/>
      <w:bCs/>
      <w:color w:val="3366FF"/>
      <w:sz w:val="52"/>
      <w:szCs w:val="52"/>
      <w:lang w:val="zh-CN"/>
    </w:rPr>
  </w:style>
  <w:style w:type="paragraph" w:styleId="20">
    <w:name w:val="Body Text"/>
    <w:basedOn w:val="1"/>
    <w:next w:val="1"/>
    <w:link w:val="157"/>
    <w:qFormat/>
    <w:uiPriority w:val="99"/>
    <w:pPr>
      <w:autoSpaceDE w:val="0"/>
      <w:autoSpaceDN w:val="0"/>
      <w:adjustRightInd w:val="0"/>
      <w:ind w:right="-26"/>
      <w:jc w:val="center"/>
    </w:pPr>
    <w:rPr>
      <w:rFonts w:ascii="宋体" w:eastAsia="宋体"/>
      <w:b/>
      <w:bCs/>
      <w:sz w:val="84"/>
      <w:szCs w:val="84"/>
      <w:lang w:val="zh-CN"/>
    </w:rPr>
  </w:style>
  <w:style w:type="paragraph" w:styleId="21">
    <w:name w:val="Body Text Indent"/>
    <w:basedOn w:val="1"/>
    <w:next w:val="22"/>
    <w:link w:val="132"/>
    <w:qFormat/>
    <w:uiPriority w:val="0"/>
    <w:pPr>
      <w:ind w:left="567" w:leftChars="270"/>
    </w:pPr>
    <w:rPr>
      <w:rFonts w:ascii="Times New Roman" w:hAnsi="Times New Roman" w:eastAsia="宋体" w:cs="Times New Roman"/>
      <w:szCs w:val="20"/>
    </w:rPr>
  </w:style>
  <w:style w:type="paragraph" w:styleId="22">
    <w:name w:val="Body Text First Indent 2"/>
    <w:basedOn w:val="21"/>
    <w:next w:val="23"/>
    <w:qFormat/>
    <w:uiPriority w:val="0"/>
    <w:pPr>
      <w:ind w:firstLine="420" w:firstLineChars="200"/>
    </w:pPr>
    <w:rPr>
      <w:szCs w:val="24"/>
    </w:rPr>
  </w:style>
  <w:style w:type="paragraph" w:customStyle="1" w:styleId="23">
    <w:name w:val="xl5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hint="eastAsia" w:ascii="宋体" w:hAnsi="宋体"/>
      <w:kern w:val="0"/>
      <w:sz w:val="24"/>
    </w:rPr>
  </w:style>
  <w:style w:type="paragraph" w:styleId="24">
    <w:name w:val="toc 3"/>
    <w:basedOn w:val="1"/>
    <w:next w:val="1"/>
    <w:unhideWhenUsed/>
    <w:qFormat/>
    <w:uiPriority w:val="39"/>
    <w:pPr>
      <w:tabs>
        <w:tab w:val="right" w:leader="dot" w:pos="10144"/>
      </w:tabs>
      <w:ind w:left="840" w:leftChars="400"/>
    </w:pPr>
  </w:style>
  <w:style w:type="paragraph" w:styleId="25">
    <w:name w:val="Plain Text"/>
    <w:basedOn w:val="1"/>
    <w:link w:val="140"/>
    <w:qFormat/>
    <w:uiPriority w:val="0"/>
    <w:rPr>
      <w:rFonts w:ascii="宋体" w:hAnsi="Courier New" w:eastAsia="宋体"/>
    </w:rPr>
  </w:style>
  <w:style w:type="paragraph" w:styleId="26">
    <w:name w:val="Date"/>
    <w:basedOn w:val="1"/>
    <w:next w:val="1"/>
    <w:link w:val="147"/>
    <w:qFormat/>
    <w:uiPriority w:val="99"/>
    <w:pPr>
      <w:autoSpaceDE w:val="0"/>
      <w:autoSpaceDN w:val="0"/>
      <w:adjustRightInd w:val="0"/>
      <w:ind w:left="100" w:leftChars="2500"/>
      <w:jc w:val="left"/>
    </w:pPr>
    <w:rPr>
      <w:rFonts w:ascii="宋体" w:hAnsi="Times New Roman" w:eastAsia="宋体" w:cs="Times New Roman"/>
      <w:b/>
      <w:bCs/>
      <w:szCs w:val="21"/>
      <w:lang w:val="zh-CN"/>
    </w:rPr>
  </w:style>
  <w:style w:type="paragraph" w:styleId="27">
    <w:name w:val="Body Text Indent 2"/>
    <w:basedOn w:val="1"/>
    <w:link w:val="141"/>
    <w:qFormat/>
    <w:uiPriority w:val="0"/>
    <w:pPr>
      <w:tabs>
        <w:tab w:val="left" w:pos="8640"/>
      </w:tabs>
      <w:ind w:left="1260"/>
    </w:pPr>
    <w:rPr>
      <w:rFonts w:ascii="宋体" w:hAnsi="Times New Roman" w:eastAsia="宋体" w:cs="Times New Roman"/>
      <w:szCs w:val="20"/>
    </w:rPr>
  </w:style>
  <w:style w:type="paragraph" w:styleId="28">
    <w:name w:val="Balloon Text"/>
    <w:basedOn w:val="1"/>
    <w:link w:val="116"/>
    <w:qFormat/>
    <w:uiPriority w:val="0"/>
    <w:rPr>
      <w:rFonts w:ascii="Times New Roman" w:hAnsi="Times New Roman" w:eastAsia="宋体" w:cs="Times New Roman"/>
      <w:sz w:val="18"/>
      <w:szCs w:val="18"/>
    </w:rPr>
  </w:style>
  <w:style w:type="paragraph" w:styleId="29">
    <w:name w:val="footer"/>
    <w:basedOn w:val="1"/>
    <w:link w:val="120"/>
    <w:qFormat/>
    <w:uiPriority w:val="99"/>
    <w:pPr>
      <w:tabs>
        <w:tab w:val="center" w:pos="4153"/>
        <w:tab w:val="right" w:pos="8306"/>
      </w:tabs>
      <w:autoSpaceDE w:val="0"/>
      <w:autoSpaceDN w:val="0"/>
      <w:adjustRightInd w:val="0"/>
      <w:snapToGrid w:val="0"/>
      <w:jc w:val="left"/>
    </w:pPr>
    <w:rPr>
      <w:rFonts w:ascii="宋体" w:eastAsia="宋体"/>
      <w:sz w:val="18"/>
      <w:szCs w:val="18"/>
    </w:rPr>
  </w:style>
  <w:style w:type="paragraph" w:styleId="30">
    <w:name w:val="header"/>
    <w:basedOn w:val="1"/>
    <w:link w:val="159"/>
    <w:qFormat/>
    <w:uiPriority w:val="99"/>
    <w:pPr>
      <w:pBdr>
        <w:bottom w:val="single" w:color="auto" w:sz="6" w:space="1"/>
      </w:pBdr>
      <w:tabs>
        <w:tab w:val="center" w:pos="4153"/>
        <w:tab w:val="right" w:pos="8306"/>
      </w:tabs>
      <w:autoSpaceDE w:val="0"/>
      <w:autoSpaceDN w:val="0"/>
      <w:adjustRightInd w:val="0"/>
      <w:snapToGrid w:val="0"/>
      <w:jc w:val="center"/>
    </w:pPr>
    <w:rPr>
      <w:rFonts w:ascii="宋体" w:eastAsia="宋体"/>
      <w:sz w:val="18"/>
      <w:szCs w:val="18"/>
    </w:rPr>
  </w:style>
  <w:style w:type="paragraph" w:styleId="31">
    <w:name w:val="toc 1"/>
    <w:basedOn w:val="1"/>
    <w:next w:val="1"/>
    <w:unhideWhenUsed/>
    <w:qFormat/>
    <w:uiPriority w:val="39"/>
    <w:pPr>
      <w:tabs>
        <w:tab w:val="right" w:leader="dot" w:pos="10144"/>
      </w:tabs>
      <w:spacing w:line="360" w:lineRule="auto"/>
    </w:pPr>
  </w:style>
  <w:style w:type="paragraph" w:styleId="32">
    <w:name w:val="List"/>
    <w:basedOn w:val="1"/>
    <w:unhideWhenUsed/>
    <w:qFormat/>
    <w:uiPriority w:val="0"/>
    <w:pPr>
      <w:autoSpaceDE w:val="0"/>
      <w:autoSpaceDN w:val="0"/>
      <w:adjustRightInd w:val="0"/>
      <w:ind w:left="200" w:hanging="200" w:hangingChars="200"/>
      <w:contextualSpacing/>
      <w:jc w:val="left"/>
    </w:pPr>
    <w:rPr>
      <w:rFonts w:ascii="宋体" w:hAnsi="Calibri" w:eastAsia="宋体" w:cs="Times New Roman"/>
      <w:kern w:val="0"/>
      <w:sz w:val="24"/>
      <w:szCs w:val="24"/>
    </w:rPr>
  </w:style>
  <w:style w:type="paragraph" w:styleId="33">
    <w:name w:val="Body Text Indent 3"/>
    <w:basedOn w:val="1"/>
    <w:link w:val="190"/>
    <w:qFormat/>
    <w:uiPriority w:val="0"/>
    <w:pPr>
      <w:autoSpaceDE w:val="0"/>
      <w:autoSpaceDN w:val="0"/>
      <w:adjustRightInd w:val="0"/>
      <w:spacing w:line="360" w:lineRule="auto"/>
      <w:ind w:firstLine="480" w:firstLineChars="200"/>
      <w:jc w:val="left"/>
    </w:pPr>
    <w:rPr>
      <w:rFonts w:ascii="宋体" w:hAnsi="Times New Roman" w:eastAsia="宋体" w:cs="Times New Roman"/>
      <w:kern w:val="0"/>
      <w:sz w:val="24"/>
      <w:szCs w:val="24"/>
    </w:rPr>
  </w:style>
  <w:style w:type="paragraph" w:styleId="34">
    <w:name w:val="toc 2"/>
    <w:basedOn w:val="1"/>
    <w:next w:val="1"/>
    <w:semiHidden/>
    <w:unhideWhenUsed/>
    <w:qFormat/>
    <w:uiPriority w:val="39"/>
    <w:pPr>
      <w:ind w:left="420" w:leftChars="200"/>
    </w:pPr>
  </w:style>
  <w:style w:type="paragraph" w:styleId="35">
    <w:name w:val="Body Text 2"/>
    <w:basedOn w:val="1"/>
    <w:link w:val="179"/>
    <w:qFormat/>
    <w:uiPriority w:val="0"/>
    <w:pPr>
      <w:tabs>
        <w:tab w:val="left" w:pos="0"/>
      </w:tabs>
      <w:spacing w:line="400" w:lineRule="atLeast"/>
    </w:pPr>
    <w:rPr>
      <w:rFonts w:ascii="Arial" w:hAnsi="Arial" w:eastAsia="宋体" w:cs="Times New Roman"/>
      <w:color w:val="000000"/>
      <w:szCs w:val="24"/>
    </w:rPr>
  </w:style>
  <w:style w:type="paragraph" w:styleId="36">
    <w:name w:val="HTML Preformatted"/>
    <w:basedOn w:val="1"/>
    <w:link w:val="127"/>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eastAsia="宋体" w:cs="Arial"/>
      <w:szCs w:val="21"/>
    </w:rPr>
  </w:style>
  <w:style w:type="paragraph" w:styleId="37">
    <w:name w:val="Normal (Web)"/>
    <w:basedOn w:val="1"/>
    <w:link w:val="133"/>
    <w:qFormat/>
    <w:uiPriority w:val="0"/>
    <w:pPr>
      <w:widowControl/>
      <w:spacing w:before="100" w:beforeAutospacing="1" w:after="100" w:afterAutospacing="1"/>
      <w:jc w:val="left"/>
    </w:pPr>
    <w:rPr>
      <w:rFonts w:ascii="宋体" w:hAnsi="宋体"/>
      <w:sz w:val="15"/>
      <w:szCs w:val="15"/>
    </w:rPr>
  </w:style>
  <w:style w:type="paragraph" w:styleId="38">
    <w:name w:val="Title"/>
    <w:basedOn w:val="1"/>
    <w:next w:val="1"/>
    <w:link w:val="103"/>
    <w:qFormat/>
    <w:uiPriority w:val="10"/>
    <w:pPr>
      <w:spacing w:before="120" w:after="60" w:line="300" w:lineRule="auto"/>
      <w:jc w:val="left"/>
      <w:outlineLvl w:val="0"/>
    </w:pPr>
    <w:rPr>
      <w:rFonts w:ascii="等线 Light" w:hAnsi="等线 Light" w:eastAsia="仿宋"/>
      <w:b/>
      <w:bCs/>
      <w:sz w:val="28"/>
      <w:szCs w:val="32"/>
    </w:rPr>
  </w:style>
  <w:style w:type="paragraph" w:styleId="39">
    <w:name w:val="annotation subject"/>
    <w:basedOn w:val="18"/>
    <w:next w:val="18"/>
    <w:link w:val="149"/>
    <w:qFormat/>
    <w:uiPriority w:val="99"/>
    <w:pPr>
      <w:autoSpaceDE w:val="0"/>
      <w:autoSpaceDN w:val="0"/>
      <w:adjustRightInd w:val="0"/>
    </w:pPr>
    <w:rPr>
      <w:rFonts w:ascii="宋体" w:hAnsi="Times New Roman" w:eastAsia="宋体" w:cs="Times New Roman"/>
      <w:b/>
      <w:bCs/>
      <w:kern w:val="0"/>
      <w:sz w:val="24"/>
      <w:szCs w:val="24"/>
    </w:rPr>
  </w:style>
  <w:style w:type="paragraph" w:styleId="40">
    <w:name w:val="Body Text First Indent"/>
    <w:basedOn w:val="20"/>
    <w:link w:val="212"/>
    <w:unhideWhenUsed/>
    <w:qFormat/>
    <w:uiPriority w:val="99"/>
    <w:pPr>
      <w:adjustRightInd/>
      <w:spacing w:after="120"/>
      <w:ind w:right="0" w:firstLine="420" w:firstLineChars="100"/>
      <w:jc w:val="both"/>
    </w:pPr>
    <w:rPr>
      <w:rFonts w:ascii="等线" w:eastAsia="等线"/>
      <w:b w:val="0"/>
      <w:bCs w:val="0"/>
      <w:sz w:val="21"/>
      <w:szCs w:val="22"/>
      <w:lang w:val="en-US"/>
    </w:rPr>
  </w:style>
  <w:style w:type="table" w:styleId="42">
    <w:name w:val="Table Grid"/>
    <w:basedOn w:val="41"/>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4">
    <w:name w:val="Strong"/>
    <w:qFormat/>
    <w:uiPriority w:val="0"/>
    <w:rPr>
      <w:b/>
      <w:bCs/>
    </w:rPr>
  </w:style>
  <w:style w:type="character" w:styleId="45">
    <w:name w:val="FollowedHyperlink"/>
    <w:unhideWhenUsed/>
    <w:qFormat/>
    <w:uiPriority w:val="99"/>
    <w:rPr>
      <w:color w:val="954F72"/>
      <w:u w:val="single"/>
    </w:rPr>
  </w:style>
  <w:style w:type="character" w:styleId="46">
    <w:name w:val="Emphasis"/>
    <w:qFormat/>
    <w:uiPriority w:val="0"/>
    <w:rPr>
      <w:i/>
      <w:iCs/>
    </w:rPr>
  </w:style>
  <w:style w:type="character" w:styleId="47">
    <w:name w:val="Hyperlink"/>
    <w:qFormat/>
    <w:uiPriority w:val="99"/>
    <w:rPr>
      <w:rFonts w:hint="default" w:ascii="Arial" w:hAnsi="Arial" w:cs="Arial"/>
      <w:color w:val="000000"/>
      <w:sz w:val="20"/>
      <w:szCs w:val="20"/>
      <w:u w:val="none"/>
    </w:rPr>
  </w:style>
  <w:style w:type="character" w:styleId="48">
    <w:name w:val="annotation reference"/>
    <w:qFormat/>
    <w:uiPriority w:val="0"/>
    <w:rPr>
      <w:sz w:val="21"/>
      <w:szCs w:val="21"/>
    </w:rPr>
  </w:style>
  <w:style w:type="paragraph" w:customStyle="1" w:styleId="49">
    <w:name w:val="首行缩进"/>
    <w:basedOn w:val="1"/>
    <w:qFormat/>
    <w:uiPriority w:val="0"/>
    <w:pPr>
      <w:ind w:firstLine="480" w:firstLineChars="200"/>
    </w:pPr>
    <w:rPr>
      <w:lang w:val="zh-CN"/>
    </w:rPr>
  </w:style>
  <w:style w:type="paragraph" w:customStyle="1" w:styleId="50">
    <w:name w:val="正文缩进2格"/>
    <w:basedOn w:val="1"/>
    <w:link w:val="107"/>
    <w:qFormat/>
    <w:uiPriority w:val="0"/>
    <w:pPr>
      <w:spacing w:line="600" w:lineRule="exact"/>
      <w:ind w:firstLine="639" w:firstLineChars="206"/>
    </w:pPr>
    <w:rPr>
      <w:rFonts w:ascii="仿宋_GB2312" w:hAnsi="宋体" w:eastAsia="仿宋_GB2312"/>
      <w:sz w:val="31"/>
      <w:szCs w:val="28"/>
    </w:rPr>
  </w:style>
  <w:style w:type="paragraph" w:customStyle="1" w:styleId="51">
    <w:name w:val="列出段落1"/>
    <w:basedOn w:val="1"/>
    <w:link w:val="111"/>
    <w:qFormat/>
    <w:uiPriority w:val="34"/>
    <w:pPr>
      <w:ind w:firstLine="420" w:firstLineChars="200"/>
    </w:pPr>
    <w:rPr>
      <w:rFonts w:ascii="Calibri" w:hAnsi="Calibri"/>
    </w:rPr>
  </w:style>
  <w:style w:type="paragraph" w:customStyle="1" w:styleId="52">
    <w:name w:val="标书正文"/>
    <w:basedOn w:val="1"/>
    <w:link w:val="112"/>
    <w:qFormat/>
    <w:uiPriority w:val="0"/>
    <w:pPr>
      <w:adjustRightInd w:val="0"/>
      <w:snapToGrid w:val="0"/>
      <w:spacing w:beforeLines="50" w:line="360" w:lineRule="auto"/>
      <w:ind w:firstLine="200" w:firstLineChars="200"/>
    </w:pPr>
    <w:rPr>
      <w:rFonts w:ascii="Calibri" w:hAnsi="Calibri" w:eastAsia="仿宋"/>
      <w:sz w:val="24"/>
      <w:szCs w:val="21"/>
    </w:rPr>
  </w:style>
  <w:style w:type="paragraph" w:customStyle="1" w:styleId="53">
    <w:name w:val="吉奥正文"/>
    <w:basedOn w:val="1"/>
    <w:link w:val="121"/>
    <w:qFormat/>
    <w:uiPriority w:val="0"/>
    <w:pPr>
      <w:adjustRightInd w:val="0"/>
      <w:snapToGrid w:val="0"/>
      <w:spacing w:before="120" w:line="360" w:lineRule="auto"/>
      <w:ind w:firstLine="200" w:firstLineChars="200"/>
      <w:textAlignment w:val="baseline"/>
    </w:pPr>
    <w:rPr>
      <w:rFonts w:eastAsia="仿宋_GB2312"/>
      <w:sz w:val="28"/>
    </w:rPr>
  </w:style>
  <w:style w:type="paragraph" w:customStyle="1" w:styleId="54">
    <w:name w:val="标题 3.1"/>
    <w:basedOn w:val="6"/>
    <w:link w:val="128"/>
    <w:qFormat/>
    <w:uiPriority w:val="0"/>
    <w:pPr>
      <w:keepNext/>
      <w:keepLines/>
      <w:pageBreakBefore/>
      <w:tabs>
        <w:tab w:val="left" w:pos="1440"/>
        <w:tab w:val="left" w:pos="1620"/>
      </w:tabs>
      <w:adjustRightInd/>
      <w:spacing w:before="260" w:after="260" w:line="600" w:lineRule="exact"/>
      <w:jc w:val="both"/>
    </w:pPr>
    <w:rPr>
      <w:rFonts w:hAnsi="宋体" w:eastAsia="等线" w:cs="黑体"/>
      <w:b/>
      <w:bCs/>
      <w:kern w:val="2"/>
      <w:sz w:val="32"/>
      <w:szCs w:val="32"/>
    </w:rPr>
  </w:style>
  <w:style w:type="paragraph" w:customStyle="1" w:styleId="55">
    <w:name w:val="表头文字"/>
    <w:basedOn w:val="1"/>
    <w:link w:val="146"/>
    <w:qFormat/>
    <w:uiPriority w:val="0"/>
    <w:pPr>
      <w:adjustRightInd w:val="0"/>
      <w:snapToGrid w:val="0"/>
      <w:spacing w:before="120" w:line="360" w:lineRule="auto"/>
      <w:jc w:val="center"/>
      <w:textAlignment w:val="baseline"/>
    </w:pPr>
    <w:rPr>
      <w:rFonts w:eastAsia="仿宋_GB2312"/>
      <w:b/>
      <w:sz w:val="28"/>
      <w:szCs w:val="21"/>
    </w:rPr>
  </w:style>
  <w:style w:type="paragraph" w:customStyle="1" w:styleId="56">
    <w:name w:val="列出段落2"/>
    <w:basedOn w:val="1"/>
    <w:link w:val="166"/>
    <w:qFormat/>
    <w:uiPriority w:val="34"/>
    <w:pPr>
      <w:ind w:firstLine="420" w:firstLineChars="200"/>
    </w:pPr>
  </w:style>
  <w:style w:type="paragraph" w:customStyle="1" w:styleId="57">
    <w:name w:val="彩色列表 - 着色 11"/>
    <w:basedOn w:val="1"/>
    <w:link w:val="176"/>
    <w:qFormat/>
    <w:uiPriority w:val="0"/>
    <w:pPr>
      <w:ind w:firstLine="420" w:firstLineChars="200"/>
    </w:pPr>
    <w:rPr>
      <w:rFonts w:ascii="Calibri" w:hAnsi="Calibri"/>
    </w:rPr>
  </w:style>
  <w:style w:type="paragraph" w:customStyle="1" w:styleId="58">
    <w:name w:val="彩色列表 - 强调文字颜色 11"/>
    <w:basedOn w:val="1"/>
    <w:link w:val="194"/>
    <w:qFormat/>
    <w:uiPriority w:val="0"/>
    <w:pPr>
      <w:autoSpaceDE w:val="0"/>
      <w:autoSpaceDN w:val="0"/>
      <w:adjustRightInd w:val="0"/>
      <w:ind w:firstLine="420" w:firstLineChars="200"/>
      <w:jc w:val="left"/>
    </w:pPr>
    <w:rPr>
      <w:rFonts w:ascii="宋体"/>
      <w:sz w:val="24"/>
      <w:szCs w:val="24"/>
    </w:rPr>
  </w:style>
  <w:style w:type="paragraph" w:customStyle="1" w:styleId="59">
    <w:name w:val="_Style 123"/>
    <w:basedOn w:val="1"/>
    <w:next w:val="56"/>
    <w:qFormat/>
    <w:uiPriority w:val="34"/>
    <w:pPr>
      <w:spacing w:line="360" w:lineRule="auto"/>
      <w:ind w:firstLine="420" w:firstLineChars="200"/>
    </w:pPr>
    <w:rPr>
      <w:rFonts w:ascii="Calibri" w:hAnsi="Calibri" w:eastAsia="宋体" w:cs="Times New Roman"/>
    </w:rPr>
  </w:style>
  <w:style w:type="paragraph" w:customStyle="1" w:styleId="60">
    <w:name w:val="WPSOffice手动目录 3"/>
    <w:qFormat/>
    <w:uiPriority w:val="0"/>
    <w:pPr>
      <w:ind w:left="400" w:leftChars="400"/>
    </w:pPr>
    <w:rPr>
      <w:rFonts w:ascii="Calibri" w:hAnsi="Calibri" w:eastAsia="宋体" w:cs="Times New Roman"/>
      <w:lang w:val="en-US" w:eastAsia="zh-CN" w:bidi="ar-SA"/>
    </w:rPr>
  </w:style>
  <w:style w:type="paragraph" w:customStyle="1" w:styleId="61">
    <w:name w:val="列表段落1"/>
    <w:basedOn w:val="1"/>
    <w:qFormat/>
    <w:uiPriority w:val="0"/>
    <w:pPr>
      <w:ind w:firstLine="420" w:firstLineChars="200"/>
    </w:pPr>
    <w:rPr>
      <w:rFonts w:ascii="Times New Roman" w:hAnsi="Times New Roman" w:eastAsia="宋体" w:cs="Times New Roman"/>
      <w:szCs w:val="20"/>
    </w:rPr>
  </w:style>
  <w:style w:type="paragraph" w:customStyle="1" w:styleId="62">
    <w:name w:val="彩色底纹 - 强调文字颜色 11"/>
    <w:semiHidden/>
    <w:qFormat/>
    <w:uiPriority w:val="99"/>
    <w:rPr>
      <w:rFonts w:ascii="宋体" w:hAnsi="Calibri" w:eastAsia="宋体" w:cs="Times New Roman"/>
      <w:sz w:val="24"/>
      <w:szCs w:val="24"/>
      <w:lang w:val="en-US" w:eastAsia="zh-CN" w:bidi="ar-SA"/>
    </w:rPr>
  </w:style>
  <w:style w:type="paragraph" w:customStyle="1" w:styleId="63">
    <w:name w:val="d"/>
    <w:basedOn w:val="1"/>
    <w:qFormat/>
    <w:uiPriority w:val="0"/>
    <w:pPr>
      <w:overflowPunct w:val="0"/>
      <w:autoSpaceDE w:val="0"/>
      <w:autoSpaceDN w:val="0"/>
      <w:adjustRightInd w:val="0"/>
      <w:snapToGrid w:val="0"/>
      <w:spacing w:line="360" w:lineRule="auto"/>
      <w:ind w:firstLine="480" w:firstLineChars="200"/>
    </w:pPr>
    <w:rPr>
      <w:rFonts w:ascii="宋体" w:hAnsi="宋体" w:eastAsia="宋体" w:cs="Arial"/>
      <w:snapToGrid w:val="0"/>
      <w:kern w:val="0"/>
      <w:sz w:val="24"/>
      <w:szCs w:val="21"/>
    </w:rPr>
  </w:style>
  <w:style w:type="paragraph" w:customStyle="1" w:styleId="64">
    <w:name w:val="修订1"/>
    <w:semiHidden/>
    <w:qFormat/>
    <w:uiPriority w:val="99"/>
    <w:rPr>
      <w:rFonts w:ascii="宋体" w:hAnsi="Calibri" w:eastAsia="宋体" w:cs="Times New Roman"/>
      <w:sz w:val="24"/>
      <w:szCs w:val="24"/>
      <w:lang w:val="en-US" w:eastAsia="zh-CN" w:bidi="ar-SA"/>
    </w:rPr>
  </w:style>
  <w:style w:type="paragraph" w:customStyle="1" w:styleId="65">
    <w:name w:val="图/图注"/>
    <w:basedOn w:val="10"/>
    <w:qFormat/>
    <w:uiPriority w:val="0"/>
    <w:pPr>
      <w:wordWrap/>
      <w:adjustRightInd/>
      <w:spacing w:before="50"/>
      <w:ind w:firstLine="0" w:firstLineChars="0"/>
      <w:jc w:val="center"/>
    </w:pPr>
    <w:rPr>
      <w:rFonts w:ascii="Times New Roman" w:eastAsia="黑体"/>
      <w:b/>
      <w:sz w:val="21"/>
      <w:szCs w:val="22"/>
    </w:rPr>
  </w:style>
  <w:style w:type="paragraph" w:customStyle="1" w:styleId="66">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67">
    <w:name w:val="A."/>
    <w:basedOn w:val="1"/>
    <w:qFormat/>
    <w:uiPriority w:val="0"/>
    <w:pPr>
      <w:widowControl/>
      <w:tabs>
        <w:tab w:val="left" w:pos="859"/>
        <w:tab w:val="left" w:pos="1200"/>
      </w:tabs>
      <w:spacing w:before="240" w:line="240" w:lineRule="atLeast"/>
      <w:ind w:left="859" w:hanging="453"/>
    </w:pPr>
    <w:rPr>
      <w:rFonts w:ascii="Times New Roman" w:hAnsi="Times New Roman" w:eastAsia="宋体" w:cs="Times New Roman"/>
      <w:sz w:val="24"/>
      <w:szCs w:val="24"/>
    </w:rPr>
  </w:style>
  <w:style w:type="paragraph" w:customStyle="1" w:styleId="68">
    <w:name w:val="Pa8"/>
    <w:basedOn w:val="1"/>
    <w:next w:val="1"/>
    <w:qFormat/>
    <w:uiPriority w:val="99"/>
    <w:pPr>
      <w:autoSpaceDE w:val="0"/>
      <w:autoSpaceDN w:val="0"/>
      <w:adjustRightInd w:val="0"/>
      <w:spacing w:line="181" w:lineRule="atLeast"/>
      <w:jc w:val="left"/>
    </w:pPr>
    <w:rPr>
      <w:rFonts w:ascii="FrutigerNext LT Light" w:hAnsi="Calibri" w:eastAsia="FrutigerNext LT Light" w:cs="Times New Roman"/>
      <w:kern w:val="0"/>
      <w:sz w:val="24"/>
      <w:szCs w:val="24"/>
    </w:rPr>
  </w:style>
  <w:style w:type="paragraph" w:customStyle="1" w:styleId="69">
    <w:name w:val="p0"/>
    <w:basedOn w:val="1"/>
    <w:qFormat/>
    <w:uiPriority w:val="0"/>
    <w:pPr>
      <w:widowControl/>
    </w:pPr>
    <w:rPr>
      <w:rFonts w:ascii="Times New Roman" w:hAnsi="Calibri" w:eastAsia="宋体" w:cs="Times New Roman"/>
      <w:kern w:val="0"/>
      <w:szCs w:val="20"/>
    </w:rPr>
  </w:style>
  <w:style w:type="paragraph" w:customStyle="1" w:styleId="70">
    <w:name w:val="Char Char Char Char Char Char"/>
    <w:basedOn w:val="1"/>
    <w:qFormat/>
    <w:uiPriority w:val="0"/>
    <w:pPr>
      <w:widowControl/>
      <w:spacing w:after="160" w:line="240" w:lineRule="exact"/>
      <w:jc w:val="left"/>
    </w:pPr>
    <w:rPr>
      <w:rFonts w:ascii="Times New Roman" w:hAnsi="Times New Roman" w:eastAsia="宋体" w:cs="Times New Roman"/>
      <w:szCs w:val="24"/>
    </w:rPr>
  </w:style>
  <w:style w:type="paragraph" w:customStyle="1" w:styleId="71">
    <w:name w:val="Char"/>
    <w:basedOn w:val="1"/>
    <w:qFormat/>
    <w:uiPriority w:val="0"/>
    <w:pPr>
      <w:widowControl/>
      <w:spacing w:after="160" w:line="240" w:lineRule="exact"/>
      <w:jc w:val="center"/>
    </w:pPr>
    <w:rPr>
      <w:rFonts w:ascii="Times New Roman" w:hAnsi="Times New Roman" w:eastAsia="宋体" w:cs="Times New Roman"/>
      <w:szCs w:val="24"/>
    </w:rPr>
  </w:style>
  <w:style w:type="paragraph" w:customStyle="1" w:styleId="72">
    <w:name w:val="网格表 32"/>
    <w:basedOn w:val="4"/>
    <w:next w:val="1"/>
    <w:qFormat/>
    <w:uiPriority w:val="39"/>
    <w:pPr>
      <w:keepNext/>
      <w:keepLines/>
      <w:widowControl/>
      <w:adjustRightInd/>
      <w:spacing w:before="480" w:line="276" w:lineRule="auto"/>
      <w:outlineLvl w:val="9"/>
    </w:pPr>
    <w:rPr>
      <w:rFonts w:ascii="Cambria" w:hAnsi="Cambria"/>
      <w:b/>
      <w:bCs/>
      <w:color w:val="365F91"/>
      <w:sz w:val="28"/>
      <w:szCs w:val="28"/>
    </w:rPr>
  </w:style>
  <w:style w:type="paragraph" w:customStyle="1" w:styleId="73">
    <w:name w:val="WPSOffice手动目录 1"/>
    <w:qFormat/>
    <w:uiPriority w:val="0"/>
    <w:rPr>
      <w:rFonts w:ascii="Calibri" w:hAnsi="Calibri" w:eastAsia="宋体" w:cs="Times New Roman"/>
      <w:lang w:val="en-US" w:eastAsia="zh-CN" w:bidi="ar-SA"/>
    </w:rPr>
  </w:style>
  <w:style w:type="paragraph" w:customStyle="1" w:styleId="74">
    <w:name w:val="_Style 69"/>
    <w:basedOn w:val="1"/>
    <w:next w:val="56"/>
    <w:qFormat/>
    <w:uiPriority w:val="34"/>
    <w:pPr>
      <w:spacing w:line="360" w:lineRule="auto"/>
      <w:ind w:firstLine="420" w:firstLineChars="200"/>
    </w:pPr>
    <w:rPr>
      <w:rFonts w:ascii="Calibri" w:hAnsi="Calibri" w:eastAsia="宋体" w:cs="Times New Roman"/>
    </w:rPr>
  </w:style>
  <w:style w:type="paragraph" w:customStyle="1" w:styleId="75">
    <w:name w:val="中等深浅网格 21"/>
    <w:qFormat/>
    <w:uiPriority w:val="1"/>
    <w:pPr>
      <w:widowControl w:val="0"/>
      <w:jc w:val="both"/>
    </w:pPr>
    <w:rPr>
      <w:rFonts w:ascii="Calibri" w:hAnsi="Calibri" w:eastAsia="宋体" w:cs="Times New Roman"/>
      <w:kern w:val="2"/>
      <w:sz w:val="21"/>
      <w:szCs w:val="22"/>
      <w:lang w:val="en-US" w:eastAsia="zh-CN" w:bidi="ar-SA"/>
    </w:rPr>
  </w:style>
  <w:style w:type="paragraph" w:customStyle="1" w:styleId="76">
    <w:name w:val="保留正文"/>
    <w:basedOn w:val="20"/>
    <w:qFormat/>
    <w:uiPriority w:val="0"/>
    <w:pPr>
      <w:keepNext/>
      <w:adjustRightInd/>
      <w:spacing w:after="160"/>
      <w:ind w:right="0"/>
      <w:jc w:val="both"/>
    </w:pPr>
    <w:rPr>
      <w:rFonts w:ascii="Times New Roman"/>
      <w:b w:val="0"/>
      <w:bCs w:val="0"/>
      <w:sz w:val="21"/>
      <w:szCs w:val="24"/>
      <w:lang w:val="en-US"/>
    </w:rPr>
  </w:style>
  <w:style w:type="paragraph" w:customStyle="1" w:styleId="77">
    <w:name w:val="彩色底纹 - 着色 11"/>
    <w:semiHidden/>
    <w:qFormat/>
    <w:uiPriority w:val="99"/>
    <w:rPr>
      <w:rFonts w:ascii="宋体" w:hAnsi="Calibri" w:eastAsia="宋体" w:cs="Times New Roman"/>
      <w:sz w:val="24"/>
      <w:szCs w:val="24"/>
      <w:lang w:val="en-US" w:eastAsia="zh-CN" w:bidi="ar-SA"/>
    </w:rPr>
  </w:style>
  <w:style w:type="paragraph" w:customStyle="1" w:styleId="78">
    <w:name w:val="WPSOffice手动目录 2"/>
    <w:qFormat/>
    <w:uiPriority w:val="0"/>
    <w:pPr>
      <w:ind w:left="200" w:leftChars="200"/>
    </w:pPr>
    <w:rPr>
      <w:rFonts w:ascii="Calibri" w:hAnsi="Calibri" w:eastAsia="宋体" w:cs="Times New Roman"/>
      <w:lang w:val="en-US" w:eastAsia="zh-CN" w:bidi="ar-SA"/>
    </w:rPr>
  </w:style>
  <w:style w:type="paragraph" w:customStyle="1" w:styleId="79">
    <w:name w:val="网格表 31"/>
    <w:basedOn w:val="4"/>
    <w:next w:val="1"/>
    <w:unhideWhenUsed/>
    <w:qFormat/>
    <w:uiPriority w:val="39"/>
    <w:pPr>
      <w:keepNext/>
      <w:keepLines/>
      <w:widowControl/>
      <w:adjustRightInd/>
      <w:spacing w:before="480" w:line="276" w:lineRule="auto"/>
      <w:outlineLvl w:val="9"/>
    </w:pPr>
    <w:rPr>
      <w:rFonts w:ascii="Cambria" w:hAnsi="Cambria"/>
      <w:b/>
      <w:bCs/>
      <w:color w:val="365F91"/>
      <w:sz w:val="28"/>
      <w:szCs w:val="28"/>
    </w:rPr>
  </w:style>
  <w:style w:type="paragraph" w:customStyle="1" w:styleId="80">
    <w:name w:val="表格文字居中"/>
    <w:basedOn w:val="2"/>
    <w:qFormat/>
    <w:uiPriority w:val="0"/>
    <w:pPr>
      <w:jc w:val="center"/>
    </w:pPr>
    <w:rPr>
      <w:rFonts w:cs="宋体"/>
      <w:szCs w:val="20"/>
    </w:rPr>
  </w:style>
  <w:style w:type="paragraph" w:customStyle="1" w:styleId="81">
    <w:name w:val="正文缩进4格"/>
    <w:basedOn w:val="50"/>
    <w:qFormat/>
    <w:uiPriority w:val="0"/>
    <w:pPr>
      <w:spacing w:line="360" w:lineRule="auto"/>
      <w:ind w:left="964" w:leftChars="314" w:hanging="210" w:hangingChars="100"/>
    </w:pPr>
    <w:rPr>
      <w:rFonts w:ascii="宋体" w:eastAsia="宋体"/>
      <w:sz w:val="21"/>
      <w:szCs w:val="21"/>
      <w:lang w:val="zh-CN"/>
    </w:rPr>
  </w:style>
  <w:style w:type="paragraph" w:customStyle="1" w:styleId="82">
    <w:name w:val="版本说明标题"/>
    <w:basedOn w:val="1"/>
    <w:qFormat/>
    <w:uiPriority w:val="0"/>
    <w:pPr>
      <w:adjustRightInd w:val="0"/>
      <w:snapToGrid w:val="0"/>
      <w:spacing w:beforeLines="50" w:afterLines="50"/>
      <w:ind w:firstLine="560"/>
      <w:jc w:val="center"/>
      <w:textAlignment w:val="baseline"/>
    </w:pPr>
    <w:rPr>
      <w:rFonts w:ascii="Times New Roman" w:hAnsi="Calibri" w:eastAsia="仿宋_GB2312" w:cs="Times New Roman"/>
      <w:b/>
      <w:color w:val="000000"/>
      <w:sz w:val="28"/>
      <w:szCs w:val="28"/>
    </w:rPr>
  </w:style>
  <w:style w:type="paragraph" w:customStyle="1" w:styleId="83">
    <w:name w:val="修订2"/>
    <w:hidden/>
    <w:semiHidden/>
    <w:qFormat/>
    <w:uiPriority w:val="99"/>
    <w:rPr>
      <w:rFonts w:ascii="等线" w:hAnsi="等线" w:eastAsia="等线" w:cs="黑体"/>
      <w:kern w:val="2"/>
      <w:sz w:val="21"/>
      <w:szCs w:val="22"/>
      <w:lang w:val="en-US" w:eastAsia="zh-CN" w:bidi="ar-SA"/>
    </w:rPr>
  </w:style>
  <w:style w:type="paragraph" w:customStyle="1" w:styleId="84">
    <w:name w:val="修订3"/>
    <w:hidden/>
    <w:unhideWhenUsed/>
    <w:qFormat/>
    <w:uiPriority w:val="99"/>
    <w:rPr>
      <w:rFonts w:ascii="等线" w:hAnsi="等线" w:eastAsia="等线" w:cs="黑体"/>
      <w:kern w:val="2"/>
      <w:sz w:val="21"/>
      <w:szCs w:val="22"/>
      <w:lang w:val="en-US" w:eastAsia="zh-CN" w:bidi="ar-SA"/>
    </w:rPr>
  </w:style>
  <w:style w:type="paragraph" w:customStyle="1" w:styleId="85">
    <w:name w:val="修订4"/>
    <w:hidden/>
    <w:unhideWhenUsed/>
    <w:qFormat/>
    <w:uiPriority w:val="99"/>
    <w:rPr>
      <w:rFonts w:ascii="等线" w:hAnsi="等线" w:eastAsia="等线" w:cs="黑体"/>
      <w:kern w:val="2"/>
      <w:sz w:val="21"/>
      <w:szCs w:val="22"/>
      <w:lang w:val="en-US" w:eastAsia="zh-CN" w:bidi="ar-SA"/>
    </w:rPr>
  </w:style>
  <w:style w:type="paragraph" w:customStyle="1" w:styleId="86">
    <w:name w:val="修订5"/>
    <w:hidden/>
    <w:unhideWhenUsed/>
    <w:qFormat/>
    <w:uiPriority w:val="99"/>
    <w:rPr>
      <w:rFonts w:ascii="等线" w:hAnsi="等线" w:eastAsia="等线" w:cs="黑体"/>
      <w:kern w:val="2"/>
      <w:sz w:val="21"/>
      <w:szCs w:val="22"/>
      <w:lang w:val="en-US" w:eastAsia="zh-CN" w:bidi="ar-SA"/>
    </w:rPr>
  </w:style>
  <w:style w:type="paragraph" w:customStyle="1" w:styleId="87">
    <w:name w:val="列出段落21"/>
    <w:basedOn w:val="1"/>
    <w:qFormat/>
    <w:uiPriority w:val="0"/>
    <w:pPr>
      <w:ind w:firstLine="420" w:firstLineChars="200"/>
    </w:pPr>
    <w:rPr>
      <w:rFonts w:ascii="Calibri" w:hAnsi="Calibri" w:eastAsia="宋体" w:cs="Times New Roman"/>
    </w:rPr>
  </w:style>
  <w:style w:type="paragraph" w:customStyle="1" w:styleId="88">
    <w:name w:val="修订6"/>
    <w:hidden/>
    <w:semiHidden/>
    <w:qFormat/>
    <w:uiPriority w:val="99"/>
    <w:rPr>
      <w:rFonts w:ascii="等线" w:hAnsi="等线" w:eastAsia="等线" w:cs="黑体"/>
      <w:kern w:val="2"/>
      <w:sz w:val="21"/>
      <w:szCs w:val="22"/>
      <w:lang w:val="en-US" w:eastAsia="zh-CN" w:bidi="ar-SA"/>
    </w:rPr>
  </w:style>
  <w:style w:type="paragraph" w:customStyle="1" w:styleId="89">
    <w:name w:val="列表段落2"/>
    <w:basedOn w:val="1"/>
    <w:unhideWhenUsed/>
    <w:qFormat/>
    <w:uiPriority w:val="99"/>
    <w:pPr>
      <w:ind w:firstLine="420" w:firstLineChars="200"/>
    </w:pPr>
  </w:style>
  <w:style w:type="paragraph" w:customStyle="1" w:styleId="90">
    <w:name w:val="修订7"/>
    <w:hidden/>
    <w:unhideWhenUsed/>
    <w:qFormat/>
    <w:uiPriority w:val="99"/>
    <w:rPr>
      <w:rFonts w:ascii="等线" w:hAnsi="等线" w:eastAsia="等线" w:cs="黑体"/>
      <w:kern w:val="2"/>
      <w:sz w:val="21"/>
      <w:szCs w:val="22"/>
      <w:lang w:val="en-US" w:eastAsia="zh-CN" w:bidi="ar-SA"/>
    </w:rPr>
  </w:style>
  <w:style w:type="paragraph" w:customStyle="1" w:styleId="91">
    <w:name w:val="修订8"/>
    <w:hidden/>
    <w:unhideWhenUsed/>
    <w:qFormat/>
    <w:uiPriority w:val="99"/>
    <w:rPr>
      <w:rFonts w:ascii="等线" w:hAnsi="等线" w:eastAsia="等线" w:cs="黑体"/>
      <w:kern w:val="2"/>
      <w:sz w:val="21"/>
      <w:szCs w:val="22"/>
      <w:lang w:val="en-US" w:eastAsia="zh-CN" w:bidi="ar-SA"/>
    </w:rPr>
  </w:style>
  <w:style w:type="character" w:customStyle="1" w:styleId="92">
    <w:name w:val="标题 1 字符"/>
    <w:basedOn w:val="43"/>
    <w:qFormat/>
    <w:uiPriority w:val="0"/>
    <w:rPr>
      <w:b/>
      <w:bCs/>
      <w:kern w:val="44"/>
      <w:sz w:val="44"/>
      <w:szCs w:val="44"/>
    </w:rPr>
  </w:style>
  <w:style w:type="character" w:customStyle="1" w:styleId="93">
    <w:name w:val="标题 2 Char"/>
    <w:basedOn w:val="43"/>
    <w:link w:val="5"/>
    <w:qFormat/>
    <w:uiPriority w:val="0"/>
    <w:rPr>
      <w:rFonts w:ascii="宋体" w:hAnsi="Calibri"/>
      <w:sz w:val="24"/>
      <w:szCs w:val="24"/>
    </w:rPr>
  </w:style>
  <w:style w:type="character" w:customStyle="1" w:styleId="94">
    <w:name w:val="标题 3 字符"/>
    <w:basedOn w:val="43"/>
    <w:qFormat/>
    <w:uiPriority w:val="0"/>
    <w:rPr>
      <w:b/>
      <w:bCs/>
      <w:sz w:val="32"/>
      <w:szCs w:val="32"/>
    </w:rPr>
  </w:style>
  <w:style w:type="character" w:customStyle="1" w:styleId="95">
    <w:name w:val="标题 4 Char1"/>
    <w:basedOn w:val="43"/>
    <w:link w:val="7"/>
    <w:qFormat/>
    <w:uiPriority w:val="9"/>
    <w:rPr>
      <w:rFonts w:ascii="Arial" w:hAnsi="Arial" w:eastAsia="黑体" w:cs="Times New Roman"/>
      <w:b/>
      <w:bCs/>
      <w:kern w:val="0"/>
      <w:sz w:val="28"/>
      <w:szCs w:val="28"/>
    </w:rPr>
  </w:style>
  <w:style w:type="character" w:customStyle="1" w:styleId="96">
    <w:name w:val="标题 5 字符"/>
    <w:basedOn w:val="43"/>
    <w:qFormat/>
    <w:uiPriority w:val="9"/>
    <w:rPr>
      <w:b/>
      <w:bCs/>
      <w:sz w:val="28"/>
      <w:szCs w:val="28"/>
    </w:rPr>
  </w:style>
  <w:style w:type="character" w:customStyle="1" w:styleId="97">
    <w:name w:val="标题 6 字符"/>
    <w:basedOn w:val="43"/>
    <w:qFormat/>
    <w:uiPriority w:val="0"/>
    <w:rPr>
      <w:rFonts w:ascii="等线 Light" w:hAnsi="等线 Light" w:eastAsia="等线 Light" w:cs="黑体"/>
      <w:b/>
      <w:bCs/>
      <w:sz w:val="24"/>
      <w:szCs w:val="24"/>
    </w:rPr>
  </w:style>
  <w:style w:type="character" w:customStyle="1" w:styleId="98">
    <w:name w:val="标题 7 Char"/>
    <w:basedOn w:val="43"/>
    <w:link w:val="11"/>
    <w:qFormat/>
    <w:uiPriority w:val="9"/>
    <w:rPr>
      <w:rFonts w:ascii="Times New Roman" w:hAnsi="Calibri" w:eastAsia="黑体" w:cs="Times New Roman"/>
      <w:b/>
      <w:bCs/>
      <w:kern w:val="0"/>
      <w:sz w:val="28"/>
      <w:szCs w:val="24"/>
    </w:rPr>
  </w:style>
  <w:style w:type="character" w:customStyle="1" w:styleId="99">
    <w:name w:val="标题 8 Char"/>
    <w:basedOn w:val="43"/>
    <w:link w:val="12"/>
    <w:qFormat/>
    <w:uiPriority w:val="9"/>
    <w:rPr>
      <w:rFonts w:ascii="Times New Roman" w:hAnsi="Calibri" w:eastAsia="黑体" w:cs="Times New Roman"/>
      <w:b/>
      <w:kern w:val="0"/>
      <w:sz w:val="28"/>
      <w:szCs w:val="24"/>
    </w:rPr>
  </w:style>
  <w:style w:type="character" w:customStyle="1" w:styleId="100">
    <w:name w:val="标题 9 Char"/>
    <w:basedOn w:val="43"/>
    <w:link w:val="13"/>
    <w:qFormat/>
    <w:uiPriority w:val="9"/>
    <w:rPr>
      <w:rFonts w:ascii="Times New Roman" w:hAnsi="Calibri" w:eastAsia="黑体" w:cs="Times New Roman"/>
      <w:b/>
      <w:kern w:val="0"/>
      <w:sz w:val="28"/>
      <w:szCs w:val="24"/>
    </w:rPr>
  </w:style>
  <w:style w:type="character" w:customStyle="1" w:styleId="101">
    <w:name w:val="正文文本缩进 字符"/>
    <w:qFormat/>
    <w:uiPriority w:val="0"/>
    <w:rPr>
      <w:rFonts w:ascii="Times New Roman" w:hAnsi="Times New Roman" w:eastAsia="宋体" w:cs="Times New Roman"/>
      <w:szCs w:val="20"/>
    </w:rPr>
  </w:style>
  <w:style w:type="character" w:customStyle="1" w:styleId="102">
    <w:name w:val="普通(网站) Char"/>
    <w:qFormat/>
    <w:locked/>
    <w:uiPriority w:val="0"/>
    <w:rPr>
      <w:rFonts w:ascii="宋体" w:hAnsi="宋体"/>
      <w:sz w:val="15"/>
      <w:szCs w:val="15"/>
    </w:rPr>
  </w:style>
  <w:style w:type="character" w:customStyle="1" w:styleId="103">
    <w:name w:val="标题 Char"/>
    <w:link w:val="38"/>
    <w:qFormat/>
    <w:uiPriority w:val="10"/>
    <w:rPr>
      <w:rFonts w:ascii="等线 Light" w:hAnsi="等线 Light" w:eastAsia="仿宋"/>
      <w:b/>
      <w:bCs/>
      <w:sz w:val="28"/>
      <w:szCs w:val="32"/>
    </w:rPr>
  </w:style>
  <w:style w:type="character" w:customStyle="1" w:styleId="104">
    <w:name w:val="日期 Char"/>
    <w:semiHidden/>
    <w:qFormat/>
    <w:uiPriority w:val="99"/>
    <w:rPr>
      <w:kern w:val="2"/>
      <w:sz w:val="21"/>
    </w:rPr>
  </w:style>
  <w:style w:type="character" w:customStyle="1" w:styleId="105">
    <w:name w:val="文档结构图 字符1"/>
    <w:semiHidden/>
    <w:qFormat/>
    <w:uiPriority w:val="99"/>
    <w:rPr>
      <w:rFonts w:ascii="Microsoft YaHei UI" w:hAnsi="Calibri" w:eastAsia="Microsoft YaHei UI" w:cs="Times New Roman"/>
      <w:kern w:val="0"/>
      <w:sz w:val="18"/>
      <w:szCs w:val="18"/>
    </w:rPr>
  </w:style>
  <w:style w:type="character" w:customStyle="1" w:styleId="106">
    <w:name w:val="批注文字 Char"/>
    <w:semiHidden/>
    <w:qFormat/>
    <w:uiPriority w:val="99"/>
    <w:rPr>
      <w:kern w:val="2"/>
      <w:sz w:val="21"/>
    </w:rPr>
  </w:style>
  <w:style w:type="character" w:customStyle="1" w:styleId="107">
    <w:name w:val="正文缩进2格 Char"/>
    <w:link w:val="50"/>
    <w:qFormat/>
    <w:uiPriority w:val="0"/>
    <w:rPr>
      <w:rFonts w:ascii="仿宋_GB2312" w:hAnsi="宋体" w:eastAsia="仿宋_GB2312"/>
      <w:sz w:val="31"/>
      <w:szCs w:val="28"/>
    </w:rPr>
  </w:style>
  <w:style w:type="character" w:customStyle="1" w:styleId="108">
    <w:name w:val="批注文字 字符"/>
    <w:qFormat/>
    <w:uiPriority w:val="0"/>
    <w:rPr>
      <w:rFonts w:ascii="Times New Roman" w:hAnsi="Times New Roman"/>
      <w:kern w:val="2"/>
      <w:sz w:val="24"/>
      <w:szCs w:val="24"/>
    </w:rPr>
  </w:style>
  <w:style w:type="character" w:customStyle="1" w:styleId="109">
    <w:name w:val="正文文本缩进 Char"/>
    <w:qFormat/>
    <w:uiPriority w:val="0"/>
    <w:rPr>
      <w:rFonts w:ascii="Times New Roman" w:hAnsi="Times New Roman" w:eastAsia="宋体" w:cs="Times New Roman"/>
      <w:szCs w:val="20"/>
      <w:lang w:val="en-US" w:eastAsia="zh-CN"/>
    </w:rPr>
  </w:style>
  <w:style w:type="character" w:customStyle="1" w:styleId="110">
    <w:name w:val="批注框文本 字符1"/>
    <w:semiHidden/>
    <w:qFormat/>
    <w:uiPriority w:val="99"/>
    <w:rPr>
      <w:rFonts w:ascii="宋体" w:hAnsi="Calibri" w:eastAsia="宋体" w:cs="Times New Roman"/>
      <w:kern w:val="0"/>
      <w:sz w:val="18"/>
      <w:szCs w:val="18"/>
    </w:rPr>
  </w:style>
  <w:style w:type="character" w:customStyle="1" w:styleId="111">
    <w:name w:val="List Paragraph Char"/>
    <w:link w:val="51"/>
    <w:qFormat/>
    <w:uiPriority w:val="34"/>
    <w:rPr>
      <w:rFonts w:ascii="Calibri" w:hAnsi="Calibri"/>
    </w:rPr>
  </w:style>
  <w:style w:type="character" w:customStyle="1" w:styleId="112">
    <w:name w:val="标书正文 字符"/>
    <w:link w:val="52"/>
    <w:qFormat/>
    <w:uiPriority w:val="0"/>
    <w:rPr>
      <w:rFonts w:ascii="Calibri" w:hAnsi="Calibri" w:eastAsia="仿宋"/>
      <w:sz w:val="24"/>
      <w:szCs w:val="21"/>
    </w:rPr>
  </w:style>
  <w:style w:type="character" w:customStyle="1" w:styleId="113">
    <w:name w:val="正文文本 字符"/>
    <w:semiHidden/>
    <w:qFormat/>
    <w:uiPriority w:val="99"/>
    <w:rPr>
      <w:rFonts w:ascii="Times New Roman" w:hAnsi="Times New Roman"/>
      <w:kern w:val="2"/>
      <w:sz w:val="24"/>
      <w:szCs w:val="24"/>
    </w:rPr>
  </w:style>
  <w:style w:type="character" w:customStyle="1" w:styleId="114">
    <w:name w:val="页脚 Char"/>
    <w:qFormat/>
    <w:uiPriority w:val="0"/>
    <w:rPr>
      <w:kern w:val="2"/>
      <w:sz w:val="18"/>
      <w:szCs w:val="18"/>
    </w:rPr>
  </w:style>
  <w:style w:type="character" w:customStyle="1" w:styleId="115">
    <w:name w:val="neir1"/>
    <w:qFormat/>
    <w:uiPriority w:val="0"/>
    <w:rPr>
      <w:rFonts w:hint="default" w:ascii="ˎ̥" w:hAnsi="ˎ̥"/>
      <w:color w:val="333333"/>
      <w:sz w:val="21"/>
      <w:szCs w:val="21"/>
      <w:u w:val="none"/>
    </w:rPr>
  </w:style>
  <w:style w:type="character" w:customStyle="1" w:styleId="116">
    <w:name w:val="批注框文本 Char1"/>
    <w:link w:val="28"/>
    <w:qFormat/>
    <w:uiPriority w:val="0"/>
    <w:rPr>
      <w:rFonts w:ascii="Times New Roman" w:hAnsi="Times New Roman" w:eastAsia="宋体" w:cs="Times New Roman"/>
      <w:sz w:val="18"/>
      <w:szCs w:val="18"/>
    </w:rPr>
  </w:style>
  <w:style w:type="character" w:customStyle="1" w:styleId="117">
    <w:name w:val="正文文本 3 字符1"/>
    <w:semiHidden/>
    <w:qFormat/>
    <w:uiPriority w:val="99"/>
    <w:rPr>
      <w:rFonts w:ascii="宋体" w:hAnsi="Calibri" w:eastAsia="宋体" w:cs="Times New Roman"/>
      <w:kern w:val="0"/>
      <w:sz w:val="16"/>
      <w:szCs w:val="16"/>
    </w:rPr>
  </w:style>
  <w:style w:type="character" w:customStyle="1" w:styleId="118">
    <w:name w:val="正文文本 字符3"/>
    <w:semiHidden/>
    <w:qFormat/>
    <w:uiPriority w:val="99"/>
    <w:rPr>
      <w:rFonts w:ascii="宋体" w:hAnsi="Calibri" w:eastAsia="宋体" w:cs="Times New Roman"/>
      <w:kern w:val="0"/>
      <w:sz w:val="24"/>
      <w:szCs w:val="24"/>
    </w:rPr>
  </w:style>
  <w:style w:type="character" w:customStyle="1" w:styleId="119">
    <w:name w:val="日期 字符1"/>
    <w:semiHidden/>
    <w:qFormat/>
    <w:uiPriority w:val="99"/>
    <w:rPr>
      <w:rFonts w:ascii="宋体" w:hAnsi="Calibri" w:eastAsia="宋体" w:cs="Times New Roman"/>
      <w:kern w:val="0"/>
      <w:sz w:val="24"/>
      <w:szCs w:val="24"/>
    </w:rPr>
  </w:style>
  <w:style w:type="character" w:customStyle="1" w:styleId="120">
    <w:name w:val="页脚 Char2"/>
    <w:link w:val="29"/>
    <w:qFormat/>
    <w:uiPriority w:val="99"/>
    <w:rPr>
      <w:rFonts w:ascii="宋体" w:eastAsia="宋体"/>
      <w:sz w:val="18"/>
      <w:szCs w:val="18"/>
    </w:rPr>
  </w:style>
  <w:style w:type="character" w:customStyle="1" w:styleId="121">
    <w:name w:val="吉奥正文 Char"/>
    <w:link w:val="53"/>
    <w:qFormat/>
    <w:locked/>
    <w:uiPriority w:val="0"/>
    <w:rPr>
      <w:rFonts w:eastAsia="仿宋_GB2312"/>
      <w:sz w:val="28"/>
    </w:rPr>
  </w:style>
  <w:style w:type="character" w:customStyle="1" w:styleId="122">
    <w:name w:val="页脚 Char1"/>
    <w:qFormat/>
    <w:uiPriority w:val="99"/>
    <w:rPr>
      <w:rFonts w:ascii="宋体" w:hAnsi="Times New Roman" w:eastAsia="宋体" w:cs="Times New Roman"/>
      <w:kern w:val="0"/>
      <w:sz w:val="18"/>
      <w:szCs w:val="18"/>
    </w:rPr>
  </w:style>
  <w:style w:type="character" w:customStyle="1" w:styleId="123">
    <w:name w:val="标题 字符"/>
    <w:qFormat/>
    <w:uiPriority w:val="10"/>
    <w:rPr>
      <w:rFonts w:ascii="Cambria" w:hAnsi="Cambria" w:eastAsia="宋体" w:cs="Times New Roman"/>
      <w:b/>
      <w:bCs/>
      <w:kern w:val="0"/>
      <w:sz w:val="32"/>
      <w:szCs w:val="32"/>
      <w:lang w:val="en-US" w:eastAsia="zh-CN"/>
    </w:rPr>
  </w:style>
  <w:style w:type="character" w:customStyle="1" w:styleId="124">
    <w:name w:val="题注 Char"/>
    <w:link w:val="15"/>
    <w:qFormat/>
    <w:uiPriority w:val="0"/>
    <w:rPr>
      <w:rFonts w:ascii="Arial" w:hAnsi="Arial" w:eastAsia="黑体" w:cs="Arial"/>
    </w:rPr>
  </w:style>
  <w:style w:type="character" w:customStyle="1" w:styleId="125">
    <w:name w:val="批注文字 字符2"/>
    <w:qFormat/>
    <w:uiPriority w:val="99"/>
    <w:rPr>
      <w:rFonts w:ascii="宋体" w:hAnsi="Times New Roman" w:eastAsia="宋体" w:cs="Times New Roman"/>
      <w:kern w:val="0"/>
      <w:sz w:val="24"/>
      <w:szCs w:val="24"/>
    </w:rPr>
  </w:style>
  <w:style w:type="character" w:customStyle="1" w:styleId="126">
    <w:name w:val="批注主题 字符1"/>
    <w:semiHidden/>
    <w:qFormat/>
    <w:uiPriority w:val="99"/>
    <w:rPr>
      <w:rFonts w:ascii="宋体" w:hAnsi="Calibri" w:eastAsia="宋体" w:cs="Times New Roman"/>
      <w:b/>
      <w:bCs/>
      <w:kern w:val="0"/>
      <w:sz w:val="24"/>
      <w:szCs w:val="24"/>
    </w:rPr>
  </w:style>
  <w:style w:type="character" w:customStyle="1" w:styleId="127">
    <w:name w:val="HTML 预设格式 Char"/>
    <w:link w:val="36"/>
    <w:qFormat/>
    <w:uiPriority w:val="99"/>
    <w:rPr>
      <w:rFonts w:ascii="Arial" w:hAnsi="Arial" w:eastAsia="宋体" w:cs="Arial"/>
      <w:szCs w:val="21"/>
    </w:rPr>
  </w:style>
  <w:style w:type="character" w:customStyle="1" w:styleId="128">
    <w:name w:val="标题 3.1 Char"/>
    <w:link w:val="54"/>
    <w:qFormat/>
    <w:uiPriority w:val="0"/>
    <w:rPr>
      <w:rFonts w:ascii="宋体" w:hAnsi="宋体"/>
      <w:b/>
      <w:bCs/>
      <w:sz w:val="32"/>
      <w:szCs w:val="32"/>
    </w:rPr>
  </w:style>
  <w:style w:type="character" w:customStyle="1" w:styleId="129">
    <w:name w:val="HTML 预设格式 Char1"/>
    <w:semiHidden/>
    <w:qFormat/>
    <w:uiPriority w:val="99"/>
    <w:rPr>
      <w:rFonts w:ascii="Courier New" w:hAnsi="Courier New" w:eastAsia="宋体" w:cs="Courier New"/>
      <w:kern w:val="0"/>
      <w:sz w:val="20"/>
      <w:szCs w:val="20"/>
    </w:rPr>
  </w:style>
  <w:style w:type="character" w:customStyle="1" w:styleId="130">
    <w:name w:val="批注文字 字符1"/>
    <w:qFormat/>
    <w:uiPriority w:val="0"/>
    <w:rPr>
      <w:rFonts w:eastAsia="宋体"/>
      <w:kern w:val="2"/>
      <w:sz w:val="24"/>
      <w:szCs w:val="24"/>
      <w:lang w:val="en-US" w:eastAsia="zh-CN" w:bidi="ar-SA"/>
    </w:rPr>
  </w:style>
  <w:style w:type="character" w:customStyle="1" w:styleId="131">
    <w:name w:val="正文文本缩进 字符2"/>
    <w:semiHidden/>
    <w:qFormat/>
    <w:uiPriority w:val="99"/>
    <w:rPr>
      <w:rFonts w:ascii="宋体" w:hAnsi="Calibri" w:eastAsia="宋体" w:cs="Times New Roman"/>
      <w:kern w:val="0"/>
      <w:sz w:val="24"/>
      <w:szCs w:val="24"/>
    </w:rPr>
  </w:style>
  <w:style w:type="character" w:customStyle="1" w:styleId="132">
    <w:name w:val="正文文本缩进 Char1"/>
    <w:link w:val="21"/>
    <w:qFormat/>
    <w:uiPriority w:val="0"/>
    <w:rPr>
      <w:rFonts w:ascii="Times New Roman" w:hAnsi="Times New Roman" w:eastAsia="宋体" w:cs="Times New Roman"/>
      <w:szCs w:val="20"/>
    </w:rPr>
  </w:style>
  <w:style w:type="character" w:customStyle="1" w:styleId="133">
    <w:name w:val="普通(网站) Char1"/>
    <w:link w:val="37"/>
    <w:qFormat/>
    <w:locked/>
    <w:uiPriority w:val="0"/>
    <w:rPr>
      <w:rFonts w:ascii="宋体" w:hAnsi="宋体"/>
      <w:sz w:val="15"/>
      <w:szCs w:val="15"/>
    </w:rPr>
  </w:style>
  <w:style w:type="character" w:customStyle="1" w:styleId="134">
    <w:name w:val="模板正文 Char"/>
    <w:link w:val="10"/>
    <w:qFormat/>
    <w:uiPriority w:val="0"/>
    <w:rPr>
      <w:rFonts w:ascii="宋体" w:eastAsia="仿宋"/>
      <w:sz w:val="24"/>
      <w:szCs w:val="21"/>
    </w:rPr>
  </w:style>
  <w:style w:type="character" w:customStyle="1" w:styleId="135">
    <w:name w:val="批注主题 Char"/>
    <w:semiHidden/>
    <w:qFormat/>
    <w:uiPriority w:val="99"/>
    <w:rPr>
      <w:b/>
      <w:bCs/>
      <w:kern w:val="2"/>
      <w:sz w:val="21"/>
    </w:rPr>
  </w:style>
  <w:style w:type="character" w:customStyle="1" w:styleId="136">
    <w:name w:val="正文文本 Char1"/>
    <w:qFormat/>
    <w:uiPriority w:val="0"/>
    <w:rPr>
      <w:rFonts w:ascii="宋体" w:hAnsi="Times New Roman" w:eastAsia="宋体" w:cs="Times New Roman"/>
      <w:kern w:val="0"/>
      <w:sz w:val="24"/>
      <w:szCs w:val="24"/>
    </w:rPr>
  </w:style>
  <w:style w:type="character" w:customStyle="1" w:styleId="137">
    <w:name w:val="正文文本 字符1"/>
    <w:qFormat/>
    <w:uiPriority w:val="99"/>
    <w:rPr>
      <w:rFonts w:ascii="宋体" w:eastAsia="宋体"/>
      <w:b/>
      <w:bCs/>
      <w:sz w:val="84"/>
      <w:szCs w:val="84"/>
      <w:lang w:val="zh-CN"/>
    </w:rPr>
  </w:style>
  <w:style w:type="character" w:customStyle="1" w:styleId="138">
    <w:name w:val="标题 1 Char"/>
    <w:qFormat/>
    <w:uiPriority w:val="9"/>
    <w:rPr>
      <w:rFonts w:ascii="宋体" w:hAnsi="Times New Roman" w:eastAsia="宋体" w:cs="Times New Roman"/>
      <w:kern w:val="0"/>
      <w:sz w:val="24"/>
      <w:szCs w:val="24"/>
    </w:rPr>
  </w:style>
  <w:style w:type="character" w:customStyle="1" w:styleId="139">
    <w:name w:val="正文文本 Char2"/>
    <w:qFormat/>
    <w:uiPriority w:val="99"/>
    <w:rPr>
      <w:rFonts w:ascii="宋体" w:eastAsia="宋体"/>
      <w:b/>
      <w:bCs/>
      <w:sz w:val="84"/>
      <w:szCs w:val="84"/>
      <w:lang w:val="zh-CN"/>
    </w:rPr>
  </w:style>
  <w:style w:type="character" w:customStyle="1" w:styleId="140">
    <w:name w:val="纯文本 Char2"/>
    <w:link w:val="25"/>
    <w:qFormat/>
    <w:uiPriority w:val="0"/>
    <w:rPr>
      <w:rFonts w:ascii="宋体" w:hAnsi="Courier New" w:eastAsia="宋体"/>
    </w:rPr>
  </w:style>
  <w:style w:type="character" w:customStyle="1" w:styleId="141">
    <w:name w:val="正文文本缩进 2 Char"/>
    <w:link w:val="27"/>
    <w:qFormat/>
    <w:uiPriority w:val="0"/>
    <w:rPr>
      <w:rFonts w:ascii="宋体" w:hAnsi="Times New Roman" w:eastAsia="宋体" w:cs="Times New Roman"/>
      <w:szCs w:val="20"/>
    </w:rPr>
  </w:style>
  <w:style w:type="character" w:customStyle="1" w:styleId="142">
    <w:name w:val="HTML Markup"/>
    <w:qFormat/>
    <w:uiPriority w:val="0"/>
    <w:rPr>
      <w:vanish/>
      <w:color w:val="FF0000"/>
    </w:rPr>
  </w:style>
  <w:style w:type="character" w:customStyle="1" w:styleId="143">
    <w:name w:val="页眉 Char1"/>
    <w:qFormat/>
    <w:uiPriority w:val="0"/>
    <w:rPr>
      <w:rFonts w:ascii="宋体" w:hAnsi="Times New Roman" w:eastAsia="宋体" w:cs="Times New Roman"/>
      <w:kern w:val="0"/>
      <w:sz w:val="18"/>
      <w:szCs w:val="18"/>
    </w:rPr>
  </w:style>
  <w:style w:type="character" w:customStyle="1" w:styleId="144">
    <w:name w:val="font11"/>
    <w:qFormat/>
    <w:uiPriority w:val="0"/>
    <w:rPr>
      <w:rFonts w:hint="eastAsia" w:ascii="宋体" w:hAnsi="宋体" w:eastAsia="宋体" w:cs="宋体"/>
      <w:color w:val="FF0000"/>
      <w:sz w:val="22"/>
      <w:szCs w:val="22"/>
      <w:u w:val="none"/>
    </w:rPr>
  </w:style>
  <w:style w:type="character" w:customStyle="1" w:styleId="145">
    <w:name w:val="style61"/>
    <w:qFormat/>
    <w:uiPriority w:val="0"/>
    <w:rPr>
      <w:b/>
      <w:bCs/>
    </w:rPr>
  </w:style>
  <w:style w:type="character" w:customStyle="1" w:styleId="146">
    <w:name w:val="表头文字 Char"/>
    <w:link w:val="55"/>
    <w:qFormat/>
    <w:uiPriority w:val="0"/>
    <w:rPr>
      <w:rFonts w:eastAsia="仿宋_GB2312"/>
      <w:b/>
      <w:sz w:val="28"/>
      <w:szCs w:val="21"/>
    </w:rPr>
  </w:style>
  <w:style w:type="character" w:customStyle="1" w:styleId="147">
    <w:name w:val="日期 Char1"/>
    <w:link w:val="26"/>
    <w:qFormat/>
    <w:uiPriority w:val="99"/>
    <w:rPr>
      <w:rFonts w:ascii="宋体" w:hAnsi="Times New Roman" w:eastAsia="宋体" w:cs="Times New Roman"/>
      <w:b/>
      <w:bCs/>
      <w:szCs w:val="21"/>
      <w:lang w:val="zh-CN"/>
    </w:rPr>
  </w:style>
  <w:style w:type="character" w:customStyle="1" w:styleId="148">
    <w:name w:val="纯文本 Char1"/>
    <w:qFormat/>
    <w:uiPriority w:val="0"/>
    <w:rPr>
      <w:rFonts w:ascii="宋体" w:hAnsi="Courier New" w:eastAsia="宋体" w:cs="Courier New"/>
      <w:kern w:val="0"/>
      <w:szCs w:val="21"/>
    </w:rPr>
  </w:style>
  <w:style w:type="character" w:customStyle="1" w:styleId="149">
    <w:name w:val="批注主题 Char1"/>
    <w:link w:val="39"/>
    <w:qFormat/>
    <w:uiPriority w:val="99"/>
    <w:rPr>
      <w:rFonts w:ascii="宋体" w:hAnsi="Times New Roman" w:eastAsia="宋体" w:cs="Times New Roman"/>
      <w:b/>
      <w:bCs/>
      <w:kern w:val="0"/>
      <w:sz w:val="24"/>
      <w:szCs w:val="24"/>
    </w:rPr>
  </w:style>
  <w:style w:type="character" w:customStyle="1" w:styleId="150">
    <w:name w:val="纯文本 字符"/>
    <w:qFormat/>
    <w:uiPriority w:val="99"/>
    <w:rPr>
      <w:rFonts w:ascii="宋体" w:hAnsi="Courier New" w:eastAsia="宋体" w:cs="Times New Roman"/>
      <w:szCs w:val="20"/>
      <w:lang w:val="en-US" w:eastAsia="zh-CN"/>
    </w:rPr>
  </w:style>
  <w:style w:type="character" w:customStyle="1" w:styleId="151">
    <w:name w:val="font71"/>
    <w:qFormat/>
    <w:uiPriority w:val="0"/>
    <w:rPr>
      <w:rFonts w:hint="eastAsia" w:ascii="宋体" w:hAnsi="宋体" w:eastAsia="宋体" w:cs="宋体"/>
      <w:color w:val="FF0000"/>
      <w:sz w:val="18"/>
      <w:szCs w:val="18"/>
      <w:u w:val="none"/>
    </w:rPr>
  </w:style>
  <w:style w:type="character" w:customStyle="1" w:styleId="152">
    <w:name w:val="font21"/>
    <w:basedOn w:val="43"/>
    <w:qFormat/>
    <w:uiPriority w:val="0"/>
    <w:rPr>
      <w:rFonts w:hint="eastAsia" w:ascii="宋体" w:hAnsi="宋体" w:eastAsia="宋体" w:cs="宋体"/>
      <w:b/>
      <w:color w:val="000000"/>
      <w:sz w:val="21"/>
      <w:szCs w:val="21"/>
      <w:u w:val="none"/>
    </w:rPr>
  </w:style>
  <w:style w:type="character" w:customStyle="1" w:styleId="153">
    <w:name w:val="纯文本 字符3"/>
    <w:semiHidden/>
    <w:qFormat/>
    <w:uiPriority w:val="99"/>
    <w:rPr>
      <w:rFonts w:ascii="等线" w:hAnsi="Courier New" w:cs="Courier New"/>
      <w:kern w:val="0"/>
      <w:sz w:val="24"/>
      <w:szCs w:val="24"/>
    </w:rPr>
  </w:style>
  <w:style w:type="character" w:customStyle="1" w:styleId="154">
    <w:name w:val="font31"/>
    <w:basedOn w:val="43"/>
    <w:qFormat/>
    <w:uiPriority w:val="0"/>
    <w:rPr>
      <w:rFonts w:hint="eastAsia" w:ascii="宋体" w:hAnsi="宋体" w:eastAsia="宋体" w:cs="宋体"/>
      <w:color w:val="000000"/>
      <w:sz w:val="18"/>
      <w:szCs w:val="18"/>
      <w:u w:val="none"/>
    </w:rPr>
  </w:style>
  <w:style w:type="character" w:customStyle="1" w:styleId="155">
    <w:name w:val="文档结构图 Char"/>
    <w:link w:val="16"/>
    <w:semiHidden/>
    <w:qFormat/>
    <w:uiPriority w:val="99"/>
    <w:rPr>
      <w:rFonts w:ascii="宋体" w:hAnsi="Times New Roman" w:eastAsia="宋体" w:cs="Times New Roman"/>
      <w:kern w:val="0"/>
      <w:sz w:val="24"/>
      <w:szCs w:val="24"/>
      <w:shd w:val="clear" w:color="auto" w:fill="000080"/>
    </w:rPr>
  </w:style>
  <w:style w:type="character" w:customStyle="1" w:styleId="156">
    <w:name w:val="普通(网站) 字符1"/>
    <w:qFormat/>
    <w:locked/>
    <w:uiPriority w:val="0"/>
    <w:rPr>
      <w:rFonts w:ascii="宋体" w:hAnsi="宋体"/>
      <w:sz w:val="15"/>
      <w:szCs w:val="15"/>
    </w:rPr>
  </w:style>
  <w:style w:type="character" w:customStyle="1" w:styleId="157">
    <w:name w:val="正文文本 Char3"/>
    <w:link w:val="20"/>
    <w:qFormat/>
    <w:uiPriority w:val="99"/>
    <w:rPr>
      <w:rFonts w:ascii="宋体" w:eastAsia="宋体"/>
      <w:b/>
      <w:bCs/>
      <w:sz w:val="84"/>
      <w:szCs w:val="84"/>
      <w:lang w:val="zh-CN"/>
    </w:rPr>
  </w:style>
  <w:style w:type="character" w:customStyle="1" w:styleId="158">
    <w:name w:val="标题 5 Char"/>
    <w:semiHidden/>
    <w:qFormat/>
    <w:uiPriority w:val="9"/>
    <w:rPr>
      <w:b/>
      <w:bCs/>
      <w:kern w:val="2"/>
      <w:sz w:val="28"/>
      <w:szCs w:val="28"/>
    </w:rPr>
  </w:style>
  <w:style w:type="character" w:customStyle="1" w:styleId="159">
    <w:name w:val="页眉 Char2"/>
    <w:link w:val="30"/>
    <w:qFormat/>
    <w:uiPriority w:val="99"/>
    <w:rPr>
      <w:rFonts w:ascii="宋体" w:eastAsia="宋体"/>
      <w:sz w:val="18"/>
      <w:szCs w:val="18"/>
    </w:rPr>
  </w:style>
  <w:style w:type="character" w:customStyle="1" w:styleId="160">
    <w:name w:val="表格文字 Char"/>
    <w:link w:val="2"/>
    <w:qFormat/>
    <w:uiPriority w:val="0"/>
    <w:rPr>
      <w:rFonts w:eastAsia="仿宋_GB2312"/>
      <w:sz w:val="28"/>
      <w:szCs w:val="24"/>
    </w:rPr>
  </w:style>
  <w:style w:type="character" w:customStyle="1" w:styleId="161">
    <w:name w:val="标题 字符2"/>
    <w:qFormat/>
    <w:uiPriority w:val="10"/>
    <w:rPr>
      <w:rFonts w:ascii="等线 Light" w:hAnsi="等线 Light" w:eastAsia="等线 Light" w:cs="Times New Roman"/>
      <w:b/>
      <w:bCs/>
      <w:kern w:val="0"/>
      <w:sz w:val="32"/>
      <w:szCs w:val="32"/>
    </w:rPr>
  </w:style>
  <w:style w:type="character" w:customStyle="1" w:styleId="162">
    <w:name w:val="正文缩进2格 Char Char"/>
    <w:qFormat/>
    <w:uiPriority w:val="0"/>
    <w:rPr>
      <w:rFonts w:ascii="仿宋_GB2312" w:hAnsi="宋体" w:eastAsia="仿宋_GB2312"/>
      <w:kern w:val="2"/>
      <w:sz w:val="31"/>
      <w:szCs w:val="28"/>
      <w:lang w:val="en-US" w:eastAsia="zh-CN" w:bidi="ar-SA"/>
    </w:rPr>
  </w:style>
  <w:style w:type="character" w:customStyle="1" w:styleId="163">
    <w:name w:val="小 Char"/>
    <w:qFormat/>
    <w:uiPriority w:val="0"/>
    <w:rPr>
      <w:rFonts w:ascii="宋体" w:hAnsi="Courier New" w:eastAsia="宋体"/>
      <w:kern w:val="2"/>
      <w:sz w:val="21"/>
      <w:lang w:val="en-US" w:eastAsia="zh-CN" w:bidi="ar-SA"/>
    </w:rPr>
  </w:style>
  <w:style w:type="character" w:customStyle="1" w:styleId="164">
    <w:name w:val="themebody1"/>
    <w:qFormat/>
    <w:uiPriority w:val="0"/>
    <w:rPr>
      <w:color w:val="FFFFFF"/>
    </w:rPr>
  </w:style>
  <w:style w:type="character" w:customStyle="1" w:styleId="165">
    <w:name w:val="页脚 字符1"/>
    <w:semiHidden/>
    <w:qFormat/>
    <w:uiPriority w:val="99"/>
    <w:rPr>
      <w:rFonts w:ascii="宋体" w:hAnsi="Calibri" w:eastAsia="宋体" w:cs="Times New Roman"/>
      <w:kern w:val="0"/>
      <w:sz w:val="18"/>
      <w:szCs w:val="18"/>
    </w:rPr>
  </w:style>
  <w:style w:type="character" w:customStyle="1" w:styleId="166">
    <w:name w:val="列出段落 Char2"/>
    <w:link w:val="56"/>
    <w:qFormat/>
    <w:uiPriority w:val="0"/>
    <w:rPr>
      <w:kern w:val="2"/>
      <w:sz w:val="21"/>
      <w:szCs w:val="22"/>
    </w:rPr>
  </w:style>
  <w:style w:type="character" w:customStyle="1" w:styleId="167">
    <w:name w:val="正文文本 Char"/>
    <w:qFormat/>
    <w:uiPriority w:val="99"/>
    <w:rPr>
      <w:rFonts w:ascii="宋体" w:eastAsia="宋体"/>
      <w:b/>
      <w:bCs/>
      <w:sz w:val="84"/>
      <w:szCs w:val="84"/>
      <w:lang w:val="zh-CN"/>
    </w:rPr>
  </w:style>
  <w:style w:type="character" w:customStyle="1" w:styleId="168">
    <w:name w:val="页眉 字符1"/>
    <w:semiHidden/>
    <w:qFormat/>
    <w:uiPriority w:val="99"/>
    <w:rPr>
      <w:rFonts w:ascii="宋体" w:hAnsi="Calibri" w:eastAsia="宋体" w:cs="Times New Roman"/>
      <w:kern w:val="0"/>
      <w:sz w:val="18"/>
      <w:szCs w:val="18"/>
    </w:rPr>
  </w:style>
  <w:style w:type="character" w:customStyle="1" w:styleId="169">
    <w:name w:val="标题 5 Char1"/>
    <w:link w:val="8"/>
    <w:qFormat/>
    <w:uiPriority w:val="9"/>
    <w:rPr>
      <w:rFonts w:ascii="宋体" w:hAnsi="Calibri" w:eastAsia="宋体" w:cs="Times New Roman"/>
      <w:b/>
      <w:bCs/>
      <w:kern w:val="0"/>
      <w:sz w:val="28"/>
      <w:szCs w:val="28"/>
    </w:rPr>
  </w:style>
  <w:style w:type="character" w:customStyle="1" w:styleId="170">
    <w:name w:val="keyfeatures1"/>
    <w:qFormat/>
    <w:uiPriority w:val="0"/>
    <w:rPr>
      <w:rFonts w:hint="default" w:ascii="Arial" w:hAnsi="Arial" w:cs="Arial"/>
      <w:color w:val="003366"/>
      <w:sz w:val="17"/>
      <w:szCs w:val="17"/>
      <w:u w:val="none"/>
    </w:rPr>
  </w:style>
  <w:style w:type="character" w:customStyle="1" w:styleId="171">
    <w:name w:val="题注 字符"/>
    <w:qFormat/>
    <w:uiPriority w:val="0"/>
    <w:rPr>
      <w:rFonts w:ascii="宋体" w:hAnsi="宋体" w:eastAsia="黑体" w:cs="Times New Roman"/>
      <w:b/>
      <w:szCs w:val="21"/>
    </w:rPr>
  </w:style>
  <w:style w:type="character" w:customStyle="1" w:styleId="172">
    <w:name w:val="标题 4 Char"/>
    <w:qFormat/>
    <w:uiPriority w:val="0"/>
    <w:rPr>
      <w:rFonts w:ascii="宋体" w:hAnsi="宋体" w:eastAsia="宋体"/>
      <w:b/>
      <w:kern w:val="2"/>
      <w:sz w:val="21"/>
      <w:szCs w:val="24"/>
      <w:lang w:val="en-US" w:eastAsia="zh-CN" w:bidi="ar-SA"/>
    </w:rPr>
  </w:style>
  <w:style w:type="character" w:customStyle="1" w:styleId="173">
    <w:name w:val="批注文字 字符3"/>
    <w:semiHidden/>
    <w:qFormat/>
    <w:uiPriority w:val="99"/>
    <w:rPr>
      <w:rFonts w:ascii="宋体" w:hAnsi="Calibri" w:eastAsia="宋体" w:cs="Times New Roman"/>
      <w:kern w:val="0"/>
      <w:sz w:val="24"/>
      <w:szCs w:val="24"/>
    </w:rPr>
  </w:style>
  <w:style w:type="character" w:customStyle="1" w:styleId="174">
    <w:name w:val="纯文本 字符1"/>
    <w:qFormat/>
    <w:uiPriority w:val="0"/>
    <w:rPr>
      <w:rFonts w:ascii="宋体" w:hAnsi="Courier New" w:eastAsia="宋体"/>
      <w:kern w:val="2"/>
      <w:sz w:val="21"/>
      <w:szCs w:val="24"/>
      <w:lang w:val="en-US" w:eastAsia="zh-CN" w:bidi="ar-SA"/>
    </w:rPr>
  </w:style>
  <w:style w:type="character" w:customStyle="1" w:styleId="175">
    <w:name w:val="列出段落 Char1"/>
    <w:qFormat/>
    <w:uiPriority w:val="34"/>
    <w:rPr>
      <w:rFonts w:ascii="宋体"/>
      <w:sz w:val="24"/>
      <w:szCs w:val="24"/>
    </w:rPr>
  </w:style>
  <w:style w:type="character" w:customStyle="1" w:styleId="176">
    <w:name w:val="彩色列表 - 着色 1 字符"/>
    <w:link w:val="57"/>
    <w:qFormat/>
    <w:uiPriority w:val="0"/>
    <w:rPr>
      <w:rFonts w:ascii="Calibri" w:hAnsi="Calibri"/>
    </w:rPr>
  </w:style>
  <w:style w:type="character" w:customStyle="1" w:styleId="177">
    <w:name w:val="纯文本 Char"/>
    <w:qFormat/>
    <w:uiPriority w:val="0"/>
    <w:rPr>
      <w:rFonts w:ascii="宋体" w:hAnsi="Courier New" w:eastAsia="宋体" w:cs="Times New Roman"/>
      <w:szCs w:val="20"/>
    </w:rPr>
  </w:style>
  <w:style w:type="character" w:customStyle="1" w:styleId="178">
    <w:name w:val="标题 6 Char"/>
    <w:link w:val="9"/>
    <w:qFormat/>
    <w:uiPriority w:val="9"/>
    <w:rPr>
      <w:rFonts w:ascii="Times New Roman" w:hAnsi="Calibri" w:eastAsia="黑体" w:cs="Times New Roman"/>
      <w:b/>
      <w:bCs/>
      <w:kern w:val="0"/>
      <w:sz w:val="28"/>
      <w:szCs w:val="24"/>
    </w:rPr>
  </w:style>
  <w:style w:type="character" w:customStyle="1" w:styleId="179">
    <w:name w:val="正文文本 2 Char"/>
    <w:link w:val="35"/>
    <w:qFormat/>
    <w:uiPriority w:val="0"/>
    <w:rPr>
      <w:rFonts w:ascii="Arial" w:hAnsi="Arial" w:eastAsia="宋体" w:cs="Times New Roman"/>
      <w:color w:val="000000"/>
      <w:szCs w:val="24"/>
    </w:rPr>
  </w:style>
  <w:style w:type="character" w:customStyle="1" w:styleId="180">
    <w:name w:val="标题 3 Char"/>
    <w:link w:val="6"/>
    <w:qFormat/>
    <w:uiPriority w:val="0"/>
    <w:rPr>
      <w:rFonts w:ascii="宋体" w:hAnsi="Calibri" w:eastAsia="宋体" w:cs="Times New Roman"/>
      <w:kern w:val="0"/>
      <w:sz w:val="24"/>
      <w:szCs w:val="24"/>
    </w:rPr>
  </w:style>
  <w:style w:type="character" w:customStyle="1" w:styleId="181">
    <w:name w:val="正文文本缩进 2 字符1"/>
    <w:semiHidden/>
    <w:qFormat/>
    <w:uiPriority w:val="99"/>
    <w:rPr>
      <w:rFonts w:ascii="宋体" w:hAnsi="Calibri" w:eastAsia="宋体" w:cs="Times New Roman"/>
      <w:kern w:val="0"/>
      <w:sz w:val="24"/>
      <w:szCs w:val="24"/>
    </w:rPr>
  </w:style>
  <w:style w:type="character" w:customStyle="1" w:styleId="182">
    <w:name w:val="正文文本缩进 3 字符1"/>
    <w:semiHidden/>
    <w:qFormat/>
    <w:uiPriority w:val="99"/>
    <w:rPr>
      <w:rFonts w:ascii="宋体" w:hAnsi="Calibri" w:eastAsia="宋体" w:cs="Times New Roman"/>
      <w:kern w:val="0"/>
      <w:sz w:val="16"/>
      <w:szCs w:val="16"/>
    </w:rPr>
  </w:style>
  <w:style w:type="character" w:customStyle="1" w:styleId="183">
    <w:name w:val="正文文本 2 字符1"/>
    <w:semiHidden/>
    <w:qFormat/>
    <w:uiPriority w:val="99"/>
    <w:rPr>
      <w:rFonts w:ascii="宋体" w:hAnsi="Calibri" w:eastAsia="宋体" w:cs="Times New Roman"/>
      <w:kern w:val="0"/>
      <w:sz w:val="24"/>
      <w:szCs w:val="24"/>
    </w:rPr>
  </w:style>
  <w:style w:type="character" w:customStyle="1" w:styleId="184">
    <w:name w:val="eschoolnr"/>
    <w:qFormat/>
    <w:uiPriority w:val="0"/>
    <w:rPr>
      <w:sz w:val="23"/>
      <w:szCs w:val="23"/>
    </w:rPr>
  </w:style>
  <w:style w:type="character" w:customStyle="1" w:styleId="185">
    <w:name w:val="访问过的超链接1"/>
    <w:qFormat/>
    <w:uiPriority w:val="0"/>
    <w:rPr>
      <w:rFonts w:ascii="Arial" w:hAnsi="Arial" w:cs="Arial"/>
      <w:color w:val="000000"/>
      <w:sz w:val="20"/>
      <w:szCs w:val="20"/>
      <w:u w:val="none"/>
    </w:rPr>
  </w:style>
  <w:style w:type="character" w:customStyle="1" w:styleId="186">
    <w:name w:val="标题 1 Char1"/>
    <w:link w:val="4"/>
    <w:qFormat/>
    <w:uiPriority w:val="0"/>
    <w:rPr>
      <w:rFonts w:ascii="宋体" w:hAnsi="Calibri" w:eastAsia="宋体" w:cs="Times New Roman"/>
      <w:kern w:val="0"/>
      <w:sz w:val="24"/>
      <w:szCs w:val="24"/>
    </w:rPr>
  </w:style>
  <w:style w:type="character" w:customStyle="1" w:styleId="187">
    <w:name w:val="批注文字 Char1"/>
    <w:qFormat/>
    <w:uiPriority w:val="0"/>
    <w:rPr>
      <w:kern w:val="2"/>
      <w:sz w:val="21"/>
      <w:szCs w:val="24"/>
    </w:rPr>
  </w:style>
  <w:style w:type="character" w:customStyle="1" w:styleId="188">
    <w:name w:val="批注框文本 Char"/>
    <w:semiHidden/>
    <w:qFormat/>
    <w:uiPriority w:val="99"/>
    <w:rPr>
      <w:kern w:val="2"/>
      <w:sz w:val="18"/>
      <w:szCs w:val="18"/>
    </w:rPr>
  </w:style>
  <w:style w:type="character" w:customStyle="1" w:styleId="189">
    <w:name w:val="DAS正文 Char"/>
    <w:qFormat/>
    <w:uiPriority w:val="0"/>
    <w:rPr>
      <w:rFonts w:ascii="Verdana" w:hAnsi="Verdana" w:eastAsia="宋体"/>
      <w:kern w:val="2"/>
      <w:sz w:val="21"/>
      <w:szCs w:val="21"/>
      <w:lang w:val="en-US" w:eastAsia="zh-CN" w:bidi="ar-SA"/>
    </w:rPr>
  </w:style>
  <w:style w:type="character" w:customStyle="1" w:styleId="190">
    <w:name w:val="正文文本缩进 3 Char"/>
    <w:link w:val="33"/>
    <w:qFormat/>
    <w:uiPriority w:val="0"/>
    <w:rPr>
      <w:rFonts w:ascii="宋体" w:hAnsi="Times New Roman" w:eastAsia="宋体" w:cs="Times New Roman"/>
      <w:kern w:val="0"/>
      <w:sz w:val="24"/>
      <w:szCs w:val="24"/>
    </w:rPr>
  </w:style>
  <w:style w:type="character" w:customStyle="1" w:styleId="191">
    <w:name w:val="页眉 Char"/>
    <w:qFormat/>
    <w:uiPriority w:val="99"/>
    <w:rPr>
      <w:kern w:val="2"/>
      <w:sz w:val="18"/>
      <w:szCs w:val="18"/>
    </w:rPr>
  </w:style>
  <w:style w:type="character" w:customStyle="1" w:styleId="192">
    <w:name w:val="正文文本 3 Char"/>
    <w:link w:val="19"/>
    <w:qFormat/>
    <w:uiPriority w:val="0"/>
    <w:rPr>
      <w:rFonts w:ascii="宋体" w:hAnsi="Times New Roman" w:eastAsia="宋体" w:cs="Times New Roman"/>
      <w:b/>
      <w:bCs/>
      <w:color w:val="3366FF"/>
      <w:sz w:val="52"/>
      <w:szCs w:val="52"/>
      <w:lang w:val="zh-CN"/>
    </w:rPr>
  </w:style>
  <w:style w:type="character" w:customStyle="1" w:styleId="193">
    <w:name w:val="HTML 预设格式 字符1"/>
    <w:semiHidden/>
    <w:qFormat/>
    <w:uiPriority w:val="99"/>
    <w:rPr>
      <w:rFonts w:ascii="Courier New" w:hAnsi="Courier New" w:eastAsia="宋体" w:cs="Courier New"/>
      <w:kern w:val="0"/>
      <w:sz w:val="20"/>
      <w:szCs w:val="20"/>
    </w:rPr>
  </w:style>
  <w:style w:type="character" w:customStyle="1" w:styleId="194">
    <w:name w:val="彩色列表 - 强调文字颜色 1 Char"/>
    <w:link w:val="58"/>
    <w:qFormat/>
    <w:uiPriority w:val="0"/>
    <w:rPr>
      <w:rFonts w:ascii="宋体"/>
      <w:sz w:val="24"/>
      <w:szCs w:val="24"/>
    </w:rPr>
  </w:style>
  <w:style w:type="character" w:customStyle="1" w:styleId="195">
    <w:name w:val="普通(网站) 字符"/>
    <w:qFormat/>
    <w:locked/>
    <w:uiPriority w:val="99"/>
    <w:rPr>
      <w:rFonts w:ascii="宋体" w:hAnsi="宋体" w:eastAsia="宋体" w:cs="Times New Roman"/>
      <w:kern w:val="0"/>
      <w:sz w:val="15"/>
      <w:szCs w:val="15"/>
      <w:lang w:val="en-US" w:eastAsia="zh-CN"/>
    </w:rPr>
  </w:style>
  <w:style w:type="character" w:customStyle="1" w:styleId="196">
    <w:name w:val="纯文本 字符4"/>
    <w:basedOn w:val="43"/>
    <w:semiHidden/>
    <w:qFormat/>
    <w:uiPriority w:val="99"/>
    <w:rPr>
      <w:rFonts w:ascii="等线" w:hAnsi="Courier New" w:cs="Courier New"/>
    </w:rPr>
  </w:style>
  <w:style w:type="character" w:customStyle="1" w:styleId="197">
    <w:name w:val="批注文字 Char2"/>
    <w:basedOn w:val="43"/>
    <w:link w:val="18"/>
    <w:qFormat/>
    <w:uiPriority w:val="99"/>
    <w:rPr>
      <w:rFonts w:ascii="等线" w:hAnsi="等线" w:eastAsia="等线" w:cs="黑体"/>
      <w:kern w:val="2"/>
      <w:sz w:val="21"/>
      <w:szCs w:val="22"/>
    </w:rPr>
  </w:style>
  <w:style w:type="character" w:customStyle="1" w:styleId="198">
    <w:name w:val="批注主题 字符2"/>
    <w:basedOn w:val="197"/>
    <w:semiHidden/>
    <w:qFormat/>
    <w:uiPriority w:val="99"/>
    <w:rPr>
      <w:rFonts w:ascii="等线" w:hAnsi="等线" w:eastAsia="等线" w:cs="黑体"/>
      <w:b/>
      <w:bCs/>
      <w:kern w:val="2"/>
      <w:sz w:val="21"/>
      <w:szCs w:val="22"/>
    </w:rPr>
  </w:style>
  <w:style w:type="character" w:customStyle="1" w:styleId="199">
    <w:name w:val="标题 字符3"/>
    <w:basedOn w:val="43"/>
    <w:qFormat/>
    <w:uiPriority w:val="10"/>
    <w:rPr>
      <w:rFonts w:ascii="等线 Light" w:hAnsi="等线 Light" w:eastAsia="等线 Light" w:cs="黑体"/>
      <w:b/>
      <w:bCs/>
      <w:sz w:val="32"/>
      <w:szCs w:val="32"/>
    </w:rPr>
  </w:style>
  <w:style w:type="character" w:customStyle="1" w:styleId="200">
    <w:name w:val="正文文本缩进 字符3"/>
    <w:basedOn w:val="43"/>
    <w:semiHidden/>
    <w:qFormat/>
    <w:uiPriority w:val="99"/>
  </w:style>
  <w:style w:type="character" w:customStyle="1" w:styleId="201">
    <w:name w:val="正文文本 字符4"/>
    <w:basedOn w:val="43"/>
    <w:semiHidden/>
    <w:qFormat/>
    <w:uiPriority w:val="99"/>
  </w:style>
  <w:style w:type="character" w:customStyle="1" w:styleId="202">
    <w:name w:val="正文文本缩进 3 字符2"/>
    <w:basedOn w:val="43"/>
    <w:semiHidden/>
    <w:qFormat/>
    <w:uiPriority w:val="99"/>
    <w:rPr>
      <w:sz w:val="16"/>
      <w:szCs w:val="16"/>
    </w:rPr>
  </w:style>
  <w:style w:type="character" w:customStyle="1" w:styleId="203">
    <w:name w:val="页眉 字符2"/>
    <w:basedOn w:val="43"/>
    <w:semiHidden/>
    <w:qFormat/>
    <w:uiPriority w:val="99"/>
    <w:rPr>
      <w:sz w:val="18"/>
      <w:szCs w:val="18"/>
    </w:rPr>
  </w:style>
  <w:style w:type="character" w:customStyle="1" w:styleId="204">
    <w:name w:val="批注框文本 字符2"/>
    <w:basedOn w:val="43"/>
    <w:semiHidden/>
    <w:qFormat/>
    <w:uiPriority w:val="99"/>
    <w:rPr>
      <w:sz w:val="18"/>
      <w:szCs w:val="18"/>
    </w:rPr>
  </w:style>
  <w:style w:type="character" w:customStyle="1" w:styleId="205">
    <w:name w:val="HTML 预设格式 字符2"/>
    <w:basedOn w:val="43"/>
    <w:semiHidden/>
    <w:qFormat/>
    <w:uiPriority w:val="99"/>
    <w:rPr>
      <w:rFonts w:ascii="Courier New" w:hAnsi="Courier New" w:cs="Courier New"/>
      <w:sz w:val="20"/>
      <w:szCs w:val="20"/>
    </w:rPr>
  </w:style>
  <w:style w:type="character" w:customStyle="1" w:styleId="206">
    <w:name w:val="页脚 字符2"/>
    <w:basedOn w:val="43"/>
    <w:semiHidden/>
    <w:qFormat/>
    <w:uiPriority w:val="99"/>
    <w:rPr>
      <w:sz w:val="18"/>
      <w:szCs w:val="18"/>
    </w:rPr>
  </w:style>
  <w:style w:type="character" w:customStyle="1" w:styleId="207">
    <w:name w:val="正文文本缩进 2 字符2"/>
    <w:basedOn w:val="43"/>
    <w:semiHidden/>
    <w:qFormat/>
    <w:uiPriority w:val="99"/>
  </w:style>
  <w:style w:type="character" w:customStyle="1" w:styleId="208">
    <w:name w:val="正文文本 3 字符2"/>
    <w:basedOn w:val="43"/>
    <w:semiHidden/>
    <w:qFormat/>
    <w:uiPriority w:val="99"/>
    <w:rPr>
      <w:sz w:val="16"/>
      <w:szCs w:val="16"/>
    </w:rPr>
  </w:style>
  <w:style w:type="character" w:customStyle="1" w:styleId="209">
    <w:name w:val="正文文本 2 字符2"/>
    <w:basedOn w:val="43"/>
    <w:semiHidden/>
    <w:qFormat/>
    <w:uiPriority w:val="99"/>
  </w:style>
  <w:style w:type="character" w:customStyle="1" w:styleId="210">
    <w:name w:val="文档结构图 字符2"/>
    <w:basedOn w:val="43"/>
    <w:semiHidden/>
    <w:qFormat/>
    <w:uiPriority w:val="99"/>
    <w:rPr>
      <w:rFonts w:ascii="Microsoft YaHei UI" w:eastAsia="Microsoft YaHei UI"/>
      <w:sz w:val="18"/>
      <w:szCs w:val="18"/>
    </w:rPr>
  </w:style>
  <w:style w:type="character" w:customStyle="1" w:styleId="211">
    <w:name w:val="日期 字符2"/>
    <w:basedOn w:val="43"/>
    <w:semiHidden/>
    <w:qFormat/>
    <w:uiPriority w:val="99"/>
  </w:style>
  <w:style w:type="character" w:customStyle="1" w:styleId="212">
    <w:name w:val="正文首行缩进 Char"/>
    <w:basedOn w:val="157"/>
    <w:link w:val="40"/>
    <w:semiHidden/>
    <w:qFormat/>
    <w:uiPriority w:val="99"/>
    <w:rPr>
      <w:rFonts w:ascii="宋体" w:eastAsia="宋体"/>
      <w:b w:val="0"/>
      <w:bCs w:val="0"/>
      <w:sz w:val="84"/>
      <w:szCs w:val="84"/>
      <w:lang w:val="zh-CN"/>
    </w:rPr>
  </w:style>
  <w:style w:type="character" w:customStyle="1" w:styleId="213">
    <w:name w:val="列出段落 Char"/>
    <w:qFormat/>
    <w:uiPriority w:val="0"/>
  </w:style>
  <w:style w:type="table" w:customStyle="1" w:styleId="214">
    <w:name w:val="网格型1"/>
    <w:basedOn w:val="4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5">
    <w:name w:val="网格型2"/>
    <w:basedOn w:val="4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6">
    <w:name w:val="网格型3"/>
    <w:basedOn w:val="4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7">
    <w:name w:val="网格型11"/>
    <w:basedOn w:val="4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8">
    <w:name w:val="网格型4"/>
    <w:basedOn w:val="4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19">
    <w:name w:val="修订9"/>
    <w:hidden/>
    <w:unhideWhenUsed/>
    <w:qFormat/>
    <w:uiPriority w:val="99"/>
    <w:rPr>
      <w:rFonts w:ascii="等线" w:hAnsi="等线" w:eastAsia="等线" w:cs="黑体"/>
      <w:kern w:val="2"/>
      <w:sz w:val="21"/>
      <w:szCs w:val="22"/>
      <w:lang w:val="en-US" w:eastAsia="zh-CN" w:bidi="ar-SA"/>
    </w:rPr>
  </w:style>
  <w:style w:type="character" w:customStyle="1" w:styleId="220">
    <w:name w:val="font51"/>
    <w:basedOn w:val="43"/>
    <w:qFormat/>
    <w:uiPriority w:val="0"/>
    <w:rPr>
      <w:rFonts w:hint="default" w:ascii="Times New Roman" w:hAnsi="Times New Roman" w:cs="Times New Roman"/>
      <w:color w:val="000000"/>
      <w:sz w:val="22"/>
      <w:szCs w:val="22"/>
      <w:u w:val="none"/>
    </w:rPr>
  </w:style>
  <w:style w:type="character" w:customStyle="1" w:styleId="221">
    <w:name w:val="font41"/>
    <w:basedOn w:val="43"/>
    <w:qFormat/>
    <w:uiPriority w:val="0"/>
    <w:rPr>
      <w:rFonts w:hint="eastAsia" w:ascii="等线" w:hAnsi="等线" w:eastAsia="等线" w:cs="等线"/>
      <w:color w:val="000000"/>
      <w:sz w:val="22"/>
      <w:szCs w:val="22"/>
      <w:u w:val="none"/>
    </w:rPr>
  </w:style>
  <w:style w:type="paragraph" w:styleId="222">
    <w:name w:val="List Paragraph"/>
    <w:basedOn w:val="1"/>
    <w:qFormat/>
    <w:uiPriority w:val="34"/>
    <w:pPr>
      <w:ind w:firstLine="420" w:firstLineChars="200"/>
    </w:pPr>
  </w:style>
  <w:style w:type="paragraph" w:customStyle="1" w:styleId="223">
    <w:name w:val="null3"/>
    <w:hidden/>
    <w:qFormat/>
    <w:uiPriority w:val="0"/>
    <w:rPr>
      <w:rFonts w:hint="eastAsia" w:asciiTheme="minorHAnsi" w:hAnsiTheme="minorHAnsi" w:eastAsiaTheme="minorEastAsia" w:cstheme="minorBidi"/>
      <w:lang w:val="en-US" w:eastAsia="zh-Hans"/>
    </w:rPr>
  </w:style>
  <w:style w:type="paragraph" w:customStyle="1" w:styleId="224">
    <w:name w:val="文档正文"/>
    <w:basedOn w:val="1"/>
    <w:autoRedefine/>
    <w:qFormat/>
    <w:uiPriority w:val="0"/>
    <w:pPr>
      <w:spacing w:line="360" w:lineRule="auto"/>
    </w:pPr>
    <w:rPr>
      <w:rFonts w:ascii="宋体" w:cs="Arial"/>
      <w:bCs/>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神州网信技术有限公司</Company>
  <Pages>99</Pages>
  <Words>13400</Words>
  <Characters>14398</Characters>
  <Lines>463</Lines>
  <Paragraphs>130</Paragraphs>
  <TotalTime>2</TotalTime>
  <ScaleCrop>false</ScaleCrop>
  <LinksUpToDate>false</LinksUpToDate>
  <CharactersWithSpaces>14755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2024-06-04T00:04:00Z</dcterms:created>
  <dc:creator>HS</dc:creator>
  <cp:lastModifiedBy>Tough Zzzz</cp:lastModifiedBy>
  <cp:lastPrinted>2024-04-02T00:23:00Z</cp:lastPrinted>
  <dcterms:modified xsi:type="dcterms:W3CDTF">2025-12-19T03:48:39Z</dcterms:modified>
  <dc:title>东莞理工学院计算机科学与技术学院擎云运维工程师实验室设备采购项目</dc:titl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50F947BC963B4B398B93131B318221CB_13</vt:lpwstr>
  </property>
  <property fmtid="{D5CDD505-2E9C-101B-9397-08002B2CF9AE}" pid="3" name="KSOProductBuildVer">
    <vt:lpwstr>2052-12.1.0.23542</vt:lpwstr>
  </property>
  <property fmtid="{D5CDD505-2E9C-101B-9397-08002B2CF9AE}" pid="4" name="KSOTemplateDocerSaveRecord">
    <vt:lpwstr>eyJoZGlkIjoiYTQ1ZjFkZmI1YzQxODdhNDliMzQzYjVkODFiYTIxNWEiLCJ1c2VySWQiOiIzOTA4NDUzMjcifQ==</vt:lpwstr>
  </property>
</Properties>
</file>