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48" w:beforeLines="400" w:after="312" w:afterLines="100" w:line="480" w:lineRule="auto"/>
        <w:ind w:left="315" w:leftChars="150"/>
        <w:jc w:val="center"/>
        <w:rPr>
          <w:rFonts w:ascii="黑体" w:hAnsi="黑体" w:eastAsia="黑体"/>
        </w:rPr>
      </w:pPr>
      <w:r>
        <w:rPr>
          <w:rFonts w:hint="eastAsia" w:ascii="黑体" w:hAnsi="黑体" w:eastAsia="黑体"/>
          <w:b/>
          <w:spacing w:val="80"/>
          <w:sz w:val="104"/>
          <w:szCs w:val="104"/>
        </w:rPr>
        <w:t>竞争性磋商文件</w:t>
      </w:r>
      <w:r>
        <w:rPr>
          <w:rFonts w:ascii="黑体" w:hAnsi="黑体" w:eastAsia="黑体"/>
          <w:b/>
          <w:sz w:val="32"/>
          <w:szCs w:val="32"/>
        </w:rPr>
        <w:drawing>
          <wp:inline distT="0" distB="0" distL="0" distR="0">
            <wp:extent cx="3324225" cy="3581400"/>
            <wp:effectExtent l="19050" t="0" r="9525" b="0"/>
            <wp:docPr id="1" name="图片 1" descr="有德LOGO(小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有德LOGO(小版)"/>
                    <pic:cNvPicPr>
                      <a:picLocks noChangeAspect="1" noChangeArrowheads="1"/>
                    </pic:cNvPicPr>
                  </pic:nvPicPr>
                  <pic:blipFill>
                    <a:blip r:embed="rId6" cstate="print"/>
                    <a:srcRect/>
                    <a:stretch>
                      <a:fillRect/>
                    </a:stretch>
                  </pic:blipFill>
                  <pic:spPr>
                    <a:xfrm>
                      <a:off x="0" y="0"/>
                      <a:ext cx="3324225" cy="3581400"/>
                    </a:xfrm>
                    <a:prstGeom prst="rect">
                      <a:avLst/>
                    </a:prstGeom>
                    <a:noFill/>
                    <a:ln w="9525">
                      <a:noFill/>
                      <a:miter lim="800000"/>
                      <a:headEnd/>
                      <a:tailEnd/>
                    </a:ln>
                  </pic:spPr>
                </pic:pic>
              </a:graphicData>
            </a:graphic>
          </wp:inline>
        </w:drawing>
      </w:r>
    </w:p>
    <w:tbl>
      <w:tblPr>
        <w:tblStyle w:val="22"/>
        <w:tblpPr w:leftFromText="180" w:rightFromText="180" w:vertAnchor="text" w:horzAnchor="page" w:tblpX="1780" w:tblpY="562"/>
        <w:tblOverlap w:val="never"/>
        <w:tblW w:w="9534" w:type="dxa"/>
        <w:tblInd w:w="0" w:type="dxa"/>
        <w:tblLayout w:type="fixed"/>
        <w:tblCellMar>
          <w:top w:w="0" w:type="dxa"/>
          <w:left w:w="108" w:type="dxa"/>
          <w:bottom w:w="0" w:type="dxa"/>
          <w:right w:w="108" w:type="dxa"/>
        </w:tblCellMar>
      </w:tblPr>
      <w:tblGrid>
        <w:gridCol w:w="9534"/>
      </w:tblGrid>
      <w:tr>
        <w:tblPrEx>
          <w:tblCellMar>
            <w:top w:w="0" w:type="dxa"/>
            <w:left w:w="108" w:type="dxa"/>
            <w:bottom w:w="0" w:type="dxa"/>
            <w:right w:w="108" w:type="dxa"/>
          </w:tblCellMar>
        </w:tblPrEx>
        <w:trPr>
          <w:trHeight w:val="653" w:hRule="atLeast"/>
        </w:trPr>
        <w:tc>
          <w:tcPr>
            <w:tcW w:w="9534" w:type="dxa"/>
          </w:tcPr>
          <w:p>
            <w:pPr>
              <w:jc w:val="left"/>
              <w:rPr>
                <w:rFonts w:ascii="黑体" w:hAnsi="黑体" w:eastAsia="黑体"/>
                <w:b/>
                <w:spacing w:val="30"/>
                <w:sz w:val="28"/>
                <w:szCs w:val="28"/>
              </w:rPr>
            </w:pPr>
            <w:bookmarkStart w:id="0" w:name="_Hlk55951415"/>
            <w:r>
              <w:rPr>
                <w:rFonts w:hint="eastAsia" w:ascii="黑体" w:hAnsi="黑体" w:eastAsia="黑体"/>
                <w:b/>
                <w:spacing w:val="30"/>
                <w:sz w:val="28"/>
                <w:szCs w:val="28"/>
              </w:rPr>
              <w:t>项目名称：</w:t>
            </w:r>
            <w:r>
              <w:rPr>
                <w:rFonts w:hint="eastAsia" w:ascii="黑体" w:hAnsi="黑体" w:eastAsia="黑体" w:cs="黑体"/>
                <w:b/>
                <w:bCs/>
                <w:sz w:val="28"/>
                <w:szCs w:val="28"/>
              </w:rPr>
              <w:t>东莞市虎门中医院虎门镇老年人、儿童健康体检信息服务项目</w:t>
            </w:r>
          </w:p>
        </w:tc>
      </w:tr>
      <w:tr>
        <w:tblPrEx>
          <w:tblCellMar>
            <w:top w:w="0" w:type="dxa"/>
            <w:left w:w="108" w:type="dxa"/>
            <w:bottom w:w="0" w:type="dxa"/>
            <w:right w:w="108" w:type="dxa"/>
          </w:tblCellMar>
        </w:tblPrEx>
        <w:trPr>
          <w:trHeight w:val="532" w:hRule="atLeast"/>
        </w:trPr>
        <w:tc>
          <w:tcPr>
            <w:tcW w:w="9534" w:type="dxa"/>
          </w:tcPr>
          <w:p>
            <w:pPr>
              <w:jc w:val="left"/>
              <w:rPr>
                <w:rFonts w:ascii="黑体" w:hAnsi="黑体" w:eastAsia="黑体"/>
                <w:b/>
                <w:sz w:val="28"/>
                <w:szCs w:val="28"/>
              </w:rPr>
            </w:pPr>
            <w:r>
              <w:rPr>
                <w:rFonts w:hint="eastAsia" w:ascii="黑体" w:hAnsi="黑体" w:eastAsia="黑体"/>
                <w:b/>
                <w:spacing w:val="30"/>
                <w:sz w:val="28"/>
                <w:szCs w:val="28"/>
              </w:rPr>
              <w:t>项目编号：YDZB25DGZC0009</w:t>
            </w:r>
          </w:p>
        </w:tc>
      </w:tr>
      <w:tr>
        <w:tblPrEx>
          <w:tblCellMar>
            <w:top w:w="0" w:type="dxa"/>
            <w:left w:w="108" w:type="dxa"/>
            <w:bottom w:w="0" w:type="dxa"/>
            <w:right w:w="108" w:type="dxa"/>
          </w:tblCellMar>
        </w:tblPrEx>
        <w:trPr>
          <w:trHeight w:val="587" w:hRule="atLeast"/>
        </w:trPr>
        <w:tc>
          <w:tcPr>
            <w:tcW w:w="9534" w:type="dxa"/>
          </w:tcPr>
          <w:p>
            <w:pPr>
              <w:rPr>
                <w:rFonts w:ascii="黑体" w:hAnsi="黑体" w:eastAsia="黑体"/>
                <w:b/>
                <w:sz w:val="28"/>
                <w:szCs w:val="28"/>
              </w:rPr>
            </w:pPr>
            <w:r>
              <w:rPr>
                <w:rFonts w:hint="eastAsia" w:ascii="黑体" w:hAnsi="黑体" w:eastAsia="黑体"/>
                <w:b/>
                <w:spacing w:val="40"/>
                <w:sz w:val="28"/>
                <w:szCs w:val="28"/>
              </w:rPr>
              <w:t>采购单位：</w:t>
            </w:r>
            <w:r>
              <w:rPr>
                <w:rFonts w:hint="eastAsia" w:ascii="黑体" w:hAnsi="黑体" w:eastAsia="黑体" w:cs="黑体"/>
                <w:b/>
                <w:spacing w:val="30"/>
                <w:sz w:val="28"/>
                <w:szCs w:val="28"/>
              </w:rPr>
              <w:t>东莞市虎门中医院</w:t>
            </w:r>
          </w:p>
        </w:tc>
      </w:tr>
      <w:tr>
        <w:tblPrEx>
          <w:tblCellMar>
            <w:top w:w="0" w:type="dxa"/>
            <w:left w:w="108" w:type="dxa"/>
            <w:bottom w:w="0" w:type="dxa"/>
            <w:right w:w="108" w:type="dxa"/>
          </w:tblCellMar>
        </w:tblPrEx>
        <w:trPr>
          <w:trHeight w:val="1308" w:hRule="atLeast"/>
        </w:trPr>
        <w:tc>
          <w:tcPr>
            <w:tcW w:w="9534" w:type="dxa"/>
          </w:tcPr>
          <w:p>
            <w:pPr>
              <w:rPr>
                <w:rFonts w:ascii="黑体" w:hAnsi="黑体" w:eastAsia="黑体"/>
                <w:b/>
                <w:sz w:val="28"/>
                <w:szCs w:val="28"/>
              </w:rPr>
            </w:pPr>
            <w:r>
              <w:rPr>
                <w:rFonts w:hint="eastAsia" w:ascii="黑体" w:hAnsi="黑体" w:eastAsia="黑体"/>
                <w:b/>
                <w:spacing w:val="-10"/>
                <w:sz w:val="28"/>
                <w:szCs w:val="28"/>
              </w:rPr>
              <w:t>采购代理机构</w:t>
            </w:r>
            <w:r>
              <w:rPr>
                <w:rFonts w:hint="eastAsia" w:ascii="黑体" w:hAnsi="黑体" w:eastAsia="黑体"/>
                <w:b/>
                <w:sz w:val="28"/>
                <w:szCs w:val="28"/>
              </w:rPr>
              <w:t>：广东有德招标采购有限公司</w:t>
            </w:r>
          </w:p>
        </w:tc>
      </w:tr>
      <w:bookmarkEnd w:id="0"/>
    </w:tbl>
    <w:p>
      <w:pPr>
        <w:rPr>
          <w:rFonts w:ascii="黑体" w:hAnsi="黑体" w:eastAsia="黑体"/>
          <w:b/>
          <w:sz w:val="32"/>
          <w:szCs w:val="32"/>
        </w:rPr>
      </w:pPr>
    </w:p>
    <w:p>
      <w:pPr>
        <w:jc w:val="center"/>
        <w:rPr>
          <w:rFonts w:ascii="黑体" w:hAnsi="黑体" w:eastAsia="黑体" w:cs="黑体"/>
          <w:b/>
          <w:spacing w:val="60"/>
          <w:sz w:val="28"/>
          <w:szCs w:val="28"/>
        </w:rPr>
      </w:pPr>
      <w:r>
        <w:rPr>
          <w:rFonts w:hint="eastAsia" w:ascii="黑体" w:hAnsi="黑体" w:eastAsia="黑体" w:cs="黑体"/>
          <w:b/>
          <w:spacing w:val="60"/>
          <w:sz w:val="28"/>
          <w:szCs w:val="28"/>
        </w:rPr>
        <w:t>二〇二五年二月</w:t>
      </w:r>
    </w:p>
    <w:p>
      <w:pPr>
        <w:pageBreakBefore/>
        <w:spacing w:before="312" w:beforeLines="100" w:after="312" w:afterLines="100" w:line="480" w:lineRule="auto"/>
        <w:jc w:val="center"/>
        <w:rPr>
          <w:rFonts w:ascii="黑体" w:hAnsi="黑体" w:eastAsia="黑体"/>
          <w:b/>
          <w:spacing w:val="60"/>
          <w:sz w:val="44"/>
          <w:szCs w:val="44"/>
        </w:rPr>
      </w:pPr>
      <w:r>
        <w:rPr>
          <w:rFonts w:hint="eastAsia" w:ascii="黑体" w:hAnsi="黑体" w:eastAsia="黑体"/>
          <w:b/>
          <w:spacing w:val="60"/>
          <w:sz w:val="44"/>
          <w:szCs w:val="44"/>
        </w:rPr>
        <w:t>温馨提示</w:t>
      </w:r>
    </w:p>
    <w:p>
      <w:pPr>
        <w:pStyle w:val="30"/>
        <w:numPr>
          <w:ilvl w:val="0"/>
          <w:numId w:val="1"/>
        </w:numPr>
        <w:spacing w:line="600" w:lineRule="exact"/>
        <w:ind w:firstLineChars="0"/>
        <w:jc w:val="left"/>
        <w:rPr>
          <w:rFonts w:ascii="黑体" w:hAnsi="黑体" w:eastAsia="黑体"/>
          <w:szCs w:val="21"/>
        </w:rPr>
      </w:pPr>
      <w:r>
        <w:rPr>
          <w:rFonts w:hint="eastAsia" w:ascii="黑体" w:hAnsi="黑体" w:eastAsia="黑体"/>
          <w:szCs w:val="21"/>
        </w:rPr>
        <w:t>磋商截止时间一到，本公司不接收任何响应文件，因此，请适当提前到达。</w:t>
      </w:r>
    </w:p>
    <w:p>
      <w:pPr>
        <w:pStyle w:val="30"/>
        <w:numPr>
          <w:ilvl w:val="0"/>
          <w:numId w:val="1"/>
        </w:numPr>
        <w:spacing w:line="600" w:lineRule="exact"/>
        <w:ind w:firstLineChars="0"/>
        <w:jc w:val="left"/>
        <w:rPr>
          <w:rFonts w:ascii="黑体" w:hAnsi="黑体" w:eastAsia="黑体"/>
        </w:rPr>
      </w:pPr>
      <w:r>
        <w:rPr>
          <w:rFonts w:hint="eastAsia" w:ascii="黑体" w:hAnsi="黑体" w:eastAsia="黑体"/>
        </w:rPr>
        <w:t>请正确填写《首次报价一览表》。多包项目请仔细检查包组号，包组号跟包组名称必须一致。</w:t>
      </w:r>
    </w:p>
    <w:p>
      <w:pPr>
        <w:pStyle w:val="30"/>
        <w:numPr>
          <w:ilvl w:val="0"/>
          <w:numId w:val="1"/>
        </w:numPr>
        <w:spacing w:line="600" w:lineRule="exact"/>
        <w:ind w:firstLineChars="0"/>
        <w:jc w:val="left"/>
        <w:rPr>
          <w:rFonts w:ascii="黑体" w:hAnsi="黑体" w:eastAsia="黑体"/>
        </w:rPr>
      </w:pPr>
      <w:r>
        <w:rPr>
          <w:rFonts w:hint="eastAsia" w:ascii="黑体" w:hAnsi="黑体" w:eastAsia="黑体"/>
        </w:rPr>
        <w:t>请仔细检查《法定代表人授权委托书》、《磋商函》、《首次报价一览表》等重要格式文件是否有按要求盖公章、签名（或盖私章）、签署日期。</w:t>
      </w:r>
    </w:p>
    <w:p>
      <w:pPr>
        <w:pStyle w:val="30"/>
        <w:numPr>
          <w:ilvl w:val="0"/>
          <w:numId w:val="1"/>
        </w:numPr>
        <w:spacing w:line="600" w:lineRule="exact"/>
        <w:ind w:firstLineChars="0"/>
        <w:jc w:val="left"/>
        <w:rPr>
          <w:rFonts w:ascii="黑体" w:hAnsi="黑体" w:eastAsia="黑体"/>
        </w:rPr>
      </w:pPr>
      <w:r>
        <w:rPr>
          <w:rFonts w:hint="eastAsia" w:ascii="黑体" w:hAnsi="黑体" w:eastAsia="黑体"/>
        </w:rPr>
        <w:t>加★号的条款必须一一响应。</w:t>
      </w:r>
    </w:p>
    <w:p>
      <w:pPr>
        <w:pStyle w:val="30"/>
        <w:numPr>
          <w:ilvl w:val="0"/>
          <w:numId w:val="1"/>
        </w:numPr>
        <w:spacing w:line="600" w:lineRule="exact"/>
        <w:ind w:firstLineChars="0"/>
        <w:jc w:val="left"/>
        <w:rPr>
          <w:rFonts w:ascii="黑体" w:hAnsi="黑体" w:eastAsia="黑体"/>
        </w:rPr>
      </w:pPr>
      <w:r>
        <w:rPr>
          <w:rFonts w:hint="eastAsia" w:ascii="黑体" w:hAnsi="黑体" w:eastAsia="黑体"/>
        </w:rPr>
        <w:t>响应文件应按顺序编制页码。</w:t>
      </w:r>
    </w:p>
    <w:p>
      <w:pPr>
        <w:pStyle w:val="30"/>
        <w:numPr>
          <w:ilvl w:val="0"/>
          <w:numId w:val="1"/>
        </w:numPr>
        <w:spacing w:line="600" w:lineRule="exact"/>
        <w:ind w:firstLineChars="0"/>
        <w:jc w:val="left"/>
        <w:rPr>
          <w:rFonts w:ascii="黑体" w:hAnsi="黑体" w:eastAsia="黑体"/>
        </w:rPr>
      </w:pPr>
      <w:r>
        <w:rPr>
          <w:rFonts w:ascii="黑体" w:hAnsi="黑体" w:eastAsia="黑体"/>
        </w:rPr>
        <w:t>我</w:t>
      </w:r>
      <w:r>
        <w:rPr>
          <w:rFonts w:hint="eastAsia" w:ascii="黑体" w:hAnsi="黑体" w:eastAsia="黑体"/>
        </w:rPr>
        <w:t>公司</w:t>
      </w:r>
      <w:r>
        <w:rPr>
          <w:rFonts w:ascii="黑体" w:hAnsi="黑体" w:eastAsia="黑体"/>
        </w:rPr>
        <w:t>为采购代理机构，不对</w:t>
      </w:r>
      <w:r>
        <w:rPr>
          <w:rFonts w:hint="eastAsia" w:ascii="黑体" w:hAnsi="黑体" w:eastAsia="黑体"/>
        </w:rPr>
        <w:t>供应商获取</w:t>
      </w:r>
      <w:r>
        <w:rPr>
          <w:rFonts w:ascii="黑体" w:hAnsi="黑体" w:eastAsia="黑体"/>
        </w:rPr>
        <w:t>磋商文件时提交的相关资料的</w:t>
      </w:r>
      <w:r>
        <w:rPr>
          <w:rFonts w:hint="eastAsia" w:ascii="黑体" w:hAnsi="黑体" w:eastAsia="黑体"/>
        </w:rPr>
        <w:t>真实性负责，</w:t>
      </w:r>
      <w:r>
        <w:rPr>
          <w:rFonts w:ascii="黑体" w:hAnsi="黑体" w:eastAsia="黑体"/>
        </w:rPr>
        <w:t>如</w:t>
      </w:r>
      <w:r>
        <w:rPr>
          <w:rFonts w:hint="eastAsia" w:ascii="黑体" w:hAnsi="黑体" w:eastAsia="黑体"/>
        </w:rPr>
        <w:t>供应商</w:t>
      </w:r>
      <w:r>
        <w:rPr>
          <w:rFonts w:ascii="黑体" w:hAnsi="黑体" w:eastAsia="黑体"/>
        </w:rPr>
        <w:t>发现相关资料被盗用或复制，</w:t>
      </w:r>
      <w:r>
        <w:rPr>
          <w:rFonts w:hint="eastAsia" w:ascii="黑体" w:hAnsi="黑体" w:eastAsia="黑体"/>
        </w:rPr>
        <w:t>应</w:t>
      </w:r>
      <w:r>
        <w:rPr>
          <w:rFonts w:ascii="黑体" w:hAnsi="黑体" w:eastAsia="黑体"/>
        </w:rPr>
        <w:t>遵循法律途径解决，追究侵权者责任。</w:t>
      </w:r>
    </w:p>
    <w:p>
      <w:pPr>
        <w:numPr>
          <w:ilvl w:val="0"/>
          <w:numId w:val="1"/>
        </w:numPr>
        <w:tabs>
          <w:tab w:val="left" w:pos="426"/>
        </w:tabs>
        <w:spacing w:line="600" w:lineRule="exact"/>
        <w:rPr>
          <w:rFonts w:ascii="黑体" w:hAnsi="黑体" w:eastAsia="黑体"/>
          <w:szCs w:val="21"/>
        </w:rPr>
      </w:pPr>
      <w:r>
        <w:rPr>
          <w:rFonts w:hint="eastAsia" w:ascii="黑体" w:hAnsi="黑体" w:eastAsia="黑体"/>
        </w:rPr>
        <w:t>供应商</w:t>
      </w:r>
      <w:r>
        <w:rPr>
          <w:rFonts w:hint="eastAsia" w:ascii="黑体" w:hAnsi="黑体" w:eastAsia="黑体"/>
          <w:szCs w:val="21"/>
        </w:rPr>
        <w:t>如需对项目提出询问或质疑，应按响应文件附件中的询问函和质疑函的格式提交。</w:t>
      </w:r>
    </w:p>
    <w:p>
      <w:pPr>
        <w:tabs>
          <w:tab w:val="left" w:pos="709"/>
        </w:tabs>
        <w:spacing w:line="600" w:lineRule="exact"/>
        <w:ind w:firstLine="211" w:firstLineChars="100"/>
        <w:rPr>
          <w:rFonts w:ascii="黑体" w:hAnsi="黑体" w:eastAsia="黑体"/>
          <w:b/>
        </w:rPr>
      </w:pPr>
      <w:r>
        <w:rPr>
          <w:rFonts w:hint="eastAsia" w:ascii="黑体" w:hAnsi="黑体" w:eastAsia="黑体"/>
          <w:b/>
        </w:rPr>
        <w:t xml:space="preserve"> (本提示内容非磋商文件的组成部分，仅为善意提醒。如有不一致，以磋商文件为准。)</w:t>
      </w:r>
    </w:p>
    <w:p>
      <w:pPr>
        <w:tabs>
          <w:tab w:val="left" w:pos="709"/>
        </w:tabs>
        <w:spacing w:before="156" w:beforeLines="50" w:after="156" w:afterLines="50" w:line="600" w:lineRule="exact"/>
        <w:jc w:val="center"/>
        <w:rPr>
          <w:rFonts w:ascii="黑体" w:hAnsi="黑体" w:eastAsia="黑体"/>
          <w:b/>
          <w:sz w:val="24"/>
          <w:szCs w:val="24"/>
        </w:rPr>
      </w:pPr>
      <w:r>
        <w:rPr>
          <w:rFonts w:ascii="黑体" w:hAnsi="黑体" w:eastAsia="黑体"/>
          <w:b/>
          <w:sz w:val="32"/>
          <w:szCs w:val="32"/>
        </w:rPr>
        <w:drawing>
          <wp:anchor distT="0" distB="0" distL="114300" distR="114300" simplePos="0" relativeHeight="251659264" behindDoc="0" locked="0" layoutInCell="1" allowOverlap="1">
            <wp:simplePos x="0" y="0"/>
            <wp:positionH relativeFrom="column">
              <wp:posOffset>1407795</wp:posOffset>
            </wp:positionH>
            <wp:positionV relativeFrom="paragraph">
              <wp:posOffset>564515</wp:posOffset>
            </wp:positionV>
            <wp:extent cx="2458085" cy="2021205"/>
            <wp:effectExtent l="0" t="0" r="0" b="0"/>
            <wp:wrapNone/>
            <wp:docPr id="2" name="图片 2" descr="C:\Users\ADMINI~1\AppData\Local\Temp\WeChat Files\6b2d4e1d76675bde2c43827105fa8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WeChat Files\6b2d4e1d76675bde2c43827105fa874.jpg"/>
                    <pic:cNvPicPr>
                      <a:picLocks noChangeAspect="1" noChangeArrowheads="1"/>
                    </pic:cNvPicPr>
                  </pic:nvPicPr>
                  <pic:blipFill>
                    <a:blip r:embed="rId7" cstate="print"/>
                    <a:srcRect/>
                    <a:stretch>
                      <a:fillRect/>
                    </a:stretch>
                  </pic:blipFill>
                  <pic:spPr>
                    <a:xfrm>
                      <a:off x="0" y="0"/>
                      <a:ext cx="2460882" cy="2023200"/>
                    </a:xfrm>
                    <a:prstGeom prst="rect">
                      <a:avLst/>
                    </a:prstGeom>
                    <a:noFill/>
                    <a:ln w="9525">
                      <a:noFill/>
                      <a:miter lim="800000"/>
                      <a:headEnd/>
                      <a:tailEnd/>
                    </a:ln>
                  </pic:spPr>
                </pic:pic>
              </a:graphicData>
            </a:graphic>
          </wp:anchor>
        </w:drawing>
      </w:r>
      <w:r>
        <w:rPr>
          <w:rFonts w:hint="eastAsia" w:ascii="黑体" w:hAnsi="黑体" w:eastAsia="黑体"/>
          <w:b/>
          <w:sz w:val="24"/>
          <w:szCs w:val="24"/>
        </w:rPr>
        <w:t>使用微信扫描二维码在线获取磋商文件</w:t>
      </w:r>
    </w:p>
    <w:p>
      <w:pPr>
        <w:tabs>
          <w:tab w:val="left" w:pos="709"/>
        </w:tabs>
        <w:spacing w:before="156" w:beforeLines="50" w:line="600" w:lineRule="exact"/>
        <w:jc w:val="center"/>
        <w:rPr>
          <w:rFonts w:ascii="黑体" w:hAnsi="黑体" w:eastAsia="黑体"/>
          <w:b/>
          <w:sz w:val="32"/>
          <w:szCs w:val="32"/>
        </w:rPr>
      </w:pPr>
    </w:p>
    <w:p>
      <w:pPr>
        <w:tabs>
          <w:tab w:val="left" w:pos="709"/>
        </w:tabs>
        <w:spacing w:before="156" w:beforeLines="50" w:line="600" w:lineRule="exact"/>
        <w:rPr>
          <w:rFonts w:ascii="黑体" w:hAnsi="黑体" w:eastAsia="黑体"/>
          <w:b/>
        </w:rPr>
      </w:pPr>
    </w:p>
    <w:p>
      <w:pPr>
        <w:widowControl/>
        <w:jc w:val="left"/>
        <w:rPr>
          <w:rFonts w:ascii="黑体" w:hAnsi="黑体" w:eastAsia="黑体"/>
        </w:rPr>
      </w:pPr>
    </w:p>
    <w:sdt>
      <w:sdtPr>
        <w:rPr>
          <w:rFonts w:ascii="黑体" w:hAnsi="黑体" w:eastAsia="黑体" w:cstheme="minorBidi"/>
          <w:b w:val="0"/>
          <w:bCs w:val="0"/>
          <w:color w:val="auto"/>
          <w:kern w:val="2"/>
          <w:sz w:val="21"/>
          <w:szCs w:val="22"/>
          <w:lang w:val="zh-CN"/>
        </w:rPr>
        <w:id w:val="1573932282"/>
      </w:sdtPr>
      <w:sdtEndPr>
        <w:rPr>
          <w:rFonts w:ascii="Calibri" w:hAnsi="Calibri" w:eastAsia="宋体" w:cs="Times New Roman"/>
          <w:b w:val="0"/>
          <w:bCs w:val="0"/>
          <w:color w:val="auto"/>
          <w:kern w:val="2"/>
          <w:sz w:val="21"/>
          <w:szCs w:val="22"/>
          <w:lang w:val="zh-CN"/>
        </w:rPr>
      </w:sdtEndPr>
      <w:sdtContent>
        <w:p>
          <w:pPr>
            <w:pStyle w:val="46"/>
            <w:keepNext w:val="0"/>
            <w:keepLines w:val="0"/>
            <w:pageBreakBefore/>
            <w:widowControl w:val="0"/>
            <w:spacing w:before="156" w:beforeLines="50" w:line="360" w:lineRule="auto"/>
            <w:jc w:val="center"/>
            <w:rPr>
              <w:rFonts w:ascii="黑体" w:hAnsi="黑体" w:eastAsia="黑体"/>
              <w:color w:val="auto"/>
            </w:rPr>
          </w:pPr>
          <w:r>
            <w:rPr>
              <w:rFonts w:hint="eastAsia" w:ascii="黑体" w:hAnsi="黑体" w:eastAsia="黑体"/>
              <w:color w:val="auto"/>
              <w:lang w:val="zh-CN"/>
            </w:rPr>
            <w:t>目   录</w:t>
          </w:r>
        </w:p>
        <w:p>
          <w:pPr>
            <w:pStyle w:val="16"/>
            <w:tabs>
              <w:tab w:val="right" w:leader="dot" w:pos="8832"/>
              <w:tab w:val="clear" w:pos="840"/>
              <w:tab w:val="clear" w:pos="8273"/>
            </w:tabs>
          </w:pPr>
          <w:r>
            <w:rPr>
              <w:rFonts w:ascii="黑体" w:hAnsi="黑体"/>
            </w:rPr>
            <w:fldChar w:fldCharType="begin"/>
          </w:r>
          <w:r>
            <w:rPr>
              <w:rFonts w:ascii="黑体" w:hAnsi="黑体"/>
            </w:rPr>
            <w:instrText xml:space="preserve"> TOC \o "1-3" \h \z \u </w:instrText>
          </w:r>
          <w:r>
            <w:rPr>
              <w:rFonts w:ascii="黑体" w:hAnsi="黑体"/>
            </w:rPr>
            <w:fldChar w:fldCharType="separate"/>
          </w:r>
          <w:r>
            <w:fldChar w:fldCharType="begin"/>
          </w:r>
          <w:r>
            <w:instrText xml:space="preserve"> HYPERLINK \l "_Toc23587" </w:instrText>
          </w:r>
          <w:r>
            <w:fldChar w:fldCharType="separate"/>
          </w:r>
          <w:r>
            <w:rPr>
              <w:rFonts w:hint="eastAsia" w:ascii="黑体" w:hAnsi="黑体"/>
              <w:spacing w:val="20"/>
              <w:szCs w:val="32"/>
            </w:rPr>
            <w:t>第一部分 磋商邀请</w:t>
          </w:r>
          <w:r>
            <w:tab/>
          </w:r>
          <w:r>
            <w:fldChar w:fldCharType="begin"/>
          </w:r>
          <w:r>
            <w:instrText xml:space="preserve"> PAGEREF _Toc23587 \h </w:instrText>
          </w:r>
          <w:r>
            <w:fldChar w:fldCharType="separate"/>
          </w:r>
          <w:r>
            <w:t>5</w:t>
          </w:r>
          <w:r>
            <w:fldChar w:fldCharType="end"/>
          </w:r>
          <w:r>
            <w:fldChar w:fldCharType="end"/>
          </w:r>
        </w:p>
        <w:p>
          <w:pPr>
            <w:pStyle w:val="16"/>
            <w:tabs>
              <w:tab w:val="right" w:leader="dot" w:pos="8832"/>
              <w:tab w:val="clear" w:pos="840"/>
              <w:tab w:val="clear" w:pos="8273"/>
            </w:tabs>
          </w:pPr>
          <w:r>
            <w:fldChar w:fldCharType="begin"/>
          </w:r>
          <w:r>
            <w:instrText xml:space="preserve"> HYPERLINK \l "_Toc12036" </w:instrText>
          </w:r>
          <w:r>
            <w:fldChar w:fldCharType="separate"/>
          </w:r>
          <w:r>
            <w:rPr>
              <w:rFonts w:hint="eastAsia" w:ascii="黑体" w:hAnsi="黑体" w:cs="黑体"/>
              <w:bCs/>
              <w:spacing w:val="20"/>
              <w:kern w:val="44"/>
              <w:szCs w:val="32"/>
            </w:rPr>
            <w:t>第二部分 采购需求</w:t>
          </w:r>
          <w:r>
            <w:tab/>
          </w:r>
          <w:r>
            <w:fldChar w:fldCharType="begin"/>
          </w:r>
          <w:r>
            <w:instrText xml:space="preserve"> PAGEREF _Toc12036 \h </w:instrText>
          </w:r>
          <w:r>
            <w:fldChar w:fldCharType="separate"/>
          </w:r>
          <w:r>
            <w:t>9</w:t>
          </w:r>
          <w:r>
            <w:fldChar w:fldCharType="end"/>
          </w:r>
          <w:r>
            <w:fldChar w:fldCharType="end"/>
          </w:r>
        </w:p>
        <w:p>
          <w:pPr>
            <w:pStyle w:val="16"/>
            <w:tabs>
              <w:tab w:val="right" w:leader="dot" w:pos="8832"/>
              <w:tab w:val="clear" w:pos="840"/>
              <w:tab w:val="clear" w:pos="8273"/>
            </w:tabs>
          </w:pPr>
          <w:r>
            <w:fldChar w:fldCharType="begin"/>
          </w:r>
          <w:r>
            <w:instrText xml:space="preserve"> HYPERLINK \l "_Toc31921" </w:instrText>
          </w:r>
          <w:r>
            <w:fldChar w:fldCharType="separate"/>
          </w:r>
          <w:r>
            <w:rPr>
              <w:rFonts w:hint="eastAsia" w:ascii="黑体" w:hAnsi="黑体" w:cs="黑体"/>
              <w:spacing w:val="20"/>
              <w:szCs w:val="32"/>
            </w:rPr>
            <w:t>第三部分 磋商须知前附表</w:t>
          </w:r>
          <w:r>
            <w:tab/>
          </w:r>
          <w:r>
            <w:fldChar w:fldCharType="begin"/>
          </w:r>
          <w:r>
            <w:instrText xml:space="preserve"> PAGEREF _Toc31921 \h </w:instrText>
          </w:r>
          <w:r>
            <w:fldChar w:fldCharType="separate"/>
          </w:r>
          <w:r>
            <w:t>15</w:t>
          </w:r>
          <w:r>
            <w:fldChar w:fldCharType="end"/>
          </w:r>
          <w:r>
            <w:fldChar w:fldCharType="end"/>
          </w:r>
        </w:p>
        <w:p>
          <w:pPr>
            <w:pStyle w:val="16"/>
            <w:tabs>
              <w:tab w:val="right" w:leader="dot" w:pos="8832"/>
              <w:tab w:val="clear" w:pos="840"/>
              <w:tab w:val="clear" w:pos="8273"/>
            </w:tabs>
          </w:pPr>
          <w:r>
            <w:fldChar w:fldCharType="begin"/>
          </w:r>
          <w:r>
            <w:instrText xml:space="preserve"> HYPERLINK \l "_Toc22250" </w:instrText>
          </w:r>
          <w:r>
            <w:fldChar w:fldCharType="separate"/>
          </w:r>
          <w:r>
            <w:rPr>
              <w:rFonts w:hint="eastAsia" w:ascii="黑体" w:hAnsi="黑体"/>
              <w:spacing w:val="20"/>
              <w:szCs w:val="32"/>
            </w:rPr>
            <w:t>第四部分 磋商须知</w:t>
          </w:r>
          <w:r>
            <w:tab/>
          </w:r>
          <w:r>
            <w:fldChar w:fldCharType="begin"/>
          </w:r>
          <w:r>
            <w:instrText xml:space="preserve"> PAGEREF _Toc22250 \h </w:instrText>
          </w:r>
          <w:r>
            <w:fldChar w:fldCharType="separate"/>
          </w:r>
          <w:r>
            <w:t>16</w:t>
          </w:r>
          <w:r>
            <w:fldChar w:fldCharType="end"/>
          </w:r>
          <w:r>
            <w:fldChar w:fldCharType="end"/>
          </w:r>
        </w:p>
        <w:p>
          <w:pPr>
            <w:pStyle w:val="17"/>
            <w:tabs>
              <w:tab w:val="right" w:leader="dot" w:pos="8832"/>
              <w:tab w:val="clear" w:pos="851"/>
              <w:tab w:val="clear" w:pos="8302"/>
            </w:tabs>
          </w:pPr>
          <w:r>
            <w:fldChar w:fldCharType="begin"/>
          </w:r>
          <w:r>
            <w:instrText xml:space="preserve"> HYPERLINK \l "_Toc31726" </w:instrText>
          </w:r>
          <w:r>
            <w:fldChar w:fldCharType="separate"/>
          </w:r>
          <w:r>
            <w:rPr>
              <w:rFonts w:hint="eastAsia" w:ascii="黑体" w:hAnsi="黑体" w:eastAsia="黑体"/>
              <w:spacing w:val="12"/>
              <w:szCs w:val="21"/>
            </w:rPr>
            <w:t>附件1  询问函格式</w:t>
          </w:r>
          <w:r>
            <w:tab/>
          </w:r>
          <w:r>
            <w:fldChar w:fldCharType="begin"/>
          </w:r>
          <w:r>
            <w:instrText xml:space="preserve"> PAGEREF _Toc31726 \h </w:instrText>
          </w:r>
          <w:r>
            <w:fldChar w:fldCharType="separate"/>
          </w:r>
          <w:r>
            <w:t>32</w:t>
          </w:r>
          <w:r>
            <w:fldChar w:fldCharType="end"/>
          </w:r>
          <w:r>
            <w:fldChar w:fldCharType="end"/>
          </w:r>
        </w:p>
        <w:p>
          <w:pPr>
            <w:pStyle w:val="17"/>
            <w:tabs>
              <w:tab w:val="right" w:leader="dot" w:pos="8832"/>
              <w:tab w:val="clear" w:pos="851"/>
              <w:tab w:val="clear" w:pos="8302"/>
            </w:tabs>
          </w:pPr>
          <w:r>
            <w:fldChar w:fldCharType="begin"/>
          </w:r>
          <w:r>
            <w:instrText xml:space="preserve"> HYPERLINK \l "_Toc14729" </w:instrText>
          </w:r>
          <w:r>
            <w:fldChar w:fldCharType="separate"/>
          </w:r>
          <w:r>
            <w:rPr>
              <w:rFonts w:hint="eastAsia" w:ascii="黑体" w:hAnsi="黑体" w:eastAsia="黑体"/>
              <w:spacing w:val="12"/>
              <w:szCs w:val="21"/>
            </w:rPr>
            <w:t>附件2  质疑函格式</w:t>
          </w:r>
          <w:r>
            <w:tab/>
          </w:r>
          <w:r>
            <w:fldChar w:fldCharType="begin"/>
          </w:r>
          <w:r>
            <w:instrText xml:space="preserve"> PAGEREF _Toc14729 \h </w:instrText>
          </w:r>
          <w:r>
            <w:fldChar w:fldCharType="separate"/>
          </w:r>
          <w:r>
            <w:t>33</w:t>
          </w:r>
          <w:r>
            <w:fldChar w:fldCharType="end"/>
          </w:r>
          <w:r>
            <w:fldChar w:fldCharType="end"/>
          </w:r>
        </w:p>
        <w:p>
          <w:pPr>
            <w:pStyle w:val="16"/>
            <w:tabs>
              <w:tab w:val="right" w:leader="dot" w:pos="8832"/>
              <w:tab w:val="clear" w:pos="840"/>
              <w:tab w:val="clear" w:pos="8273"/>
            </w:tabs>
          </w:pPr>
          <w:r>
            <w:fldChar w:fldCharType="begin"/>
          </w:r>
          <w:r>
            <w:instrText xml:space="preserve"> HYPERLINK \l "_Toc25528" </w:instrText>
          </w:r>
          <w:r>
            <w:fldChar w:fldCharType="separate"/>
          </w:r>
          <w:r>
            <w:rPr>
              <w:rFonts w:hint="eastAsia" w:ascii="黑体" w:hAnsi="黑体"/>
              <w:spacing w:val="20"/>
              <w:szCs w:val="32"/>
            </w:rPr>
            <w:t>第五部分</w:t>
          </w:r>
          <w:r>
            <w:rPr>
              <w:rFonts w:ascii="黑体" w:hAnsi="黑体"/>
              <w:spacing w:val="20"/>
              <w:szCs w:val="32"/>
            </w:rPr>
            <w:t xml:space="preserve"> </w:t>
          </w:r>
          <w:r>
            <w:rPr>
              <w:rFonts w:hint="eastAsia" w:ascii="黑体" w:hAnsi="黑体"/>
              <w:spacing w:val="20"/>
              <w:szCs w:val="32"/>
            </w:rPr>
            <w:t>评审方法、步骤、标准</w:t>
          </w:r>
          <w:r>
            <w:tab/>
          </w:r>
          <w:r>
            <w:fldChar w:fldCharType="begin"/>
          </w:r>
          <w:r>
            <w:instrText xml:space="preserve"> PAGEREF _Toc25528 \h </w:instrText>
          </w:r>
          <w:r>
            <w:fldChar w:fldCharType="separate"/>
          </w:r>
          <w:r>
            <w:t>35</w:t>
          </w:r>
          <w:r>
            <w:fldChar w:fldCharType="end"/>
          </w:r>
          <w:r>
            <w:fldChar w:fldCharType="end"/>
          </w:r>
        </w:p>
        <w:p>
          <w:pPr>
            <w:pStyle w:val="16"/>
            <w:tabs>
              <w:tab w:val="right" w:leader="dot" w:pos="8832"/>
              <w:tab w:val="clear" w:pos="840"/>
              <w:tab w:val="clear" w:pos="8273"/>
            </w:tabs>
          </w:pPr>
          <w:r>
            <w:fldChar w:fldCharType="begin"/>
          </w:r>
          <w:r>
            <w:instrText xml:space="preserve"> HYPERLINK \l "_Toc16731" </w:instrText>
          </w:r>
          <w:r>
            <w:fldChar w:fldCharType="separate"/>
          </w:r>
          <w:r>
            <w:rPr>
              <w:rFonts w:hint="eastAsia" w:ascii="黑体" w:hAnsi="黑体"/>
              <w:spacing w:val="20"/>
              <w:szCs w:val="32"/>
            </w:rPr>
            <w:t>第六部分</w:t>
          </w:r>
          <w:r>
            <w:rPr>
              <w:rFonts w:ascii="黑体" w:hAnsi="黑体"/>
              <w:spacing w:val="20"/>
              <w:szCs w:val="32"/>
            </w:rPr>
            <w:t xml:space="preserve"> </w:t>
          </w:r>
          <w:r>
            <w:rPr>
              <w:rFonts w:hint="eastAsia" w:ascii="黑体" w:hAnsi="黑体"/>
              <w:spacing w:val="20"/>
              <w:szCs w:val="32"/>
            </w:rPr>
            <w:t>合同书格式</w:t>
          </w:r>
          <w:r>
            <w:tab/>
          </w:r>
          <w:r>
            <w:fldChar w:fldCharType="begin"/>
          </w:r>
          <w:r>
            <w:instrText xml:space="preserve"> PAGEREF _Toc16731 \h </w:instrText>
          </w:r>
          <w:r>
            <w:fldChar w:fldCharType="separate"/>
          </w:r>
          <w:r>
            <w:t>44</w:t>
          </w:r>
          <w:r>
            <w:fldChar w:fldCharType="end"/>
          </w:r>
          <w:r>
            <w:fldChar w:fldCharType="end"/>
          </w:r>
        </w:p>
        <w:p>
          <w:pPr>
            <w:pStyle w:val="16"/>
            <w:tabs>
              <w:tab w:val="right" w:leader="dot" w:pos="8832"/>
              <w:tab w:val="clear" w:pos="840"/>
              <w:tab w:val="clear" w:pos="8273"/>
            </w:tabs>
          </w:pPr>
          <w:r>
            <w:fldChar w:fldCharType="begin"/>
          </w:r>
          <w:r>
            <w:instrText xml:space="preserve"> HYPERLINK \l "_Toc17485" </w:instrText>
          </w:r>
          <w:r>
            <w:fldChar w:fldCharType="separate"/>
          </w:r>
          <w:r>
            <w:rPr>
              <w:rFonts w:hint="eastAsia" w:ascii="黑体" w:hAnsi="黑体"/>
              <w:spacing w:val="20"/>
              <w:szCs w:val="32"/>
            </w:rPr>
            <w:t>第七部分</w:t>
          </w:r>
          <w:r>
            <w:rPr>
              <w:rFonts w:ascii="黑体" w:hAnsi="黑体"/>
              <w:spacing w:val="20"/>
              <w:szCs w:val="32"/>
            </w:rPr>
            <w:t xml:space="preserve"> </w:t>
          </w:r>
          <w:r>
            <w:rPr>
              <w:rFonts w:hint="eastAsia" w:ascii="黑体" w:hAnsi="黑体"/>
              <w:spacing w:val="20"/>
              <w:szCs w:val="32"/>
            </w:rPr>
            <w:t>响应文件格式</w:t>
          </w:r>
          <w:r>
            <w:tab/>
          </w:r>
          <w:r>
            <w:fldChar w:fldCharType="begin"/>
          </w:r>
          <w:r>
            <w:instrText xml:space="preserve"> PAGEREF _Toc17485 \h </w:instrText>
          </w:r>
          <w:r>
            <w:fldChar w:fldCharType="separate"/>
          </w:r>
          <w:r>
            <w:t>48</w:t>
          </w:r>
          <w:r>
            <w:fldChar w:fldCharType="end"/>
          </w:r>
          <w:r>
            <w:fldChar w:fldCharType="end"/>
          </w:r>
        </w:p>
        <w:p>
          <w:pPr>
            <w:pStyle w:val="17"/>
            <w:tabs>
              <w:tab w:val="right" w:leader="dot" w:pos="8832"/>
              <w:tab w:val="clear" w:pos="851"/>
              <w:tab w:val="clear" w:pos="8302"/>
            </w:tabs>
          </w:pPr>
          <w:r>
            <w:fldChar w:fldCharType="begin"/>
          </w:r>
          <w:r>
            <w:instrText xml:space="preserve"> HYPERLINK \l "_Toc5781" </w:instrText>
          </w:r>
          <w:r>
            <w:fldChar w:fldCharType="separate"/>
          </w:r>
          <w:r>
            <w:rPr>
              <w:rFonts w:ascii="黑体" w:hAnsi="黑体" w:eastAsia="黑体"/>
              <w:szCs w:val="21"/>
            </w:rPr>
            <w:t xml:space="preserve">(一) </w:t>
          </w:r>
          <w:r>
            <w:rPr>
              <w:rFonts w:hint="eastAsia" w:ascii="黑体" w:hAnsi="黑体" w:eastAsia="黑体"/>
              <w:spacing w:val="12"/>
              <w:szCs w:val="21"/>
            </w:rPr>
            <w:t>价格部分格式（独立成册）</w:t>
          </w:r>
          <w:r>
            <w:tab/>
          </w:r>
          <w:r>
            <w:fldChar w:fldCharType="begin"/>
          </w:r>
          <w:r>
            <w:instrText xml:space="preserve"> PAGEREF _Toc5781 \h </w:instrText>
          </w:r>
          <w:r>
            <w:fldChar w:fldCharType="separate"/>
          </w:r>
          <w:r>
            <w:t>48</w:t>
          </w:r>
          <w:r>
            <w:fldChar w:fldCharType="end"/>
          </w:r>
          <w:r>
            <w:fldChar w:fldCharType="end"/>
          </w:r>
        </w:p>
        <w:p>
          <w:pPr>
            <w:pStyle w:val="17"/>
            <w:tabs>
              <w:tab w:val="right" w:leader="dot" w:pos="8832"/>
              <w:tab w:val="clear" w:pos="851"/>
              <w:tab w:val="clear" w:pos="8302"/>
            </w:tabs>
          </w:pPr>
          <w:r>
            <w:fldChar w:fldCharType="begin"/>
          </w:r>
          <w:r>
            <w:instrText xml:space="preserve"> HYPERLINK \l "_Toc16983" </w:instrText>
          </w:r>
          <w:r>
            <w:fldChar w:fldCharType="separate"/>
          </w:r>
          <w:r>
            <w:rPr>
              <w:rFonts w:ascii="黑体" w:hAnsi="黑体" w:eastAsia="黑体"/>
              <w:spacing w:val="12"/>
              <w:szCs w:val="21"/>
            </w:rPr>
            <w:t xml:space="preserve">1. </w:t>
          </w:r>
          <w:r>
            <w:rPr>
              <w:rFonts w:hint="eastAsia" w:ascii="黑体" w:hAnsi="黑体" w:eastAsia="黑体"/>
              <w:spacing w:val="12"/>
              <w:szCs w:val="21"/>
            </w:rPr>
            <w:t>首次报价表</w:t>
          </w:r>
          <w:r>
            <w:tab/>
          </w:r>
          <w:r>
            <w:fldChar w:fldCharType="begin"/>
          </w:r>
          <w:r>
            <w:instrText xml:space="preserve"> PAGEREF _Toc16983 \h </w:instrText>
          </w:r>
          <w:r>
            <w:fldChar w:fldCharType="separate"/>
          </w:r>
          <w:r>
            <w:t>49</w:t>
          </w:r>
          <w:r>
            <w:fldChar w:fldCharType="end"/>
          </w:r>
          <w:r>
            <w:fldChar w:fldCharType="end"/>
          </w:r>
        </w:p>
        <w:p>
          <w:pPr>
            <w:pStyle w:val="17"/>
            <w:tabs>
              <w:tab w:val="right" w:leader="dot" w:pos="8832"/>
              <w:tab w:val="clear" w:pos="851"/>
              <w:tab w:val="clear" w:pos="8302"/>
            </w:tabs>
          </w:pPr>
          <w:r>
            <w:fldChar w:fldCharType="begin"/>
          </w:r>
          <w:r>
            <w:instrText xml:space="preserve"> HYPERLINK \l "_Toc31599" </w:instrText>
          </w:r>
          <w:r>
            <w:fldChar w:fldCharType="separate"/>
          </w:r>
          <w:r>
            <w:rPr>
              <w:rFonts w:ascii="黑体" w:hAnsi="黑体" w:eastAsia="黑体"/>
              <w:spacing w:val="12"/>
              <w:szCs w:val="21"/>
            </w:rPr>
            <w:t xml:space="preserve">2. </w:t>
          </w:r>
          <w:r>
            <w:rPr>
              <w:rFonts w:hint="eastAsia" w:ascii="黑体" w:hAnsi="黑体" w:eastAsia="黑体"/>
              <w:spacing w:val="12"/>
              <w:szCs w:val="21"/>
            </w:rPr>
            <w:t>分项报价表</w:t>
          </w:r>
          <w:r>
            <w:tab/>
          </w:r>
          <w:r>
            <w:fldChar w:fldCharType="begin"/>
          </w:r>
          <w:r>
            <w:instrText xml:space="preserve"> PAGEREF _Toc31599 \h </w:instrText>
          </w:r>
          <w:r>
            <w:fldChar w:fldCharType="separate"/>
          </w:r>
          <w:r>
            <w:t>50</w:t>
          </w:r>
          <w:r>
            <w:fldChar w:fldCharType="end"/>
          </w:r>
          <w:r>
            <w:fldChar w:fldCharType="end"/>
          </w:r>
        </w:p>
        <w:p>
          <w:pPr>
            <w:pStyle w:val="17"/>
            <w:tabs>
              <w:tab w:val="right" w:leader="dot" w:pos="8832"/>
              <w:tab w:val="clear" w:pos="851"/>
              <w:tab w:val="clear" w:pos="8302"/>
            </w:tabs>
          </w:pPr>
          <w:r>
            <w:fldChar w:fldCharType="begin"/>
          </w:r>
          <w:r>
            <w:instrText xml:space="preserve"> HYPERLINK \l "_Toc28284" </w:instrText>
          </w:r>
          <w:r>
            <w:fldChar w:fldCharType="separate"/>
          </w:r>
          <w:r>
            <w:rPr>
              <w:rFonts w:ascii="黑体" w:hAnsi="黑体" w:eastAsia="黑体"/>
              <w:spacing w:val="12"/>
            </w:rPr>
            <w:t xml:space="preserve">(二) </w:t>
          </w:r>
          <w:r>
            <w:rPr>
              <w:rFonts w:hint="eastAsia" w:ascii="黑体" w:hAnsi="黑体" w:eastAsia="黑体"/>
              <w:spacing w:val="12"/>
            </w:rPr>
            <w:t>商务技术文件格式</w:t>
          </w:r>
          <w:r>
            <w:tab/>
          </w:r>
          <w:r>
            <w:fldChar w:fldCharType="begin"/>
          </w:r>
          <w:r>
            <w:instrText xml:space="preserve"> PAGEREF _Toc28284 \h </w:instrText>
          </w:r>
          <w:r>
            <w:fldChar w:fldCharType="separate"/>
          </w:r>
          <w:r>
            <w:t>51</w:t>
          </w:r>
          <w:r>
            <w:fldChar w:fldCharType="end"/>
          </w:r>
          <w:r>
            <w:fldChar w:fldCharType="end"/>
          </w:r>
        </w:p>
        <w:p>
          <w:pPr>
            <w:pStyle w:val="17"/>
            <w:tabs>
              <w:tab w:val="right" w:leader="dot" w:pos="8832"/>
              <w:tab w:val="clear" w:pos="851"/>
              <w:tab w:val="clear" w:pos="8302"/>
            </w:tabs>
          </w:pPr>
          <w:r>
            <w:fldChar w:fldCharType="begin"/>
          </w:r>
          <w:r>
            <w:instrText xml:space="preserve"> HYPERLINK \l "_Toc5" </w:instrText>
          </w:r>
          <w:r>
            <w:fldChar w:fldCharType="separate"/>
          </w:r>
          <w:r>
            <w:rPr>
              <w:rFonts w:ascii="黑体" w:hAnsi="黑体" w:eastAsia="黑体"/>
              <w:bCs/>
              <w:spacing w:val="12"/>
            </w:rPr>
            <w:t xml:space="preserve">1. </w:t>
          </w:r>
          <w:r>
            <w:rPr>
              <w:rFonts w:hint="eastAsia" w:ascii="黑体" w:hAnsi="黑体" w:eastAsia="黑体"/>
              <w:bCs/>
              <w:spacing w:val="12"/>
            </w:rPr>
            <w:t>资格性与符合性自查索引表</w:t>
          </w:r>
          <w:r>
            <w:tab/>
          </w:r>
          <w:r>
            <w:fldChar w:fldCharType="begin"/>
          </w:r>
          <w:r>
            <w:instrText xml:space="preserve"> PAGEREF _Toc5 \h </w:instrText>
          </w:r>
          <w:r>
            <w:fldChar w:fldCharType="separate"/>
          </w:r>
          <w:r>
            <w:t>52</w:t>
          </w:r>
          <w:r>
            <w:fldChar w:fldCharType="end"/>
          </w:r>
          <w:r>
            <w:fldChar w:fldCharType="end"/>
          </w:r>
        </w:p>
        <w:p>
          <w:pPr>
            <w:pStyle w:val="17"/>
            <w:tabs>
              <w:tab w:val="right" w:leader="dot" w:pos="8832"/>
              <w:tab w:val="clear" w:pos="851"/>
              <w:tab w:val="clear" w:pos="8302"/>
            </w:tabs>
          </w:pPr>
          <w:r>
            <w:fldChar w:fldCharType="begin"/>
          </w:r>
          <w:r>
            <w:instrText xml:space="preserve"> HYPERLINK \l "_Toc31308" </w:instrText>
          </w:r>
          <w:r>
            <w:fldChar w:fldCharType="separate"/>
          </w:r>
          <w:r>
            <w:rPr>
              <w:rFonts w:ascii="黑体" w:hAnsi="黑体" w:eastAsia="黑体"/>
              <w:bCs/>
              <w:spacing w:val="12"/>
            </w:rPr>
            <w:t xml:space="preserve">2. </w:t>
          </w:r>
          <w:r>
            <w:rPr>
              <w:rFonts w:hint="eastAsia" w:ascii="黑体" w:hAnsi="黑体" w:eastAsia="黑体"/>
              <w:bCs/>
              <w:spacing w:val="12"/>
            </w:rPr>
            <w:t>详细评审索引表</w:t>
          </w:r>
          <w:r>
            <w:tab/>
          </w:r>
          <w:r>
            <w:fldChar w:fldCharType="begin"/>
          </w:r>
          <w:r>
            <w:instrText xml:space="preserve"> PAGEREF _Toc31308 \h </w:instrText>
          </w:r>
          <w:r>
            <w:fldChar w:fldCharType="separate"/>
          </w:r>
          <w:r>
            <w:t>53</w:t>
          </w:r>
          <w:r>
            <w:fldChar w:fldCharType="end"/>
          </w:r>
          <w:r>
            <w:fldChar w:fldCharType="end"/>
          </w:r>
        </w:p>
        <w:p>
          <w:pPr>
            <w:pStyle w:val="17"/>
            <w:tabs>
              <w:tab w:val="right" w:leader="dot" w:pos="8832"/>
              <w:tab w:val="clear" w:pos="851"/>
              <w:tab w:val="clear" w:pos="8302"/>
            </w:tabs>
          </w:pPr>
          <w:r>
            <w:fldChar w:fldCharType="begin"/>
          </w:r>
          <w:r>
            <w:instrText xml:space="preserve"> HYPERLINK \l "_Toc29182" </w:instrText>
          </w:r>
          <w:r>
            <w:fldChar w:fldCharType="separate"/>
          </w:r>
          <w:r>
            <w:rPr>
              <w:rFonts w:ascii="黑体" w:hAnsi="黑体" w:eastAsia="黑体"/>
              <w:bCs/>
              <w:spacing w:val="12"/>
            </w:rPr>
            <w:t xml:space="preserve">3. </w:t>
          </w:r>
          <w:r>
            <w:rPr>
              <w:rFonts w:hint="eastAsia" w:ascii="黑体" w:hAnsi="黑体" w:eastAsia="黑体"/>
              <w:bCs/>
              <w:spacing w:val="12"/>
            </w:rPr>
            <w:t>磋商函</w:t>
          </w:r>
          <w:r>
            <w:tab/>
          </w:r>
          <w:r>
            <w:fldChar w:fldCharType="begin"/>
          </w:r>
          <w:r>
            <w:instrText xml:space="preserve"> PAGEREF _Toc29182 \h </w:instrText>
          </w:r>
          <w:r>
            <w:fldChar w:fldCharType="separate"/>
          </w:r>
          <w:r>
            <w:t>54</w:t>
          </w:r>
          <w:r>
            <w:fldChar w:fldCharType="end"/>
          </w:r>
          <w:r>
            <w:fldChar w:fldCharType="end"/>
          </w:r>
        </w:p>
        <w:p>
          <w:pPr>
            <w:pStyle w:val="17"/>
            <w:tabs>
              <w:tab w:val="right" w:leader="dot" w:pos="8832"/>
              <w:tab w:val="clear" w:pos="851"/>
              <w:tab w:val="clear" w:pos="8302"/>
            </w:tabs>
          </w:pPr>
          <w:r>
            <w:fldChar w:fldCharType="begin"/>
          </w:r>
          <w:r>
            <w:instrText xml:space="preserve"> HYPERLINK \l "_Toc15811" </w:instrText>
          </w:r>
          <w:r>
            <w:fldChar w:fldCharType="separate"/>
          </w:r>
          <w:r>
            <w:rPr>
              <w:rFonts w:ascii="黑体" w:hAnsi="黑体" w:eastAsia="黑体"/>
              <w:bCs/>
              <w:spacing w:val="12"/>
            </w:rPr>
            <w:t xml:space="preserve">4. </w:t>
          </w:r>
          <w:r>
            <w:rPr>
              <w:rFonts w:hint="eastAsia" w:ascii="黑体" w:hAnsi="黑体" w:eastAsia="黑体"/>
              <w:bCs/>
              <w:spacing w:val="12"/>
            </w:rPr>
            <w:t>法定代表人身份证明书</w:t>
          </w:r>
          <w:r>
            <w:tab/>
          </w:r>
          <w:r>
            <w:fldChar w:fldCharType="begin"/>
          </w:r>
          <w:r>
            <w:instrText xml:space="preserve"> PAGEREF _Toc15811 \h </w:instrText>
          </w:r>
          <w:r>
            <w:fldChar w:fldCharType="separate"/>
          </w:r>
          <w:r>
            <w:t>55</w:t>
          </w:r>
          <w:r>
            <w:fldChar w:fldCharType="end"/>
          </w:r>
          <w:r>
            <w:fldChar w:fldCharType="end"/>
          </w:r>
        </w:p>
        <w:p>
          <w:pPr>
            <w:pStyle w:val="17"/>
            <w:tabs>
              <w:tab w:val="right" w:leader="dot" w:pos="8832"/>
              <w:tab w:val="clear" w:pos="851"/>
              <w:tab w:val="clear" w:pos="8302"/>
            </w:tabs>
          </w:pPr>
          <w:r>
            <w:fldChar w:fldCharType="begin"/>
          </w:r>
          <w:r>
            <w:instrText xml:space="preserve"> HYPERLINK \l "_Toc20115" </w:instrText>
          </w:r>
          <w:r>
            <w:fldChar w:fldCharType="separate"/>
          </w:r>
          <w:r>
            <w:rPr>
              <w:rFonts w:ascii="黑体" w:hAnsi="黑体" w:eastAsia="黑体"/>
              <w:bCs/>
              <w:spacing w:val="12"/>
            </w:rPr>
            <w:t xml:space="preserve">5. </w:t>
          </w:r>
          <w:r>
            <w:rPr>
              <w:rFonts w:hint="eastAsia" w:ascii="黑体" w:hAnsi="黑体" w:eastAsia="黑体"/>
              <w:bCs/>
              <w:spacing w:val="12"/>
            </w:rPr>
            <w:t>法定代表人授权委托书</w:t>
          </w:r>
          <w:r>
            <w:tab/>
          </w:r>
          <w:r>
            <w:fldChar w:fldCharType="begin"/>
          </w:r>
          <w:r>
            <w:instrText xml:space="preserve"> PAGEREF _Toc20115 \h </w:instrText>
          </w:r>
          <w:r>
            <w:fldChar w:fldCharType="separate"/>
          </w:r>
          <w:r>
            <w:t>56</w:t>
          </w:r>
          <w:r>
            <w:fldChar w:fldCharType="end"/>
          </w:r>
          <w:r>
            <w:fldChar w:fldCharType="end"/>
          </w:r>
        </w:p>
        <w:p>
          <w:pPr>
            <w:pStyle w:val="17"/>
            <w:tabs>
              <w:tab w:val="right" w:leader="dot" w:pos="8832"/>
              <w:tab w:val="clear" w:pos="851"/>
              <w:tab w:val="clear" w:pos="8302"/>
            </w:tabs>
          </w:pPr>
          <w:r>
            <w:fldChar w:fldCharType="begin"/>
          </w:r>
          <w:r>
            <w:instrText xml:space="preserve"> HYPERLINK \l "_Toc22970" </w:instrText>
          </w:r>
          <w:r>
            <w:fldChar w:fldCharType="separate"/>
          </w:r>
          <w:r>
            <w:rPr>
              <w:rFonts w:ascii="黑体" w:hAnsi="黑体" w:eastAsia="黑体"/>
              <w:spacing w:val="12"/>
            </w:rPr>
            <w:t xml:space="preserve">6. </w:t>
          </w:r>
          <w:r>
            <w:rPr>
              <w:rFonts w:hint="eastAsia" w:ascii="黑体" w:hAnsi="黑体" w:eastAsia="黑体"/>
              <w:bCs/>
              <w:spacing w:val="12"/>
            </w:rPr>
            <w:t>资格声明函</w:t>
          </w:r>
          <w:r>
            <w:tab/>
          </w:r>
          <w:r>
            <w:fldChar w:fldCharType="begin"/>
          </w:r>
          <w:r>
            <w:instrText xml:space="preserve"> PAGEREF _Toc22970 \h </w:instrText>
          </w:r>
          <w:r>
            <w:fldChar w:fldCharType="separate"/>
          </w:r>
          <w:r>
            <w:t>57</w:t>
          </w:r>
          <w:r>
            <w:fldChar w:fldCharType="end"/>
          </w:r>
          <w:r>
            <w:fldChar w:fldCharType="end"/>
          </w:r>
        </w:p>
        <w:p>
          <w:pPr>
            <w:pStyle w:val="17"/>
            <w:tabs>
              <w:tab w:val="right" w:leader="dot" w:pos="8832"/>
              <w:tab w:val="clear" w:pos="851"/>
              <w:tab w:val="clear" w:pos="8302"/>
            </w:tabs>
          </w:pPr>
          <w:r>
            <w:fldChar w:fldCharType="begin"/>
          </w:r>
          <w:r>
            <w:instrText xml:space="preserve"> HYPERLINK \l "_Toc29105" </w:instrText>
          </w:r>
          <w:r>
            <w:fldChar w:fldCharType="separate"/>
          </w:r>
          <w:r>
            <w:rPr>
              <w:rFonts w:ascii="黑体" w:hAnsi="黑体" w:eastAsia="黑体"/>
              <w:bCs/>
              <w:spacing w:val="12"/>
            </w:rPr>
            <w:t xml:space="preserve">7. </w:t>
          </w:r>
          <w:r>
            <w:rPr>
              <w:rFonts w:hint="eastAsia" w:ascii="黑体" w:hAnsi="黑体" w:eastAsia="黑体"/>
              <w:bCs/>
              <w:spacing w:val="12"/>
            </w:rPr>
            <w:t>响应供应商基本情况说明</w:t>
          </w:r>
          <w:r>
            <w:tab/>
          </w:r>
          <w:r>
            <w:fldChar w:fldCharType="begin"/>
          </w:r>
          <w:r>
            <w:instrText xml:space="preserve"> PAGEREF _Toc29105 \h </w:instrText>
          </w:r>
          <w:r>
            <w:fldChar w:fldCharType="separate"/>
          </w:r>
          <w:r>
            <w:t>58</w:t>
          </w:r>
          <w:r>
            <w:fldChar w:fldCharType="end"/>
          </w:r>
          <w:r>
            <w:fldChar w:fldCharType="end"/>
          </w:r>
        </w:p>
        <w:p>
          <w:pPr>
            <w:pStyle w:val="17"/>
            <w:tabs>
              <w:tab w:val="right" w:leader="dot" w:pos="8832"/>
              <w:tab w:val="clear" w:pos="851"/>
              <w:tab w:val="clear" w:pos="8302"/>
            </w:tabs>
          </w:pPr>
          <w:r>
            <w:fldChar w:fldCharType="begin"/>
          </w:r>
          <w:r>
            <w:instrText xml:space="preserve"> HYPERLINK \l "_Toc26361" </w:instrText>
          </w:r>
          <w:r>
            <w:fldChar w:fldCharType="separate"/>
          </w:r>
          <w:r>
            <w:rPr>
              <w:rFonts w:hint="eastAsia" w:ascii="黑体" w:hAnsi="黑体" w:eastAsia="黑体"/>
              <w:bCs/>
              <w:spacing w:val="12"/>
              <w:szCs w:val="21"/>
            </w:rPr>
            <w:t>7.1 供应商资格证明文件</w:t>
          </w:r>
          <w:r>
            <w:tab/>
          </w:r>
          <w:r>
            <w:fldChar w:fldCharType="begin"/>
          </w:r>
          <w:r>
            <w:instrText xml:space="preserve"> PAGEREF _Toc26361 \h </w:instrText>
          </w:r>
          <w:r>
            <w:fldChar w:fldCharType="separate"/>
          </w:r>
          <w:r>
            <w:t>59</w:t>
          </w:r>
          <w:r>
            <w:fldChar w:fldCharType="end"/>
          </w:r>
          <w:r>
            <w:fldChar w:fldCharType="end"/>
          </w:r>
        </w:p>
        <w:p>
          <w:pPr>
            <w:pStyle w:val="17"/>
            <w:tabs>
              <w:tab w:val="right" w:leader="dot" w:pos="8832"/>
              <w:tab w:val="clear" w:pos="851"/>
              <w:tab w:val="clear" w:pos="8302"/>
            </w:tabs>
          </w:pPr>
          <w:r>
            <w:fldChar w:fldCharType="begin"/>
          </w:r>
          <w:r>
            <w:instrText xml:space="preserve"> HYPERLINK \l "_Toc21322" </w:instrText>
          </w:r>
          <w:r>
            <w:fldChar w:fldCharType="separate"/>
          </w:r>
          <w:r>
            <w:rPr>
              <w:rFonts w:ascii="黑体" w:hAnsi="黑体" w:eastAsia="黑体"/>
              <w:bCs/>
              <w:spacing w:val="12"/>
            </w:rPr>
            <w:t>8. 业绩表</w:t>
          </w:r>
          <w:r>
            <w:tab/>
          </w:r>
          <w:r>
            <w:fldChar w:fldCharType="begin"/>
          </w:r>
          <w:r>
            <w:instrText xml:space="preserve"> PAGEREF _Toc21322 \h </w:instrText>
          </w:r>
          <w:r>
            <w:fldChar w:fldCharType="separate"/>
          </w:r>
          <w:r>
            <w:t>60</w:t>
          </w:r>
          <w:r>
            <w:fldChar w:fldCharType="end"/>
          </w:r>
          <w:r>
            <w:fldChar w:fldCharType="end"/>
          </w:r>
        </w:p>
        <w:p>
          <w:pPr>
            <w:pStyle w:val="17"/>
            <w:tabs>
              <w:tab w:val="right" w:leader="dot" w:pos="8832"/>
              <w:tab w:val="clear" w:pos="851"/>
              <w:tab w:val="clear" w:pos="8302"/>
            </w:tabs>
          </w:pPr>
          <w:r>
            <w:fldChar w:fldCharType="begin"/>
          </w:r>
          <w:r>
            <w:instrText xml:space="preserve"> HYPERLINK \l "_Toc24268" </w:instrText>
          </w:r>
          <w:r>
            <w:fldChar w:fldCharType="separate"/>
          </w:r>
          <w:r>
            <w:rPr>
              <w:rFonts w:ascii="黑体" w:hAnsi="黑体" w:eastAsia="黑体"/>
              <w:bCs/>
              <w:spacing w:val="12"/>
            </w:rPr>
            <w:t xml:space="preserve">9. </w:t>
          </w:r>
          <w:r>
            <w:rPr>
              <w:rFonts w:hint="eastAsia" w:ascii="黑体" w:hAnsi="黑体" w:eastAsia="黑体"/>
              <w:bCs/>
              <w:spacing w:val="12"/>
            </w:rPr>
            <w:t>商务要求偏离表</w:t>
          </w:r>
          <w:r>
            <w:tab/>
          </w:r>
          <w:r>
            <w:fldChar w:fldCharType="begin"/>
          </w:r>
          <w:r>
            <w:instrText xml:space="preserve"> PAGEREF _Toc24268 \h </w:instrText>
          </w:r>
          <w:r>
            <w:fldChar w:fldCharType="separate"/>
          </w:r>
          <w:r>
            <w:t>61</w:t>
          </w:r>
          <w:r>
            <w:fldChar w:fldCharType="end"/>
          </w:r>
          <w:r>
            <w:fldChar w:fldCharType="end"/>
          </w:r>
        </w:p>
        <w:p>
          <w:pPr>
            <w:pStyle w:val="17"/>
            <w:tabs>
              <w:tab w:val="right" w:leader="dot" w:pos="8832"/>
              <w:tab w:val="clear" w:pos="851"/>
              <w:tab w:val="clear" w:pos="8302"/>
            </w:tabs>
          </w:pPr>
          <w:r>
            <w:fldChar w:fldCharType="begin"/>
          </w:r>
          <w:r>
            <w:instrText xml:space="preserve"> HYPERLINK \l "_Toc27668" </w:instrText>
          </w:r>
          <w:r>
            <w:fldChar w:fldCharType="separate"/>
          </w:r>
          <w:r>
            <w:rPr>
              <w:rFonts w:ascii="黑体" w:hAnsi="黑体" w:eastAsia="黑体"/>
              <w:bCs/>
              <w:spacing w:val="12"/>
            </w:rPr>
            <w:t>10. 拟</w:t>
          </w:r>
          <w:r>
            <w:rPr>
              <w:rFonts w:hint="eastAsia" w:ascii="黑体" w:hAnsi="黑体" w:eastAsia="黑体"/>
              <w:bCs/>
              <w:spacing w:val="12"/>
            </w:rPr>
            <w:t>投入本项目设备情况表</w:t>
          </w:r>
          <w:r>
            <w:tab/>
          </w:r>
          <w:r>
            <w:fldChar w:fldCharType="begin"/>
          </w:r>
          <w:r>
            <w:instrText xml:space="preserve"> PAGEREF _Toc27668 \h </w:instrText>
          </w:r>
          <w:r>
            <w:fldChar w:fldCharType="separate"/>
          </w:r>
          <w:r>
            <w:t>62</w:t>
          </w:r>
          <w:r>
            <w:fldChar w:fldCharType="end"/>
          </w:r>
          <w:r>
            <w:fldChar w:fldCharType="end"/>
          </w:r>
        </w:p>
        <w:p>
          <w:pPr>
            <w:pStyle w:val="17"/>
            <w:tabs>
              <w:tab w:val="right" w:leader="dot" w:pos="8832"/>
              <w:tab w:val="clear" w:pos="851"/>
              <w:tab w:val="clear" w:pos="8302"/>
            </w:tabs>
          </w:pPr>
          <w:r>
            <w:fldChar w:fldCharType="begin"/>
          </w:r>
          <w:r>
            <w:instrText xml:space="preserve"> HYPERLINK \l "_Toc4423" </w:instrText>
          </w:r>
          <w:r>
            <w:fldChar w:fldCharType="separate"/>
          </w:r>
          <w:r>
            <w:rPr>
              <w:rFonts w:ascii="黑体" w:hAnsi="黑体" w:eastAsia="黑体"/>
              <w:bCs/>
              <w:spacing w:val="12"/>
            </w:rPr>
            <w:t xml:space="preserve">11. </w:t>
          </w:r>
          <w:r>
            <w:rPr>
              <w:rFonts w:hint="eastAsia" w:ascii="黑体" w:hAnsi="黑体" w:eastAsia="黑体"/>
              <w:bCs/>
              <w:spacing w:val="12"/>
            </w:rPr>
            <w:t>项目技术服务人员情况表</w:t>
          </w:r>
          <w:r>
            <w:tab/>
          </w:r>
          <w:r>
            <w:fldChar w:fldCharType="begin"/>
          </w:r>
          <w:r>
            <w:instrText xml:space="preserve"> PAGEREF _Toc4423 \h </w:instrText>
          </w:r>
          <w:r>
            <w:fldChar w:fldCharType="separate"/>
          </w:r>
          <w:r>
            <w:t>63</w:t>
          </w:r>
          <w:r>
            <w:fldChar w:fldCharType="end"/>
          </w:r>
          <w:r>
            <w:fldChar w:fldCharType="end"/>
          </w:r>
        </w:p>
        <w:p>
          <w:pPr>
            <w:pStyle w:val="17"/>
            <w:tabs>
              <w:tab w:val="right" w:leader="dot" w:pos="8832"/>
              <w:tab w:val="clear" w:pos="851"/>
              <w:tab w:val="clear" w:pos="8302"/>
            </w:tabs>
          </w:pPr>
          <w:r>
            <w:fldChar w:fldCharType="begin"/>
          </w:r>
          <w:r>
            <w:instrText xml:space="preserve"> HYPERLINK \l "_Toc25918" </w:instrText>
          </w:r>
          <w:r>
            <w:fldChar w:fldCharType="separate"/>
          </w:r>
          <w:r>
            <w:rPr>
              <w:rFonts w:ascii="黑体" w:hAnsi="黑体" w:eastAsia="黑体"/>
              <w:bCs/>
              <w:spacing w:val="12"/>
            </w:rPr>
            <w:t xml:space="preserve">12. </w:t>
          </w:r>
          <w:r>
            <w:rPr>
              <w:rFonts w:hint="eastAsia" w:ascii="黑体" w:hAnsi="黑体" w:eastAsia="黑体"/>
              <w:bCs/>
              <w:spacing w:val="12"/>
            </w:rPr>
            <w:t>拟担任本项目主要负责人简历表</w:t>
          </w:r>
          <w:r>
            <w:tab/>
          </w:r>
          <w:r>
            <w:fldChar w:fldCharType="begin"/>
          </w:r>
          <w:r>
            <w:instrText xml:space="preserve"> PAGEREF _Toc25918 \h </w:instrText>
          </w:r>
          <w:r>
            <w:fldChar w:fldCharType="separate"/>
          </w:r>
          <w:r>
            <w:t>64</w:t>
          </w:r>
          <w:r>
            <w:fldChar w:fldCharType="end"/>
          </w:r>
          <w:r>
            <w:fldChar w:fldCharType="end"/>
          </w:r>
        </w:p>
        <w:p>
          <w:pPr>
            <w:pStyle w:val="17"/>
            <w:tabs>
              <w:tab w:val="right" w:leader="dot" w:pos="8832"/>
              <w:tab w:val="clear" w:pos="851"/>
              <w:tab w:val="clear" w:pos="8302"/>
            </w:tabs>
          </w:pPr>
          <w:r>
            <w:fldChar w:fldCharType="begin"/>
          </w:r>
          <w:r>
            <w:instrText xml:space="preserve"> HYPERLINK \l "_Toc24219" </w:instrText>
          </w:r>
          <w:r>
            <w:fldChar w:fldCharType="separate"/>
          </w:r>
          <w:r>
            <w:rPr>
              <w:rFonts w:ascii="黑体" w:hAnsi="黑体" w:eastAsia="黑体"/>
              <w:bCs/>
              <w:spacing w:val="12"/>
            </w:rPr>
            <w:t xml:space="preserve">13. </w:t>
          </w:r>
          <w:r>
            <w:rPr>
              <w:rFonts w:hint="eastAsia" w:ascii="黑体" w:hAnsi="黑体" w:eastAsia="黑体"/>
              <w:bCs/>
              <w:spacing w:val="12"/>
            </w:rPr>
            <w:t>技术要求偏离表</w:t>
          </w:r>
          <w:r>
            <w:tab/>
          </w:r>
          <w:r>
            <w:fldChar w:fldCharType="begin"/>
          </w:r>
          <w:r>
            <w:instrText xml:space="preserve"> PAGEREF _Toc24219 \h </w:instrText>
          </w:r>
          <w:r>
            <w:fldChar w:fldCharType="separate"/>
          </w:r>
          <w:r>
            <w:t>65</w:t>
          </w:r>
          <w:r>
            <w:fldChar w:fldCharType="end"/>
          </w:r>
          <w:r>
            <w:fldChar w:fldCharType="end"/>
          </w:r>
        </w:p>
        <w:p>
          <w:pPr>
            <w:pStyle w:val="17"/>
            <w:tabs>
              <w:tab w:val="right" w:leader="dot" w:pos="8832"/>
              <w:tab w:val="clear" w:pos="851"/>
              <w:tab w:val="clear" w:pos="8302"/>
            </w:tabs>
          </w:pPr>
          <w:r>
            <w:fldChar w:fldCharType="begin"/>
          </w:r>
          <w:r>
            <w:instrText xml:space="preserve"> HYPERLINK \l "_Toc4844" </w:instrText>
          </w:r>
          <w:r>
            <w:fldChar w:fldCharType="separate"/>
          </w:r>
          <w:r>
            <w:rPr>
              <w:rFonts w:ascii="黑体" w:hAnsi="黑体" w:eastAsia="黑体"/>
              <w:bCs/>
              <w:spacing w:val="12"/>
            </w:rPr>
            <w:t xml:space="preserve">14. </w:t>
          </w:r>
          <w:r>
            <w:rPr>
              <w:rFonts w:hint="eastAsia" w:ascii="黑体" w:hAnsi="黑体" w:eastAsia="黑体"/>
              <w:bCs/>
              <w:spacing w:val="12"/>
            </w:rPr>
            <w:t>实质性响应一览表（可选）</w:t>
          </w:r>
          <w:r>
            <w:tab/>
          </w:r>
          <w:r>
            <w:fldChar w:fldCharType="begin"/>
          </w:r>
          <w:r>
            <w:instrText xml:space="preserve"> PAGEREF _Toc4844 \h </w:instrText>
          </w:r>
          <w:r>
            <w:fldChar w:fldCharType="separate"/>
          </w:r>
          <w:r>
            <w:t>66</w:t>
          </w:r>
          <w:r>
            <w:fldChar w:fldCharType="end"/>
          </w:r>
          <w:r>
            <w:fldChar w:fldCharType="end"/>
          </w:r>
        </w:p>
        <w:p>
          <w:pPr>
            <w:pStyle w:val="17"/>
            <w:tabs>
              <w:tab w:val="right" w:leader="dot" w:pos="8832"/>
              <w:tab w:val="clear" w:pos="851"/>
              <w:tab w:val="clear" w:pos="8302"/>
            </w:tabs>
          </w:pPr>
          <w:r>
            <w:fldChar w:fldCharType="begin"/>
          </w:r>
          <w:r>
            <w:instrText xml:space="preserve"> HYPERLINK \l "_Toc21550" </w:instrText>
          </w:r>
          <w:r>
            <w:fldChar w:fldCharType="separate"/>
          </w:r>
          <w:r>
            <w:rPr>
              <w:rFonts w:ascii="黑体" w:hAnsi="黑体" w:eastAsia="黑体"/>
              <w:bCs/>
              <w:spacing w:val="12"/>
            </w:rPr>
            <w:t xml:space="preserve">15. </w:t>
          </w:r>
          <w:r>
            <w:rPr>
              <w:rFonts w:hint="eastAsia" w:ascii="黑体" w:hAnsi="黑体" w:eastAsia="黑体"/>
              <w:bCs/>
              <w:spacing w:val="12"/>
            </w:rPr>
            <w:t>服务条款要求扣分明细响应表（可选）</w:t>
          </w:r>
          <w:r>
            <w:tab/>
          </w:r>
          <w:r>
            <w:fldChar w:fldCharType="begin"/>
          </w:r>
          <w:r>
            <w:instrText xml:space="preserve"> PAGEREF _Toc21550 \h </w:instrText>
          </w:r>
          <w:r>
            <w:fldChar w:fldCharType="separate"/>
          </w:r>
          <w:r>
            <w:t>67</w:t>
          </w:r>
          <w:r>
            <w:fldChar w:fldCharType="end"/>
          </w:r>
          <w:r>
            <w:fldChar w:fldCharType="end"/>
          </w:r>
        </w:p>
        <w:p>
          <w:pPr>
            <w:pStyle w:val="17"/>
            <w:tabs>
              <w:tab w:val="right" w:leader="dot" w:pos="8832"/>
              <w:tab w:val="clear" w:pos="851"/>
              <w:tab w:val="clear" w:pos="8302"/>
            </w:tabs>
          </w:pPr>
          <w:r>
            <w:fldChar w:fldCharType="begin"/>
          </w:r>
          <w:r>
            <w:instrText xml:space="preserve"> HYPERLINK \l "_Toc30585" </w:instrText>
          </w:r>
          <w:r>
            <w:fldChar w:fldCharType="separate"/>
          </w:r>
          <w:r>
            <w:rPr>
              <w:rFonts w:ascii="黑体" w:hAnsi="黑体" w:eastAsia="黑体"/>
              <w:bCs/>
              <w:spacing w:val="12"/>
            </w:rPr>
            <w:t xml:space="preserve">16. </w:t>
          </w:r>
          <w:r>
            <w:rPr>
              <w:rFonts w:hint="eastAsia" w:ascii="黑体" w:hAnsi="黑体" w:eastAsia="黑体"/>
              <w:bCs/>
              <w:spacing w:val="12"/>
            </w:rPr>
            <w:t>中小企业声明函（如需）</w:t>
          </w:r>
          <w:r>
            <w:tab/>
          </w:r>
          <w:r>
            <w:fldChar w:fldCharType="begin"/>
          </w:r>
          <w:r>
            <w:instrText xml:space="preserve"> PAGEREF _Toc30585 \h </w:instrText>
          </w:r>
          <w:r>
            <w:fldChar w:fldCharType="separate"/>
          </w:r>
          <w:r>
            <w:t>68</w:t>
          </w:r>
          <w:r>
            <w:fldChar w:fldCharType="end"/>
          </w:r>
          <w:r>
            <w:fldChar w:fldCharType="end"/>
          </w:r>
        </w:p>
        <w:p>
          <w:pPr>
            <w:pStyle w:val="17"/>
            <w:tabs>
              <w:tab w:val="right" w:leader="dot" w:pos="8832"/>
              <w:tab w:val="clear" w:pos="851"/>
              <w:tab w:val="clear" w:pos="8302"/>
            </w:tabs>
          </w:pPr>
          <w:r>
            <w:fldChar w:fldCharType="begin"/>
          </w:r>
          <w:r>
            <w:instrText xml:space="preserve"> HYPERLINK \l "_Toc4946" </w:instrText>
          </w:r>
          <w:r>
            <w:fldChar w:fldCharType="separate"/>
          </w:r>
          <w:r>
            <w:rPr>
              <w:rFonts w:ascii="黑体" w:hAnsi="黑体" w:eastAsia="黑体"/>
              <w:bCs/>
              <w:spacing w:val="12"/>
            </w:rPr>
            <w:t xml:space="preserve">17. </w:t>
          </w:r>
          <w:r>
            <w:rPr>
              <w:rFonts w:hint="eastAsia" w:ascii="黑体" w:hAnsi="黑体" w:eastAsia="黑体"/>
              <w:bCs/>
              <w:spacing w:val="12"/>
            </w:rPr>
            <w:t>残疾人福利性单位声明函（如需）</w:t>
          </w:r>
          <w:r>
            <w:tab/>
          </w:r>
          <w:r>
            <w:fldChar w:fldCharType="begin"/>
          </w:r>
          <w:r>
            <w:instrText xml:space="preserve"> PAGEREF _Toc4946 \h </w:instrText>
          </w:r>
          <w:r>
            <w:fldChar w:fldCharType="separate"/>
          </w:r>
          <w:r>
            <w:t>69</w:t>
          </w:r>
          <w:r>
            <w:fldChar w:fldCharType="end"/>
          </w:r>
          <w:r>
            <w:fldChar w:fldCharType="end"/>
          </w:r>
        </w:p>
        <w:p>
          <w:pPr>
            <w:pStyle w:val="17"/>
            <w:tabs>
              <w:tab w:val="right" w:leader="dot" w:pos="8832"/>
              <w:tab w:val="clear" w:pos="851"/>
              <w:tab w:val="clear" w:pos="8302"/>
            </w:tabs>
          </w:pPr>
          <w:r>
            <w:fldChar w:fldCharType="begin"/>
          </w:r>
          <w:r>
            <w:instrText xml:space="preserve"> HYPERLINK \l "_Toc15818" </w:instrText>
          </w:r>
          <w:r>
            <w:fldChar w:fldCharType="separate"/>
          </w:r>
          <w:r>
            <w:rPr>
              <w:rFonts w:ascii="黑体" w:hAnsi="黑体" w:eastAsia="黑体"/>
              <w:bCs/>
              <w:spacing w:val="12"/>
            </w:rPr>
            <w:t xml:space="preserve">18. </w:t>
          </w:r>
          <w:r>
            <w:rPr>
              <w:rFonts w:hint="eastAsia" w:ascii="黑体" w:hAnsi="黑体" w:eastAsia="黑体"/>
              <w:bCs/>
              <w:spacing w:val="12"/>
            </w:rPr>
            <w:t>监狱企业的证明文件（如需）</w:t>
          </w:r>
          <w:r>
            <w:tab/>
          </w:r>
          <w:r>
            <w:fldChar w:fldCharType="begin"/>
          </w:r>
          <w:r>
            <w:instrText xml:space="preserve"> PAGEREF _Toc15818 \h </w:instrText>
          </w:r>
          <w:r>
            <w:fldChar w:fldCharType="separate"/>
          </w:r>
          <w:r>
            <w:t>70</w:t>
          </w:r>
          <w:r>
            <w:fldChar w:fldCharType="end"/>
          </w:r>
          <w:r>
            <w:fldChar w:fldCharType="end"/>
          </w:r>
        </w:p>
        <w:p>
          <w:pPr>
            <w:pStyle w:val="17"/>
            <w:tabs>
              <w:tab w:val="right" w:leader="dot" w:pos="8832"/>
              <w:tab w:val="clear" w:pos="851"/>
              <w:tab w:val="clear" w:pos="8302"/>
            </w:tabs>
          </w:pPr>
          <w:r>
            <w:fldChar w:fldCharType="begin"/>
          </w:r>
          <w:r>
            <w:instrText xml:space="preserve"> HYPERLINK \l "_Toc22219" </w:instrText>
          </w:r>
          <w:r>
            <w:fldChar w:fldCharType="separate"/>
          </w:r>
          <w:r>
            <w:rPr>
              <w:rFonts w:ascii="黑体" w:hAnsi="黑体" w:eastAsia="黑体"/>
              <w:bCs/>
              <w:spacing w:val="12"/>
            </w:rPr>
            <w:t xml:space="preserve">19. </w:t>
          </w:r>
          <w:r>
            <w:rPr>
              <w:rFonts w:hint="eastAsia" w:ascii="黑体" w:hAnsi="黑体" w:eastAsia="黑体"/>
              <w:bCs/>
              <w:spacing w:val="12"/>
            </w:rPr>
            <w:t>政策适用性说明（如需）</w:t>
          </w:r>
          <w:r>
            <w:tab/>
          </w:r>
          <w:r>
            <w:fldChar w:fldCharType="begin"/>
          </w:r>
          <w:r>
            <w:instrText xml:space="preserve"> PAGEREF _Toc22219 \h </w:instrText>
          </w:r>
          <w:r>
            <w:fldChar w:fldCharType="separate"/>
          </w:r>
          <w:r>
            <w:t>71</w:t>
          </w:r>
          <w:r>
            <w:fldChar w:fldCharType="end"/>
          </w:r>
          <w:r>
            <w:fldChar w:fldCharType="end"/>
          </w:r>
        </w:p>
        <w:p>
          <w:pPr>
            <w:rPr>
              <w:lang w:val="zh-CN"/>
            </w:rPr>
          </w:pPr>
          <w:r>
            <w:rPr>
              <w:lang w:val="zh-CN"/>
            </w:rPr>
            <w:fldChar w:fldCharType="end"/>
          </w:r>
        </w:p>
      </w:sdtContent>
    </w:sdt>
    <w:p>
      <w:pPr>
        <w:pStyle w:val="3"/>
        <w:keepNext w:val="0"/>
        <w:keepLines w:val="0"/>
        <w:pageBreakBefore/>
        <w:spacing w:after="240" w:line="360" w:lineRule="auto"/>
        <w:jc w:val="center"/>
        <w:rPr>
          <w:rFonts w:ascii="黑体" w:hAnsi="黑体" w:eastAsia="黑体"/>
          <w:spacing w:val="20"/>
          <w:sz w:val="32"/>
          <w:szCs w:val="32"/>
        </w:rPr>
      </w:pPr>
      <w:bookmarkStart w:id="1" w:name="_Toc23587"/>
      <w:bookmarkStart w:id="2" w:name="_Toc516661492"/>
      <w:bookmarkStart w:id="3" w:name="_Toc405313952"/>
      <w:bookmarkStart w:id="4" w:name="_Toc503257147"/>
      <w:r>
        <w:rPr>
          <w:rFonts w:hint="eastAsia" w:ascii="黑体" w:hAnsi="黑体" w:eastAsia="黑体"/>
          <w:spacing w:val="20"/>
          <w:sz w:val="32"/>
          <w:szCs w:val="32"/>
        </w:rPr>
        <w:t>第一部分 磋商邀请</w:t>
      </w:r>
      <w:bookmarkEnd w:id="1"/>
      <w:bookmarkEnd w:id="2"/>
    </w:p>
    <w:p>
      <w:pPr>
        <w:widowControl/>
        <w:spacing w:before="156" w:beforeLines="50" w:after="156" w:afterLines="50" w:line="360" w:lineRule="atLeast"/>
        <w:jc w:val="left"/>
        <w:rPr>
          <w:rFonts w:ascii="黑体" w:hAnsi="黑体" w:eastAsia="黑体" w:cs="宋体"/>
          <w:b/>
          <w:color w:val="000000" w:themeColor="text1"/>
          <w:kern w:val="0"/>
          <w:sz w:val="24"/>
          <w:szCs w:val="24"/>
          <w14:textFill>
            <w14:solidFill>
              <w14:schemeClr w14:val="tx1"/>
            </w14:solidFill>
          </w14:textFill>
        </w:rPr>
      </w:pPr>
      <w:r>
        <w:rPr>
          <w:rFonts w:hint="eastAsia" w:ascii="黑体" w:hAnsi="黑体" w:eastAsia="黑体" w:cs="宋体"/>
          <w:b/>
          <w:color w:val="000000" w:themeColor="text1"/>
          <w:kern w:val="0"/>
          <w:sz w:val="24"/>
          <w:szCs w:val="24"/>
          <w14:textFill>
            <w14:solidFill>
              <w14:schemeClr w14:val="tx1"/>
            </w14:solidFill>
          </w14:textFill>
        </w:rPr>
        <w:t>项目概况</w:t>
      </w:r>
    </w:p>
    <w:p>
      <w:pPr>
        <w:spacing w:line="360" w:lineRule="auto"/>
        <w:ind w:firstLine="420" w:firstLineChars="200"/>
        <w:rPr>
          <w:rFonts w:ascii="黑体" w:hAnsi="黑体" w:eastAsia="黑体"/>
          <w:szCs w:val="21"/>
        </w:rPr>
      </w:pPr>
      <w:r>
        <w:rPr>
          <w:rFonts w:hint="eastAsia" w:ascii="黑体" w:hAnsi="黑体" w:eastAsia="黑体"/>
          <w:szCs w:val="21"/>
          <w:u w:val="single"/>
        </w:rPr>
        <w:t>东莞市虎门中医院虎门镇老年人、儿童健康体检信息服务项目</w:t>
      </w:r>
      <w:r>
        <w:rPr>
          <w:rFonts w:hint="eastAsia" w:ascii="黑体" w:hAnsi="黑体" w:eastAsia="黑体"/>
          <w:szCs w:val="21"/>
        </w:rPr>
        <w:t>的潜在供应商应在</w:t>
      </w:r>
      <w:r>
        <w:rPr>
          <w:rFonts w:hint="eastAsia" w:ascii="黑体" w:hAnsi="黑体" w:eastAsia="黑体" w:cs="宋体"/>
          <w:kern w:val="0"/>
          <w:szCs w:val="21"/>
          <w:u w:val="single"/>
        </w:rPr>
        <w:t>东莞市东城街道新源路海德琥珀台6栋1703室（有德招标）或使用微信扫描二维码进行获取（二维码详见磋商文件温馨提示）或微信搜索公众号“有德招标东莞分公司”</w:t>
      </w:r>
      <w:r>
        <w:rPr>
          <w:rFonts w:hint="eastAsia" w:ascii="黑体" w:hAnsi="黑体" w:eastAsia="黑体"/>
          <w:szCs w:val="21"/>
        </w:rPr>
        <w:t>获取采购文件，并于</w:t>
      </w:r>
      <w:r>
        <w:rPr>
          <w:rFonts w:hint="eastAsia" w:ascii="黑体" w:hAnsi="黑体" w:eastAsia="黑体"/>
          <w:szCs w:val="21"/>
          <w:u w:val="single"/>
        </w:rPr>
        <w:t>2025</w:t>
      </w:r>
      <w:r>
        <w:rPr>
          <w:rFonts w:hint="eastAsia" w:ascii="黑体" w:hAnsi="黑体" w:eastAsia="黑体"/>
          <w:szCs w:val="21"/>
        </w:rPr>
        <w:t>年</w:t>
      </w:r>
      <w:r>
        <w:rPr>
          <w:rFonts w:hint="eastAsia" w:ascii="黑体" w:hAnsi="黑体" w:eastAsia="黑体"/>
          <w:szCs w:val="21"/>
          <w:u w:val="single"/>
          <w:lang w:val="en-US" w:eastAsia="zh-CN"/>
        </w:rPr>
        <w:t>03</w:t>
      </w:r>
      <w:r>
        <w:rPr>
          <w:rFonts w:hint="eastAsia" w:ascii="黑体" w:hAnsi="黑体" w:eastAsia="黑体"/>
          <w:szCs w:val="21"/>
        </w:rPr>
        <w:t>月</w:t>
      </w:r>
      <w:r>
        <w:rPr>
          <w:rFonts w:hint="eastAsia" w:ascii="黑体" w:hAnsi="黑体" w:eastAsia="黑体"/>
          <w:szCs w:val="21"/>
          <w:u w:val="single"/>
        </w:rPr>
        <w:t xml:space="preserve">    </w:t>
      </w:r>
      <w:r>
        <w:rPr>
          <w:rFonts w:hint="eastAsia" w:ascii="黑体" w:hAnsi="黑体" w:eastAsia="黑体"/>
          <w:szCs w:val="21"/>
          <w:u w:val="single"/>
          <w:lang w:val="en-US" w:eastAsia="zh-CN"/>
        </w:rPr>
        <w:t>11</w:t>
      </w:r>
      <w:r>
        <w:rPr>
          <w:rFonts w:hint="eastAsia" w:ascii="黑体" w:hAnsi="黑体" w:eastAsia="黑体"/>
          <w:szCs w:val="21"/>
        </w:rPr>
        <w:t>日</w:t>
      </w:r>
      <w:r>
        <w:rPr>
          <w:rFonts w:hint="eastAsia" w:ascii="黑体" w:hAnsi="黑体" w:eastAsia="黑体"/>
          <w:szCs w:val="21"/>
          <w:u w:val="single"/>
          <w:lang w:val="en-US" w:eastAsia="zh-CN"/>
        </w:rPr>
        <w:t>09</w:t>
      </w:r>
      <w:r>
        <w:rPr>
          <w:rFonts w:hint="eastAsia" w:ascii="黑体" w:hAnsi="黑体" w:eastAsia="黑体"/>
          <w:szCs w:val="21"/>
        </w:rPr>
        <w:t>点</w:t>
      </w:r>
      <w:r>
        <w:rPr>
          <w:rFonts w:hint="eastAsia" w:ascii="黑体" w:hAnsi="黑体" w:eastAsia="黑体"/>
          <w:szCs w:val="21"/>
          <w:u w:val="single"/>
          <w:lang w:val="en-US" w:eastAsia="zh-CN"/>
        </w:rPr>
        <w:t>30</w:t>
      </w:r>
      <w:r>
        <w:rPr>
          <w:rFonts w:hint="eastAsia" w:ascii="黑体" w:hAnsi="黑体" w:eastAsia="黑体"/>
          <w:szCs w:val="21"/>
        </w:rPr>
        <w:t>分（北京时间）前提交响应文件。</w:t>
      </w:r>
    </w:p>
    <w:p>
      <w:pPr>
        <w:pStyle w:val="68"/>
        <w:numPr>
          <w:ilvl w:val="0"/>
          <w:numId w:val="2"/>
        </w:numPr>
        <w:tabs>
          <w:tab w:val="left" w:pos="426"/>
        </w:tabs>
        <w:spacing w:before="312" w:beforeLines="100" w:line="360" w:lineRule="auto"/>
        <w:ind w:left="5675" w:hanging="5675" w:firstLineChars="0"/>
        <w:rPr>
          <w:rFonts w:ascii="黑体" w:hAnsi="黑体" w:eastAsia="黑体"/>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项目基本情况：</w:t>
      </w:r>
    </w:p>
    <w:p>
      <w:pPr>
        <w:tabs>
          <w:tab w:val="left" w:pos="426"/>
        </w:tabs>
        <w:spacing w:line="360" w:lineRule="auto"/>
        <w:ind w:left="420" w:hanging="420" w:hangingChars="200"/>
        <w:rPr>
          <w:rFonts w:ascii="黑体" w:hAnsi="黑体" w:eastAsia="黑体"/>
          <w:color w:val="000000" w:themeColor="text1"/>
          <w:szCs w:val="21"/>
          <w:u w:val="single"/>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项目编号：YDZB25DGZC0009</w:t>
      </w:r>
    </w:p>
    <w:p>
      <w:pPr>
        <w:tabs>
          <w:tab w:val="left" w:pos="426"/>
        </w:tabs>
        <w:spacing w:line="360" w:lineRule="auto"/>
        <w:ind w:left="420" w:hanging="420" w:hanging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项目名称：东莞市虎门中医院虎门镇老年人、儿童健康体检信息服务项目</w:t>
      </w:r>
    </w:p>
    <w:p>
      <w:pPr>
        <w:tabs>
          <w:tab w:val="left" w:pos="426"/>
        </w:tabs>
        <w:spacing w:line="360" w:lineRule="auto"/>
        <w:ind w:left="420" w:hanging="420" w:hanging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采购方式：竞争性磋商</w:t>
      </w:r>
    </w:p>
    <w:p>
      <w:pPr>
        <w:tabs>
          <w:tab w:val="left" w:pos="426"/>
        </w:tabs>
        <w:spacing w:line="360" w:lineRule="auto"/>
        <w:ind w:left="420" w:hanging="420" w:hanging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预算金额：400,000.00元</w:t>
      </w:r>
    </w:p>
    <w:p>
      <w:pPr>
        <w:tabs>
          <w:tab w:val="left" w:pos="426"/>
        </w:tabs>
        <w:spacing w:line="360" w:lineRule="auto"/>
        <w:ind w:left="420" w:hanging="420" w:hanging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采购需求：</w:t>
      </w:r>
    </w:p>
    <w:p>
      <w:pPr>
        <w:numPr>
          <w:ilvl w:val="0"/>
          <w:numId w:val="3"/>
        </w:numPr>
        <w:tabs>
          <w:tab w:val="left" w:pos="284"/>
        </w:tabs>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lang w:val="en-US" w:eastAsia="zh-CN"/>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 xml:space="preserve">标的内容： </w:t>
      </w:r>
    </w:p>
    <w:tbl>
      <w:tblPr>
        <w:tblStyle w:val="22"/>
        <w:tblW w:w="4971"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84"/>
        <w:gridCol w:w="2723"/>
        <w:gridCol w:w="2268"/>
        <w:gridCol w:w="736"/>
        <w:gridCol w:w="2585"/>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pPr>
              <w:spacing w:line="360" w:lineRule="auto"/>
              <w:rPr>
                <w:rFonts w:ascii="黑体" w:hAnsi="黑体" w:eastAsia="黑体"/>
                <w:bCs/>
                <w:szCs w:val="21"/>
              </w:rPr>
            </w:pPr>
            <w:r>
              <w:rPr>
                <w:rFonts w:ascii="黑体" w:hAnsi="黑体" w:eastAsia="黑体"/>
                <w:bCs/>
                <w:szCs w:val="21"/>
              </w:rPr>
              <w:t>包号</w:t>
            </w:r>
          </w:p>
        </w:tc>
        <w:tc>
          <w:tcPr>
            <w:tcW w:w="1513" w:type="pct"/>
            <w:vAlign w:val="center"/>
          </w:tcPr>
          <w:p>
            <w:pPr>
              <w:spacing w:line="360" w:lineRule="auto"/>
              <w:jc w:val="center"/>
              <w:rPr>
                <w:rFonts w:ascii="黑体" w:hAnsi="黑体" w:eastAsia="黑体"/>
                <w:bCs/>
                <w:szCs w:val="21"/>
              </w:rPr>
            </w:pPr>
            <w:r>
              <w:rPr>
                <w:rFonts w:ascii="黑体" w:hAnsi="黑体" w:eastAsia="黑体"/>
                <w:bCs/>
                <w:szCs w:val="21"/>
              </w:rPr>
              <w:t>标的名称</w:t>
            </w:r>
          </w:p>
        </w:tc>
        <w:tc>
          <w:tcPr>
            <w:tcW w:w="1260" w:type="pct"/>
            <w:vAlign w:val="center"/>
          </w:tcPr>
          <w:p>
            <w:pPr>
              <w:spacing w:line="360" w:lineRule="auto"/>
              <w:jc w:val="center"/>
              <w:rPr>
                <w:rFonts w:ascii="黑体" w:hAnsi="黑体" w:eastAsia="黑体"/>
                <w:bCs/>
                <w:szCs w:val="21"/>
              </w:rPr>
            </w:pPr>
            <w:r>
              <w:rPr>
                <w:rFonts w:ascii="黑体" w:hAnsi="黑体" w:eastAsia="黑体"/>
                <w:bCs/>
                <w:szCs w:val="21"/>
              </w:rPr>
              <w:t>采购包预算金额（元）</w:t>
            </w:r>
          </w:p>
        </w:tc>
        <w:tc>
          <w:tcPr>
            <w:tcW w:w="409" w:type="pct"/>
            <w:vAlign w:val="center"/>
          </w:tcPr>
          <w:p>
            <w:pPr>
              <w:spacing w:line="360" w:lineRule="auto"/>
              <w:jc w:val="center"/>
              <w:rPr>
                <w:rFonts w:ascii="黑体" w:hAnsi="黑体" w:eastAsia="黑体"/>
                <w:bCs/>
                <w:szCs w:val="21"/>
              </w:rPr>
            </w:pPr>
            <w:r>
              <w:rPr>
                <w:rFonts w:ascii="黑体" w:hAnsi="黑体" w:eastAsia="黑体"/>
                <w:bCs/>
                <w:szCs w:val="21"/>
              </w:rPr>
              <w:t>数量</w:t>
            </w:r>
          </w:p>
        </w:tc>
        <w:tc>
          <w:tcPr>
            <w:tcW w:w="1436" w:type="pct"/>
            <w:vAlign w:val="center"/>
          </w:tcPr>
          <w:p>
            <w:pPr>
              <w:spacing w:line="360" w:lineRule="auto"/>
              <w:jc w:val="center"/>
              <w:rPr>
                <w:rFonts w:ascii="黑体" w:hAnsi="黑体" w:eastAsia="黑体"/>
                <w:szCs w:val="21"/>
              </w:rPr>
            </w:pPr>
            <w:r>
              <w:rPr>
                <w:rFonts w:ascii="黑体" w:hAnsi="黑体" w:eastAsia="黑体"/>
                <w:szCs w:val="21"/>
              </w:rPr>
              <w:t>简要技术需求或服务要求</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pPr>
              <w:spacing w:line="360" w:lineRule="auto"/>
              <w:jc w:val="center"/>
              <w:rPr>
                <w:rFonts w:ascii="黑体" w:hAnsi="黑体" w:eastAsia="黑体"/>
                <w:bCs/>
                <w:szCs w:val="21"/>
              </w:rPr>
            </w:pPr>
            <w:r>
              <w:rPr>
                <w:rFonts w:hint="eastAsia" w:ascii="黑体" w:hAnsi="黑体" w:eastAsia="黑体"/>
                <w:bCs/>
                <w:szCs w:val="21"/>
              </w:rPr>
              <w:t>1</w:t>
            </w:r>
          </w:p>
        </w:tc>
        <w:tc>
          <w:tcPr>
            <w:tcW w:w="1513" w:type="pct"/>
            <w:vAlign w:val="center"/>
          </w:tcPr>
          <w:p>
            <w:pPr>
              <w:spacing w:line="360" w:lineRule="auto"/>
              <w:jc w:val="center"/>
              <w:rPr>
                <w:rFonts w:ascii="黑体" w:hAnsi="黑体" w:eastAsia="黑体"/>
                <w:bCs/>
                <w:szCs w:val="21"/>
              </w:rPr>
            </w:pPr>
            <w:r>
              <w:rPr>
                <w:rFonts w:hint="eastAsia" w:ascii="黑体" w:hAnsi="黑体" w:eastAsia="黑体"/>
                <w:bCs/>
                <w:szCs w:val="21"/>
              </w:rPr>
              <w:t>东莞市虎门中医院虎门镇老年人、儿童健康体检信息服务项目</w:t>
            </w:r>
          </w:p>
        </w:tc>
        <w:tc>
          <w:tcPr>
            <w:tcW w:w="1260" w:type="pct"/>
            <w:vAlign w:val="center"/>
          </w:tcPr>
          <w:p>
            <w:pPr>
              <w:spacing w:line="360" w:lineRule="auto"/>
              <w:jc w:val="center"/>
              <w:rPr>
                <w:rFonts w:ascii="黑体" w:hAnsi="黑体" w:eastAsia="黑体"/>
                <w:bCs/>
                <w:szCs w:val="21"/>
              </w:rPr>
            </w:pPr>
            <w:r>
              <w:rPr>
                <w:rFonts w:hint="eastAsia" w:ascii="黑体" w:hAnsi="黑体" w:eastAsia="黑体" w:cs="黑体"/>
              </w:rPr>
              <w:t>400,000.00</w:t>
            </w:r>
          </w:p>
        </w:tc>
        <w:tc>
          <w:tcPr>
            <w:tcW w:w="409" w:type="pct"/>
            <w:vAlign w:val="center"/>
          </w:tcPr>
          <w:p>
            <w:pPr>
              <w:spacing w:line="360" w:lineRule="auto"/>
              <w:jc w:val="center"/>
              <w:rPr>
                <w:rFonts w:ascii="黑体" w:hAnsi="黑体" w:eastAsia="黑体"/>
                <w:bCs/>
                <w:szCs w:val="21"/>
              </w:rPr>
            </w:pPr>
            <w:r>
              <w:rPr>
                <w:rFonts w:hint="eastAsia" w:ascii="黑体" w:hAnsi="黑体" w:eastAsia="黑体" w:cs="黑体"/>
                <w:bCs/>
                <w:szCs w:val="21"/>
              </w:rPr>
              <w:t>1项</w:t>
            </w:r>
          </w:p>
        </w:tc>
        <w:tc>
          <w:tcPr>
            <w:tcW w:w="1436" w:type="pct"/>
            <w:vAlign w:val="center"/>
          </w:tcPr>
          <w:p>
            <w:pPr>
              <w:spacing w:line="360" w:lineRule="auto"/>
              <w:jc w:val="center"/>
              <w:rPr>
                <w:rFonts w:ascii="黑体" w:hAnsi="黑体" w:eastAsia="黑体"/>
                <w:kern w:val="0"/>
                <w:szCs w:val="21"/>
              </w:rPr>
            </w:pPr>
            <w:r>
              <w:rPr>
                <w:rFonts w:hint="eastAsia" w:ascii="黑体" w:hAnsi="黑体" w:eastAsia="黑体" w:cs="黑体"/>
              </w:rPr>
              <w:t>详见磋商文件采购需求</w:t>
            </w:r>
          </w:p>
        </w:tc>
      </w:tr>
    </w:tbl>
    <w:p>
      <w:pPr>
        <w:numPr>
          <w:ilvl w:val="0"/>
          <w:numId w:val="3"/>
        </w:numPr>
        <w:tabs>
          <w:tab w:val="left" w:pos="284"/>
        </w:tabs>
        <w:spacing w:line="360" w:lineRule="auto"/>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 xml:space="preserve"> 合同履行期限：</w:t>
      </w:r>
      <w:r>
        <w:rPr>
          <w:rFonts w:hint="eastAsia" w:ascii="黑体" w:hAnsi="黑体" w:eastAsia="黑体"/>
          <w:color w:val="000000" w:themeColor="text1"/>
          <w:szCs w:val="21"/>
          <w:u w:val="single"/>
          <w14:textFill>
            <w14:solidFill>
              <w14:schemeClr w14:val="tx1"/>
            </w14:solidFill>
          </w14:textFill>
        </w:rPr>
        <w:t>供货期为合同签订后的7个工作日内交付合同约定的全部硬件并完成安装、调试、验收；服务期为验收合格之日起</w:t>
      </w:r>
      <w:r>
        <w:rPr>
          <w:rFonts w:hint="eastAsia" w:ascii="黑体" w:hAnsi="黑体" w:eastAsia="黑体"/>
          <w:color w:val="000000" w:themeColor="text1"/>
          <w:szCs w:val="21"/>
          <w:u w:val="single"/>
          <w:lang w:val="en-US" w:eastAsia="zh-CN"/>
          <w14:textFill>
            <w14:solidFill>
              <w14:schemeClr w14:val="tx1"/>
            </w14:solidFill>
          </w14:textFill>
        </w:rPr>
        <w:t>12</w:t>
      </w:r>
      <w:r>
        <w:rPr>
          <w:rFonts w:hint="eastAsia" w:ascii="黑体" w:hAnsi="黑体" w:eastAsia="黑体"/>
          <w:color w:val="000000" w:themeColor="text1"/>
          <w:szCs w:val="21"/>
          <w:u w:val="single"/>
          <w14:textFill>
            <w14:solidFill>
              <w14:schemeClr w14:val="tx1"/>
            </w14:solidFill>
          </w14:textFill>
        </w:rPr>
        <w:t>个月</w:t>
      </w:r>
      <w:r>
        <w:rPr>
          <w:rFonts w:hint="eastAsia" w:ascii="黑体" w:hAnsi="黑体" w:eastAsia="黑体"/>
          <w:color w:val="000000" w:themeColor="text1"/>
          <w:szCs w:val="21"/>
          <w14:textFill>
            <w14:solidFill>
              <w14:schemeClr w14:val="tx1"/>
            </w14:solidFill>
          </w14:textFill>
        </w:rPr>
        <w:t>。</w:t>
      </w:r>
    </w:p>
    <w:p>
      <w:pPr>
        <w:pStyle w:val="68"/>
        <w:numPr>
          <w:ilvl w:val="-1"/>
          <w:numId w:val="0"/>
        </w:numPr>
        <w:spacing w:line="360" w:lineRule="auto"/>
        <w:ind w:left="0" w:leftChars="0" w:firstLine="0" w:firstLineChars="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lang w:val="en-US" w:eastAsia="zh-CN"/>
          <w14:textFill>
            <w14:solidFill>
              <w14:schemeClr w14:val="tx1"/>
            </w14:solidFill>
          </w14:textFill>
        </w:rPr>
        <w:t xml:space="preserve">3   </w:t>
      </w:r>
      <w:r>
        <w:rPr>
          <w:rFonts w:hint="eastAsia" w:ascii="黑体" w:hAnsi="黑体" w:eastAsia="黑体" w:cs="黑体"/>
          <w:color w:val="000000" w:themeColor="text1"/>
          <w:szCs w:val="21"/>
          <w14:textFill>
            <w14:solidFill>
              <w14:schemeClr w14:val="tx1"/>
            </w14:solidFill>
          </w14:textFill>
        </w:rPr>
        <w:t>本项目不接受联合体投标。</w:t>
      </w:r>
    </w:p>
    <w:p>
      <w:pPr>
        <w:pStyle w:val="68"/>
        <w:numPr>
          <w:ilvl w:val="0"/>
          <w:numId w:val="2"/>
        </w:numPr>
        <w:tabs>
          <w:tab w:val="left" w:pos="426"/>
        </w:tabs>
        <w:spacing w:line="360" w:lineRule="auto"/>
        <w:ind w:left="426" w:hanging="426" w:firstLineChars="0"/>
        <w:jc w:val="left"/>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申请人的资格要求</w:t>
      </w:r>
    </w:p>
    <w:p>
      <w:pPr>
        <w:pStyle w:val="68"/>
        <w:numPr>
          <w:ilvl w:val="0"/>
          <w:numId w:val="4"/>
        </w:numPr>
        <w:spacing w:line="360" w:lineRule="auto"/>
        <w:ind w:left="426" w:hanging="426" w:firstLineChars="0"/>
        <w:rPr>
          <w:rFonts w:ascii="黑体" w:hAnsi="黑体" w:eastAsia="黑体"/>
          <w:szCs w:val="21"/>
        </w:rPr>
      </w:pPr>
      <w:r>
        <w:rPr>
          <w:rFonts w:hint="eastAsia" w:ascii="黑体" w:hAnsi="黑体" w:eastAsia="黑体"/>
          <w:szCs w:val="21"/>
        </w:rPr>
        <w:t>供应商应具备《中华人民共和国政府采购法》第二十二条规定的条件，提供下列材料：</w:t>
      </w:r>
    </w:p>
    <w:p>
      <w:pPr>
        <w:pStyle w:val="68"/>
        <w:widowControl/>
        <w:numPr>
          <w:ilvl w:val="0"/>
          <w:numId w:val="5"/>
        </w:numPr>
        <w:shd w:val="clear" w:color="auto" w:fill="FFFFFF"/>
        <w:spacing w:line="360" w:lineRule="auto"/>
        <w:ind w:left="426" w:hanging="426" w:firstLineChars="0"/>
        <w:textAlignment w:val="baseline"/>
        <w:rPr>
          <w:rFonts w:ascii="黑体" w:hAnsi="黑体" w:eastAsia="黑体" w:cs="宋体"/>
          <w:kern w:val="0"/>
          <w:szCs w:val="21"/>
        </w:rPr>
      </w:pPr>
      <w:r>
        <w:rPr>
          <w:rFonts w:hint="eastAsia" w:ascii="黑体" w:hAnsi="黑体" w:eastAsia="黑体" w:cs="宋体"/>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pPr>
        <w:pStyle w:val="68"/>
        <w:widowControl/>
        <w:numPr>
          <w:ilvl w:val="0"/>
          <w:numId w:val="5"/>
        </w:numPr>
        <w:shd w:val="clear" w:color="auto" w:fill="FFFFFF"/>
        <w:spacing w:line="360" w:lineRule="auto"/>
        <w:ind w:left="426" w:hanging="426" w:firstLineChars="0"/>
        <w:textAlignment w:val="baseline"/>
        <w:rPr>
          <w:rFonts w:ascii="黑体" w:hAnsi="黑体" w:eastAsia="黑体" w:cs="宋体"/>
          <w:kern w:val="0"/>
          <w:szCs w:val="21"/>
        </w:rPr>
      </w:pPr>
      <w:r>
        <w:rPr>
          <w:rFonts w:hint="eastAsia" w:ascii="黑体" w:hAnsi="黑体" w:eastAsia="黑体" w:cs="宋体"/>
          <w:kern w:val="0"/>
          <w:szCs w:val="21"/>
        </w:rPr>
        <w:t>有依法缴纳税收和社会保障资金的良好记录，提供资格声明函，详见响应文件格式。</w:t>
      </w:r>
    </w:p>
    <w:p>
      <w:pPr>
        <w:pStyle w:val="68"/>
        <w:widowControl/>
        <w:numPr>
          <w:ilvl w:val="0"/>
          <w:numId w:val="5"/>
        </w:numPr>
        <w:shd w:val="clear" w:color="auto" w:fill="FFFFFF"/>
        <w:spacing w:line="360" w:lineRule="auto"/>
        <w:ind w:left="426" w:hanging="426" w:firstLineChars="0"/>
        <w:textAlignment w:val="baseline"/>
        <w:rPr>
          <w:rFonts w:ascii="黑体" w:hAnsi="黑体" w:eastAsia="黑体" w:cs="宋体"/>
          <w:kern w:val="0"/>
          <w:szCs w:val="21"/>
        </w:rPr>
      </w:pPr>
      <w:bookmarkStart w:id="5" w:name="_Hlk90659088"/>
      <w:r>
        <w:rPr>
          <w:rFonts w:hint="eastAsia" w:ascii="黑体" w:hAnsi="黑体" w:eastAsia="黑体" w:cs="宋体"/>
          <w:kern w:val="0"/>
          <w:szCs w:val="21"/>
        </w:rPr>
        <w:t>具有良好的商业信誉和健全的财务会计制度</w:t>
      </w:r>
      <w:bookmarkEnd w:id="5"/>
      <w:r>
        <w:rPr>
          <w:rFonts w:hint="eastAsia" w:ascii="黑体" w:hAnsi="黑体" w:eastAsia="黑体" w:cs="宋体"/>
          <w:kern w:val="0"/>
          <w:szCs w:val="21"/>
        </w:rPr>
        <w:t>，提供资格声明函，详见响应文件格式。</w:t>
      </w:r>
    </w:p>
    <w:p>
      <w:pPr>
        <w:pStyle w:val="68"/>
        <w:widowControl/>
        <w:numPr>
          <w:ilvl w:val="0"/>
          <w:numId w:val="5"/>
        </w:numPr>
        <w:shd w:val="clear" w:color="auto" w:fill="FFFFFF"/>
        <w:spacing w:line="360" w:lineRule="auto"/>
        <w:ind w:left="426" w:hanging="426" w:firstLineChars="0"/>
        <w:textAlignment w:val="baseline"/>
        <w:rPr>
          <w:rFonts w:ascii="黑体" w:hAnsi="黑体" w:eastAsia="黑体" w:cs="宋体"/>
          <w:kern w:val="0"/>
          <w:szCs w:val="21"/>
        </w:rPr>
      </w:pPr>
      <w:r>
        <w:rPr>
          <w:rFonts w:hint="eastAsia" w:ascii="黑体" w:hAnsi="黑体" w:eastAsia="黑体" w:cs="宋体"/>
          <w:kern w:val="0"/>
          <w:szCs w:val="21"/>
        </w:rPr>
        <w:t>履行合同所必须的设备和专业技术能力：</w:t>
      </w:r>
      <w:bookmarkStart w:id="6" w:name="_Hlk90659431"/>
      <w:r>
        <w:rPr>
          <w:rFonts w:hint="eastAsia" w:ascii="黑体" w:hAnsi="黑体" w:eastAsia="黑体" w:cs="宋体"/>
          <w:kern w:val="0"/>
          <w:szCs w:val="21"/>
        </w:rPr>
        <w:t>提供资格声明函，详见响应文件格式。</w:t>
      </w:r>
      <w:bookmarkEnd w:id="6"/>
    </w:p>
    <w:p>
      <w:pPr>
        <w:pStyle w:val="68"/>
        <w:widowControl/>
        <w:numPr>
          <w:ilvl w:val="0"/>
          <w:numId w:val="5"/>
        </w:numPr>
        <w:shd w:val="clear" w:color="auto" w:fill="FFFFFF"/>
        <w:spacing w:line="360" w:lineRule="auto"/>
        <w:ind w:left="426" w:hanging="426" w:firstLineChars="0"/>
        <w:textAlignment w:val="baseline"/>
        <w:rPr>
          <w:rFonts w:ascii="黑体" w:hAnsi="黑体" w:eastAsia="黑体" w:cs="宋体"/>
          <w:kern w:val="0"/>
          <w:szCs w:val="21"/>
        </w:rPr>
      </w:pPr>
      <w:bookmarkStart w:id="7" w:name="_Hlk81177175"/>
      <w:r>
        <w:rPr>
          <w:rFonts w:hint="eastAsia" w:ascii="黑体" w:hAnsi="黑体" w:eastAsia="黑体" w:cs="宋体"/>
          <w:kern w:val="0"/>
          <w:szCs w:val="21"/>
        </w:rPr>
        <w:t>参加采购活动前3年内，在经营活动中没有重大违法记录：重大违法记录，是指供应商因违法经营受到刑事处罚或者责令停产停业、吊销许可证或者执照、较大数额罚款等行政处罚。</w:t>
      </w:r>
      <w:bookmarkEnd w:id="7"/>
      <w:r>
        <w:rPr>
          <w:rFonts w:hint="eastAsia" w:ascii="黑体" w:hAnsi="黑体" w:eastAsia="黑体" w:cs="宋体"/>
          <w:kern w:val="0"/>
          <w:szCs w:val="21"/>
        </w:rPr>
        <w:t>（根据财库〔2022〕3号文，“较大数额罚款”认定为200万元以上的罚款，法律、行政法规以及国务院有关部门明确规定相关领域“较大数额罚款”标准高于200万元的，从其规定。）提供资格声明函，详见投标文件格式。</w:t>
      </w:r>
    </w:p>
    <w:p>
      <w:pPr>
        <w:pStyle w:val="68"/>
        <w:widowControl/>
        <w:numPr>
          <w:ilvl w:val="0"/>
          <w:numId w:val="5"/>
        </w:numPr>
        <w:shd w:val="clear" w:color="auto" w:fill="FFFFFF"/>
        <w:spacing w:line="360" w:lineRule="auto"/>
        <w:ind w:left="426" w:hanging="426" w:firstLineChars="0"/>
        <w:textAlignment w:val="baseline"/>
        <w:rPr>
          <w:rFonts w:ascii="黑体" w:hAnsi="黑体" w:eastAsia="黑体" w:cs="宋体"/>
          <w:kern w:val="0"/>
          <w:szCs w:val="21"/>
        </w:rPr>
      </w:pPr>
      <w:r>
        <w:rPr>
          <w:rFonts w:hint="eastAsia" w:ascii="黑体" w:hAnsi="黑体" w:eastAsia="黑体" w:cs="宋体"/>
          <w:kern w:val="0"/>
          <w:szCs w:val="21"/>
        </w:rPr>
        <w:t>信用记录：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p>
      <w:pPr>
        <w:pStyle w:val="68"/>
        <w:numPr>
          <w:ilvl w:val="0"/>
          <w:numId w:val="4"/>
        </w:numPr>
        <w:spacing w:line="360" w:lineRule="auto"/>
        <w:ind w:left="426" w:hanging="426" w:firstLineChars="0"/>
        <w:rPr>
          <w:rFonts w:ascii="黑体" w:hAnsi="黑体" w:eastAsia="黑体" w:cs="宋体"/>
          <w:kern w:val="0"/>
          <w:szCs w:val="21"/>
        </w:rPr>
      </w:pPr>
      <w:r>
        <w:rPr>
          <w:rFonts w:hint="eastAsia" w:ascii="黑体" w:hAnsi="黑体" w:eastAsia="黑体" w:cs="宋体"/>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8" w:name="_Hlk81178057"/>
      <w:r>
        <w:rPr>
          <w:rFonts w:hint="eastAsia" w:ascii="黑体" w:hAnsi="黑体" w:eastAsia="黑体" w:cs="宋体"/>
          <w:kern w:val="0"/>
          <w:szCs w:val="21"/>
        </w:rPr>
        <w:t>提供资格声明函，详见响应文件格式。</w:t>
      </w:r>
      <w:bookmarkEnd w:id="8"/>
    </w:p>
    <w:p>
      <w:pPr>
        <w:pStyle w:val="68"/>
        <w:numPr>
          <w:ilvl w:val="0"/>
          <w:numId w:val="4"/>
        </w:numPr>
        <w:spacing w:line="360" w:lineRule="auto"/>
        <w:ind w:left="426" w:hanging="426" w:firstLineChars="0"/>
        <w:rPr>
          <w:rFonts w:ascii="黑体" w:hAnsi="黑体" w:eastAsia="黑体"/>
          <w:szCs w:val="21"/>
        </w:rPr>
      </w:pPr>
      <w:r>
        <w:rPr>
          <w:rFonts w:hint="eastAsia" w:ascii="黑体" w:hAnsi="黑体" w:eastAsia="黑体"/>
          <w:szCs w:val="21"/>
        </w:rPr>
        <w:t>落实政府采购政策需满足的资格要求：本项</w:t>
      </w:r>
      <w:r>
        <w:rPr>
          <w:rFonts w:hint="eastAsia" w:ascii="黑体" w:hAnsi="黑体" w:eastAsia="黑体"/>
          <w:color w:val="auto"/>
          <w:szCs w:val="21"/>
        </w:rPr>
        <w:t>目专门面向行业为“其他未列明行业”的中小企业采购，以提供《中小企业声明函》为准（监狱企业及</w:t>
      </w:r>
      <w:r>
        <w:rPr>
          <w:rFonts w:hint="eastAsia" w:ascii="黑体" w:hAnsi="黑体" w:eastAsia="黑体"/>
          <w:szCs w:val="21"/>
        </w:rPr>
        <w:t>残疾人福利性单位视同小微企业，以提供的监狱企业证明文件或残疾人福利性单位声明函为准）。相关格式详见响应文件格式与要求。</w:t>
      </w:r>
    </w:p>
    <w:p>
      <w:pPr>
        <w:pStyle w:val="68"/>
        <w:numPr>
          <w:ilvl w:val="0"/>
          <w:numId w:val="4"/>
        </w:numPr>
        <w:spacing w:line="360" w:lineRule="auto"/>
        <w:ind w:left="426" w:hanging="426" w:firstLineChars="0"/>
        <w:rPr>
          <w:rFonts w:ascii="黑体" w:hAnsi="黑体" w:eastAsia="黑体"/>
          <w:szCs w:val="21"/>
        </w:rPr>
      </w:pPr>
      <w:r>
        <w:rPr>
          <w:rFonts w:hint="eastAsia" w:ascii="黑体" w:hAnsi="黑体" w:eastAsia="黑体"/>
          <w:szCs w:val="21"/>
        </w:rPr>
        <w:t>本项目的特定资格要求：</w:t>
      </w:r>
      <w:r>
        <w:rPr>
          <w:rStyle w:val="28"/>
          <w:rFonts w:hint="eastAsia" w:ascii="黑体" w:hAnsi="黑体" w:eastAsia="黑体" w:cs="黑体"/>
        </w:rPr>
        <w:t>无</w:t>
      </w:r>
    </w:p>
    <w:p>
      <w:pPr>
        <w:pStyle w:val="68"/>
        <w:numPr>
          <w:ilvl w:val="0"/>
          <w:numId w:val="2"/>
        </w:numPr>
        <w:tabs>
          <w:tab w:val="left" w:pos="426"/>
        </w:tabs>
        <w:spacing w:line="360" w:lineRule="auto"/>
        <w:ind w:firstLineChars="0"/>
        <w:rPr>
          <w:rFonts w:ascii="黑体" w:hAnsi="黑体" w:eastAsia="黑体"/>
          <w:b/>
          <w:szCs w:val="21"/>
        </w:rPr>
      </w:pPr>
      <w:bookmarkStart w:id="9" w:name="_Hlk58185024"/>
      <w:r>
        <w:rPr>
          <w:rFonts w:hint="eastAsia" w:ascii="黑体" w:hAnsi="黑体" w:eastAsia="黑体"/>
          <w:b/>
          <w:szCs w:val="21"/>
        </w:rPr>
        <w:t>获取采购文件</w:t>
      </w:r>
    </w:p>
    <w:bookmarkEnd w:id="9"/>
    <w:p>
      <w:pPr>
        <w:pStyle w:val="68"/>
        <w:spacing w:line="360" w:lineRule="auto"/>
        <w:ind w:left="420" w:firstLine="0" w:firstLineChars="0"/>
        <w:rPr>
          <w:rFonts w:ascii="黑体" w:hAnsi="黑体" w:eastAsia="黑体" w:cs="宋体"/>
          <w:szCs w:val="21"/>
        </w:rPr>
      </w:pPr>
      <w:r>
        <w:rPr>
          <w:rFonts w:hint="eastAsia" w:ascii="黑体" w:hAnsi="黑体" w:eastAsia="黑体" w:cs="宋体"/>
          <w:szCs w:val="21"/>
        </w:rPr>
        <w:t>时间：</w:t>
      </w:r>
      <w:r>
        <w:rPr>
          <w:rFonts w:hint="eastAsia" w:ascii="黑体" w:hAnsi="黑体" w:eastAsia="黑体" w:cs="宋体"/>
          <w:szCs w:val="21"/>
          <w:u w:val="single"/>
        </w:rPr>
        <w:t>2025年</w:t>
      </w:r>
      <w:r>
        <w:rPr>
          <w:rFonts w:hint="eastAsia" w:ascii="黑体" w:hAnsi="黑体" w:eastAsia="黑体" w:cs="宋体"/>
          <w:szCs w:val="21"/>
          <w:u w:val="single"/>
          <w:lang w:val="en-US" w:eastAsia="zh-CN"/>
        </w:rPr>
        <w:t>02</w:t>
      </w:r>
      <w:r>
        <w:rPr>
          <w:rFonts w:hint="eastAsia" w:ascii="黑体" w:hAnsi="黑体" w:eastAsia="黑体" w:cs="宋体"/>
          <w:szCs w:val="21"/>
          <w:u w:val="single"/>
        </w:rPr>
        <w:t>月</w:t>
      </w:r>
      <w:r>
        <w:rPr>
          <w:rFonts w:hint="eastAsia" w:ascii="黑体" w:hAnsi="黑体" w:eastAsia="黑体" w:cs="宋体"/>
          <w:szCs w:val="21"/>
          <w:u w:val="single"/>
          <w:lang w:val="en-US" w:eastAsia="zh-CN"/>
        </w:rPr>
        <w:t>28</w:t>
      </w:r>
      <w:r>
        <w:rPr>
          <w:rFonts w:hint="eastAsia" w:ascii="黑体" w:hAnsi="黑体" w:eastAsia="黑体" w:cs="宋体"/>
          <w:szCs w:val="21"/>
          <w:u w:val="single"/>
        </w:rPr>
        <w:t>日</w:t>
      </w:r>
      <w:r>
        <w:rPr>
          <w:rFonts w:hint="eastAsia" w:ascii="黑体" w:hAnsi="黑体" w:eastAsia="黑体" w:cs="宋体"/>
          <w:szCs w:val="21"/>
        </w:rPr>
        <w:t>至</w:t>
      </w:r>
      <w:r>
        <w:rPr>
          <w:rFonts w:hint="eastAsia" w:ascii="黑体" w:hAnsi="黑体" w:eastAsia="黑体" w:cs="宋体"/>
          <w:szCs w:val="21"/>
          <w:u w:val="single"/>
        </w:rPr>
        <w:t>2025年</w:t>
      </w:r>
      <w:r>
        <w:rPr>
          <w:rFonts w:hint="eastAsia" w:ascii="黑体" w:hAnsi="黑体" w:eastAsia="黑体" w:cs="宋体"/>
          <w:szCs w:val="21"/>
          <w:u w:val="single"/>
          <w:lang w:val="en-US" w:eastAsia="zh-CN"/>
        </w:rPr>
        <w:t>03</w:t>
      </w:r>
      <w:r>
        <w:rPr>
          <w:rFonts w:hint="eastAsia" w:ascii="黑体" w:hAnsi="黑体" w:eastAsia="黑体" w:cs="宋体"/>
          <w:szCs w:val="21"/>
          <w:u w:val="single"/>
        </w:rPr>
        <w:t>月</w:t>
      </w:r>
      <w:r>
        <w:rPr>
          <w:rFonts w:hint="eastAsia" w:ascii="黑体" w:hAnsi="黑体" w:eastAsia="黑体" w:cs="宋体"/>
          <w:szCs w:val="21"/>
          <w:u w:val="single"/>
          <w:lang w:val="en-US" w:eastAsia="zh-CN"/>
        </w:rPr>
        <w:t>07</w:t>
      </w:r>
      <w:r>
        <w:rPr>
          <w:rFonts w:hint="eastAsia" w:ascii="黑体" w:hAnsi="黑体" w:eastAsia="黑体" w:cs="宋体"/>
          <w:szCs w:val="21"/>
          <w:u w:val="single"/>
        </w:rPr>
        <w:t>日</w:t>
      </w:r>
      <w:r>
        <w:rPr>
          <w:rFonts w:hint="eastAsia" w:ascii="黑体" w:hAnsi="黑体" w:eastAsia="黑体" w:cs="宋体"/>
          <w:iCs/>
          <w:szCs w:val="21"/>
          <w:u w:val="single"/>
        </w:rPr>
        <w:t>（磋商文件的发售期限自开始之日起不得少于5个工作日）</w:t>
      </w:r>
      <w:r>
        <w:rPr>
          <w:rFonts w:hint="eastAsia" w:ascii="黑体" w:hAnsi="黑体" w:eastAsia="黑体" w:cs="宋体"/>
          <w:szCs w:val="21"/>
        </w:rPr>
        <w:t>，每天上午9：00至 12：00，下午2：30至5：30（北京时间，</w:t>
      </w:r>
      <w:r>
        <w:rPr>
          <w:rFonts w:ascii="黑体" w:hAnsi="黑体" w:eastAsia="黑体" w:cs="宋体"/>
          <w:szCs w:val="21"/>
        </w:rPr>
        <w:t>法定节假日</w:t>
      </w:r>
      <w:r>
        <w:rPr>
          <w:rFonts w:hint="eastAsia" w:ascii="黑体" w:hAnsi="黑体" w:eastAsia="黑体" w:cs="宋体"/>
          <w:szCs w:val="21"/>
        </w:rPr>
        <w:t>除外）</w:t>
      </w:r>
    </w:p>
    <w:p>
      <w:pPr>
        <w:pStyle w:val="68"/>
        <w:spacing w:line="360" w:lineRule="auto"/>
        <w:ind w:left="420" w:firstLine="4" w:firstLineChars="2"/>
        <w:rPr>
          <w:rFonts w:ascii="黑体" w:hAnsi="黑体" w:eastAsia="黑体" w:cs="宋体"/>
          <w:szCs w:val="21"/>
        </w:rPr>
      </w:pPr>
      <w:r>
        <w:rPr>
          <w:rFonts w:hint="eastAsia" w:ascii="黑体" w:hAnsi="黑体" w:eastAsia="黑体" w:cs="宋体"/>
          <w:szCs w:val="21"/>
        </w:rPr>
        <w:t>地点：到东莞市东城街道新源路海德琥珀台6栋1703室（有德招标）进行获取或使用微信扫描二维码进行获取（二维码详见采购文件温馨提示）或微信搜索公众号“有德招标东莞分公司”进行获取。</w:t>
      </w:r>
    </w:p>
    <w:p>
      <w:pPr>
        <w:pStyle w:val="68"/>
        <w:spacing w:line="360" w:lineRule="auto"/>
        <w:ind w:left="420" w:firstLine="0" w:firstLineChars="0"/>
        <w:rPr>
          <w:rFonts w:ascii="黑体" w:hAnsi="黑体" w:eastAsia="黑体" w:cs="宋体"/>
          <w:szCs w:val="21"/>
          <w:u w:val="single"/>
        </w:rPr>
      </w:pPr>
      <w:r>
        <w:rPr>
          <w:rFonts w:hint="eastAsia" w:ascii="黑体" w:hAnsi="黑体" w:eastAsia="黑体" w:cs="宋体"/>
          <w:szCs w:val="21"/>
        </w:rPr>
        <w:t>方式：现场或线上获取</w:t>
      </w:r>
    </w:p>
    <w:p>
      <w:pPr>
        <w:pStyle w:val="68"/>
        <w:spacing w:line="360" w:lineRule="auto"/>
        <w:ind w:left="420" w:firstLine="0" w:firstLineChars="0"/>
        <w:rPr>
          <w:rFonts w:ascii="黑体" w:hAnsi="黑体" w:eastAsia="黑体" w:cs="宋体"/>
          <w:szCs w:val="21"/>
        </w:rPr>
      </w:pPr>
      <w:r>
        <w:rPr>
          <w:rFonts w:hint="eastAsia" w:ascii="黑体" w:hAnsi="黑体" w:eastAsia="黑体" w:cs="宋体"/>
          <w:szCs w:val="21"/>
        </w:rPr>
        <w:t>售价：￥200元</w:t>
      </w:r>
    </w:p>
    <w:p>
      <w:pPr>
        <w:pStyle w:val="68"/>
        <w:numPr>
          <w:ilvl w:val="0"/>
          <w:numId w:val="2"/>
        </w:numPr>
        <w:tabs>
          <w:tab w:val="left" w:pos="426"/>
        </w:tabs>
        <w:spacing w:line="360" w:lineRule="auto"/>
        <w:ind w:left="0" w:firstLine="0"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响应文件提交</w:t>
      </w:r>
    </w:p>
    <w:p>
      <w:pPr>
        <w:tabs>
          <w:tab w:val="left" w:pos="284"/>
          <w:tab w:val="left" w:pos="426"/>
        </w:tabs>
        <w:spacing w:line="360" w:lineRule="auto"/>
        <w:ind w:left="420" w:hanging="420" w:hanging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 xml:space="preserve">    截止时间</w:t>
      </w:r>
      <w:r>
        <w:rPr>
          <w:rFonts w:hint="eastAsia" w:ascii="黑体" w:hAnsi="黑体" w:eastAsia="黑体"/>
          <w:color w:val="000000" w:themeColor="text1"/>
          <w:szCs w:val="21"/>
          <w:u w:val="single"/>
          <w14:textFill>
            <w14:solidFill>
              <w14:schemeClr w14:val="tx1"/>
            </w14:solidFill>
          </w14:textFill>
        </w:rPr>
        <w:t>2025年</w:t>
      </w:r>
      <w:r>
        <w:rPr>
          <w:rFonts w:hint="eastAsia" w:ascii="黑体" w:hAnsi="黑体" w:eastAsia="黑体"/>
          <w:color w:val="000000" w:themeColor="text1"/>
          <w:szCs w:val="21"/>
          <w:u w:val="single"/>
          <w:lang w:val="en-US" w:eastAsia="zh-CN"/>
          <w14:textFill>
            <w14:solidFill>
              <w14:schemeClr w14:val="tx1"/>
            </w14:solidFill>
          </w14:textFill>
        </w:rPr>
        <w:t>03</w:t>
      </w:r>
      <w:r>
        <w:rPr>
          <w:rFonts w:hint="eastAsia" w:ascii="黑体" w:hAnsi="黑体" w:eastAsia="黑体"/>
          <w:color w:val="000000" w:themeColor="text1"/>
          <w:szCs w:val="21"/>
          <w:u w:val="single"/>
          <w14:textFill>
            <w14:solidFill>
              <w14:schemeClr w14:val="tx1"/>
            </w14:solidFill>
          </w14:textFill>
        </w:rPr>
        <w:t>月</w:t>
      </w:r>
      <w:r>
        <w:rPr>
          <w:rFonts w:hint="eastAsia" w:ascii="黑体" w:hAnsi="黑体" w:eastAsia="黑体"/>
          <w:color w:val="000000" w:themeColor="text1"/>
          <w:szCs w:val="21"/>
          <w:u w:val="single"/>
          <w:lang w:val="en-US" w:eastAsia="zh-CN"/>
          <w14:textFill>
            <w14:solidFill>
              <w14:schemeClr w14:val="tx1"/>
            </w14:solidFill>
          </w14:textFill>
        </w:rPr>
        <w:t>11</w:t>
      </w:r>
      <w:r>
        <w:rPr>
          <w:rFonts w:hint="eastAsia" w:ascii="黑体" w:hAnsi="黑体" w:eastAsia="黑体"/>
          <w:color w:val="000000" w:themeColor="text1"/>
          <w:szCs w:val="21"/>
          <w:u w:val="single"/>
          <w14:textFill>
            <w14:solidFill>
              <w14:schemeClr w14:val="tx1"/>
            </w14:solidFill>
          </w14:textFill>
        </w:rPr>
        <w:t>日</w:t>
      </w:r>
      <w:r>
        <w:rPr>
          <w:rFonts w:hint="eastAsia" w:ascii="黑体" w:hAnsi="黑体" w:eastAsia="黑体"/>
          <w:color w:val="000000" w:themeColor="text1"/>
          <w:szCs w:val="21"/>
          <w:u w:val="single"/>
          <w:lang w:val="en-US" w:eastAsia="zh-CN"/>
          <w14:textFill>
            <w14:solidFill>
              <w14:schemeClr w14:val="tx1"/>
            </w14:solidFill>
          </w14:textFill>
        </w:rPr>
        <w:t>09</w:t>
      </w:r>
      <w:r>
        <w:rPr>
          <w:rFonts w:hint="eastAsia" w:ascii="黑体" w:hAnsi="黑体" w:eastAsia="黑体"/>
          <w:color w:val="000000" w:themeColor="text1"/>
          <w:szCs w:val="21"/>
          <w:u w:val="single"/>
          <w14:textFill>
            <w14:solidFill>
              <w14:schemeClr w14:val="tx1"/>
            </w14:solidFill>
          </w14:textFill>
        </w:rPr>
        <w:t>点</w:t>
      </w:r>
      <w:r>
        <w:rPr>
          <w:rFonts w:hint="eastAsia" w:ascii="黑体" w:hAnsi="黑体" w:eastAsia="黑体"/>
          <w:color w:val="000000" w:themeColor="text1"/>
          <w:szCs w:val="21"/>
          <w:u w:val="single"/>
          <w:lang w:val="en-US" w:eastAsia="zh-CN"/>
          <w14:textFill>
            <w14:solidFill>
              <w14:schemeClr w14:val="tx1"/>
            </w14:solidFill>
          </w14:textFill>
        </w:rPr>
        <w:t>30</w:t>
      </w:r>
      <w:r>
        <w:rPr>
          <w:rFonts w:hint="eastAsia" w:ascii="黑体" w:hAnsi="黑体" w:eastAsia="黑体"/>
          <w:color w:val="000000" w:themeColor="text1"/>
          <w:szCs w:val="21"/>
          <w:u w:val="single"/>
          <w14:textFill>
            <w14:solidFill>
              <w14:schemeClr w14:val="tx1"/>
            </w14:solidFill>
          </w14:textFill>
        </w:rPr>
        <w:t>分</w:t>
      </w:r>
      <w:r>
        <w:rPr>
          <w:rFonts w:hint="eastAsia" w:ascii="黑体" w:hAnsi="黑体" w:eastAsia="黑体"/>
          <w:color w:val="000000" w:themeColor="text1"/>
          <w:szCs w:val="21"/>
          <w14:textFill>
            <w14:solidFill>
              <w14:schemeClr w14:val="tx1"/>
            </w14:solidFill>
          </w14:textFill>
        </w:rPr>
        <w:t>（北京时间）（从磋商文件开始发出之日起至供应商提交首次响应文件截止之日止不得少于10日）</w:t>
      </w:r>
    </w:p>
    <w:p>
      <w:pPr>
        <w:pStyle w:val="68"/>
        <w:tabs>
          <w:tab w:val="left" w:pos="426"/>
        </w:tabs>
        <w:spacing w:line="360" w:lineRule="auto"/>
        <w:ind w:left="420" w:firstLine="0"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地点：东莞市东城街道新源路海德琥珀台6栋1703室</w:t>
      </w:r>
    </w:p>
    <w:p>
      <w:pPr>
        <w:pStyle w:val="68"/>
        <w:numPr>
          <w:ilvl w:val="0"/>
          <w:numId w:val="2"/>
        </w:numPr>
        <w:tabs>
          <w:tab w:val="left" w:pos="426"/>
        </w:tabs>
        <w:spacing w:line="360" w:lineRule="auto"/>
        <w:ind w:left="-2" w:leftChars="-1" w:firstLine="1"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开启</w:t>
      </w:r>
    </w:p>
    <w:p>
      <w:pPr>
        <w:pStyle w:val="68"/>
        <w:tabs>
          <w:tab w:val="left" w:pos="426"/>
        </w:tabs>
        <w:spacing w:line="360" w:lineRule="auto"/>
        <w:ind w:left="-1"/>
        <w:rPr>
          <w:rFonts w:ascii="黑体" w:hAnsi="黑体" w:eastAsia="黑体"/>
          <w:szCs w:val="21"/>
        </w:rPr>
      </w:pPr>
      <w:r>
        <w:rPr>
          <w:rFonts w:hint="eastAsia" w:ascii="黑体" w:hAnsi="黑体" w:eastAsia="黑体"/>
          <w:szCs w:val="21"/>
        </w:rPr>
        <w:t>时间：</w:t>
      </w:r>
      <w:r>
        <w:rPr>
          <w:rFonts w:hint="eastAsia" w:ascii="黑体" w:hAnsi="黑体" w:eastAsia="黑体"/>
          <w:szCs w:val="21"/>
          <w:u w:val="single"/>
        </w:rPr>
        <w:t>2025年</w:t>
      </w:r>
      <w:r>
        <w:rPr>
          <w:rFonts w:hint="eastAsia" w:ascii="黑体" w:hAnsi="黑体" w:eastAsia="黑体"/>
          <w:color w:val="000000" w:themeColor="text1"/>
          <w:szCs w:val="21"/>
          <w:u w:val="single"/>
          <w:lang w:val="en-US" w:eastAsia="zh-CN"/>
          <w14:textFill>
            <w14:solidFill>
              <w14:schemeClr w14:val="tx1"/>
            </w14:solidFill>
          </w14:textFill>
        </w:rPr>
        <w:t>03</w:t>
      </w:r>
      <w:r>
        <w:rPr>
          <w:rFonts w:hint="eastAsia" w:ascii="黑体" w:hAnsi="黑体" w:eastAsia="黑体"/>
          <w:color w:val="000000" w:themeColor="text1"/>
          <w:szCs w:val="21"/>
          <w:u w:val="single"/>
          <w14:textFill>
            <w14:solidFill>
              <w14:schemeClr w14:val="tx1"/>
            </w14:solidFill>
          </w14:textFill>
        </w:rPr>
        <w:t>月</w:t>
      </w:r>
      <w:r>
        <w:rPr>
          <w:rFonts w:hint="eastAsia" w:ascii="黑体" w:hAnsi="黑体" w:eastAsia="黑体"/>
          <w:color w:val="000000" w:themeColor="text1"/>
          <w:szCs w:val="21"/>
          <w:u w:val="single"/>
          <w:lang w:val="en-US" w:eastAsia="zh-CN"/>
          <w14:textFill>
            <w14:solidFill>
              <w14:schemeClr w14:val="tx1"/>
            </w14:solidFill>
          </w14:textFill>
        </w:rPr>
        <w:t>11</w:t>
      </w:r>
      <w:r>
        <w:rPr>
          <w:rFonts w:hint="eastAsia" w:ascii="黑体" w:hAnsi="黑体" w:eastAsia="黑体"/>
          <w:color w:val="000000" w:themeColor="text1"/>
          <w:szCs w:val="21"/>
          <w:u w:val="single"/>
          <w14:textFill>
            <w14:solidFill>
              <w14:schemeClr w14:val="tx1"/>
            </w14:solidFill>
          </w14:textFill>
        </w:rPr>
        <w:t>日</w:t>
      </w:r>
      <w:r>
        <w:rPr>
          <w:rFonts w:hint="eastAsia" w:ascii="黑体" w:hAnsi="黑体" w:eastAsia="黑体"/>
          <w:color w:val="000000" w:themeColor="text1"/>
          <w:szCs w:val="21"/>
          <w:u w:val="single"/>
          <w:lang w:val="en-US" w:eastAsia="zh-CN"/>
          <w14:textFill>
            <w14:solidFill>
              <w14:schemeClr w14:val="tx1"/>
            </w14:solidFill>
          </w14:textFill>
        </w:rPr>
        <w:t>09</w:t>
      </w:r>
      <w:r>
        <w:rPr>
          <w:rFonts w:hint="eastAsia" w:ascii="黑体" w:hAnsi="黑体" w:eastAsia="黑体"/>
          <w:color w:val="000000" w:themeColor="text1"/>
          <w:szCs w:val="21"/>
          <w:u w:val="single"/>
          <w14:textFill>
            <w14:solidFill>
              <w14:schemeClr w14:val="tx1"/>
            </w14:solidFill>
          </w14:textFill>
        </w:rPr>
        <w:t>点</w:t>
      </w:r>
      <w:r>
        <w:rPr>
          <w:rFonts w:hint="eastAsia" w:ascii="黑体" w:hAnsi="黑体" w:eastAsia="黑体"/>
          <w:color w:val="000000" w:themeColor="text1"/>
          <w:szCs w:val="21"/>
          <w:u w:val="single"/>
          <w:lang w:val="en-US" w:eastAsia="zh-CN"/>
          <w14:textFill>
            <w14:solidFill>
              <w14:schemeClr w14:val="tx1"/>
            </w14:solidFill>
          </w14:textFill>
        </w:rPr>
        <w:t>30</w:t>
      </w:r>
      <w:r>
        <w:rPr>
          <w:rFonts w:hint="eastAsia" w:ascii="黑体" w:hAnsi="黑体" w:eastAsia="黑体"/>
          <w:szCs w:val="21"/>
          <w:u w:val="single"/>
        </w:rPr>
        <w:t>分</w:t>
      </w:r>
      <w:r>
        <w:rPr>
          <w:rFonts w:hint="eastAsia" w:ascii="黑体" w:hAnsi="黑体" w:eastAsia="黑体"/>
          <w:szCs w:val="21"/>
        </w:rPr>
        <w:t>（北京时间）</w:t>
      </w:r>
    </w:p>
    <w:p>
      <w:pPr>
        <w:pStyle w:val="68"/>
        <w:tabs>
          <w:tab w:val="left" w:pos="426"/>
        </w:tabs>
        <w:spacing w:line="360" w:lineRule="auto"/>
        <w:ind w:left="-1"/>
        <w:rPr>
          <w:rFonts w:ascii="黑体" w:hAnsi="黑体" w:eastAsia="黑体"/>
          <w:szCs w:val="21"/>
        </w:rPr>
      </w:pPr>
      <w:r>
        <w:rPr>
          <w:rFonts w:hint="eastAsia" w:ascii="黑体" w:hAnsi="黑体" w:eastAsia="黑体"/>
          <w:szCs w:val="21"/>
        </w:rPr>
        <w:t>地点：东莞市东城街道新源路海德琥珀台6栋1703室</w:t>
      </w:r>
    </w:p>
    <w:p>
      <w:pPr>
        <w:pStyle w:val="68"/>
        <w:numPr>
          <w:ilvl w:val="0"/>
          <w:numId w:val="2"/>
        </w:numPr>
        <w:tabs>
          <w:tab w:val="left" w:pos="426"/>
        </w:tabs>
        <w:spacing w:line="360" w:lineRule="auto"/>
        <w:ind w:left="-2" w:leftChars="-1" w:firstLine="1"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公告期限</w:t>
      </w:r>
    </w:p>
    <w:p>
      <w:pPr>
        <w:pStyle w:val="68"/>
        <w:tabs>
          <w:tab w:val="left" w:pos="426"/>
        </w:tabs>
        <w:spacing w:line="360" w:lineRule="auto"/>
        <w:ind w:left="420" w:firstLine="0"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自本公告发布之日起3个工作日。</w:t>
      </w:r>
    </w:p>
    <w:p>
      <w:pPr>
        <w:pStyle w:val="68"/>
        <w:numPr>
          <w:ilvl w:val="0"/>
          <w:numId w:val="2"/>
        </w:numPr>
        <w:tabs>
          <w:tab w:val="left" w:pos="426"/>
        </w:tabs>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其他补充事宜</w:t>
      </w:r>
    </w:p>
    <w:p>
      <w:pPr>
        <w:pStyle w:val="68"/>
        <w:numPr>
          <w:ilvl w:val="0"/>
          <w:numId w:val="6"/>
        </w:numPr>
        <w:tabs>
          <w:tab w:val="left" w:pos="426"/>
        </w:tabs>
        <w:spacing w:line="360" w:lineRule="auto"/>
        <w:ind w:left="426" w:hanging="426" w:firstLineChars="0"/>
        <w:rPr>
          <w:rFonts w:ascii="黑体" w:hAnsi="黑体" w:eastAsia="黑体"/>
          <w:bCs/>
          <w:szCs w:val="21"/>
        </w:rPr>
      </w:pPr>
      <w:r>
        <w:rPr>
          <w:rFonts w:hint="eastAsia" w:ascii="黑体" w:hAnsi="黑体" w:eastAsia="黑体"/>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pPr>
        <w:pStyle w:val="68"/>
        <w:numPr>
          <w:ilvl w:val="0"/>
          <w:numId w:val="6"/>
        </w:numPr>
        <w:tabs>
          <w:tab w:val="left" w:pos="426"/>
        </w:tabs>
        <w:spacing w:line="360" w:lineRule="auto"/>
        <w:ind w:left="426" w:hanging="426" w:firstLineChars="0"/>
        <w:rPr>
          <w:rFonts w:ascii="黑体" w:hAnsi="黑体" w:eastAsia="黑体"/>
          <w:bCs/>
          <w:szCs w:val="21"/>
        </w:rPr>
      </w:pPr>
      <w:r>
        <w:rPr>
          <w:rFonts w:hint="eastAsia" w:ascii="黑体" w:hAnsi="黑体" w:eastAsia="黑体"/>
          <w:bCs/>
          <w:szCs w:val="21"/>
        </w:rPr>
        <w:t>本项目采购标的所属行业为</w:t>
      </w:r>
      <w:r>
        <w:rPr>
          <w:rFonts w:hint="eastAsia" w:ascii="黑体" w:hAnsi="黑体" w:eastAsia="黑体" w:cs="黑体"/>
          <w:bCs/>
          <w:szCs w:val="21"/>
          <w:u w:val="single"/>
        </w:rPr>
        <w:t>其他未列明行业</w:t>
      </w:r>
      <w:r>
        <w:rPr>
          <w:rFonts w:hint="eastAsia" w:ascii="黑体" w:hAnsi="黑体" w:eastAsia="黑体"/>
          <w:bCs/>
          <w:szCs w:val="21"/>
        </w:rPr>
        <w:t>。</w:t>
      </w:r>
    </w:p>
    <w:p>
      <w:pPr>
        <w:pStyle w:val="68"/>
        <w:numPr>
          <w:ilvl w:val="0"/>
          <w:numId w:val="6"/>
        </w:numPr>
        <w:tabs>
          <w:tab w:val="left" w:pos="426"/>
        </w:tabs>
        <w:spacing w:line="360" w:lineRule="auto"/>
        <w:ind w:left="426" w:hanging="426" w:firstLineChars="0"/>
        <w:rPr>
          <w:rFonts w:ascii="黑体" w:hAnsi="黑体" w:eastAsia="黑体"/>
          <w:bCs/>
          <w:szCs w:val="21"/>
        </w:rPr>
      </w:pPr>
      <w:r>
        <w:rPr>
          <w:rFonts w:hint="eastAsia" w:ascii="黑体" w:hAnsi="黑体" w:eastAsia="黑体"/>
          <w:bCs/>
          <w:szCs w:val="21"/>
        </w:rPr>
        <w:t>采购文件公示/下载媒体</w:t>
      </w:r>
    </w:p>
    <w:p>
      <w:pPr>
        <w:pStyle w:val="68"/>
        <w:spacing w:line="360" w:lineRule="auto"/>
        <w:ind w:left="420" w:firstLine="0" w:firstLineChars="0"/>
        <w:rPr>
          <w:rFonts w:ascii="黑体" w:hAnsi="黑体" w:eastAsia="黑体"/>
          <w:bCs/>
          <w:szCs w:val="21"/>
        </w:rPr>
      </w:pPr>
      <w:r>
        <w:rPr>
          <w:rFonts w:hint="eastAsia" w:ascii="黑体" w:hAnsi="黑体" w:eastAsia="黑体"/>
          <w:bCs/>
          <w:szCs w:val="21"/>
        </w:rPr>
        <w:t>中国政府采购网</w:t>
      </w:r>
      <w:r>
        <w:rPr>
          <w:rFonts w:ascii="黑体" w:hAnsi="黑体" w:eastAsia="黑体"/>
          <w:bCs/>
          <w:szCs w:val="21"/>
        </w:rPr>
        <w:t>(</w:t>
      </w:r>
      <w:r>
        <w:fldChar w:fldCharType="begin"/>
      </w:r>
      <w:r>
        <w:instrText xml:space="preserve"> HYPERLINK "http://www.ccgp.gov.cn/" </w:instrText>
      </w:r>
      <w:r>
        <w:fldChar w:fldCharType="separate"/>
      </w:r>
      <w:r>
        <w:rPr>
          <w:rStyle w:val="27"/>
          <w:rFonts w:ascii="黑体" w:hAnsi="黑体" w:eastAsia="黑体"/>
          <w:bCs/>
          <w:color w:val="auto"/>
          <w:szCs w:val="21"/>
        </w:rPr>
        <w:t>n</w:t>
      </w:r>
      <w:r>
        <w:rPr>
          <w:rStyle w:val="27"/>
          <w:rFonts w:ascii="黑体" w:hAnsi="黑体" w:eastAsia="黑体"/>
          <w:bCs/>
          <w:color w:val="auto"/>
          <w:szCs w:val="21"/>
        </w:rPr>
        <w:fldChar w:fldCharType="end"/>
      </w:r>
      <w:r>
        <w:rPr>
          <w:rFonts w:ascii="黑体" w:hAnsi="黑体" w:eastAsia="黑体"/>
          <w:bCs/>
          <w:szCs w:val="21"/>
        </w:rPr>
        <w:t>)</w:t>
      </w:r>
      <w:r>
        <w:rPr>
          <w:rFonts w:hint="eastAsia" w:ascii="黑体" w:hAnsi="黑体" w:eastAsia="黑体"/>
          <w:bCs/>
          <w:szCs w:val="21"/>
        </w:rPr>
        <w:t>、</w:t>
      </w:r>
      <w:r>
        <w:rPr>
          <w:rFonts w:hint="eastAsia" w:ascii="黑体" w:hAnsi="黑体" w:eastAsia="黑体"/>
          <w:spacing w:val="-4"/>
          <w:szCs w:val="21"/>
        </w:rPr>
        <w:t>中国采购与招标网(</w:t>
      </w:r>
      <w:r>
        <w:rPr>
          <w:rFonts w:ascii="黑体" w:hAnsi="黑体" w:eastAsia="黑体"/>
          <w:spacing w:val="-4"/>
          <w:szCs w:val="21"/>
          <w:u w:val="single"/>
        </w:rPr>
        <w:t>https://www.chinabidding.cn/</w:t>
      </w:r>
      <w:r>
        <w:rPr>
          <w:rFonts w:hint="eastAsia" w:ascii="黑体" w:hAnsi="黑体" w:eastAsia="黑体"/>
          <w:spacing w:val="-4"/>
          <w:szCs w:val="21"/>
        </w:rPr>
        <w:t>)、</w:t>
      </w:r>
      <w:r>
        <w:rPr>
          <w:rFonts w:hint="eastAsia" w:ascii="黑体" w:hAnsi="黑体" w:eastAsia="黑体"/>
          <w:bCs/>
          <w:szCs w:val="21"/>
        </w:rPr>
        <w:t>广东有德招标采购有限公司网站</w:t>
      </w:r>
      <w:r>
        <w:rPr>
          <w:rFonts w:ascii="黑体" w:hAnsi="黑体" w:eastAsia="黑体"/>
          <w:bCs/>
          <w:szCs w:val="21"/>
        </w:rPr>
        <w:t>(</w:t>
      </w:r>
      <w:r>
        <w:fldChar w:fldCharType="begin"/>
      </w:r>
      <w:r>
        <w:instrText xml:space="preserve"> HYPERLINK "http://www.youde.net/" </w:instrText>
      </w:r>
      <w:r>
        <w:fldChar w:fldCharType="separate"/>
      </w:r>
      <w:r>
        <w:rPr>
          <w:rStyle w:val="27"/>
          <w:rFonts w:ascii="黑体" w:hAnsi="黑体" w:eastAsia="黑体"/>
          <w:bCs/>
          <w:color w:val="auto"/>
          <w:szCs w:val="21"/>
        </w:rPr>
        <w:t>http://www.youde.net/</w:t>
      </w:r>
      <w:r>
        <w:rPr>
          <w:rStyle w:val="27"/>
          <w:rFonts w:ascii="黑体" w:hAnsi="黑体" w:eastAsia="黑体"/>
          <w:bCs/>
          <w:color w:val="auto"/>
          <w:szCs w:val="21"/>
        </w:rPr>
        <w:fldChar w:fldCharType="end"/>
      </w:r>
      <w:r>
        <w:rPr>
          <w:rFonts w:ascii="黑体" w:hAnsi="黑体" w:eastAsia="黑体"/>
          <w:bCs/>
          <w:szCs w:val="21"/>
        </w:rPr>
        <w:t>)</w:t>
      </w:r>
    </w:p>
    <w:p>
      <w:pPr>
        <w:pStyle w:val="68"/>
        <w:numPr>
          <w:ilvl w:val="0"/>
          <w:numId w:val="6"/>
        </w:numPr>
        <w:tabs>
          <w:tab w:val="left" w:pos="426"/>
        </w:tabs>
        <w:spacing w:line="360" w:lineRule="auto"/>
        <w:ind w:left="426" w:hanging="426"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拟参加本项目的潜在供应商须在规定时间内按要求获取磋商文件后方可参与本项目的投标。获取磋商文件后而不参加磋商的潜在供应商，请在开标日期三日前以书面形式通知采购代理机构。</w:t>
      </w:r>
    </w:p>
    <w:p>
      <w:pPr>
        <w:pStyle w:val="68"/>
        <w:numPr>
          <w:ilvl w:val="0"/>
          <w:numId w:val="6"/>
        </w:numPr>
        <w:tabs>
          <w:tab w:val="left" w:pos="426"/>
        </w:tabs>
        <w:spacing w:line="360" w:lineRule="auto"/>
        <w:ind w:left="426" w:hanging="426" w:firstLineChars="0"/>
        <w:rPr>
          <w:rFonts w:ascii="黑体" w:hAnsi="黑体" w:eastAsia="黑体"/>
          <w:bCs/>
          <w:szCs w:val="21"/>
        </w:rPr>
      </w:pPr>
      <w:r>
        <w:rPr>
          <w:rFonts w:hint="eastAsia" w:ascii="黑体" w:hAnsi="黑体" w:eastAsia="黑体"/>
          <w:bCs/>
          <w:color w:val="000000" w:themeColor="text1"/>
          <w:szCs w:val="21"/>
          <w14:textFill>
            <w14:solidFill>
              <w14:schemeClr w14:val="tx1"/>
            </w14:solidFill>
          </w14:textFill>
        </w:rPr>
        <w:t>获取磋商文件联系人及联系方式：范小姐 （076</w:t>
      </w:r>
      <w:r>
        <w:rPr>
          <w:rFonts w:hint="eastAsia" w:ascii="黑体" w:hAnsi="黑体" w:eastAsia="黑体"/>
          <w:bCs/>
          <w:szCs w:val="21"/>
        </w:rPr>
        <w:t>9）23362836</w:t>
      </w:r>
      <w:r>
        <w:rPr>
          <w:rFonts w:ascii="黑体" w:hAnsi="黑体" w:eastAsia="黑体"/>
          <w:bCs/>
          <w:szCs w:val="21"/>
        </w:rPr>
        <w:t xml:space="preserve"> </w:t>
      </w:r>
      <w:r>
        <w:rPr>
          <w:rFonts w:hint="eastAsia" w:ascii="黑体" w:hAnsi="黑体" w:eastAsia="黑体"/>
          <w:bCs/>
          <w:szCs w:val="21"/>
        </w:rPr>
        <w:t>邮箱：</w:t>
      </w:r>
      <w:r>
        <w:t>youdedg@163.com</w:t>
      </w:r>
      <w:r>
        <w:rPr>
          <w:rFonts w:hint="eastAsia" w:ascii="黑体" w:hAnsi="黑体" w:eastAsia="黑体"/>
          <w:bCs/>
          <w:szCs w:val="21"/>
        </w:rPr>
        <w:t>。</w:t>
      </w:r>
    </w:p>
    <w:p>
      <w:pPr>
        <w:pStyle w:val="68"/>
        <w:numPr>
          <w:ilvl w:val="0"/>
          <w:numId w:val="2"/>
        </w:numPr>
        <w:tabs>
          <w:tab w:val="left" w:pos="567"/>
        </w:tabs>
        <w:spacing w:before="156" w:beforeLines="50"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对本次采购提出询问，请按以下方式联系。</w:t>
      </w:r>
    </w:p>
    <w:p>
      <w:pPr>
        <w:pStyle w:val="68"/>
        <w:numPr>
          <w:ilvl w:val="0"/>
          <w:numId w:val="7"/>
        </w:numPr>
        <w:tabs>
          <w:tab w:val="left" w:pos="567"/>
        </w:tabs>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采购人信息</w:t>
      </w:r>
    </w:p>
    <w:p>
      <w:pPr>
        <w:tabs>
          <w:tab w:val="left" w:pos="567"/>
        </w:tabs>
        <w:spacing w:line="360" w:lineRule="auto"/>
        <w:ind w:left="424" w:leftChars="202"/>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名 称：东莞市虎门中医院</w:t>
      </w:r>
    </w:p>
    <w:p>
      <w:pPr>
        <w:tabs>
          <w:tab w:val="left" w:pos="567"/>
        </w:tabs>
        <w:spacing w:line="360" w:lineRule="auto"/>
        <w:ind w:left="424" w:leftChars="202"/>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地址：</w:t>
      </w:r>
      <w:r>
        <w:rPr>
          <w:rFonts w:hint="eastAsia" w:ascii="黑体" w:hAnsi="黑体" w:eastAsia="黑体" w:cs="黑体"/>
          <w:bCs/>
          <w:szCs w:val="21"/>
        </w:rPr>
        <w:t>东莞市虎门镇捷南路375号</w:t>
      </w:r>
    </w:p>
    <w:p>
      <w:pPr>
        <w:tabs>
          <w:tab w:val="left" w:pos="567"/>
        </w:tabs>
        <w:spacing w:line="360" w:lineRule="auto"/>
        <w:ind w:left="424" w:leftChars="202"/>
        <w:rPr>
          <w:rFonts w:ascii="黑体" w:hAnsi="黑体" w:eastAsia="黑体"/>
          <w:b/>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联系方式：</w:t>
      </w:r>
      <w:r>
        <w:rPr>
          <w:rFonts w:hint="eastAsia" w:ascii="黑体" w:hAnsi="黑体" w:eastAsia="黑体" w:cs="黑体"/>
          <w:szCs w:val="21"/>
        </w:rPr>
        <w:t>（0769）38888338</w:t>
      </w:r>
    </w:p>
    <w:p>
      <w:pPr>
        <w:pStyle w:val="68"/>
        <w:numPr>
          <w:ilvl w:val="0"/>
          <w:numId w:val="7"/>
        </w:numPr>
        <w:tabs>
          <w:tab w:val="left" w:pos="567"/>
        </w:tabs>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采购代理机构信息</w:t>
      </w:r>
    </w:p>
    <w:p>
      <w:pPr>
        <w:tabs>
          <w:tab w:val="left" w:pos="567"/>
        </w:tabs>
        <w:spacing w:line="360" w:lineRule="auto"/>
        <w:ind w:left="424" w:leftChars="202"/>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 xml:space="preserve">名 </w:t>
      </w:r>
      <w:r>
        <w:rPr>
          <w:rFonts w:ascii="黑体" w:hAnsi="黑体" w:eastAsia="黑体"/>
          <w:bCs/>
          <w:color w:val="000000" w:themeColor="text1"/>
          <w:szCs w:val="21"/>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称：广东有德招标采购有限公司</w:t>
      </w:r>
    </w:p>
    <w:p>
      <w:pPr>
        <w:tabs>
          <w:tab w:val="left" w:pos="567"/>
        </w:tabs>
        <w:spacing w:line="360" w:lineRule="auto"/>
        <w:ind w:left="424" w:leftChars="202"/>
        <w:rPr>
          <w:rFonts w:ascii="黑体" w:hAnsi="黑体" w:eastAsia="黑体"/>
          <w:szCs w:val="21"/>
        </w:rPr>
      </w:pPr>
      <w:r>
        <w:rPr>
          <w:rFonts w:hint="eastAsia" w:ascii="黑体" w:hAnsi="黑体" w:eastAsia="黑体"/>
          <w:bCs/>
          <w:color w:val="000000" w:themeColor="text1"/>
          <w:szCs w:val="21"/>
          <w14:textFill>
            <w14:solidFill>
              <w14:schemeClr w14:val="tx1"/>
            </w14:solidFill>
          </w14:textFill>
        </w:rPr>
        <w:t>地　址：</w:t>
      </w:r>
      <w:r>
        <w:rPr>
          <w:rFonts w:hint="eastAsia" w:ascii="黑体" w:hAnsi="黑体" w:eastAsia="黑体"/>
          <w:szCs w:val="21"/>
        </w:rPr>
        <w:t>东莞市东城街道新源路海德琥珀台6栋1703室</w:t>
      </w:r>
    </w:p>
    <w:p>
      <w:pPr>
        <w:tabs>
          <w:tab w:val="left" w:pos="567"/>
        </w:tabs>
        <w:spacing w:line="360" w:lineRule="auto"/>
        <w:ind w:left="424" w:leftChars="202"/>
        <w:rPr>
          <w:rFonts w:ascii="黑体" w:hAnsi="黑体" w:eastAsia="黑体"/>
          <w:b/>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联系方式：（0769）23362836</w:t>
      </w:r>
    </w:p>
    <w:p>
      <w:pPr>
        <w:pStyle w:val="68"/>
        <w:numPr>
          <w:ilvl w:val="0"/>
          <w:numId w:val="7"/>
        </w:numPr>
        <w:tabs>
          <w:tab w:val="left" w:pos="567"/>
        </w:tabs>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项目联系方式</w:t>
      </w:r>
    </w:p>
    <w:p>
      <w:pPr>
        <w:tabs>
          <w:tab w:val="left" w:pos="567"/>
        </w:tabs>
        <w:spacing w:line="360" w:lineRule="auto"/>
        <w:ind w:left="283" w:leftChars="135" w:firstLine="142" w:firstLineChars="68"/>
        <w:rPr>
          <w:rFonts w:ascii="黑体" w:hAnsi="黑体" w:eastAsia="黑体"/>
          <w:bCs/>
          <w:szCs w:val="21"/>
        </w:rPr>
      </w:pPr>
      <w:r>
        <w:rPr>
          <w:rFonts w:hint="eastAsia" w:ascii="黑体" w:hAnsi="黑体" w:eastAsia="黑体"/>
          <w:bCs/>
          <w:szCs w:val="21"/>
        </w:rPr>
        <w:t>项目联系人：黄笑欣</w:t>
      </w:r>
    </w:p>
    <w:p>
      <w:pPr>
        <w:tabs>
          <w:tab w:val="left" w:pos="567"/>
        </w:tabs>
        <w:spacing w:line="360" w:lineRule="auto"/>
        <w:ind w:left="283" w:leftChars="135" w:firstLine="142" w:firstLineChars="68"/>
        <w:rPr>
          <w:rFonts w:ascii="黑体" w:hAnsi="黑体" w:eastAsia="黑体"/>
          <w:b/>
          <w:szCs w:val="21"/>
        </w:rPr>
      </w:pPr>
      <w:r>
        <w:rPr>
          <w:rFonts w:hint="eastAsia" w:ascii="黑体" w:hAnsi="黑体" w:eastAsia="黑体"/>
          <w:bCs/>
          <w:szCs w:val="21"/>
        </w:rPr>
        <w:t>电　话：（0769）23362836-8020</w:t>
      </w:r>
    </w:p>
    <w:p>
      <w:pPr>
        <w:tabs>
          <w:tab w:val="left" w:pos="567"/>
        </w:tabs>
        <w:spacing w:before="156" w:line="360" w:lineRule="auto"/>
        <w:rPr>
          <w:rFonts w:ascii="黑体" w:hAnsi="黑体" w:eastAsia="黑体"/>
          <w:b/>
          <w:color w:val="000000" w:themeColor="text1"/>
          <w:szCs w:val="21"/>
          <w14:textFill>
            <w14:solidFill>
              <w14:schemeClr w14:val="tx1"/>
            </w14:solidFill>
          </w14:textFill>
        </w:rPr>
      </w:pPr>
    </w:p>
    <w:p>
      <w:pPr>
        <w:tabs>
          <w:tab w:val="left" w:pos="567"/>
        </w:tabs>
        <w:spacing w:before="840" w:line="360" w:lineRule="auto"/>
        <w:jc w:val="right"/>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发布人：广东有德招标采购有限公司</w:t>
      </w:r>
    </w:p>
    <w:p>
      <w:pPr>
        <w:tabs>
          <w:tab w:val="left" w:pos="567"/>
        </w:tabs>
        <w:spacing w:before="156" w:line="360" w:lineRule="auto"/>
        <w:jc w:val="right"/>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发布时间：2025年</w:t>
      </w:r>
      <w:r>
        <w:rPr>
          <w:rFonts w:hint="eastAsia" w:ascii="黑体" w:hAnsi="黑体" w:eastAsia="黑体"/>
          <w:b/>
          <w:color w:val="000000" w:themeColor="text1"/>
          <w:szCs w:val="21"/>
          <w:lang w:val="en-US" w:eastAsia="zh-CN"/>
          <w14:textFill>
            <w14:solidFill>
              <w14:schemeClr w14:val="tx1"/>
            </w14:solidFill>
          </w14:textFill>
        </w:rPr>
        <w:t>02</w:t>
      </w:r>
      <w:r>
        <w:rPr>
          <w:rFonts w:hint="eastAsia" w:ascii="黑体" w:hAnsi="黑体" w:eastAsia="黑体"/>
          <w:b/>
          <w:color w:val="000000" w:themeColor="text1"/>
          <w:szCs w:val="21"/>
          <w14:textFill>
            <w14:solidFill>
              <w14:schemeClr w14:val="tx1"/>
            </w14:solidFill>
          </w14:textFill>
        </w:rPr>
        <w:t>月</w:t>
      </w:r>
      <w:r>
        <w:rPr>
          <w:rFonts w:hint="eastAsia" w:ascii="黑体" w:hAnsi="黑体" w:eastAsia="黑体"/>
          <w:b/>
          <w:color w:val="000000" w:themeColor="text1"/>
          <w:szCs w:val="21"/>
          <w:lang w:val="en-US" w:eastAsia="zh-CN"/>
          <w14:textFill>
            <w14:solidFill>
              <w14:schemeClr w14:val="tx1"/>
            </w14:solidFill>
          </w14:textFill>
        </w:rPr>
        <w:t>28</w:t>
      </w:r>
      <w:r>
        <w:rPr>
          <w:rFonts w:hint="eastAsia" w:ascii="黑体" w:hAnsi="黑体" w:eastAsia="黑体"/>
          <w:b/>
          <w:color w:val="000000" w:themeColor="text1"/>
          <w:szCs w:val="21"/>
          <w14:textFill>
            <w14:solidFill>
              <w14:schemeClr w14:val="tx1"/>
            </w14:solidFill>
          </w14:textFill>
        </w:rPr>
        <w:t>日</w:t>
      </w:r>
    </w:p>
    <w:p>
      <w:r>
        <w:br w:type="page"/>
      </w:r>
    </w:p>
    <w:p>
      <w:pPr>
        <w:pageBreakBefore/>
        <w:spacing w:before="340" w:after="330" w:line="360" w:lineRule="auto"/>
        <w:jc w:val="center"/>
        <w:outlineLvl w:val="0"/>
        <w:rPr>
          <w:rFonts w:ascii="黑体" w:hAnsi="黑体" w:eastAsia="黑体" w:cs="黑体"/>
          <w:b/>
          <w:bCs/>
          <w:color w:val="000000" w:themeColor="text1"/>
          <w:spacing w:val="20"/>
          <w:kern w:val="44"/>
          <w:sz w:val="32"/>
          <w:szCs w:val="32"/>
          <w14:textFill>
            <w14:solidFill>
              <w14:schemeClr w14:val="tx1"/>
            </w14:solidFill>
          </w14:textFill>
        </w:rPr>
      </w:pPr>
      <w:bookmarkStart w:id="10" w:name="_Toc27265"/>
      <w:bookmarkStart w:id="11" w:name="_Toc12036"/>
      <w:bookmarkStart w:id="12" w:name="_Toc90976500"/>
      <w:r>
        <w:rPr>
          <w:rFonts w:hint="eastAsia" w:ascii="黑体" w:hAnsi="黑体" w:eastAsia="黑体" w:cs="黑体"/>
          <w:b/>
          <w:bCs/>
          <w:color w:val="000000" w:themeColor="text1"/>
          <w:spacing w:val="20"/>
          <w:kern w:val="44"/>
          <w:sz w:val="32"/>
          <w:szCs w:val="32"/>
          <w14:textFill>
            <w14:solidFill>
              <w14:schemeClr w14:val="tx1"/>
            </w14:solidFill>
          </w14:textFill>
        </w:rPr>
        <w:t>第二部分 采购需求</w:t>
      </w:r>
      <w:bookmarkEnd w:id="10"/>
      <w:bookmarkEnd w:id="11"/>
      <w:bookmarkEnd w:id="12"/>
    </w:p>
    <w:bookmarkEnd w:id="3"/>
    <w:bookmarkEnd w:id="4"/>
    <w:p>
      <w:pPr>
        <w:snapToGrid w:val="0"/>
        <w:spacing w:line="360" w:lineRule="auto"/>
        <w:rPr>
          <w:rFonts w:ascii="黑体" w:hAnsi="黑体" w:eastAsia="黑体" w:cs="黑体"/>
          <w:b/>
          <w:bCs/>
          <w:szCs w:val="21"/>
        </w:rPr>
      </w:pPr>
      <w:bookmarkStart w:id="13" w:name="_Hlk90919605"/>
      <w:r>
        <w:rPr>
          <w:rFonts w:hint="eastAsia" w:ascii="黑体" w:hAnsi="黑体" w:eastAsia="黑体" w:cs="黑体"/>
          <w:b/>
          <w:bCs/>
          <w:szCs w:val="21"/>
        </w:rPr>
        <w:t>说明：</w:t>
      </w:r>
    </w:p>
    <w:p>
      <w:pPr>
        <w:pStyle w:val="68"/>
        <w:numPr>
          <w:ilvl w:val="3"/>
          <w:numId w:val="8"/>
        </w:numPr>
        <w:spacing w:line="360" w:lineRule="auto"/>
        <w:ind w:left="420" w:firstLineChars="0"/>
        <w:rPr>
          <w:rFonts w:ascii="黑体" w:hAnsi="黑体" w:eastAsia="黑体" w:cs="黑体"/>
          <w:b/>
          <w:bCs/>
        </w:rPr>
      </w:pPr>
      <w:r>
        <w:rPr>
          <w:rFonts w:hint="eastAsia" w:ascii="黑体" w:hAnsi="黑体" w:eastAsia="黑体" w:cs="黑体"/>
          <w:b/>
          <w:bCs/>
        </w:rPr>
        <w:t>采购需求书中标注“▲”号条款是为本项目采购需求</w:t>
      </w:r>
      <w:bookmarkStart w:id="14" w:name="_Hlk79761139"/>
      <w:r>
        <w:rPr>
          <w:rFonts w:hint="eastAsia" w:ascii="黑体" w:hAnsi="黑体" w:eastAsia="黑体" w:cs="黑体"/>
          <w:b/>
          <w:bCs/>
        </w:rPr>
        <w:t>重点</w:t>
      </w:r>
      <w:bookmarkEnd w:id="14"/>
      <w:r>
        <w:rPr>
          <w:rFonts w:hint="eastAsia" w:ascii="黑体" w:hAnsi="黑体" w:eastAsia="黑体" w:cs="黑体"/>
          <w:b/>
          <w:bCs/>
        </w:rPr>
        <w:t>技术参数，若未能响应，则在评审过程中根据评审内容作扣分处理；</w:t>
      </w:r>
    </w:p>
    <w:p>
      <w:pPr>
        <w:pStyle w:val="68"/>
        <w:numPr>
          <w:ilvl w:val="3"/>
          <w:numId w:val="8"/>
        </w:numPr>
        <w:spacing w:line="360" w:lineRule="auto"/>
        <w:ind w:left="420" w:firstLineChars="0"/>
        <w:rPr>
          <w:rFonts w:ascii="黑体" w:hAnsi="黑体" w:eastAsia="黑体" w:cs="黑体"/>
          <w:b/>
          <w:color w:val="000000" w:themeColor="text1"/>
          <w14:textFill>
            <w14:solidFill>
              <w14:schemeClr w14:val="tx1"/>
            </w14:solidFill>
          </w14:textFill>
        </w:rPr>
      </w:pPr>
      <w:r>
        <w:rPr>
          <w:rFonts w:hint="eastAsia" w:ascii="黑体" w:hAnsi="黑体" w:eastAsia="黑体" w:cs="黑体"/>
          <w:b/>
          <w:bCs/>
        </w:rPr>
        <w:t>报价（总价）中不得包含磋商文件要求以外的内容，否则，在评审时不予核减。若报价有缺漏项的，缺漏项部分的价格视为已包含在报价中，成交后不作任何调整。</w:t>
      </w:r>
    </w:p>
    <w:p>
      <w:pPr>
        <w:numPr>
          <w:ilvl w:val="0"/>
          <w:numId w:val="9"/>
        </w:numPr>
        <w:tabs>
          <w:tab w:val="left" w:pos="426"/>
        </w:tabs>
        <w:spacing w:before="312" w:beforeLines="100" w:line="360" w:lineRule="auto"/>
        <w:rPr>
          <w:rFonts w:ascii="黑体" w:hAnsi="黑体" w:eastAsia="黑体" w:cs="黑体"/>
          <w:b/>
          <w:color w:val="000000" w:themeColor="text1"/>
          <w14:textFill>
            <w14:solidFill>
              <w14:schemeClr w14:val="tx1"/>
            </w14:solidFill>
          </w14:textFill>
        </w:rPr>
      </w:pPr>
      <w:r>
        <w:rPr>
          <w:rFonts w:hint="eastAsia" w:ascii="黑体" w:hAnsi="黑体" w:eastAsia="黑体" w:cs="黑体"/>
          <w:b/>
          <w:color w:val="000000" w:themeColor="text1"/>
          <w14:textFill>
            <w14:solidFill>
              <w14:schemeClr w14:val="tx1"/>
            </w14:solidFill>
          </w14:textFill>
        </w:rPr>
        <w:t>项目概况</w:t>
      </w:r>
    </w:p>
    <w:p>
      <w:pPr>
        <w:spacing w:line="360" w:lineRule="auto"/>
        <w:ind w:firstLine="420" w:firstLineChars="200"/>
        <w:rPr>
          <w:rFonts w:ascii="黑体" w:hAnsi="黑体" w:eastAsia="黑体" w:cs="黑体"/>
          <w:color w:val="000000" w:themeColor="text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本次项目是关于</w:t>
      </w:r>
      <w:r>
        <w:rPr>
          <w:rFonts w:hint="eastAsia" w:ascii="黑体" w:hAnsi="黑体" w:eastAsia="黑体" w:cs="黑体"/>
          <w:szCs w:val="21"/>
        </w:rPr>
        <w:t>东莞市虎门中医院虎门镇老年人、儿童健康体检信息服务项目</w:t>
      </w:r>
      <w:r>
        <w:rPr>
          <w:rFonts w:hint="eastAsia" w:ascii="黑体" w:hAnsi="黑体" w:eastAsia="黑体" w:cs="黑体"/>
          <w:color w:val="000000" w:themeColor="text1"/>
          <w:szCs w:val="21"/>
          <w14:textFill>
            <w14:solidFill>
              <w14:schemeClr w14:val="tx1"/>
            </w14:solidFill>
          </w14:textFill>
        </w:rPr>
        <w:t>进行采购</w:t>
      </w:r>
      <w:r>
        <w:rPr>
          <w:rFonts w:hint="eastAsia" w:ascii="黑体" w:hAnsi="黑体" w:eastAsia="黑体" w:cs="黑体"/>
          <w:color w:val="000000" w:themeColor="text1"/>
          <w14:textFill>
            <w14:solidFill>
              <w14:schemeClr w14:val="tx1"/>
            </w14:solidFill>
          </w14:textFill>
        </w:rPr>
        <w:t>。</w:t>
      </w:r>
    </w:p>
    <w:p>
      <w:pPr>
        <w:numPr>
          <w:ilvl w:val="0"/>
          <w:numId w:val="9"/>
        </w:numPr>
        <w:tabs>
          <w:tab w:val="left" w:pos="426"/>
        </w:tabs>
        <w:spacing w:before="156" w:beforeLines="50" w:line="360" w:lineRule="auto"/>
        <w:rPr>
          <w:rFonts w:ascii="黑体" w:hAnsi="黑体" w:eastAsia="黑体" w:cs="黑体"/>
          <w:b/>
          <w:color w:val="000000" w:themeColor="text1"/>
          <w14:textFill>
            <w14:solidFill>
              <w14:schemeClr w14:val="tx1"/>
            </w14:solidFill>
          </w14:textFill>
        </w:rPr>
      </w:pPr>
      <w:r>
        <w:rPr>
          <w:rFonts w:hint="eastAsia" w:ascii="黑体" w:hAnsi="黑体" w:eastAsia="黑体" w:cs="黑体"/>
          <w:b/>
          <w:color w:val="000000" w:themeColor="text1"/>
          <w14:textFill>
            <w14:solidFill>
              <w14:schemeClr w14:val="tx1"/>
            </w14:solidFill>
          </w14:textFill>
        </w:rPr>
        <w:t>商务要求</w:t>
      </w:r>
    </w:p>
    <w:p>
      <w:pPr>
        <w:numPr>
          <w:ilvl w:val="0"/>
          <w:numId w:val="10"/>
        </w:numPr>
        <w:tabs>
          <w:tab w:val="left" w:pos="426"/>
        </w:tabs>
        <w:spacing w:line="360" w:lineRule="auto"/>
        <w:rPr>
          <w:rFonts w:ascii="黑体" w:hAnsi="黑体" w:eastAsia="黑体" w:cs="黑体"/>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服务期：</w:t>
      </w:r>
      <w:r>
        <w:rPr>
          <w:rFonts w:hint="eastAsia" w:ascii="黑体" w:hAnsi="黑体" w:eastAsia="黑体" w:cs="黑体"/>
          <w:szCs w:val="21"/>
        </w:rPr>
        <w:t>供货期为合同签订后的7个工作日内交付合同约定的全部硬件并完成安装、调试、验收；服务期为验收合格之日起</w:t>
      </w:r>
      <w:r>
        <w:rPr>
          <w:rFonts w:hint="eastAsia" w:ascii="黑体" w:hAnsi="黑体" w:eastAsia="黑体" w:cs="黑体"/>
          <w:szCs w:val="21"/>
          <w:lang w:val="en-US" w:eastAsia="zh-CN"/>
        </w:rPr>
        <w:t>12</w:t>
      </w:r>
      <w:r>
        <w:rPr>
          <w:rFonts w:hint="eastAsia" w:ascii="黑体" w:hAnsi="黑体" w:eastAsia="黑体" w:cs="黑体"/>
          <w:szCs w:val="21"/>
        </w:rPr>
        <w:t>个月。</w:t>
      </w:r>
    </w:p>
    <w:p>
      <w:pPr>
        <w:numPr>
          <w:ilvl w:val="0"/>
          <w:numId w:val="10"/>
        </w:numPr>
        <w:tabs>
          <w:tab w:val="left" w:pos="426"/>
        </w:tabs>
        <w:spacing w:line="360" w:lineRule="auto"/>
        <w:rPr>
          <w:rFonts w:ascii="黑体" w:hAnsi="黑体" w:eastAsia="黑体" w:cs="黑体"/>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服务地点：采购人指定地点</w:t>
      </w:r>
    </w:p>
    <w:p>
      <w:pPr>
        <w:numPr>
          <w:ilvl w:val="0"/>
          <w:numId w:val="10"/>
        </w:numPr>
        <w:tabs>
          <w:tab w:val="left" w:pos="426"/>
        </w:tabs>
        <w:spacing w:line="360" w:lineRule="auto"/>
        <w:rPr>
          <w:rFonts w:ascii="黑体" w:hAnsi="黑体" w:eastAsia="黑体" w:cs="黑体"/>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付款方式：</w:t>
      </w:r>
    </w:p>
    <w:p>
      <w:pPr>
        <w:numPr>
          <w:ilvl w:val="0"/>
          <w:numId w:val="11"/>
        </w:numPr>
        <w:tabs>
          <w:tab w:val="left" w:pos="420"/>
        </w:tabs>
        <w:spacing w:line="360" w:lineRule="auto"/>
        <w:rPr>
          <w:rFonts w:ascii="黑体" w:hAnsi="黑体" w:eastAsia="黑体" w:cs="黑体"/>
        </w:rPr>
      </w:pPr>
      <w:r>
        <w:rPr>
          <w:rFonts w:hint="eastAsia" w:ascii="黑体" w:hAnsi="黑体" w:eastAsia="黑体" w:cs="黑体"/>
        </w:rPr>
        <w:t>成交供应商将服务项目所涉的全部硬件向采购人交付且经过采购人验收合格后，由成交供应商根据服务项目金额开具发票并向采购人交付，采购人收到发票后</w:t>
      </w:r>
      <w:r>
        <w:rPr>
          <w:rFonts w:hint="eastAsia" w:ascii="黑体" w:hAnsi="黑体" w:eastAsia="黑体" w:cs="黑体"/>
          <w:lang w:val="en-US" w:eastAsia="zh-CN"/>
        </w:rPr>
        <w:t>15日内</w:t>
      </w:r>
      <w:r>
        <w:rPr>
          <w:rFonts w:hint="eastAsia" w:ascii="黑体" w:hAnsi="黑体" w:eastAsia="黑体" w:cs="黑体"/>
        </w:rPr>
        <w:t>向成交供应商支付全部费用。</w:t>
      </w:r>
    </w:p>
    <w:p>
      <w:pPr>
        <w:numPr>
          <w:ilvl w:val="0"/>
          <w:numId w:val="11"/>
        </w:numPr>
        <w:tabs>
          <w:tab w:val="left" w:pos="426"/>
        </w:tabs>
        <w:spacing w:line="360" w:lineRule="auto"/>
        <w:rPr>
          <w:rFonts w:ascii="黑体" w:hAnsi="黑体" w:eastAsia="黑体" w:cs="黑体"/>
        </w:rPr>
      </w:pPr>
      <w:r>
        <w:rPr>
          <w:rFonts w:hint="eastAsia" w:ascii="黑体" w:hAnsi="黑体" w:eastAsia="黑体" w:cs="黑体"/>
        </w:rPr>
        <w:t>成交供应商在采购人支付款项前须提供相应的发票。</w:t>
      </w:r>
    </w:p>
    <w:p>
      <w:pPr>
        <w:numPr>
          <w:ilvl w:val="0"/>
          <w:numId w:val="9"/>
        </w:numPr>
        <w:tabs>
          <w:tab w:val="left" w:pos="426"/>
        </w:tabs>
        <w:spacing w:before="156" w:beforeLines="50" w:line="360" w:lineRule="auto"/>
        <w:rPr>
          <w:rFonts w:ascii="黑体" w:hAnsi="黑体" w:eastAsia="黑体" w:cs="黑体"/>
          <w:b/>
          <w:color w:val="000000" w:themeColor="text1"/>
          <w14:textFill>
            <w14:solidFill>
              <w14:schemeClr w14:val="tx1"/>
            </w14:solidFill>
          </w14:textFill>
        </w:rPr>
      </w:pPr>
      <w:r>
        <w:rPr>
          <w:rFonts w:hint="eastAsia" w:ascii="黑体" w:hAnsi="黑体" w:eastAsia="黑体" w:cs="黑体"/>
          <w:b/>
          <w:color w:val="000000" w:themeColor="text1"/>
          <w14:textFill>
            <w14:solidFill>
              <w14:schemeClr w14:val="tx1"/>
            </w14:solidFill>
          </w14:textFill>
        </w:rPr>
        <w:t>技术要求</w:t>
      </w:r>
    </w:p>
    <w:p>
      <w:pPr>
        <w:numPr>
          <w:ilvl w:val="0"/>
          <w:numId w:val="12"/>
        </w:numPr>
        <w:tabs>
          <w:tab w:val="left" w:pos="426"/>
        </w:tabs>
        <w:spacing w:before="156" w:beforeLines="50" w:line="360" w:lineRule="auto"/>
        <w:rPr>
          <w:rFonts w:ascii="黑体" w:hAnsi="黑体" w:eastAsia="黑体" w:cs="黑体"/>
          <w:b/>
          <w:color w:val="000000" w:themeColor="text1"/>
          <w14:textFill>
            <w14:solidFill>
              <w14:schemeClr w14:val="tx1"/>
            </w14:solidFill>
          </w14:textFill>
        </w:rPr>
      </w:pPr>
      <w:r>
        <w:rPr>
          <w:rFonts w:hint="eastAsia" w:ascii="黑体" w:hAnsi="黑体" w:eastAsia="黑体" w:cs="黑体"/>
          <w:b/>
          <w:color w:val="000000" w:themeColor="text1"/>
          <w14:textFill>
            <w14:solidFill>
              <w14:schemeClr w14:val="tx1"/>
            </w14:solidFill>
          </w14:textFill>
        </w:rPr>
        <w:t>硬件、软件清单</w:t>
      </w:r>
    </w:p>
    <w:tbl>
      <w:tblPr>
        <w:tblStyle w:val="2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07"/>
        <w:gridCol w:w="5212"/>
        <w:gridCol w:w="1202"/>
        <w:gridCol w:w="16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2" w:hRule="atLeast"/>
          <w:jc w:val="center"/>
        </w:trPr>
        <w:tc>
          <w:tcPr>
            <w:tcW w:w="557" w:type="pc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黑体" w:hAnsi="黑体" w:eastAsia="黑体" w:cs="黑体"/>
                <w:b/>
                <w:bCs/>
              </w:rPr>
            </w:pPr>
            <w:r>
              <w:rPr>
                <w:rFonts w:hint="eastAsia" w:ascii="黑体" w:hAnsi="黑体" w:eastAsia="黑体" w:cs="黑体"/>
                <w:b/>
                <w:bCs/>
              </w:rPr>
              <w:t>序号</w:t>
            </w:r>
          </w:p>
        </w:tc>
        <w:tc>
          <w:tcPr>
            <w:tcW w:w="2880" w:type="pc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黑体" w:hAnsi="黑体" w:eastAsia="黑体" w:cs="黑体"/>
                <w:b/>
                <w:bCs/>
              </w:rPr>
            </w:pPr>
            <w:r>
              <w:rPr>
                <w:rFonts w:hint="eastAsia" w:ascii="黑体" w:hAnsi="黑体" w:eastAsia="黑体" w:cs="黑体"/>
                <w:b/>
                <w:bCs/>
              </w:rPr>
              <w:t>名称</w:t>
            </w:r>
          </w:p>
        </w:tc>
        <w:tc>
          <w:tcPr>
            <w:tcW w:w="664" w:type="pc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黑体" w:hAnsi="黑体" w:eastAsia="黑体" w:cs="黑体"/>
                <w:b/>
                <w:bCs/>
              </w:rPr>
            </w:pPr>
            <w:r>
              <w:rPr>
                <w:rFonts w:hint="eastAsia" w:ascii="黑体" w:hAnsi="黑体" w:eastAsia="黑体" w:cs="黑体"/>
                <w:b/>
                <w:bCs/>
              </w:rPr>
              <w:t>数量</w:t>
            </w:r>
          </w:p>
        </w:tc>
        <w:tc>
          <w:tcPr>
            <w:tcW w:w="897" w:type="pc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黑体" w:hAnsi="黑体" w:eastAsia="黑体" w:cs="黑体"/>
                <w:b/>
                <w:bCs/>
              </w:rPr>
            </w:pPr>
            <w:r>
              <w:rPr>
                <w:rFonts w:hint="eastAsia" w:ascii="黑体" w:hAnsi="黑体" w:eastAsia="黑体" w:cs="黑体"/>
                <w:b/>
                <w:bCs/>
              </w:rPr>
              <w:t>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2" w:hRule="atLeast"/>
          <w:jc w:val="center"/>
        </w:trPr>
        <w:tc>
          <w:tcPr>
            <w:tcW w:w="5000" w:type="pct"/>
            <w:gridSpan w:val="4"/>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黑体" w:hAnsi="黑体" w:eastAsia="黑体" w:cs="黑体"/>
                <w:b/>
                <w:bCs/>
              </w:rPr>
            </w:pPr>
            <w:r>
              <w:rPr>
                <w:rFonts w:hint="eastAsia" w:ascii="黑体" w:hAnsi="黑体" w:eastAsia="黑体" w:cs="黑体"/>
                <w:b/>
                <w:bCs/>
              </w:rPr>
              <w:t>公共卫生项目巡诊箱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7" w:type="pc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黑体" w:hAnsi="黑体" w:eastAsia="黑体" w:cs="黑体"/>
              </w:rPr>
            </w:pPr>
            <w:bookmarkStart w:id="15" w:name="_Hlk140585828"/>
            <w:r>
              <w:rPr>
                <w:rFonts w:hint="eastAsia" w:ascii="黑体" w:hAnsi="黑体" w:eastAsia="黑体" w:cs="黑体"/>
              </w:rPr>
              <w:t>1</w:t>
            </w:r>
          </w:p>
        </w:tc>
        <w:tc>
          <w:tcPr>
            <w:tcW w:w="2880" w:type="pct"/>
            <w:tcBorders>
              <w:top w:val="single" w:color="000000" w:sz="4" w:space="0"/>
              <w:left w:val="single" w:color="000000" w:sz="4" w:space="0"/>
              <w:bottom w:val="single" w:color="000000" w:sz="4" w:space="0"/>
              <w:right w:val="single" w:color="000000" w:sz="4" w:space="0"/>
            </w:tcBorders>
            <w:vAlign w:val="center"/>
          </w:tcPr>
          <w:p>
            <w:pPr>
              <w:spacing w:line="360" w:lineRule="auto"/>
              <w:jc w:val="left"/>
              <w:rPr>
                <w:rFonts w:ascii="黑体" w:hAnsi="黑体" w:eastAsia="黑体" w:cs="黑体"/>
              </w:rPr>
            </w:pPr>
            <w:r>
              <w:rPr>
                <w:rFonts w:hint="eastAsia" w:ascii="黑体" w:hAnsi="黑体" w:eastAsia="黑体" w:cs="黑体"/>
              </w:rPr>
              <w:t>健康检测平板</w:t>
            </w:r>
          </w:p>
        </w:tc>
        <w:tc>
          <w:tcPr>
            <w:tcW w:w="664" w:type="pct"/>
            <w:tcBorders>
              <w:left w:val="single" w:color="000000" w:sz="4" w:space="0"/>
              <w:bottom w:val="single" w:color="000000" w:sz="4" w:space="0"/>
              <w:right w:val="single" w:color="000000" w:sz="4" w:space="0"/>
            </w:tcBorders>
          </w:tcPr>
          <w:p>
            <w:pPr>
              <w:spacing w:line="360" w:lineRule="auto"/>
              <w:jc w:val="center"/>
              <w:rPr>
                <w:rFonts w:ascii="黑体" w:hAnsi="黑体" w:eastAsia="黑体" w:cs="黑体"/>
              </w:rPr>
            </w:pPr>
            <w:r>
              <w:rPr>
                <w:rFonts w:hint="eastAsia" w:ascii="黑体" w:hAnsi="黑体" w:eastAsia="黑体" w:cs="黑体"/>
              </w:rPr>
              <w:t>16</w:t>
            </w:r>
          </w:p>
        </w:tc>
        <w:tc>
          <w:tcPr>
            <w:tcW w:w="897" w:type="pct"/>
            <w:tcBorders>
              <w:top w:val="single" w:color="000000" w:sz="4" w:space="0"/>
              <w:left w:val="single" w:color="000000" w:sz="4" w:space="0"/>
              <w:bottom w:val="single" w:color="000000" w:sz="4" w:space="0"/>
              <w:right w:val="single" w:color="000000" w:sz="4" w:space="0"/>
            </w:tcBorders>
          </w:tcPr>
          <w:p>
            <w:pPr>
              <w:spacing w:line="360" w:lineRule="auto"/>
              <w:jc w:val="center"/>
              <w:rPr>
                <w:rFonts w:ascii="黑体" w:hAnsi="黑体" w:eastAsia="黑体" w:cs="黑体"/>
              </w:rPr>
            </w:pPr>
            <w:r>
              <w:rPr>
                <w:rFonts w:hint="eastAsia" w:ascii="黑体" w:hAnsi="黑体" w:eastAsia="黑体" w:cs="黑体"/>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57" w:type="pc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黑体" w:hAnsi="黑体" w:eastAsia="黑体" w:cs="黑体"/>
              </w:rPr>
            </w:pPr>
            <w:r>
              <w:rPr>
                <w:rFonts w:hint="eastAsia" w:ascii="黑体" w:hAnsi="黑体" w:eastAsia="黑体" w:cs="黑体"/>
              </w:rPr>
              <w:t>2</w:t>
            </w:r>
          </w:p>
        </w:tc>
        <w:tc>
          <w:tcPr>
            <w:tcW w:w="2880" w:type="pct"/>
            <w:tcBorders>
              <w:top w:val="single" w:color="000000" w:sz="4" w:space="0"/>
              <w:left w:val="single" w:color="000000" w:sz="4" w:space="0"/>
              <w:bottom w:val="single" w:color="000000" w:sz="4" w:space="0"/>
              <w:right w:val="single" w:color="000000" w:sz="4" w:space="0"/>
            </w:tcBorders>
            <w:vAlign w:val="center"/>
          </w:tcPr>
          <w:p>
            <w:pPr>
              <w:spacing w:line="360" w:lineRule="auto"/>
              <w:jc w:val="left"/>
              <w:rPr>
                <w:rFonts w:ascii="黑体" w:hAnsi="黑体" w:eastAsia="黑体" w:cs="黑体"/>
              </w:rPr>
            </w:pPr>
            <w:r>
              <w:rPr>
                <w:rFonts w:hint="eastAsia" w:ascii="黑体" w:hAnsi="黑体" w:eastAsia="黑体" w:cs="黑体"/>
              </w:rPr>
              <w:t>电子APP软件</w:t>
            </w:r>
          </w:p>
        </w:tc>
        <w:tc>
          <w:tcPr>
            <w:tcW w:w="664" w:type="pct"/>
            <w:tcBorders>
              <w:top w:val="single" w:color="000000" w:sz="4" w:space="0"/>
              <w:left w:val="single" w:color="000000" w:sz="4" w:space="0"/>
              <w:bottom w:val="single" w:color="000000" w:sz="4" w:space="0"/>
              <w:right w:val="single" w:color="000000" w:sz="4" w:space="0"/>
            </w:tcBorders>
          </w:tcPr>
          <w:p>
            <w:pPr>
              <w:spacing w:line="360" w:lineRule="auto"/>
              <w:jc w:val="center"/>
              <w:rPr>
                <w:rFonts w:ascii="黑体" w:hAnsi="黑体" w:eastAsia="黑体" w:cs="黑体"/>
              </w:rPr>
            </w:pPr>
            <w:r>
              <w:rPr>
                <w:rFonts w:hint="eastAsia" w:ascii="黑体" w:hAnsi="黑体" w:eastAsia="黑体" w:cs="黑体"/>
              </w:rPr>
              <w:t>16</w:t>
            </w:r>
          </w:p>
        </w:tc>
        <w:tc>
          <w:tcPr>
            <w:tcW w:w="897" w:type="pct"/>
            <w:tcBorders>
              <w:top w:val="single" w:color="000000" w:sz="4" w:space="0"/>
              <w:left w:val="single" w:color="000000" w:sz="4" w:space="0"/>
              <w:bottom w:val="single" w:color="000000" w:sz="4" w:space="0"/>
              <w:right w:val="single" w:color="000000" w:sz="4" w:space="0"/>
            </w:tcBorders>
          </w:tcPr>
          <w:p>
            <w:pPr>
              <w:spacing w:line="360" w:lineRule="auto"/>
              <w:jc w:val="center"/>
              <w:rPr>
                <w:rFonts w:ascii="黑体" w:hAnsi="黑体" w:eastAsia="黑体" w:cs="黑体"/>
              </w:rPr>
            </w:pPr>
            <w:r>
              <w:rPr>
                <w:rFonts w:hint="eastAsia" w:ascii="黑体" w:hAnsi="黑体" w:eastAsia="黑体" w:cs="黑体"/>
              </w:rPr>
              <w:t>套</w:t>
            </w:r>
          </w:p>
        </w:tc>
      </w:tr>
      <w:bookmarkEnd w:id="15"/>
    </w:tbl>
    <w:p>
      <w:pPr>
        <w:numPr>
          <w:ilvl w:val="0"/>
          <w:numId w:val="12"/>
        </w:numPr>
        <w:tabs>
          <w:tab w:val="left" w:pos="426"/>
        </w:tabs>
        <w:spacing w:before="156" w:beforeLines="50" w:line="360" w:lineRule="auto"/>
        <w:rPr>
          <w:rFonts w:ascii="黑体" w:hAnsi="黑体" w:eastAsia="黑体" w:cs="黑体"/>
          <w:b/>
          <w:color w:val="000000" w:themeColor="text1"/>
          <w14:textFill>
            <w14:solidFill>
              <w14:schemeClr w14:val="tx1"/>
            </w14:solidFill>
          </w14:textFill>
        </w:rPr>
      </w:pPr>
      <w:r>
        <w:rPr>
          <w:rFonts w:hint="eastAsia" w:ascii="黑体" w:hAnsi="黑体" w:eastAsia="黑体" w:cs="黑体"/>
          <w:b/>
          <w:color w:val="000000" w:themeColor="text1"/>
          <w14:textFill>
            <w14:solidFill>
              <w14:schemeClr w14:val="tx1"/>
            </w14:solidFill>
          </w14:textFill>
        </w:rPr>
        <w:t>技术参数要求</w:t>
      </w:r>
    </w:p>
    <w:p>
      <w:pPr>
        <w:numPr>
          <w:ilvl w:val="0"/>
          <w:numId w:val="13"/>
        </w:numPr>
        <w:tabs>
          <w:tab w:val="left" w:pos="426"/>
        </w:tabs>
        <w:spacing w:line="360" w:lineRule="auto"/>
        <w:rPr>
          <w:rFonts w:ascii="黑体" w:hAnsi="黑体" w:eastAsia="黑体" w:cs="黑体"/>
          <w:bCs/>
          <w:color w:val="000000" w:themeColor="text1"/>
          <w14:textFill>
            <w14:solidFill>
              <w14:schemeClr w14:val="tx1"/>
            </w14:solidFill>
          </w14:textFill>
        </w:rPr>
      </w:pPr>
      <w:r>
        <w:rPr>
          <w:rFonts w:hint="eastAsia" w:ascii="黑体" w:hAnsi="黑体" w:eastAsia="黑体" w:cs="黑体"/>
          <w:b/>
          <w:szCs w:val="21"/>
        </w:rPr>
        <w:t>▲所有硬件设备应采用无线传输技术。</w:t>
      </w:r>
    </w:p>
    <w:p>
      <w:pPr>
        <w:numPr>
          <w:ilvl w:val="0"/>
          <w:numId w:val="13"/>
        </w:numPr>
        <w:tabs>
          <w:tab w:val="left" w:pos="426"/>
        </w:tabs>
        <w:spacing w:line="360" w:lineRule="auto"/>
        <w:rPr>
          <w:rFonts w:ascii="黑体" w:hAnsi="黑体" w:eastAsia="黑体" w:cs="黑体"/>
          <w:b/>
          <w:bCs/>
        </w:rPr>
      </w:pPr>
      <w:r>
        <w:rPr>
          <w:rFonts w:hint="eastAsia" w:ascii="黑体" w:hAnsi="黑体" w:eastAsia="黑体" w:cs="黑体"/>
          <w:b/>
          <w:szCs w:val="21"/>
        </w:rPr>
        <w:t>健康检测平板：</w:t>
      </w:r>
    </w:p>
    <w:p>
      <w:pPr>
        <w:pStyle w:val="68"/>
        <w:numPr>
          <w:ilvl w:val="0"/>
          <w:numId w:val="14"/>
        </w:numPr>
        <w:spacing w:line="360" w:lineRule="auto"/>
        <w:ind w:hanging="562" w:firstLineChars="0"/>
        <w:rPr>
          <w:rFonts w:ascii="黑体" w:hAnsi="黑体" w:eastAsia="黑体" w:cs="黑体"/>
        </w:rPr>
      </w:pPr>
      <w:r>
        <w:rPr>
          <w:rFonts w:hint="eastAsia" w:ascii="黑体" w:hAnsi="黑体" w:eastAsia="黑体" w:cs="黑体"/>
          <w:szCs w:val="21"/>
        </w:rPr>
        <w:t>用途：健康信息采集终端，内置社区应用，用于社区家庭医生签约服务及公卫服务。</w:t>
      </w:r>
    </w:p>
    <w:p>
      <w:pPr>
        <w:pStyle w:val="68"/>
        <w:numPr>
          <w:ilvl w:val="0"/>
          <w:numId w:val="14"/>
        </w:numPr>
        <w:spacing w:line="360" w:lineRule="auto"/>
        <w:ind w:hanging="562" w:firstLineChars="0"/>
        <w:rPr>
          <w:rFonts w:ascii="黑体" w:hAnsi="黑体" w:eastAsia="黑体" w:cs="黑体"/>
          <w:b/>
          <w:bCs/>
        </w:rPr>
      </w:pPr>
      <w:r>
        <w:rPr>
          <w:rFonts w:hint="eastAsia" w:ascii="黑体" w:hAnsi="黑体" w:eastAsia="黑体" w:cs="黑体"/>
          <w:b/>
          <w:szCs w:val="21"/>
        </w:rPr>
        <w:t>▲技术需求：</w:t>
      </w:r>
    </w:p>
    <w:p>
      <w:pPr>
        <w:pStyle w:val="68"/>
        <w:numPr>
          <w:ilvl w:val="0"/>
          <w:numId w:val="15"/>
        </w:numPr>
        <w:spacing w:line="360" w:lineRule="auto"/>
        <w:ind w:left="420" w:firstLineChars="0"/>
        <w:rPr>
          <w:rFonts w:ascii="黑体" w:hAnsi="黑体" w:eastAsia="黑体" w:cs="黑体"/>
          <w:b/>
          <w:bCs/>
        </w:rPr>
      </w:pPr>
      <w:r>
        <w:rPr>
          <w:rFonts w:hint="eastAsia" w:ascii="黑体" w:hAnsi="黑体" w:eastAsia="黑体" w:cs="黑体"/>
          <w:b/>
          <w:bCs/>
        </w:rPr>
        <w:t>采用不小于10.1寸OGS高性能显示屏技术，配备IPS高清全贴合硬屏技术，不低于1920×1200像素分辨率，多点触控；</w:t>
      </w:r>
    </w:p>
    <w:p>
      <w:pPr>
        <w:pStyle w:val="68"/>
        <w:numPr>
          <w:ilvl w:val="0"/>
          <w:numId w:val="15"/>
        </w:numPr>
        <w:spacing w:line="360" w:lineRule="auto"/>
        <w:ind w:left="420" w:firstLineChars="0"/>
        <w:rPr>
          <w:rFonts w:ascii="黑体" w:hAnsi="黑体" w:eastAsia="黑体" w:cs="黑体"/>
          <w:b/>
          <w:bCs/>
        </w:rPr>
      </w:pPr>
      <w:r>
        <w:rPr>
          <w:rFonts w:hint="eastAsia" w:ascii="黑体" w:hAnsi="黑体" w:eastAsia="黑体" w:cs="黑体"/>
          <w:b/>
          <w:bCs/>
        </w:rPr>
        <w:t>双卡双待卡，支持3G/4G通信通信与数据通信；</w:t>
      </w:r>
    </w:p>
    <w:p>
      <w:pPr>
        <w:pStyle w:val="68"/>
        <w:numPr>
          <w:ilvl w:val="0"/>
          <w:numId w:val="15"/>
        </w:numPr>
        <w:spacing w:line="360" w:lineRule="auto"/>
        <w:ind w:left="420" w:firstLineChars="0"/>
        <w:rPr>
          <w:rFonts w:ascii="黑体" w:hAnsi="黑体" w:eastAsia="黑体" w:cs="黑体"/>
          <w:b/>
          <w:bCs/>
        </w:rPr>
      </w:pPr>
      <w:r>
        <w:rPr>
          <w:rFonts w:hint="eastAsia" w:ascii="黑体" w:hAnsi="黑体" w:eastAsia="黑体" w:cs="黑体"/>
          <w:b/>
          <w:bCs/>
        </w:rPr>
        <w:t>金属外壳，内置大容量锂电池，续航时间长；</w:t>
      </w:r>
    </w:p>
    <w:p>
      <w:pPr>
        <w:pStyle w:val="68"/>
        <w:numPr>
          <w:ilvl w:val="0"/>
          <w:numId w:val="15"/>
        </w:numPr>
        <w:spacing w:line="360" w:lineRule="auto"/>
        <w:ind w:left="420" w:firstLineChars="0"/>
        <w:rPr>
          <w:rFonts w:ascii="黑体" w:hAnsi="黑体" w:eastAsia="黑体" w:cs="黑体"/>
          <w:b/>
          <w:bCs/>
        </w:rPr>
      </w:pPr>
      <w:r>
        <w:rPr>
          <w:rFonts w:hint="eastAsia" w:ascii="黑体" w:hAnsi="黑体" w:eastAsia="黑体" w:cs="黑体"/>
          <w:b/>
          <w:bCs/>
        </w:rPr>
        <w:t>支持前置后置摄像头；</w:t>
      </w:r>
    </w:p>
    <w:p>
      <w:pPr>
        <w:pStyle w:val="68"/>
        <w:numPr>
          <w:ilvl w:val="0"/>
          <w:numId w:val="15"/>
        </w:numPr>
        <w:spacing w:line="360" w:lineRule="auto"/>
        <w:ind w:left="420" w:firstLineChars="0"/>
        <w:rPr>
          <w:rFonts w:ascii="黑体" w:hAnsi="黑体" w:eastAsia="黑体" w:cs="黑体"/>
          <w:b/>
          <w:bCs/>
        </w:rPr>
      </w:pPr>
      <w:r>
        <w:rPr>
          <w:rFonts w:hint="eastAsia" w:ascii="黑体" w:hAnsi="黑体" w:eastAsia="黑体" w:cs="黑体"/>
          <w:b/>
          <w:bCs/>
        </w:rPr>
        <w:t>至少配备8核高速处理器</w:t>
      </w:r>
      <w:r>
        <w:rPr>
          <w:rFonts w:hint="eastAsia" w:ascii="黑体" w:hAnsi="黑体" w:eastAsia="黑体" w:cs="黑体"/>
          <w:b/>
          <w:bCs/>
          <w:highlight w:val="none"/>
        </w:rPr>
        <w:t>，Android 7.</w:t>
      </w:r>
      <w:r>
        <w:rPr>
          <w:rFonts w:hint="eastAsia" w:ascii="黑体" w:hAnsi="黑体" w:eastAsia="黑体" w:cs="黑体"/>
          <w:b/>
          <w:bCs/>
        </w:rPr>
        <w:t>0系统，UI界面及触控功能，采用ART运行模式，提高4倍速度，运行更高效；</w:t>
      </w:r>
    </w:p>
    <w:p>
      <w:pPr>
        <w:pStyle w:val="68"/>
        <w:numPr>
          <w:ilvl w:val="0"/>
          <w:numId w:val="15"/>
        </w:numPr>
        <w:spacing w:line="360" w:lineRule="auto"/>
        <w:ind w:left="420" w:firstLineChars="0"/>
        <w:rPr>
          <w:rFonts w:ascii="黑体" w:hAnsi="黑体" w:eastAsia="黑体" w:cs="黑体"/>
          <w:b/>
          <w:bCs/>
        </w:rPr>
      </w:pPr>
      <w:r>
        <w:rPr>
          <w:rFonts w:hint="eastAsia" w:ascii="黑体" w:hAnsi="黑体" w:eastAsia="黑体" w:cs="黑体"/>
          <w:b/>
          <w:bCs/>
        </w:rPr>
        <w:t>机身尺寸（约）：259.1±5mm×156.4±5mm×8.5±1mm。</w:t>
      </w:r>
    </w:p>
    <w:p>
      <w:pPr>
        <w:numPr>
          <w:ilvl w:val="0"/>
          <w:numId w:val="12"/>
        </w:numPr>
        <w:tabs>
          <w:tab w:val="left" w:pos="426"/>
        </w:tabs>
        <w:spacing w:before="156" w:beforeLines="50" w:line="360" w:lineRule="auto"/>
        <w:rPr>
          <w:rFonts w:ascii="黑体" w:hAnsi="黑体" w:eastAsia="黑体" w:cs="黑体"/>
          <w:b/>
          <w:color w:val="000000" w:themeColor="text1"/>
          <w14:textFill>
            <w14:solidFill>
              <w14:schemeClr w14:val="tx1"/>
            </w14:solidFill>
          </w14:textFill>
        </w:rPr>
      </w:pPr>
      <w:r>
        <w:rPr>
          <w:rFonts w:hint="eastAsia" w:ascii="黑体" w:hAnsi="黑体" w:eastAsia="黑体" w:cs="黑体"/>
          <w:b/>
          <w:color w:val="000000" w:themeColor="text1"/>
          <w14:textFill>
            <w14:solidFill>
              <w14:schemeClr w14:val="tx1"/>
            </w14:solidFill>
          </w14:textFill>
        </w:rPr>
        <w:t>电子APP软件（软件部分）</w:t>
      </w:r>
    </w:p>
    <w:p>
      <w:pPr>
        <w:numPr>
          <w:ilvl w:val="0"/>
          <w:numId w:val="16"/>
        </w:numPr>
        <w:tabs>
          <w:tab w:val="left" w:pos="426"/>
        </w:tabs>
        <w:spacing w:line="360" w:lineRule="auto"/>
        <w:rPr>
          <w:rFonts w:ascii="黑体" w:hAnsi="黑体" w:eastAsia="黑体" w:cs="黑体"/>
          <w:bCs/>
          <w:color w:val="000000" w:themeColor="text1"/>
          <w14:textFill>
            <w14:solidFill>
              <w14:schemeClr w14:val="tx1"/>
            </w14:solidFill>
          </w14:textFill>
        </w:rPr>
      </w:pPr>
      <w:r>
        <w:rPr>
          <w:rFonts w:hint="eastAsia" w:ascii="黑体" w:hAnsi="黑体" w:eastAsia="黑体" w:cs="黑体"/>
          <w:bCs/>
          <w:color w:val="000000" w:themeColor="text1"/>
          <w14:textFill>
            <w14:solidFill>
              <w14:schemeClr w14:val="tx1"/>
            </w14:solidFill>
          </w14:textFill>
        </w:rPr>
        <w:t>用途：</w:t>
      </w:r>
      <w:r>
        <w:rPr>
          <w:rFonts w:hint="eastAsia" w:ascii="黑体" w:hAnsi="黑体" w:eastAsia="黑体" w:cs="黑体"/>
          <w:szCs w:val="21"/>
        </w:rPr>
        <w:t>可以处理国家规定的基本公共卫生服务、医患沟通交流、工作统计、健康档案管理。提高社区卫生服务机构工作的积极性和工作效率，为开展基层公共卫生、基本医疗、家庭医生服务提供了有力的支撑。同时可通过智能医疗检测设备和身份证读卡器，提供居民健康数据，帮助居民时刻关注其健康状况，也为社区医生提供远程健康监控、居民远程健康管理。通过读卡器读取身份信息，方便快捷建档和实施医疗服务。</w:t>
      </w:r>
    </w:p>
    <w:p>
      <w:pPr>
        <w:numPr>
          <w:ilvl w:val="0"/>
          <w:numId w:val="16"/>
        </w:numPr>
        <w:tabs>
          <w:tab w:val="left" w:pos="426"/>
        </w:tabs>
        <w:spacing w:line="360" w:lineRule="auto"/>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功能：</w:t>
      </w:r>
    </w:p>
    <w:p>
      <w:pPr>
        <w:pStyle w:val="68"/>
        <w:numPr>
          <w:ilvl w:val="0"/>
          <w:numId w:val="17"/>
        </w:numPr>
        <w:spacing w:line="360" w:lineRule="auto"/>
        <w:ind w:hanging="562" w:firstLineChars="0"/>
        <w:rPr>
          <w:rFonts w:ascii="黑体" w:hAnsi="黑体" w:eastAsia="黑体" w:cs="黑体"/>
          <w:szCs w:val="21"/>
        </w:rPr>
      </w:pPr>
      <w:r>
        <w:rPr>
          <w:rFonts w:hint="eastAsia" w:ascii="黑体" w:hAnsi="黑体" w:eastAsia="黑体" w:cs="黑体"/>
          <w:szCs w:val="21"/>
        </w:rPr>
        <w:t>居民健康档案管理：显示居民健康档案份数、档案检索。</w:t>
      </w:r>
    </w:p>
    <w:p>
      <w:pPr>
        <w:pStyle w:val="68"/>
        <w:numPr>
          <w:ilvl w:val="0"/>
          <w:numId w:val="17"/>
        </w:numPr>
        <w:spacing w:line="360" w:lineRule="auto"/>
        <w:ind w:hanging="562" w:firstLineChars="0"/>
        <w:rPr>
          <w:rFonts w:ascii="黑体" w:hAnsi="黑体" w:eastAsia="黑体" w:cs="黑体"/>
          <w:szCs w:val="21"/>
        </w:rPr>
      </w:pPr>
      <w:r>
        <w:rPr>
          <w:rFonts w:hint="eastAsia" w:ascii="黑体" w:hAnsi="黑体" w:eastAsia="黑体" w:cs="黑体"/>
          <w:szCs w:val="21"/>
        </w:rPr>
        <w:t>家庭健康档案管理：显示健康档案份数和签约数量、档案检索。</w:t>
      </w:r>
    </w:p>
    <w:p>
      <w:pPr>
        <w:pStyle w:val="68"/>
        <w:numPr>
          <w:ilvl w:val="0"/>
          <w:numId w:val="17"/>
        </w:numPr>
        <w:spacing w:line="360" w:lineRule="auto"/>
        <w:ind w:hanging="562" w:firstLineChars="0"/>
        <w:rPr>
          <w:rFonts w:ascii="黑体" w:hAnsi="黑体" w:eastAsia="黑体" w:cs="黑体"/>
          <w:szCs w:val="21"/>
        </w:rPr>
      </w:pPr>
      <w:r>
        <w:rPr>
          <w:rFonts w:hint="eastAsia" w:ascii="黑体" w:hAnsi="黑体" w:eastAsia="黑体" w:cs="黑体"/>
          <w:szCs w:val="21"/>
        </w:rPr>
        <w:t>签约家庭进度和今日任务：医生今日需要处理的任务和未处理的比例。</w:t>
      </w:r>
    </w:p>
    <w:p>
      <w:pPr>
        <w:pStyle w:val="68"/>
        <w:numPr>
          <w:ilvl w:val="0"/>
          <w:numId w:val="17"/>
        </w:numPr>
        <w:spacing w:line="360" w:lineRule="auto"/>
        <w:ind w:hanging="562" w:firstLineChars="0"/>
        <w:rPr>
          <w:rFonts w:ascii="黑体" w:hAnsi="黑体" w:eastAsia="黑体" w:cs="黑体"/>
          <w:szCs w:val="21"/>
        </w:rPr>
      </w:pPr>
      <w:r>
        <w:rPr>
          <w:rFonts w:hint="eastAsia" w:ascii="黑体" w:hAnsi="黑体" w:eastAsia="黑体" w:cs="黑体"/>
          <w:szCs w:val="21"/>
        </w:rPr>
        <w:t>基本公共卫生服务：高血压管理、糖尿病管理、精神病管理、肺结核管理、孕产妇管理、老年人管理。</w:t>
      </w:r>
    </w:p>
    <w:p>
      <w:pPr>
        <w:pStyle w:val="68"/>
        <w:numPr>
          <w:ilvl w:val="0"/>
          <w:numId w:val="17"/>
        </w:numPr>
        <w:spacing w:line="360" w:lineRule="auto"/>
        <w:ind w:hanging="562"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刷卡功能：通过蓝牙读卡器，解析身份证信息，获取用户在系统中的健康档案。手动输入身份证号获取系统居民健康档案功能。</w:t>
      </w:r>
    </w:p>
    <w:p>
      <w:pPr>
        <w:pStyle w:val="68"/>
        <w:numPr>
          <w:ilvl w:val="0"/>
          <w:numId w:val="17"/>
        </w:numPr>
        <w:spacing w:line="360" w:lineRule="auto"/>
        <w:ind w:hanging="562"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提醒功能（至少包括）：</w:t>
      </w:r>
    </w:p>
    <w:p>
      <w:pPr>
        <w:pStyle w:val="68"/>
        <w:numPr>
          <w:ilvl w:val="0"/>
          <w:numId w:val="18"/>
        </w:numPr>
        <w:spacing w:line="360" w:lineRule="auto"/>
        <w:ind w:left="420" w:firstLineChars="0"/>
        <w:rPr>
          <w:rFonts w:ascii="黑体" w:hAnsi="黑体" w:eastAsia="黑体" w:cs="黑体"/>
          <w:szCs w:val="21"/>
        </w:rPr>
      </w:pPr>
      <w:r>
        <w:rPr>
          <w:rFonts w:hint="eastAsia" w:ascii="黑体" w:hAnsi="黑体" w:eastAsia="黑体" w:cs="黑体"/>
          <w:szCs w:val="21"/>
        </w:rPr>
        <w:t>今日工作提醒列表；</w:t>
      </w:r>
    </w:p>
    <w:p>
      <w:pPr>
        <w:pStyle w:val="68"/>
        <w:numPr>
          <w:ilvl w:val="0"/>
          <w:numId w:val="18"/>
        </w:numPr>
        <w:spacing w:line="360" w:lineRule="auto"/>
        <w:ind w:left="420" w:firstLineChars="0"/>
        <w:rPr>
          <w:rFonts w:ascii="黑体" w:hAnsi="黑体" w:eastAsia="黑体" w:cs="黑体"/>
          <w:szCs w:val="21"/>
        </w:rPr>
      </w:pPr>
      <w:r>
        <w:rPr>
          <w:rFonts w:hint="eastAsia" w:ascii="黑体" w:hAnsi="黑体" w:eastAsia="黑体" w:cs="黑体"/>
          <w:szCs w:val="21"/>
        </w:rPr>
        <w:t>明日工作提醒列表；</w:t>
      </w:r>
    </w:p>
    <w:p>
      <w:pPr>
        <w:pStyle w:val="68"/>
        <w:numPr>
          <w:ilvl w:val="0"/>
          <w:numId w:val="18"/>
        </w:numPr>
        <w:spacing w:line="360" w:lineRule="auto"/>
        <w:ind w:left="420" w:firstLineChars="0"/>
        <w:rPr>
          <w:rFonts w:ascii="黑体" w:hAnsi="黑体" w:eastAsia="黑体" w:cs="黑体"/>
          <w:szCs w:val="21"/>
        </w:rPr>
      </w:pPr>
      <w:r>
        <w:rPr>
          <w:rFonts w:hint="eastAsia" w:ascii="黑体" w:hAnsi="黑体" w:eastAsia="黑体" w:cs="黑体"/>
          <w:szCs w:val="21"/>
        </w:rPr>
        <w:t>通知提醒列表；</w:t>
      </w:r>
    </w:p>
    <w:p>
      <w:pPr>
        <w:pStyle w:val="68"/>
        <w:numPr>
          <w:ilvl w:val="0"/>
          <w:numId w:val="18"/>
        </w:numPr>
        <w:spacing w:line="360" w:lineRule="auto"/>
        <w:ind w:left="420" w:firstLineChars="0"/>
        <w:rPr>
          <w:rFonts w:ascii="黑体" w:hAnsi="黑体" w:eastAsia="黑体" w:cs="黑体"/>
          <w:szCs w:val="21"/>
        </w:rPr>
      </w:pPr>
      <w:r>
        <w:rPr>
          <w:rFonts w:hint="eastAsia" w:ascii="黑体" w:hAnsi="黑体" w:eastAsia="黑体" w:cs="黑体"/>
          <w:szCs w:val="21"/>
        </w:rPr>
        <w:t>随访提醒列表；</w:t>
      </w:r>
    </w:p>
    <w:p>
      <w:pPr>
        <w:pStyle w:val="68"/>
        <w:numPr>
          <w:ilvl w:val="0"/>
          <w:numId w:val="18"/>
        </w:numPr>
        <w:spacing w:line="360" w:lineRule="auto"/>
        <w:ind w:left="420"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预约提醒列表。</w:t>
      </w:r>
    </w:p>
    <w:p>
      <w:pPr>
        <w:pStyle w:val="68"/>
        <w:numPr>
          <w:ilvl w:val="0"/>
          <w:numId w:val="17"/>
        </w:numPr>
        <w:spacing w:line="360" w:lineRule="auto"/>
        <w:ind w:hanging="562"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转诊转介服务。</w:t>
      </w:r>
    </w:p>
    <w:p>
      <w:pPr>
        <w:pStyle w:val="68"/>
        <w:numPr>
          <w:ilvl w:val="0"/>
          <w:numId w:val="17"/>
        </w:numPr>
        <w:spacing w:line="360" w:lineRule="auto"/>
        <w:ind w:hanging="562" w:firstLineChars="0"/>
        <w:rPr>
          <w:rFonts w:ascii="黑体" w:hAnsi="黑体" w:eastAsia="黑体" w:cs="黑体"/>
          <w:szCs w:val="21"/>
        </w:rPr>
      </w:pPr>
      <w:r>
        <w:rPr>
          <w:rFonts w:hint="eastAsia" w:ascii="黑体" w:hAnsi="黑体" w:eastAsia="黑体" w:cs="黑体"/>
          <w:szCs w:val="21"/>
        </w:rPr>
        <w:t>迁入迁出功能。</w:t>
      </w:r>
    </w:p>
    <w:p>
      <w:pPr>
        <w:pStyle w:val="68"/>
        <w:numPr>
          <w:ilvl w:val="0"/>
          <w:numId w:val="17"/>
        </w:numPr>
        <w:spacing w:line="360" w:lineRule="auto"/>
        <w:ind w:hanging="562" w:firstLineChars="0"/>
        <w:rPr>
          <w:rFonts w:ascii="黑体" w:hAnsi="黑体" w:eastAsia="黑体" w:cs="黑体"/>
          <w:szCs w:val="21"/>
        </w:rPr>
      </w:pPr>
      <w:r>
        <w:rPr>
          <w:rFonts w:hint="eastAsia" w:ascii="黑体" w:hAnsi="黑体" w:eastAsia="黑体" w:cs="黑体"/>
          <w:szCs w:val="21"/>
        </w:rPr>
        <w:t>中医体质辨识功能。</w:t>
      </w:r>
    </w:p>
    <w:p>
      <w:pPr>
        <w:pStyle w:val="68"/>
        <w:numPr>
          <w:ilvl w:val="0"/>
          <w:numId w:val="17"/>
        </w:numPr>
        <w:spacing w:line="360" w:lineRule="auto"/>
        <w:ind w:hanging="704" w:firstLineChars="0"/>
        <w:rPr>
          <w:rFonts w:ascii="黑体" w:hAnsi="黑体" w:eastAsia="黑体" w:cs="黑体"/>
          <w:szCs w:val="21"/>
        </w:rPr>
      </w:pPr>
      <w:r>
        <w:rPr>
          <w:rFonts w:hint="eastAsia" w:ascii="黑体" w:hAnsi="黑体" w:eastAsia="黑体" w:cs="黑体"/>
          <w:szCs w:val="21"/>
        </w:rPr>
        <w:t>预约功能。</w:t>
      </w:r>
    </w:p>
    <w:p>
      <w:pPr>
        <w:pStyle w:val="68"/>
        <w:numPr>
          <w:ilvl w:val="0"/>
          <w:numId w:val="17"/>
        </w:numPr>
        <w:spacing w:line="360" w:lineRule="auto"/>
        <w:ind w:hanging="704" w:firstLineChars="0"/>
        <w:rPr>
          <w:rFonts w:ascii="黑体" w:hAnsi="黑体" w:eastAsia="黑体" w:cs="黑体"/>
          <w:szCs w:val="21"/>
        </w:rPr>
      </w:pPr>
      <w:r>
        <w:rPr>
          <w:rFonts w:hint="eastAsia" w:ascii="黑体" w:hAnsi="黑体" w:eastAsia="黑体" w:cs="黑体"/>
          <w:szCs w:val="21"/>
        </w:rPr>
        <w:t>健康评估功能。</w:t>
      </w:r>
    </w:p>
    <w:p>
      <w:pPr>
        <w:pStyle w:val="68"/>
        <w:numPr>
          <w:ilvl w:val="0"/>
          <w:numId w:val="17"/>
        </w:numPr>
        <w:spacing w:line="360" w:lineRule="auto"/>
        <w:ind w:hanging="704" w:firstLineChars="0"/>
        <w:rPr>
          <w:rFonts w:ascii="黑体" w:hAnsi="黑体" w:eastAsia="黑体" w:cs="黑体"/>
          <w:szCs w:val="21"/>
        </w:rPr>
      </w:pPr>
      <w:r>
        <w:rPr>
          <w:rFonts w:hint="eastAsia" w:ascii="黑体" w:hAnsi="黑体" w:eastAsia="黑体" w:cs="黑体"/>
          <w:szCs w:val="21"/>
        </w:rPr>
        <w:t>健康教育功能。</w:t>
      </w:r>
    </w:p>
    <w:p>
      <w:pPr>
        <w:pStyle w:val="68"/>
        <w:numPr>
          <w:ilvl w:val="0"/>
          <w:numId w:val="17"/>
        </w:numPr>
        <w:spacing w:line="360" w:lineRule="auto"/>
        <w:ind w:hanging="704" w:firstLineChars="0"/>
        <w:rPr>
          <w:rFonts w:ascii="黑体" w:hAnsi="黑体" w:eastAsia="黑体" w:cs="黑体"/>
          <w:szCs w:val="21"/>
        </w:rPr>
      </w:pPr>
      <w:r>
        <w:rPr>
          <w:rFonts w:hint="eastAsia" w:ascii="黑体" w:hAnsi="黑体" w:eastAsia="黑体" w:cs="黑体"/>
          <w:szCs w:val="21"/>
        </w:rPr>
        <w:t>卫生监督协管功能。</w:t>
      </w:r>
    </w:p>
    <w:p>
      <w:pPr>
        <w:pStyle w:val="68"/>
        <w:numPr>
          <w:ilvl w:val="0"/>
          <w:numId w:val="17"/>
        </w:numPr>
        <w:spacing w:line="360" w:lineRule="auto"/>
        <w:ind w:hanging="704"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卫生监督巡查功能。</w:t>
      </w:r>
    </w:p>
    <w:p>
      <w:pPr>
        <w:pStyle w:val="68"/>
        <w:numPr>
          <w:ilvl w:val="0"/>
          <w:numId w:val="17"/>
        </w:numPr>
        <w:spacing w:line="360" w:lineRule="auto"/>
        <w:ind w:hanging="704"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统计分析：</w:t>
      </w:r>
    </w:p>
    <w:p>
      <w:pPr>
        <w:pStyle w:val="68"/>
        <w:numPr>
          <w:ilvl w:val="0"/>
          <w:numId w:val="19"/>
        </w:numPr>
        <w:spacing w:line="360" w:lineRule="auto"/>
        <w:ind w:left="420" w:firstLineChars="0"/>
        <w:rPr>
          <w:rFonts w:ascii="黑体" w:hAnsi="黑体" w:eastAsia="黑体" w:cs="黑体"/>
          <w:szCs w:val="21"/>
        </w:rPr>
      </w:pPr>
      <w:r>
        <w:rPr>
          <w:rFonts w:hint="eastAsia" w:ascii="黑体" w:hAnsi="黑体" w:eastAsia="黑体" w:cs="黑体"/>
          <w:szCs w:val="21"/>
        </w:rPr>
        <w:t>人群分类统计（孕产妇、糖尿病、精神病、65岁以上老年人、高血压）；</w:t>
      </w:r>
    </w:p>
    <w:p>
      <w:pPr>
        <w:pStyle w:val="68"/>
        <w:numPr>
          <w:ilvl w:val="0"/>
          <w:numId w:val="19"/>
        </w:numPr>
        <w:spacing w:line="360" w:lineRule="auto"/>
        <w:ind w:left="420"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社区基本信息和人事信息：学历构成、职业构成、年龄构成、血型分布、单病种和主要疾病。以饼状图表和进度为主要展现形式。</w:t>
      </w:r>
    </w:p>
    <w:p>
      <w:pPr>
        <w:pStyle w:val="68"/>
        <w:numPr>
          <w:ilvl w:val="0"/>
          <w:numId w:val="17"/>
        </w:numPr>
        <w:spacing w:line="360" w:lineRule="auto"/>
        <w:ind w:hanging="704"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文件模板：</w:t>
      </w:r>
    </w:p>
    <w:p>
      <w:pPr>
        <w:pStyle w:val="68"/>
        <w:numPr>
          <w:ilvl w:val="0"/>
          <w:numId w:val="20"/>
        </w:numPr>
        <w:spacing w:line="360" w:lineRule="auto"/>
        <w:ind w:left="420" w:firstLineChars="0"/>
        <w:rPr>
          <w:rFonts w:ascii="黑体" w:hAnsi="黑体" w:eastAsia="黑体" w:cs="黑体"/>
          <w:szCs w:val="21"/>
        </w:rPr>
      </w:pPr>
      <w:r>
        <w:rPr>
          <w:rFonts w:hint="eastAsia" w:ascii="黑体" w:hAnsi="黑体" w:eastAsia="黑体" w:cs="黑体"/>
          <w:szCs w:val="21"/>
        </w:rPr>
        <w:t>健康报告模板、新增、删除、编辑、筛选功能；</w:t>
      </w:r>
    </w:p>
    <w:p>
      <w:pPr>
        <w:pStyle w:val="68"/>
        <w:numPr>
          <w:ilvl w:val="0"/>
          <w:numId w:val="20"/>
        </w:numPr>
        <w:spacing w:line="360" w:lineRule="auto"/>
        <w:ind w:left="420" w:firstLineChars="0"/>
        <w:rPr>
          <w:rFonts w:ascii="黑体" w:hAnsi="黑体" w:eastAsia="黑体" w:cs="黑体"/>
          <w:szCs w:val="21"/>
        </w:rPr>
      </w:pPr>
      <w:r>
        <w:rPr>
          <w:rFonts w:hint="eastAsia" w:ascii="黑体" w:hAnsi="黑体" w:eastAsia="黑体" w:cs="黑体"/>
          <w:szCs w:val="21"/>
        </w:rPr>
        <w:t>中医体质模板、新增、删除、编辑、筛选功能；</w:t>
      </w:r>
    </w:p>
    <w:p>
      <w:pPr>
        <w:pStyle w:val="68"/>
        <w:numPr>
          <w:ilvl w:val="0"/>
          <w:numId w:val="20"/>
        </w:numPr>
        <w:spacing w:line="360" w:lineRule="auto"/>
        <w:ind w:left="420"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家庭医生协议显示功能。</w:t>
      </w:r>
    </w:p>
    <w:p>
      <w:pPr>
        <w:pStyle w:val="68"/>
        <w:numPr>
          <w:ilvl w:val="0"/>
          <w:numId w:val="17"/>
        </w:numPr>
        <w:spacing w:line="360" w:lineRule="auto"/>
        <w:ind w:hanging="704"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居民个人信息：</w:t>
      </w:r>
    </w:p>
    <w:p>
      <w:pPr>
        <w:pStyle w:val="68"/>
        <w:numPr>
          <w:ilvl w:val="0"/>
          <w:numId w:val="21"/>
        </w:numPr>
        <w:spacing w:line="360" w:lineRule="auto"/>
        <w:ind w:left="420" w:firstLineChars="0"/>
        <w:rPr>
          <w:rFonts w:ascii="黑体" w:hAnsi="黑体" w:eastAsia="黑体" w:cs="黑体"/>
          <w:szCs w:val="21"/>
        </w:rPr>
      </w:pPr>
      <w:r>
        <w:rPr>
          <w:rFonts w:hint="eastAsia" w:ascii="黑体" w:hAnsi="黑体" w:eastAsia="黑体" w:cs="黑体"/>
          <w:szCs w:val="21"/>
        </w:rPr>
        <w:t>居民健康概况：显示专项管理、健康评估、健康体检、中医体质功能、添加专项管理功能；</w:t>
      </w:r>
    </w:p>
    <w:p>
      <w:pPr>
        <w:pStyle w:val="68"/>
        <w:numPr>
          <w:ilvl w:val="0"/>
          <w:numId w:val="21"/>
        </w:numPr>
        <w:spacing w:line="360" w:lineRule="auto"/>
        <w:ind w:left="420" w:firstLineChars="0"/>
        <w:rPr>
          <w:rFonts w:ascii="黑体" w:hAnsi="黑体" w:eastAsia="黑体" w:cs="黑体"/>
          <w:szCs w:val="21"/>
        </w:rPr>
      </w:pPr>
      <w:r>
        <w:rPr>
          <w:rFonts w:hint="eastAsia" w:ascii="黑体" w:hAnsi="黑体" w:eastAsia="黑体" w:cs="黑体"/>
          <w:szCs w:val="21"/>
        </w:rPr>
        <w:t>健康服务：新建登记表(高血压、糖尿病、精神病、肺结公卫服务：新建和编辑随访表(高血压、糖尿病、精神病、肺结核)、随访记录表；</w:t>
      </w:r>
    </w:p>
    <w:p>
      <w:pPr>
        <w:pStyle w:val="68"/>
        <w:numPr>
          <w:ilvl w:val="0"/>
          <w:numId w:val="21"/>
        </w:numPr>
        <w:spacing w:line="360" w:lineRule="auto"/>
        <w:ind w:left="420" w:firstLineChars="0"/>
        <w:rPr>
          <w:rFonts w:ascii="黑体" w:hAnsi="黑体" w:eastAsia="黑体" w:cs="黑体"/>
          <w:szCs w:val="21"/>
        </w:rPr>
      </w:pPr>
      <w:r>
        <w:rPr>
          <w:rFonts w:hint="eastAsia" w:ascii="黑体" w:hAnsi="黑体" w:eastAsia="黑体" w:cs="黑体"/>
          <w:szCs w:val="21"/>
        </w:rPr>
        <w:t>测量体征：显示测量体质数据和每一个体征的历史记录、体质二维码；</w:t>
      </w:r>
    </w:p>
    <w:p>
      <w:pPr>
        <w:pStyle w:val="68"/>
        <w:numPr>
          <w:ilvl w:val="0"/>
          <w:numId w:val="21"/>
        </w:numPr>
        <w:spacing w:line="360" w:lineRule="auto"/>
        <w:ind w:left="420" w:firstLineChars="0"/>
        <w:rPr>
          <w:rFonts w:ascii="黑体" w:hAnsi="黑体" w:eastAsia="黑体" w:cs="黑体"/>
          <w:szCs w:val="21"/>
        </w:rPr>
      </w:pPr>
      <w:r>
        <w:rPr>
          <w:rFonts w:hint="eastAsia" w:ascii="黑体" w:hAnsi="黑体" w:eastAsia="黑体" w:cs="黑体"/>
          <w:szCs w:val="21"/>
        </w:rPr>
        <w:t>家庭档案：居住环境和社区环境录入功能、APGAR历史和新建评估功能、生活周期保健评估功能、家庭资源（内部+外部）评估功能、家庭成员健康评估、家庭关系图显示、家庭档案编辑功能、迁出和迁入用户功能；</w:t>
      </w:r>
    </w:p>
    <w:p>
      <w:pPr>
        <w:pStyle w:val="68"/>
        <w:numPr>
          <w:ilvl w:val="0"/>
          <w:numId w:val="21"/>
        </w:numPr>
        <w:spacing w:line="360" w:lineRule="auto"/>
        <w:ind w:left="420" w:firstLineChars="0"/>
        <w:rPr>
          <w:rFonts w:ascii="黑体" w:hAnsi="黑体" w:eastAsia="黑体" w:cs="黑体"/>
          <w:szCs w:val="21"/>
        </w:rPr>
      </w:pPr>
      <w:r>
        <w:rPr>
          <w:rFonts w:hint="eastAsia" w:ascii="黑体" w:hAnsi="黑体" w:eastAsia="黑体" w:cs="黑体"/>
          <w:szCs w:val="21"/>
        </w:rPr>
        <w:t>居民健康档案显示、编辑、修改功能；</w:t>
      </w:r>
    </w:p>
    <w:p>
      <w:pPr>
        <w:pStyle w:val="68"/>
        <w:numPr>
          <w:ilvl w:val="0"/>
          <w:numId w:val="21"/>
        </w:numPr>
        <w:spacing w:line="360" w:lineRule="auto"/>
        <w:ind w:left="420"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数据响应导入响应时间：成交供应商系统所产生的数据导入到东莞市社区卫生服务信息系统响应时间为一周。</w:t>
      </w:r>
    </w:p>
    <w:p>
      <w:pPr>
        <w:numPr>
          <w:ilvl w:val="0"/>
          <w:numId w:val="16"/>
        </w:numPr>
        <w:tabs>
          <w:tab w:val="left" w:pos="426"/>
        </w:tabs>
        <w:spacing w:line="360" w:lineRule="auto"/>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系统的整体使用流程：</w:t>
      </w:r>
    </w:p>
    <w:p>
      <w:pPr>
        <w:pStyle w:val="68"/>
        <w:numPr>
          <w:ilvl w:val="0"/>
          <w:numId w:val="22"/>
        </w:numPr>
        <w:spacing w:line="360" w:lineRule="auto"/>
        <w:ind w:hanging="562"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使用场景：相关检测硬件（臂筒式血压计、血糖仪、额温枪等）放置在卫生服务中心下的各个子站点，统一管理，社区成员有秩序的进行自主检测。</w:t>
      </w:r>
    </w:p>
    <w:p>
      <w:pPr>
        <w:pStyle w:val="68"/>
        <w:numPr>
          <w:ilvl w:val="0"/>
          <w:numId w:val="22"/>
        </w:numPr>
        <w:spacing w:line="360" w:lineRule="auto"/>
        <w:ind w:hanging="562"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使用流程：</w:t>
      </w:r>
    </w:p>
    <w:p>
      <w:pPr>
        <w:pStyle w:val="68"/>
        <w:numPr>
          <w:ilvl w:val="0"/>
          <w:numId w:val="23"/>
        </w:numPr>
        <w:spacing w:line="360" w:lineRule="auto"/>
        <w:ind w:left="420" w:firstLineChars="0"/>
        <w:rPr>
          <w:rFonts w:ascii="黑体" w:hAnsi="黑体" w:eastAsia="黑体" w:cs="黑体"/>
          <w:szCs w:val="21"/>
        </w:rPr>
      </w:pPr>
      <w:r>
        <w:rPr>
          <w:rFonts w:hint="eastAsia" w:ascii="黑体" w:hAnsi="黑体" w:eastAsia="黑体" w:cs="黑体"/>
          <w:szCs w:val="21"/>
        </w:rPr>
        <w:t>刷身份证登录：社区成员把身份证放在身份证读卡器上，听见“滴”一声，即代表用户信息已同步，同时平板上即可看到社区成员的头像、姓名信息；改过程使用蓝牙通讯传输信息；</w:t>
      </w:r>
    </w:p>
    <w:p>
      <w:pPr>
        <w:pStyle w:val="68"/>
        <w:numPr>
          <w:ilvl w:val="0"/>
          <w:numId w:val="23"/>
        </w:numPr>
        <w:spacing w:line="360" w:lineRule="auto"/>
        <w:ind w:left="420" w:firstLineChars="0"/>
        <w:rPr>
          <w:rFonts w:ascii="黑体" w:hAnsi="黑体" w:eastAsia="黑体" w:cs="黑体"/>
          <w:szCs w:val="21"/>
        </w:rPr>
      </w:pPr>
      <w:r>
        <w:rPr>
          <w:rFonts w:hint="eastAsia" w:ascii="黑体" w:hAnsi="黑体" w:eastAsia="黑体" w:cs="黑体"/>
          <w:szCs w:val="21"/>
        </w:rPr>
        <w:t>使用硬件检测：完成登录后，社区成员即可开始使用硬件检测身体各项指标，硬件显示屏会显示对应测量数据；</w:t>
      </w:r>
    </w:p>
    <w:p>
      <w:pPr>
        <w:pStyle w:val="68"/>
        <w:numPr>
          <w:ilvl w:val="0"/>
          <w:numId w:val="23"/>
        </w:numPr>
        <w:spacing w:line="360" w:lineRule="auto"/>
        <w:ind w:left="420" w:firstLineChars="0"/>
        <w:rPr>
          <w:rFonts w:ascii="黑体" w:hAnsi="黑体" w:eastAsia="黑体" w:cs="黑体"/>
          <w:szCs w:val="21"/>
        </w:rPr>
      </w:pPr>
      <w:r>
        <w:rPr>
          <w:rFonts w:hint="eastAsia" w:ascii="黑体" w:hAnsi="黑体" w:eastAsia="黑体" w:cs="黑体"/>
          <w:szCs w:val="21"/>
        </w:rPr>
        <w:t>数据传输：硬件通过RF通讯模块，将数据传输至平板；平板APP使用3G网络将数据传输至服务器，并显示在社区服务系统的后台界面，方便医生在服务系统监护管理；</w:t>
      </w:r>
    </w:p>
    <w:p>
      <w:pPr>
        <w:pStyle w:val="68"/>
        <w:numPr>
          <w:ilvl w:val="0"/>
          <w:numId w:val="23"/>
        </w:numPr>
        <w:spacing w:line="360" w:lineRule="auto"/>
        <w:ind w:left="420"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医生监护并发送健康评估报告：医生可根据社区成员的检测数据，并结合社区成员本人在膳食、运动、体重、血压等方面发送健康评估报告。</w:t>
      </w:r>
    </w:p>
    <w:p>
      <w:pPr>
        <w:numPr>
          <w:ilvl w:val="0"/>
          <w:numId w:val="12"/>
        </w:numPr>
        <w:tabs>
          <w:tab w:val="left" w:pos="426"/>
        </w:tabs>
        <w:spacing w:before="156" w:beforeLines="50" w:line="360" w:lineRule="auto"/>
        <w:rPr>
          <w:rFonts w:ascii="黑体" w:hAnsi="黑体" w:eastAsia="黑体" w:cs="黑体"/>
          <w:bCs/>
          <w:color w:val="000000" w:themeColor="text1"/>
          <w14:textFill>
            <w14:solidFill>
              <w14:schemeClr w14:val="tx1"/>
            </w14:solidFill>
          </w14:textFill>
        </w:rPr>
      </w:pPr>
      <w:r>
        <w:rPr>
          <w:rFonts w:hint="eastAsia" w:ascii="黑体" w:hAnsi="黑体" w:eastAsia="黑体" w:cs="黑体"/>
          <w:b/>
        </w:rPr>
        <w:t>家庭e生微信公众号</w:t>
      </w:r>
    </w:p>
    <w:p>
      <w:pPr>
        <w:pStyle w:val="68"/>
        <w:numPr>
          <w:ilvl w:val="0"/>
          <w:numId w:val="24"/>
        </w:numPr>
        <w:spacing w:line="360" w:lineRule="auto"/>
        <w:ind w:firstLineChars="0"/>
        <w:rPr>
          <w:rFonts w:ascii="黑体" w:hAnsi="黑体" w:eastAsia="黑体" w:cs="黑体"/>
          <w:szCs w:val="21"/>
        </w:rPr>
      </w:pPr>
      <w:r>
        <w:rPr>
          <w:rFonts w:hint="eastAsia" w:ascii="黑体" w:hAnsi="黑体" w:eastAsia="黑体" w:cs="黑体"/>
          <w:szCs w:val="21"/>
        </w:rPr>
        <w:t>信息资料采集：社区家庭医生通过上门随访或站点服务，进行居民个人信息采集，添加或修改居民个人信息随访数据自动上传医生管理后台，实现高效便捷的远程管理服务。</w:t>
      </w:r>
    </w:p>
    <w:p>
      <w:pPr>
        <w:pStyle w:val="68"/>
        <w:numPr>
          <w:ilvl w:val="0"/>
          <w:numId w:val="24"/>
        </w:numPr>
        <w:spacing w:line="360" w:lineRule="auto"/>
        <w:ind w:firstLineChars="0"/>
        <w:rPr>
          <w:rFonts w:ascii="黑体" w:hAnsi="黑体" w:eastAsia="黑体" w:cs="黑体"/>
          <w:szCs w:val="21"/>
        </w:rPr>
      </w:pPr>
      <w:r>
        <w:rPr>
          <w:rFonts w:hint="eastAsia" w:ascii="黑体" w:hAnsi="黑体" w:eastAsia="黑体" w:cs="黑体"/>
          <w:szCs w:val="21"/>
        </w:rPr>
        <w:t>管理提醒服务：家庭医生可通过系统后台实时查看及管理个人或家庭健康档案，对居民健康状况作出分析及提醒。</w:t>
      </w:r>
    </w:p>
    <w:p>
      <w:pPr>
        <w:pStyle w:val="68"/>
        <w:numPr>
          <w:ilvl w:val="0"/>
          <w:numId w:val="24"/>
        </w:numPr>
        <w:spacing w:line="360" w:lineRule="auto"/>
        <w:ind w:firstLineChars="0"/>
        <w:rPr>
          <w:rFonts w:ascii="黑体" w:hAnsi="黑体" w:eastAsia="黑体" w:cs="黑体"/>
          <w:szCs w:val="21"/>
        </w:rPr>
      </w:pPr>
      <w:r>
        <w:rPr>
          <w:rFonts w:hint="eastAsia" w:ascii="黑体" w:hAnsi="黑体" w:eastAsia="黑体" w:cs="黑体"/>
          <w:szCs w:val="21"/>
        </w:rPr>
        <w:t>健康干预：系统有统计和分析的功能，家庭医生可根据系统的数据对居民的健康进行干预，总结和分析提高居民健康的有效途径。</w:t>
      </w:r>
    </w:p>
    <w:p>
      <w:pPr>
        <w:pStyle w:val="68"/>
        <w:numPr>
          <w:ilvl w:val="0"/>
          <w:numId w:val="24"/>
        </w:numPr>
        <w:spacing w:line="360" w:lineRule="auto"/>
        <w:ind w:firstLineChars="0"/>
        <w:rPr>
          <w:rFonts w:ascii="黑体" w:hAnsi="黑体" w:eastAsia="黑体" w:cs="黑体"/>
          <w:szCs w:val="21"/>
        </w:rPr>
      </w:pPr>
      <w:r>
        <w:rPr>
          <w:rFonts w:hint="eastAsia" w:ascii="黑体" w:hAnsi="黑体" w:eastAsia="黑体" w:cs="黑体"/>
          <w:szCs w:val="21"/>
        </w:rPr>
        <w:t>治疗：如居民检测后身体健康出现异常状况时，系统后台会将具体检测异常标记。家庭医生能通过系统后台清楚了解居民状况并作出治疗方案。</w:t>
      </w:r>
    </w:p>
    <w:p>
      <w:pPr>
        <w:pStyle w:val="68"/>
        <w:numPr>
          <w:ilvl w:val="0"/>
          <w:numId w:val="24"/>
        </w:numPr>
        <w:spacing w:line="360" w:lineRule="auto"/>
        <w:ind w:firstLineChars="0"/>
        <w:rPr>
          <w:rFonts w:ascii="黑体" w:hAnsi="黑体" w:eastAsia="黑体" w:cs="黑体"/>
          <w:szCs w:val="21"/>
        </w:rPr>
      </w:pPr>
      <w:r>
        <w:rPr>
          <w:rFonts w:hint="eastAsia" w:ascii="黑体" w:hAnsi="黑体" w:eastAsia="黑体" w:cs="黑体"/>
          <w:szCs w:val="21"/>
        </w:rPr>
        <w:t>分级管理：系统能以不同颜色图表来统计管辖区域的工作情况，以便有针对性地作出相应的指导工作并评定各区的绩效。</w:t>
      </w:r>
    </w:p>
    <w:p>
      <w:pPr>
        <w:pStyle w:val="68"/>
        <w:numPr>
          <w:ilvl w:val="0"/>
          <w:numId w:val="24"/>
        </w:numPr>
        <w:spacing w:line="360" w:lineRule="auto"/>
        <w:ind w:firstLineChars="0"/>
        <w:rPr>
          <w:rFonts w:ascii="黑体" w:hAnsi="黑体" w:eastAsia="黑体" w:cs="黑体"/>
          <w:szCs w:val="21"/>
        </w:rPr>
      </w:pPr>
      <w:r>
        <w:rPr>
          <w:rFonts w:hint="eastAsia" w:ascii="黑体" w:hAnsi="黑体" w:eastAsia="黑体" w:cs="黑体"/>
          <w:szCs w:val="21"/>
        </w:rPr>
        <w:t>老年人体检管理：根据社区的预约安排和区域管理，居民可进行老年人体检预约，后续通过该入口查询体检报告和健康指导。</w:t>
      </w:r>
    </w:p>
    <w:p>
      <w:pPr>
        <w:pStyle w:val="68"/>
        <w:numPr>
          <w:ilvl w:val="0"/>
          <w:numId w:val="24"/>
        </w:numPr>
        <w:spacing w:line="360" w:lineRule="auto"/>
        <w:ind w:firstLineChars="0"/>
        <w:rPr>
          <w:rFonts w:ascii="黑体" w:hAnsi="黑体" w:eastAsia="黑体" w:cs="黑体"/>
          <w:szCs w:val="21"/>
        </w:rPr>
      </w:pPr>
      <w:r>
        <w:rPr>
          <w:rFonts w:hint="eastAsia" w:ascii="黑体" w:hAnsi="黑体" w:eastAsia="黑体" w:cs="黑体"/>
          <w:szCs w:val="21"/>
        </w:rPr>
        <w:t>预约服务：包括体检预约、新生儿妇访视预约等等。</w:t>
      </w:r>
    </w:p>
    <w:p>
      <w:pPr>
        <w:pStyle w:val="68"/>
        <w:numPr>
          <w:ilvl w:val="0"/>
          <w:numId w:val="24"/>
        </w:numPr>
        <w:spacing w:line="360" w:lineRule="auto"/>
        <w:ind w:firstLineChars="0"/>
        <w:rPr>
          <w:rFonts w:ascii="黑体" w:hAnsi="黑体" w:eastAsia="黑体" w:cs="黑体"/>
          <w:color w:val="000000" w:themeColor="text1"/>
          <w14:textFill>
            <w14:solidFill>
              <w14:schemeClr w14:val="tx1"/>
            </w14:solidFill>
          </w14:textFill>
        </w:rPr>
      </w:pPr>
      <w:r>
        <w:rPr>
          <w:rFonts w:hint="eastAsia" w:ascii="黑体" w:hAnsi="黑体" w:eastAsia="黑体" w:cs="黑体"/>
          <w:szCs w:val="21"/>
        </w:rPr>
        <w:t>服务端使用JAVA语言，框架SSH开发；Linux服务器，数据MYSQL；服务器和数据库均有做集群</w:t>
      </w:r>
      <w:r>
        <w:rPr>
          <w:rFonts w:hint="eastAsia" w:ascii="黑体" w:hAnsi="黑体" w:eastAsia="黑体" w:cs="黑体"/>
          <w:szCs w:val="21"/>
          <w:highlight w:val="none"/>
        </w:rPr>
        <w:t>。Android</w:t>
      </w:r>
      <w:r>
        <w:rPr>
          <w:rFonts w:hint="eastAsia" w:ascii="黑体" w:hAnsi="黑体" w:eastAsia="黑体" w:cs="黑体"/>
          <w:szCs w:val="21"/>
        </w:rPr>
        <w:t>版APP使用JAVA开发语言；IOS版APP使用Objective-C及Swift开发语言；所有的软件均采用四层结构进行开发。</w:t>
      </w:r>
    </w:p>
    <w:p>
      <w:pPr>
        <w:numPr>
          <w:ilvl w:val="0"/>
          <w:numId w:val="12"/>
        </w:numPr>
        <w:tabs>
          <w:tab w:val="left" w:pos="426"/>
        </w:tabs>
        <w:spacing w:before="156" w:beforeLines="50" w:line="360" w:lineRule="auto"/>
        <w:rPr>
          <w:rFonts w:ascii="黑体" w:hAnsi="黑体" w:eastAsia="黑体" w:cs="黑体"/>
          <w:b/>
          <w:bCs/>
          <w:color w:val="000000" w:themeColor="text1"/>
          <w14:textFill>
            <w14:solidFill>
              <w14:schemeClr w14:val="tx1"/>
            </w14:solidFill>
          </w14:textFill>
        </w:rPr>
      </w:pPr>
      <w:r>
        <w:rPr>
          <w:rFonts w:hint="eastAsia" w:ascii="黑体" w:hAnsi="黑体" w:eastAsia="黑体" w:cs="黑体"/>
          <w:b/>
          <w:bCs/>
          <w:color w:val="000000" w:themeColor="text1"/>
          <w14:textFill>
            <w14:solidFill>
              <w14:schemeClr w14:val="tx1"/>
            </w14:solidFill>
          </w14:textFill>
        </w:rPr>
        <w:t>▲</w:t>
      </w:r>
      <w:r>
        <w:rPr>
          <w:rFonts w:hint="eastAsia" w:ascii="黑体" w:hAnsi="黑体" w:eastAsia="黑体" w:cs="黑体"/>
          <w:b/>
          <w:bCs/>
        </w:rPr>
        <w:t>服务要求（供应商须提供承诺函加盖供应商公章，格式自拟）</w:t>
      </w:r>
    </w:p>
    <w:p>
      <w:pPr>
        <w:pStyle w:val="68"/>
        <w:numPr>
          <w:ilvl w:val="0"/>
          <w:numId w:val="25"/>
        </w:numPr>
        <w:spacing w:line="360" w:lineRule="auto"/>
        <w:ind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供应商须针对本项目采购需求，建立并完善项目实施方案，包括供货进度、安装调试方案等。</w:t>
      </w:r>
    </w:p>
    <w:p>
      <w:pPr>
        <w:pStyle w:val="68"/>
        <w:numPr>
          <w:ilvl w:val="0"/>
          <w:numId w:val="26"/>
        </w:numPr>
        <w:spacing w:line="360" w:lineRule="auto"/>
        <w:ind w:left="426" w:leftChars="-67" w:hanging="567" w:hangingChars="270"/>
        <w:rPr>
          <w:rFonts w:ascii="黑体" w:hAnsi="黑体" w:eastAsia="黑体" w:cs="黑体"/>
          <w:bCs/>
          <w:color w:val="000000" w:themeColor="text1"/>
          <w14:textFill>
            <w14:solidFill>
              <w14:schemeClr w14:val="tx1"/>
            </w14:solidFill>
          </w14:textFill>
        </w:rPr>
      </w:pPr>
      <w:r>
        <w:rPr>
          <w:rFonts w:hint="eastAsia" w:ascii="黑体" w:hAnsi="黑体" w:eastAsia="黑体" w:cs="黑体"/>
          <w:bCs/>
          <w:color w:val="000000" w:themeColor="text1"/>
          <w14:textFill>
            <w14:solidFill>
              <w14:schemeClr w14:val="tx1"/>
            </w14:solidFill>
          </w14:textFill>
        </w:rPr>
        <w:t>由供应商为采购人提供信息系统服务，处理国家规定的基本公共卫生服务、医患沟通交流、工作统计、健康档案管理。</w:t>
      </w:r>
    </w:p>
    <w:p>
      <w:pPr>
        <w:pStyle w:val="68"/>
        <w:numPr>
          <w:ilvl w:val="0"/>
          <w:numId w:val="26"/>
        </w:numPr>
        <w:spacing w:line="360" w:lineRule="auto"/>
        <w:ind w:left="426" w:leftChars="-67" w:hanging="567" w:hangingChars="270"/>
        <w:rPr>
          <w:rFonts w:ascii="黑体" w:hAnsi="黑体" w:eastAsia="黑体" w:cs="黑体"/>
          <w:bCs/>
          <w:color w:val="000000" w:themeColor="text1"/>
          <w14:textFill>
            <w14:solidFill>
              <w14:schemeClr w14:val="tx1"/>
            </w14:solidFill>
          </w14:textFill>
        </w:rPr>
      </w:pPr>
      <w:r>
        <w:rPr>
          <w:rFonts w:hint="eastAsia" w:ascii="黑体" w:hAnsi="黑体" w:eastAsia="黑体" w:cs="黑体"/>
          <w:bCs/>
          <w:color w:val="000000" w:themeColor="text1"/>
          <w14:textFill>
            <w14:solidFill>
              <w14:schemeClr w14:val="tx1"/>
            </w14:solidFill>
          </w14:textFill>
        </w:rPr>
        <w:t>提高采购人工作的工作效率，为开展基层公共卫生、基本医疗服务提供有力的支撑。</w:t>
      </w:r>
    </w:p>
    <w:p>
      <w:pPr>
        <w:pStyle w:val="68"/>
        <w:numPr>
          <w:ilvl w:val="0"/>
          <w:numId w:val="26"/>
        </w:numPr>
        <w:spacing w:line="360" w:lineRule="auto"/>
        <w:ind w:left="426" w:leftChars="-67" w:hanging="567" w:hangingChars="270"/>
        <w:rPr>
          <w:rFonts w:ascii="黑体" w:hAnsi="黑体" w:eastAsia="黑体" w:cs="黑体"/>
          <w:bCs/>
          <w:color w:val="000000" w:themeColor="text1"/>
          <w14:textFill>
            <w14:solidFill>
              <w14:schemeClr w14:val="tx1"/>
            </w14:solidFill>
          </w14:textFill>
        </w:rPr>
      </w:pPr>
      <w:r>
        <w:rPr>
          <w:rFonts w:hint="eastAsia" w:ascii="黑体" w:hAnsi="黑体" w:eastAsia="黑体" w:cs="黑体"/>
          <w:bCs/>
          <w:color w:val="000000" w:themeColor="text1"/>
          <w14:textFill>
            <w14:solidFill>
              <w14:schemeClr w14:val="tx1"/>
            </w14:solidFill>
          </w14:textFill>
        </w:rPr>
        <w:t>通过供应商提供的智能医疗检测设备和身份证读卡器等设备，结合居民健康数据，收集分析体检信息，帮助居民时刻关注其健康状况，为采购人提供远程健康监控、居民远程健康管理。</w:t>
      </w:r>
    </w:p>
    <w:p>
      <w:pPr>
        <w:pStyle w:val="68"/>
        <w:numPr>
          <w:ilvl w:val="0"/>
          <w:numId w:val="26"/>
        </w:numPr>
        <w:spacing w:line="360" w:lineRule="auto"/>
        <w:ind w:left="426" w:leftChars="-67" w:hanging="567" w:hangingChars="270"/>
        <w:rPr>
          <w:rFonts w:ascii="黑体" w:hAnsi="黑体" w:eastAsia="黑体" w:cs="黑体"/>
          <w:bCs/>
          <w:color w:val="000000" w:themeColor="text1"/>
          <w14:textFill>
            <w14:solidFill>
              <w14:schemeClr w14:val="tx1"/>
            </w14:solidFill>
          </w14:textFill>
        </w:rPr>
      </w:pPr>
      <w:r>
        <w:rPr>
          <w:rFonts w:hint="eastAsia" w:ascii="黑体" w:hAnsi="黑体" w:eastAsia="黑体" w:cs="黑体"/>
          <w:bCs/>
          <w:color w:val="000000" w:themeColor="text1"/>
          <w14:textFill>
            <w14:solidFill>
              <w14:schemeClr w14:val="tx1"/>
            </w14:solidFill>
          </w14:textFill>
        </w:rPr>
        <w:t>按照采购人提出的规范要求将居民的体检信息导入社卫系统或妇幼系统。</w:t>
      </w:r>
    </w:p>
    <w:p>
      <w:pPr>
        <w:pStyle w:val="68"/>
        <w:numPr>
          <w:ilvl w:val="0"/>
          <w:numId w:val="25"/>
        </w:numPr>
        <w:spacing w:line="360" w:lineRule="auto"/>
        <w:ind w:firstLineChars="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技术培训方案</w:t>
      </w:r>
    </w:p>
    <w:p>
      <w:pPr>
        <w:pStyle w:val="68"/>
        <w:numPr>
          <w:ilvl w:val="0"/>
          <w:numId w:val="27"/>
        </w:numPr>
        <w:spacing w:line="360" w:lineRule="auto"/>
        <w:ind w:left="426" w:leftChars="-67" w:hanging="567" w:hangingChars="270"/>
        <w:rPr>
          <w:rFonts w:ascii="黑体" w:hAnsi="黑体" w:eastAsia="黑体" w:cs="黑体"/>
          <w:szCs w:val="21"/>
        </w:rPr>
      </w:pPr>
      <w:r>
        <w:rPr>
          <w:rFonts w:hint="eastAsia" w:ascii="黑体" w:hAnsi="黑体" w:eastAsia="黑体" w:cs="黑体"/>
          <w:szCs w:val="21"/>
        </w:rPr>
        <w:t>为保证采购人的操作人员能使用系统、设备正确的进行操作，完成本职任务是系统能正常运转的基本保障，所以培训工作要严格展开，争取做到全员培训并且考核上岗；</w:t>
      </w:r>
    </w:p>
    <w:p>
      <w:pPr>
        <w:pStyle w:val="68"/>
        <w:numPr>
          <w:ilvl w:val="0"/>
          <w:numId w:val="27"/>
        </w:numPr>
        <w:spacing w:line="360" w:lineRule="auto"/>
        <w:ind w:left="426" w:leftChars="-67" w:hanging="567" w:hangingChars="270"/>
        <w:rPr>
          <w:rFonts w:ascii="黑体" w:hAnsi="黑体" w:eastAsia="黑体" w:cs="黑体"/>
          <w:szCs w:val="21"/>
        </w:rPr>
      </w:pPr>
      <w:r>
        <w:rPr>
          <w:rFonts w:hint="eastAsia" w:ascii="黑体" w:hAnsi="黑体" w:eastAsia="黑体" w:cs="黑体"/>
          <w:szCs w:val="21"/>
        </w:rPr>
        <w:t>从合同签订开始，成交供应商需安排软件工程师对采购人的所有上岗人员进行分期、分批的培训。根据不同专业，分别对科室负责人及所有上岗操作使用人员进行计算机基础知识、计算机基本操作技能、系统主要功能、系统操作使用方法、系统工作流程培训。通过培训，使他们掌握应用软件的使用方法，熟悉了本科室的系统工作流程，达到数据录入准确、及时、迅速的要求；</w:t>
      </w:r>
    </w:p>
    <w:p>
      <w:pPr>
        <w:pStyle w:val="68"/>
        <w:numPr>
          <w:ilvl w:val="0"/>
          <w:numId w:val="27"/>
        </w:numPr>
        <w:spacing w:line="360" w:lineRule="auto"/>
        <w:ind w:left="426" w:leftChars="-67" w:hanging="567" w:hangingChars="270"/>
        <w:rPr>
          <w:rFonts w:ascii="黑体" w:hAnsi="黑体" w:eastAsia="黑体" w:cs="黑体"/>
          <w:bCs/>
          <w:color w:val="000000" w:themeColor="text1"/>
          <w14:textFill>
            <w14:solidFill>
              <w14:schemeClr w14:val="tx1"/>
            </w14:solidFill>
          </w14:textFill>
        </w:rPr>
      </w:pPr>
      <w:r>
        <w:rPr>
          <w:rFonts w:hint="eastAsia" w:ascii="黑体" w:hAnsi="黑体" w:eastAsia="黑体" w:cs="黑体"/>
          <w:szCs w:val="21"/>
        </w:rPr>
        <w:t>从合同签订开始，成交供应商需安排相关技术人员对所有上岗人员进行设备操作培训，针对不同设备进行针对性讲解、示范，确保每位上岗人员可以熟练无误的操作所有设备。</w:t>
      </w:r>
    </w:p>
    <w:p>
      <w:pPr>
        <w:pStyle w:val="68"/>
        <w:spacing w:line="360" w:lineRule="auto"/>
        <w:rPr>
          <w:rFonts w:ascii="黑体" w:hAnsi="黑体" w:eastAsia="黑体" w:cs="黑体"/>
          <w:szCs w:val="21"/>
        </w:rPr>
      </w:pPr>
      <w:r>
        <w:rPr>
          <w:rFonts w:hint="eastAsia" w:ascii="黑体" w:hAnsi="黑体" w:eastAsia="黑体" w:cs="黑体"/>
          <w:szCs w:val="21"/>
        </w:rPr>
        <w:t>具体如下：</w:t>
      </w:r>
    </w:p>
    <w:p>
      <w:pPr>
        <w:pStyle w:val="68"/>
        <w:numPr>
          <w:ilvl w:val="0"/>
          <w:numId w:val="28"/>
        </w:numPr>
        <w:spacing w:line="360" w:lineRule="auto"/>
        <w:ind w:left="420" w:firstLineChars="0"/>
        <w:rPr>
          <w:rFonts w:ascii="黑体" w:hAnsi="黑体" w:eastAsia="黑体" w:cs="黑体"/>
          <w:szCs w:val="21"/>
        </w:rPr>
      </w:pPr>
      <w:r>
        <w:rPr>
          <w:rFonts w:hint="eastAsia" w:ascii="黑体" w:hAnsi="黑体" w:eastAsia="黑体" w:cs="黑体"/>
          <w:szCs w:val="21"/>
        </w:rPr>
        <w:t>培训要求</w:t>
      </w:r>
    </w:p>
    <w:p>
      <w:pPr>
        <w:pStyle w:val="68"/>
        <w:numPr>
          <w:ilvl w:val="0"/>
          <w:numId w:val="29"/>
        </w:numPr>
        <w:tabs>
          <w:tab w:val="left" w:pos="142"/>
        </w:tabs>
        <w:spacing w:line="360" w:lineRule="auto"/>
        <w:ind w:left="426" w:hanging="284" w:firstLineChars="0"/>
        <w:rPr>
          <w:rFonts w:ascii="黑体" w:hAnsi="黑体" w:eastAsia="黑体" w:cs="黑体"/>
          <w:szCs w:val="21"/>
        </w:rPr>
      </w:pPr>
      <w:r>
        <w:rPr>
          <w:rFonts w:hint="eastAsia" w:ascii="黑体" w:hAnsi="黑体" w:eastAsia="黑体" w:cs="黑体"/>
          <w:szCs w:val="21"/>
        </w:rPr>
        <w:t>对项目部门指定人员进行培训，且在项目部门指定人员无疑问，能独自操作后签字确认方可认为指导结束；</w:t>
      </w:r>
    </w:p>
    <w:p>
      <w:pPr>
        <w:pStyle w:val="68"/>
        <w:numPr>
          <w:ilvl w:val="0"/>
          <w:numId w:val="29"/>
        </w:numPr>
        <w:tabs>
          <w:tab w:val="left" w:pos="142"/>
        </w:tabs>
        <w:spacing w:line="360" w:lineRule="auto"/>
        <w:ind w:left="426" w:hanging="284" w:firstLineChars="0"/>
        <w:rPr>
          <w:rFonts w:ascii="黑体" w:hAnsi="黑体" w:eastAsia="黑体" w:cs="黑体"/>
          <w:szCs w:val="21"/>
        </w:rPr>
      </w:pPr>
      <w:r>
        <w:rPr>
          <w:rFonts w:hint="eastAsia" w:ascii="黑体" w:hAnsi="黑体" w:eastAsia="黑体" w:cs="黑体"/>
          <w:szCs w:val="21"/>
        </w:rPr>
        <w:t>提供必要的书面培训资料。</w:t>
      </w:r>
    </w:p>
    <w:p>
      <w:pPr>
        <w:pStyle w:val="68"/>
        <w:numPr>
          <w:ilvl w:val="0"/>
          <w:numId w:val="28"/>
        </w:numPr>
        <w:spacing w:line="360" w:lineRule="auto"/>
        <w:ind w:left="420" w:firstLineChars="0"/>
        <w:rPr>
          <w:rFonts w:ascii="黑体" w:hAnsi="黑体" w:eastAsia="黑体" w:cs="黑体"/>
          <w:szCs w:val="21"/>
        </w:rPr>
      </w:pPr>
      <w:r>
        <w:rPr>
          <w:rFonts w:hint="eastAsia" w:ascii="黑体" w:hAnsi="黑体" w:eastAsia="黑体" w:cs="黑体"/>
          <w:szCs w:val="21"/>
        </w:rPr>
        <w:t>培训内容</w:t>
      </w:r>
    </w:p>
    <w:p>
      <w:pPr>
        <w:pStyle w:val="68"/>
        <w:numPr>
          <w:ilvl w:val="0"/>
          <w:numId w:val="30"/>
        </w:numPr>
        <w:tabs>
          <w:tab w:val="left" w:pos="426"/>
        </w:tabs>
        <w:spacing w:line="360" w:lineRule="auto"/>
        <w:ind w:left="420" w:hanging="278" w:firstLineChars="0"/>
        <w:rPr>
          <w:rFonts w:ascii="黑体" w:hAnsi="黑体" w:eastAsia="黑体" w:cs="黑体"/>
          <w:szCs w:val="21"/>
        </w:rPr>
      </w:pPr>
      <w:r>
        <w:rPr>
          <w:rFonts w:hint="eastAsia" w:ascii="黑体" w:hAnsi="黑体" w:eastAsia="黑体" w:cs="黑体"/>
          <w:szCs w:val="21"/>
        </w:rPr>
        <w:t>对系统进行安装、调试、运行、测试、诊断、维护、管理；</w:t>
      </w:r>
    </w:p>
    <w:p>
      <w:pPr>
        <w:pStyle w:val="68"/>
        <w:numPr>
          <w:ilvl w:val="0"/>
          <w:numId w:val="30"/>
        </w:numPr>
        <w:tabs>
          <w:tab w:val="left" w:pos="426"/>
        </w:tabs>
        <w:spacing w:line="360" w:lineRule="auto"/>
        <w:ind w:left="420" w:hanging="278" w:firstLineChars="0"/>
        <w:rPr>
          <w:rFonts w:ascii="黑体" w:hAnsi="黑体" w:eastAsia="黑体" w:cs="黑体"/>
          <w:szCs w:val="21"/>
        </w:rPr>
      </w:pPr>
      <w:r>
        <w:rPr>
          <w:rFonts w:hint="eastAsia" w:ascii="黑体" w:hAnsi="黑体" w:eastAsia="黑体" w:cs="黑体"/>
          <w:szCs w:val="21"/>
        </w:rPr>
        <w:t>掌握每个设备前面板显示灯的意义；</w:t>
      </w:r>
    </w:p>
    <w:p>
      <w:pPr>
        <w:pStyle w:val="68"/>
        <w:numPr>
          <w:ilvl w:val="0"/>
          <w:numId w:val="30"/>
        </w:numPr>
        <w:tabs>
          <w:tab w:val="left" w:pos="426"/>
        </w:tabs>
        <w:spacing w:line="360" w:lineRule="auto"/>
        <w:ind w:left="420" w:hanging="278" w:firstLineChars="0"/>
        <w:rPr>
          <w:rFonts w:ascii="黑体" w:hAnsi="黑体" w:eastAsia="黑体" w:cs="黑体"/>
          <w:szCs w:val="21"/>
        </w:rPr>
      </w:pPr>
      <w:r>
        <w:rPr>
          <w:rFonts w:hint="eastAsia" w:ascii="黑体" w:hAnsi="黑体" w:eastAsia="黑体" w:cs="黑体"/>
          <w:szCs w:val="21"/>
        </w:rPr>
        <w:t>熟悉所有设备的启动和关机；</w:t>
      </w:r>
    </w:p>
    <w:p>
      <w:pPr>
        <w:pStyle w:val="68"/>
        <w:numPr>
          <w:ilvl w:val="0"/>
          <w:numId w:val="30"/>
        </w:numPr>
        <w:tabs>
          <w:tab w:val="left" w:pos="426"/>
        </w:tabs>
        <w:spacing w:line="360" w:lineRule="auto"/>
        <w:ind w:left="420" w:hanging="278" w:firstLineChars="0"/>
        <w:rPr>
          <w:rFonts w:ascii="黑体" w:hAnsi="黑体" w:eastAsia="黑体" w:cs="黑体"/>
          <w:szCs w:val="21"/>
        </w:rPr>
      </w:pPr>
      <w:r>
        <w:rPr>
          <w:rFonts w:hint="eastAsia" w:ascii="黑体" w:hAnsi="黑体" w:eastAsia="黑体" w:cs="黑体"/>
          <w:szCs w:val="21"/>
        </w:rPr>
        <w:t>执行设备的一线诊断，排除故障和采取适当的行动；</w:t>
      </w:r>
    </w:p>
    <w:p>
      <w:pPr>
        <w:pStyle w:val="68"/>
        <w:numPr>
          <w:ilvl w:val="0"/>
          <w:numId w:val="30"/>
        </w:numPr>
        <w:tabs>
          <w:tab w:val="left" w:pos="426"/>
        </w:tabs>
        <w:spacing w:line="360" w:lineRule="auto"/>
        <w:ind w:left="420" w:hanging="278" w:firstLineChars="0"/>
        <w:rPr>
          <w:rFonts w:ascii="黑体" w:hAnsi="黑体" w:eastAsia="黑体" w:cs="黑体"/>
          <w:szCs w:val="21"/>
        </w:rPr>
      </w:pPr>
      <w:r>
        <w:rPr>
          <w:rFonts w:hint="eastAsia" w:ascii="黑体" w:hAnsi="黑体" w:eastAsia="黑体" w:cs="黑体"/>
          <w:szCs w:val="21"/>
        </w:rPr>
        <w:t>归档并向相关人员汇报设备问题，避免将来再次出现。</w:t>
      </w:r>
    </w:p>
    <w:p>
      <w:pPr>
        <w:pStyle w:val="68"/>
        <w:numPr>
          <w:ilvl w:val="0"/>
          <w:numId w:val="25"/>
        </w:numPr>
        <w:spacing w:line="360" w:lineRule="auto"/>
        <w:ind w:firstLineChars="0"/>
        <w:rPr>
          <w:rFonts w:ascii="黑体" w:hAnsi="黑体" w:eastAsia="黑体" w:cs="黑体"/>
          <w:szCs w:val="21"/>
        </w:rPr>
      </w:pPr>
      <w:r>
        <w:rPr>
          <w:rFonts w:hint="eastAsia" w:ascii="黑体" w:hAnsi="黑体" w:eastAsia="黑体" w:cs="黑体"/>
          <w:szCs w:val="21"/>
        </w:rPr>
        <w:t>故障维修要求</w:t>
      </w:r>
    </w:p>
    <w:p>
      <w:pPr>
        <w:pStyle w:val="68"/>
        <w:numPr>
          <w:ilvl w:val="0"/>
          <w:numId w:val="31"/>
        </w:numPr>
        <w:tabs>
          <w:tab w:val="left" w:pos="284"/>
        </w:tabs>
        <w:spacing w:line="360" w:lineRule="auto"/>
        <w:ind w:left="420" w:hanging="562" w:firstLineChars="0"/>
        <w:rPr>
          <w:rFonts w:ascii="黑体" w:hAnsi="黑体" w:eastAsia="黑体" w:cs="黑体"/>
          <w:szCs w:val="21"/>
        </w:rPr>
      </w:pPr>
      <w:r>
        <w:rPr>
          <w:rFonts w:hint="eastAsia" w:ascii="黑体" w:hAnsi="黑体" w:eastAsia="黑体" w:cs="黑体"/>
          <w:szCs w:val="21"/>
        </w:rPr>
        <w:t>成交供应商对于软件故障报修的响应时间需在1小时内，若电话中无法解决，需于4小时内到达现场进行维护；</w:t>
      </w:r>
    </w:p>
    <w:p>
      <w:pPr>
        <w:pStyle w:val="68"/>
        <w:numPr>
          <w:ilvl w:val="0"/>
          <w:numId w:val="31"/>
        </w:numPr>
        <w:tabs>
          <w:tab w:val="left" w:pos="284"/>
        </w:tabs>
        <w:spacing w:line="360" w:lineRule="auto"/>
        <w:ind w:left="420" w:hanging="562" w:firstLineChars="0"/>
        <w:rPr>
          <w:rFonts w:ascii="黑体" w:hAnsi="黑体" w:eastAsia="黑体" w:cs="黑体"/>
          <w:szCs w:val="21"/>
        </w:rPr>
      </w:pPr>
      <w:r>
        <w:rPr>
          <w:rFonts w:hint="eastAsia" w:ascii="黑体" w:hAnsi="黑体" w:eastAsia="黑体" w:cs="黑体"/>
          <w:szCs w:val="21"/>
        </w:rPr>
        <w:t>成交供应商需提供应用软件系统扩充、升级方面的技术支持服务；</w:t>
      </w:r>
    </w:p>
    <w:p>
      <w:pPr>
        <w:pStyle w:val="68"/>
        <w:numPr>
          <w:ilvl w:val="0"/>
          <w:numId w:val="31"/>
        </w:numPr>
        <w:tabs>
          <w:tab w:val="left" w:pos="284"/>
        </w:tabs>
        <w:spacing w:line="360" w:lineRule="auto"/>
        <w:ind w:left="420" w:hanging="562" w:firstLineChars="0"/>
        <w:rPr>
          <w:rFonts w:ascii="黑体" w:hAnsi="黑体" w:eastAsia="黑体" w:cs="黑体"/>
          <w:szCs w:val="21"/>
        </w:rPr>
      </w:pPr>
      <w:r>
        <w:rPr>
          <w:rFonts w:hint="eastAsia" w:ascii="黑体" w:hAnsi="黑体" w:eastAsia="黑体" w:cs="黑体"/>
          <w:szCs w:val="21"/>
        </w:rPr>
        <w:t>成交后负责派遣专业的实施工程师进行系统的安装调试，保证实施工作顺利进行；</w:t>
      </w:r>
    </w:p>
    <w:p>
      <w:pPr>
        <w:pStyle w:val="68"/>
        <w:numPr>
          <w:ilvl w:val="0"/>
          <w:numId w:val="31"/>
        </w:numPr>
        <w:tabs>
          <w:tab w:val="left" w:pos="284"/>
        </w:tabs>
        <w:spacing w:line="360" w:lineRule="auto"/>
        <w:ind w:left="420" w:hanging="562" w:firstLineChars="0"/>
        <w:rPr>
          <w:rFonts w:ascii="黑体" w:hAnsi="黑体" w:eastAsia="黑体" w:cs="黑体"/>
          <w:szCs w:val="21"/>
        </w:rPr>
      </w:pPr>
      <w:r>
        <w:rPr>
          <w:rFonts w:hint="eastAsia" w:ascii="黑体" w:hAnsi="黑体" w:eastAsia="黑体" w:cs="黑体"/>
          <w:szCs w:val="21"/>
        </w:rPr>
        <w:t>整体系统提</w:t>
      </w:r>
      <w:r>
        <w:rPr>
          <w:rFonts w:hint="eastAsia" w:ascii="黑体" w:hAnsi="黑体" w:eastAsia="黑体" w:cs="黑体"/>
          <w:color w:val="auto"/>
          <w:szCs w:val="21"/>
        </w:rPr>
        <w:t>供</w:t>
      </w:r>
      <w:r>
        <w:rPr>
          <w:rFonts w:hint="eastAsia" w:ascii="黑体" w:hAnsi="黑体" w:eastAsia="黑体" w:cs="黑体"/>
          <w:color w:val="auto"/>
          <w:szCs w:val="21"/>
          <w:lang w:val="en-US" w:eastAsia="zh-CN"/>
        </w:rPr>
        <w:t>12</w:t>
      </w:r>
      <w:r>
        <w:rPr>
          <w:rFonts w:hint="eastAsia" w:ascii="黑体" w:hAnsi="黑体" w:eastAsia="黑体" w:cs="黑体"/>
          <w:color w:val="auto"/>
          <w:szCs w:val="21"/>
        </w:rPr>
        <w:t>个月</w:t>
      </w:r>
      <w:r>
        <w:rPr>
          <w:rFonts w:hint="eastAsia" w:ascii="黑体" w:hAnsi="黑体" w:eastAsia="黑体" w:cs="黑体"/>
          <w:szCs w:val="21"/>
        </w:rPr>
        <w:t>质保期，保修期内提供软件升级服务，由此产生的费用均由成交供应商承担；</w:t>
      </w:r>
    </w:p>
    <w:p>
      <w:pPr>
        <w:pStyle w:val="68"/>
        <w:numPr>
          <w:ilvl w:val="0"/>
          <w:numId w:val="31"/>
        </w:numPr>
        <w:tabs>
          <w:tab w:val="left" w:pos="284"/>
        </w:tabs>
        <w:spacing w:line="360" w:lineRule="auto"/>
        <w:ind w:left="420" w:hanging="562" w:firstLineChars="0"/>
        <w:rPr>
          <w:rFonts w:ascii="黑体" w:hAnsi="黑体" w:eastAsia="黑体" w:cs="黑体"/>
          <w:szCs w:val="21"/>
        </w:rPr>
      </w:pPr>
      <w:r>
        <w:rPr>
          <w:rFonts w:hint="eastAsia" w:ascii="黑体" w:hAnsi="黑体" w:eastAsia="黑体" w:cs="黑体"/>
          <w:szCs w:val="21"/>
        </w:rPr>
        <w:t>质保期内，提供技术支持，包括远程网络在线支持、电话支持、网站支持及现场服务，产生的一切费用均由成交供应商承担；</w:t>
      </w:r>
    </w:p>
    <w:p>
      <w:pPr>
        <w:pStyle w:val="68"/>
        <w:numPr>
          <w:ilvl w:val="0"/>
          <w:numId w:val="31"/>
        </w:numPr>
        <w:tabs>
          <w:tab w:val="left" w:pos="284"/>
        </w:tabs>
        <w:spacing w:line="360" w:lineRule="auto"/>
        <w:ind w:left="420" w:hanging="562" w:firstLineChars="0"/>
        <w:rPr>
          <w:rFonts w:ascii="黑体" w:hAnsi="黑体" w:eastAsia="黑体" w:cs="黑体"/>
          <w:szCs w:val="21"/>
        </w:rPr>
      </w:pPr>
      <w:r>
        <w:rPr>
          <w:rFonts w:hint="eastAsia" w:ascii="黑体" w:hAnsi="黑体" w:eastAsia="黑体" w:cs="黑体"/>
          <w:szCs w:val="21"/>
        </w:rPr>
        <w:t>成交供应商对供应的设备提供</w:t>
      </w:r>
      <w:r>
        <w:rPr>
          <w:rFonts w:hint="eastAsia" w:ascii="黑体" w:hAnsi="黑体" w:eastAsia="黑体" w:cs="黑体"/>
          <w:szCs w:val="21"/>
          <w:lang w:val="en-US" w:eastAsia="zh-CN"/>
        </w:rPr>
        <w:t>12</w:t>
      </w:r>
      <w:r>
        <w:rPr>
          <w:rFonts w:hint="eastAsia" w:ascii="黑体" w:hAnsi="黑体" w:eastAsia="黑体" w:cs="黑体"/>
          <w:szCs w:val="21"/>
        </w:rPr>
        <w:t>个月的维修保养，保修期内提供原厂保修，维修费用由成交供应商承担；保养期内非采购人为造成的问题，成交供应商需包修、包换，产生的一切费用均由成交供应商承担；成交供应商未履行维修义务的，采购人可以自行维修或委托其他人维修，维修费用由成交供应商承担；</w:t>
      </w:r>
    </w:p>
    <w:p>
      <w:pPr>
        <w:pStyle w:val="68"/>
        <w:numPr>
          <w:ilvl w:val="0"/>
          <w:numId w:val="31"/>
        </w:numPr>
        <w:tabs>
          <w:tab w:val="left" w:pos="284"/>
        </w:tabs>
        <w:spacing w:line="360" w:lineRule="auto"/>
        <w:ind w:left="420" w:hanging="562" w:firstLineChars="0"/>
        <w:rPr>
          <w:rFonts w:ascii="黑体" w:hAnsi="黑体" w:eastAsia="黑体" w:cs="黑体"/>
          <w:szCs w:val="21"/>
        </w:rPr>
      </w:pPr>
      <w:r>
        <w:rPr>
          <w:rFonts w:hint="eastAsia" w:ascii="黑体" w:hAnsi="黑体" w:eastAsia="黑体" w:cs="黑体"/>
          <w:szCs w:val="21"/>
        </w:rPr>
        <w:t>硬件维修响应：响应时间为4小时内，365×24小时实时技术支持响应；</w:t>
      </w:r>
    </w:p>
    <w:p>
      <w:pPr>
        <w:pStyle w:val="68"/>
        <w:numPr>
          <w:ilvl w:val="0"/>
          <w:numId w:val="31"/>
        </w:numPr>
        <w:tabs>
          <w:tab w:val="left" w:pos="284"/>
        </w:tabs>
        <w:spacing w:line="360" w:lineRule="auto"/>
        <w:ind w:left="420" w:hanging="562" w:firstLineChars="0"/>
        <w:rPr>
          <w:rFonts w:ascii="黑体" w:hAnsi="黑体" w:eastAsia="黑体" w:cs="黑体"/>
          <w:szCs w:val="21"/>
        </w:rPr>
      </w:pPr>
      <w:r>
        <w:rPr>
          <w:rFonts w:hint="eastAsia" w:ascii="黑体" w:hAnsi="黑体" w:eastAsia="黑体" w:cs="黑体"/>
          <w:szCs w:val="21"/>
        </w:rPr>
        <w:t>成交供应商需对本次响应所提供的产品须均为厂家原厂原包装，符合国家质量认证和质量认证体系，并提供产品技术资料(包含安装说明书，产品装箱目录、产品口中文使用说明书、合格证及保修凭证等)；</w:t>
      </w:r>
    </w:p>
    <w:p>
      <w:pPr>
        <w:pStyle w:val="68"/>
        <w:numPr>
          <w:ilvl w:val="0"/>
          <w:numId w:val="31"/>
        </w:numPr>
        <w:tabs>
          <w:tab w:val="left" w:pos="284"/>
        </w:tabs>
        <w:spacing w:line="360" w:lineRule="auto"/>
        <w:ind w:left="420" w:hanging="562" w:firstLineChars="0"/>
        <w:rPr>
          <w:rFonts w:ascii="黑体" w:hAnsi="黑体" w:eastAsia="黑体" w:cs="黑体"/>
          <w:szCs w:val="21"/>
        </w:rPr>
      </w:pPr>
      <w:r>
        <w:rPr>
          <w:rFonts w:hint="eastAsia" w:ascii="黑体" w:hAnsi="黑体" w:eastAsia="黑体" w:cs="黑体"/>
          <w:szCs w:val="21"/>
        </w:rPr>
        <w:t>成交供应商提供的产品在保修期内出现故障，对于非设备性故障或一般性故障，保证4小时内派专业人员到达现场，及时予以解决。设备性故障，一方面在系统设计时，需尽量避免单点故障，保证故障在24小时内排除，如不能排除，为了不影响用户的工作，成交供应商需提供同类可用设备供用户单位替代使用，直到该设备修好为止，由此产生的费用均由成交供应商承担。</w:t>
      </w:r>
    </w:p>
    <w:p>
      <w:pPr>
        <w:pStyle w:val="68"/>
        <w:numPr>
          <w:ilvl w:val="0"/>
          <w:numId w:val="25"/>
        </w:numPr>
        <w:spacing w:line="360" w:lineRule="auto"/>
        <w:ind w:firstLineChars="0"/>
        <w:rPr>
          <w:rFonts w:ascii="黑体" w:hAnsi="黑体" w:eastAsia="黑体" w:cs="黑体"/>
          <w:szCs w:val="21"/>
        </w:rPr>
      </w:pPr>
      <w:r>
        <w:rPr>
          <w:rFonts w:hint="eastAsia" w:ascii="黑体" w:hAnsi="黑体" w:eastAsia="黑体" w:cs="黑体"/>
          <w:szCs w:val="21"/>
        </w:rPr>
        <w:t>供应商须针对本项目的采购需求（包括采购服务清单、具体技术服务内容等），提供对本项目采购需求（包括</w:t>
      </w:r>
      <w:r>
        <w:rPr>
          <w:rFonts w:hint="eastAsia" w:ascii="黑体" w:hAnsi="黑体" w:eastAsia="黑体" w:cs="黑体"/>
          <w:bCs/>
          <w:szCs w:val="21"/>
        </w:rPr>
        <w:t>对所设备系统的应用状况和使用特点的描述等</w:t>
      </w:r>
      <w:r>
        <w:rPr>
          <w:rFonts w:hint="eastAsia" w:ascii="黑体" w:hAnsi="黑体" w:eastAsia="黑体" w:cs="黑体"/>
          <w:szCs w:val="21"/>
        </w:rPr>
        <w:t>）的理解、分析及针对重点难点所提出的建议和方法。</w:t>
      </w:r>
    </w:p>
    <w:p>
      <w:pPr>
        <w:pStyle w:val="68"/>
        <w:numPr>
          <w:ilvl w:val="0"/>
          <w:numId w:val="25"/>
        </w:numPr>
        <w:spacing w:line="360" w:lineRule="auto"/>
        <w:ind w:firstLineChars="0"/>
        <w:rPr>
          <w:rFonts w:ascii="黑体" w:hAnsi="黑体" w:eastAsia="黑体" w:cs="黑体"/>
          <w:szCs w:val="21"/>
        </w:rPr>
      </w:pPr>
      <w:r>
        <w:rPr>
          <w:rFonts w:hint="eastAsia" w:ascii="黑体" w:hAnsi="黑体" w:eastAsia="黑体" w:cs="黑体"/>
          <w:szCs w:val="21"/>
        </w:rPr>
        <w:t>供应商须针对本项目采购需求特点，建立并完善质量保障方案（包括所投设备的操作难易及维护保养方案、</w:t>
      </w:r>
      <w:r>
        <w:rPr>
          <w:rFonts w:hint="eastAsia" w:ascii="黑体" w:hAnsi="黑体" w:eastAsia="黑体" w:cs="黑体"/>
          <w:bCs/>
          <w:szCs w:val="21"/>
        </w:rPr>
        <w:t>维修响应、</w:t>
      </w:r>
      <w:r>
        <w:rPr>
          <w:rFonts w:hint="eastAsia" w:ascii="黑体" w:hAnsi="黑体" w:eastAsia="黑体" w:cs="黑体"/>
          <w:szCs w:val="21"/>
        </w:rPr>
        <w:t>维护人员配备等）。</w:t>
      </w:r>
    </w:p>
    <w:p>
      <w:pPr>
        <w:pStyle w:val="68"/>
        <w:spacing w:line="360" w:lineRule="auto"/>
        <w:ind w:firstLine="0" w:firstLineChars="0"/>
        <w:rPr>
          <w:rFonts w:ascii="黑体" w:hAnsi="黑体" w:eastAsia="黑体" w:cs="黑体"/>
          <w:strike/>
          <w:color w:val="FF0000"/>
          <w:szCs w:val="21"/>
        </w:rPr>
      </w:pPr>
    </w:p>
    <w:bookmarkEnd w:id="13"/>
    <w:p>
      <w:pPr>
        <w:pStyle w:val="3"/>
        <w:keepNext w:val="0"/>
        <w:keepLines w:val="0"/>
        <w:pageBreakBefore/>
        <w:spacing w:before="300" w:after="240" w:line="360" w:lineRule="auto"/>
        <w:jc w:val="center"/>
        <w:rPr>
          <w:rFonts w:ascii="黑体" w:hAnsi="黑体" w:eastAsia="黑体" w:cs="黑体"/>
          <w:spacing w:val="20"/>
          <w:sz w:val="32"/>
          <w:szCs w:val="32"/>
        </w:rPr>
      </w:pPr>
      <w:bookmarkStart w:id="16" w:name="_Toc30955"/>
      <w:bookmarkStart w:id="17" w:name="_Toc31921"/>
      <w:r>
        <w:rPr>
          <w:rFonts w:hint="eastAsia" w:ascii="黑体" w:hAnsi="黑体" w:eastAsia="黑体" w:cs="黑体"/>
          <w:spacing w:val="20"/>
          <w:sz w:val="32"/>
          <w:szCs w:val="32"/>
        </w:rPr>
        <w:t xml:space="preserve">第三部分 </w:t>
      </w:r>
      <w:bookmarkStart w:id="18" w:name="_Hlk46679692"/>
      <w:r>
        <w:rPr>
          <w:rFonts w:hint="eastAsia" w:ascii="黑体" w:hAnsi="黑体" w:eastAsia="黑体" w:cs="黑体"/>
          <w:spacing w:val="20"/>
          <w:sz w:val="32"/>
          <w:szCs w:val="32"/>
        </w:rPr>
        <w:t>磋商须知前附表</w:t>
      </w:r>
      <w:bookmarkEnd w:id="16"/>
      <w:bookmarkEnd w:id="17"/>
      <w:bookmarkEnd w:id="18"/>
    </w:p>
    <w:p>
      <w:pPr>
        <w:tabs>
          <w:tab w:val="left" w:pos="426"/>
        </w:tabs>
        <w:spacing w:after="156" w:afterLines="50" w:line="360" w:lineRule="auto"/>
        <w:ind w:firstLine="420" w:firstLineChars="200"/>
        <w:rPr>
          <w:rFonts w:ascii="黑体" w:hAnsi="黑体" w:eastAsia="黑体" w:cs="黑体"/>
          <w:szCs w:val="21"/>
        </w:rPr>
      </w:pPr>
      <w:r>
        <w:rPr>
          <w:rFonts w:hint="eastAsia" w:ascii="黑体" w:hAnsi="黑体" w:eastAsia="黑体" w:cs="黑体"/>
          <w:szCs w:val="21"/>
        </w:rPr>
        <w:t>本表的条款项号是与磋商须知条款项号对应的，或增加的条款，是对第四部分《磋商须知》的补充、修改和完善，如果有矛盾的话，应以本表为准。</w:t>
      </w:r>
    </w:p>
    <w:tbl>
      <w:tblPr>
        <w:tblStyle w:val="2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8"/>
        <w:gridCol w:w="7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8" w:type="dxa"/>
            <w:vAlign w:val="center"/>
          </w:tcPr>
          <w:p>
            <w:pPr>
              <w:spacing w:line="360" w:lineRule="auto"/>
              <w:ind w:right="-183"/>
              <w:jc w:val="left"/>
              <w:rPr>
                <w:rFonts w:ascii="黑体" w:hAnsi="黑体" w:eastAsia="黑体" w:cs="黑体"/>
                <w:szCs w:val="21"/>
                <w:lang w:val="zh-CN"/>
              </w:rPr>
            </w:pPr>
            <w:r>
              <w:rPr>
                <w:rFonts w:hint="eastAsia" w:ascii="黑体" w:hAnsi="黑体" w:eastAsia="黑体" w:cs="黑体"/>
                <w:szCs w:val="21"/>
              </w:rPr>
              <w:t>条款项号</w:t>
            </w:r>
          </w:p>
        </w:tc>
        <w:tc>
          <w:tcPr>
            <w:tcW w:w="7474" w:type="dxa"/>
            <w:vAlign w:val="center"/>
          </w:tcPr>
          <w:p>
            <w:pPr>
              <w:spacing w:line="360" w:lineRule="auto"/>
              <w:ind w:right="-183"/>
              <w:jc w:val="center"/>
              <w:rPr>
                <w:rFonts w:ascii="黑体" w:hAnsi="黑体" w:eastAsia="黑体" w:cs="黑体"/>
                <w:spacing w:val="20"/>
                <w:szCs w:val="21"/>
              </w:rPr>
            </w:pPr>
            <w:r>
              <w:rPr>
                <w:rFonts w:hint="eastAsia" w:ascii="黑体" w:hAnsi="黑体" w:eastAsia="黑体" w:cs="黑体"/>
                <w:spacing w:val="20"/>
                <w:szCs w:val="21"/>
              </w:rPr>
              <w:t>对应或增加的条款内容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gridSpan w:val="2"/>
            <w:vAlign w:val="center"/>
          </w:tcPr>
          <w:p>
            <w:pPr>
              <w:spacing w:line="360" w:lineRule="auto"/>
              <w:ind w:right="-183"/>
              <w:rPr>
                <w:rFonts w:ascii="黑体" w:hAnsi="黑体" w:eastAsia="黑体" w:cs="黑体"/>
                <w:szCs w:val="21"/>
              </w:rPr>
            </w:pPr>
            <w:r>
              <w:rPr>
                <w:rFonts w:hint="eastAsia" w:ascii="黑体" w:hAnsi="黑体" w:eastAsia="黑体" w:cs="黑体"/>
                <w:szCs w:val="21"/>
              </w:rPr>
              <w:t>对第四部分《磋商须知》的修改及补充：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8" w:type="dxa"/>
            <w:vAlign w:val="center"/>
          </w:tcPr>
          <w:p>
            <w:pPr>
              <w:spacing w:line="360" w:lineRule="auto"/>
              <w:jc w:val="left"/>
              <w:rPr>
                <w:rFonts w:ascii="黑体" w:hAnsi="黑体" w:eastAsia="黑体" w:cs="黑体"/>
                <w:szCs w:val="21"/>
                <w:lang w:val="zh-CN"/>
              </w:rPr>
            </w:pPr>
            <w:r>
              <w:rPr>
                <w:rFonts w:hint="eastAsia" w:ascii="黑体" w:hAnsi="黑体" w:eastAsia="黑体" w:cs="黑体"/>
                <w:szCs w:val="21"/>
                <w:lang w:val="zh-CN"/>
              </w:rPr>
              <w:t>1.2</w:t>
            </w:r>
          </w:p>
        </w:tc>
        <w:tc>
          <w:tcPr>
            <w:tcW w:w="7474" w:type="dxa"/>
            <w:vAlign w:val="center"/>
          </w:tcPr>
          <w:p>
            <w:pPr>
              <w:spacing w:line="360" w:lineRule="auto"/>
              <w:ind w:right="-183"/>
              <w:rPr>
                <w:rFonts w:ascii="黑体" w:hAnsi="黑体" w:eastAsia="黑体" w:cs="黑体"/>
                <w:szCs w:val="21"/>
              </w:rPr>
            </w:pPr>
            <w:r>
              <w:rPr>
                <w:rFonts w:hint="eastAsia" w:ascii="黑体" w:hAnsi="黑体" w:eastAsia="黑体" w:cs="黑体"/>
                <w:szCs w:val="21"/>
              </w:rPr>
              <w:t>资金来源：</w:t>
            </w:r>
            <w:r>
              <w:rPr>
                <w:rFonts w:hint="eastAsia" w:ascii="黑体" w:hAnsi="黑体" w:eastAsia="黑体" w:cs="黑体"/>
                <w:szCs w:val="21"/>
                <w:lang w:val="en-US" w:eastAsia="zh-CN"/>
              </w:rPr>
              <w:t>自筹</w:t>
            </w:r>
            <w:r>
              <w:rPr>
                <w:rFonts w:hint="eastAsia" w:ascii="黑体" w:hAnsi="黑体" w:eastAsia="黑体" w:cs="黑体"/>
                <w:szCs w:val="21"/>
              </w:rPr>
              <w:t xml:space="preserve">资金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8" w:type="dxa"/>
            <w:vAlign w:val="center"/>
          </w:tcPr>
          <w:p>
            <w:pPr>
              <w:spacing w:line="360" w:lineRule="auto"/>
              <w:jc w:val="left"/>
              <w:rPr>
                <w:rFonts w:ascii="黑体" w:hAnsi="黑体" w:eastAsia="黑体" w:cs="黑体"/>
                <w:szCs w:val="21"/>
              </w:rPr>
            </w:pPr>
            <w:r>
              <w:rPr>
                <w:rFonts w:hint="eastAsia" w:ascii="黑体" w:hAnsi="黑体" w:eastAsia="黑体" w:cs="黑体"/>
                <w:szCs w:val="21"/>
              </w:rPr>
              <w:t>2.1</w:t>
            </w:r>
          </w:p>
        </w:tc>
        <w:tc>
          <w:tcPr>
            <w:tcW w:w="7474" w:type="dxa"/>
            <w:vAlign w:val="center"/>
          </w:tcPr>
          <w:p>
            <w:pPr>
              <w:spacing w:line="360" w:lineRule="auto"/>
              <w:ind w:right="-183"/>
              <w:rPr>
                <w:rFonts w:ascii="黑体" w:hAnsi="黑体" w:eastAsia="黑体" w:cs="黑体"/>
                <w:szCs w:val="21"/>
                <w:u w:val="single"/>
              </w:rPr>
            </w:pPr>
            <w:r>
              <w:rPr>
                <w:rFonts w:hint="eastAsia" w:ascii="黑体" w:hAnsi="黑体" w:eastAsia="黑体" w:cs="黑体"/>
                <w:szCs w:val="21"/>
              </w:rPr>
              <w:t>“采购人”是指：东莞市虎门中医院</w:t>
            </w:r>
          </w:p>
          <w:p>
            <w:pPr>
              <w:spacing w:line="360" w:lineRule="auto"/>
              <w:ind w:right="-183" w:firstLine="105" w:firstLineChars="50"/>
              <w:rPr>
                <w:rFonts w:ascii="黑体" w:hAnsi="黑体" w:eastAsia="黑体" w:cs="黑体"/>
                <w:szCs w:val="21"/>
              </w:rPr>
            </w:pPr>
            <w:r>
              <w:rPr>
                <w:rFonts w:hint="eastAsia" w:ascii="黑体" w:hAnsi="黑体" w:eastAsia="黑体" w:cs="黑体"/>
                <w:szCs w:val="21"/>
              </w:rPr>
              <w:t>采购人联系人：林小姐</w:t>
            </w:r>
          </w:p>
          <w:p>
            <w:pPr>
              <w:spacing w:line="360" w:lineRule="auto"/>
              <w:ind w:right="-183" w:firstLine="105" w:firstLineChars="50"/>
              <w:rPr>
                <w:rFonts w:ascii="黑体" w:hAnsi="黑体" w:eastAsia="黑体" w:cs="黑体"/>
                <w:szCs w:val="21"/>
              </w:rPr>
            </w:pPr>
            <w:r>
              <w:rPr>
                <w:rFonts w:hint="eastAsia" w:ascii="黑体" w:hAnsi="黑体" w:eastAsia="黑体" w:cs="黑体"/>
                <w:szCs w:val="21"/>
              </w:rPr>
              <w:t>电  话：（0769）38888338</w:t>
            </w:r>
          </w:p>
          <w:p>
            <w:pPr>
              <w:spacing w:line="360" w:lineRule="auto"/>
              <w:ind w:right="-183" w:firstLine="105" w:firstLineChars="50"/>
              <w:rPr>
                <w:rFonts w:ascii="黑体" w:hAnsi="黑体" w:eastAsia="黑体" w:cs="黑体"/>
                <w:szCs w:val="21"/>
              </w:rPr>
            </w:pPr>
            <w:r>
              <w:rPr>
                <w:rFonts w:hint="eastAsia" w:ascii="黑体" w:hAnsi="黑体" w:eastAsia="黑体" w:cs="黑体"/>
                <w:szCs w:val="21"/>
              </w:rPr>
              <w:t>地  址：东莞市虎门镇捷南路375号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8" w:type="dxa"/>
            <w:vAlign w:val="center"/>
          </w:tcPr>
          <w:p>
            <w:pPr>
              <w:spacing w:line="360" w:lineRule="auto"/>
              <w:jc w:val="left"/>
              <w:rPr>
                <w:rFonts w:ascii="黑体" w:hAnsi="黑体" w:eastAsia="黑体" w:cs="黑体"/>
                <w:szCs w:val="21"/>
              </w:rPr>
            </w:pPr>
            <w:r>
              <w:rPr>
                <w:rFonts w:hint="eastAsia" w:ascii="黑体" w:hAnsi="黑体" w:eastAsia="黑体" w:cs="黑体"/>
                <w:szCs w:val="21"/>
              </w:rPr>
              <w:t>2.2</w:t>
            </w:r>
          </w:p>
        </w:tc>
        <w:tc>
          <w:tcPr>
            <w:tcW w:w="7474" w:type="dxa"/>
            <w:vAlign w:val="center"/>
          </w:tcPr>
          <w:p>
            <w:pPr>
              <w:spacing w:line="360" w:lineRule="auto"/>
              <w:ind w:right="-183"/>
              <w:rPr>
                <w:rFonts w:ascii="黑体" w:hAnsi="黑体" w:eastAsia="黑体" w:cs="黑体"/>
                <w:szCs w:val="21"/>
              </w:rPr>
            </w:pPr>
            <w:r>
              <w:rPr>
                <w:rFonts w:hint="eastAsia" w:ascii="黑体" w:hAnsi="黑体" w:eastAsia="黑体" w:cs="黑体"/>
                <w:szCs w:val="21"/>
              </w:rPr>
              <w:t>“采购代理机构”是指：广东有德招标采购有限公司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8" w:type="dxa"/>
            <w:vAlign w:val="center"/>
          </w:tcPr>
          <w:p>
            <w:pPr>
              <w:spacing w:line="360" w:lineRule="auto"/>
              <w:ind w:right="-183"/>
              <w:jc w:val="left"/>
              <w:rPr>
                <w:rFonts w:ascii="黑体" w:hAnsi="黑体" w:eastAsia="黑体" w:cs="黑体"/>
                <w:szCs w:val="21"/>
              </w:rPr>
            </w:pPr>
            <w:r>
              <w:rPr>
                <w:rFonts w:hint="eastAsia" w:ascii="黑体" w:hAnsi="黑体" w:eastAsia="黑体" w:cs="黑体"/>
                <w:szCs w:val="21"/>
              </w:rPr>
              <w:t>9.1</w:t>
            </w:r>
          </w:p>
        </w:tc>
        <w:tc>
          <w:tcPr>
            <w:tcW w:w="7474" w:type="dxa"/>
            <w:vAlign w:val="center"/>
          </w:tcPr>
          <w:p>
            <w:pPr>
              <w:spacing w:line="360" w:lineRule="auto"/>
              <w:ind w:right="-181"/>
              <w:rPr>
                <w:rFonts w:ascii="黑体" w:hAnsi="黑体" w:eastAsia="黑体" w:cs="黑体"/>
                <w:bCs/>
                <w:szCs w:val="21"/>
              </w:rPr>
            </w:pPr>
            <w:r>
              <w:rPr>
                <w:rFonts w:hint="eastAsia" w:ascii="黑体" w:hAnsi="黑体" w:eastAsia="黑体" w:cs="黑体"/>
                <w:bCs/>
                <w:szCs w:val="21"/>
              </w:rPr>
              <w:t>答疑会或现场考察：本项目不集中举行答疑会或现场考察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8" w:type="dxa"/>
            <w:vAlign w:val="center"/>
          </w:tcPr>
          <w:p>
            <w:pPr>
              <w:spacing w:line="360" w:lineRule="auto"/>
              <w:ind w:right="-183"/>
              <w:jc w:val="left"/>
              <w:rPr>
                <w:rFonts w:ascii="黑体" w:hAnsi="黑体" w:eastAsia="黑体" w:cs="黑体"/>
                <w:bCs/>
                <w:spacing w:val="-4"/>
                <w:szCs w:val="21"/>
              </w:rPr>
            </w:pPr>
            <w:r>
              <w:rPr>
                <w:rFonts w:hint="eastAsia" w:ascii="黑体" w:hAnsi="黑体" w:eastAsia="黑体" w:cs="黑体"/>
                <w:bCs/>
                <w:spacing w:val="-4"/>
                <w:szCs w:val="21"/>
              </w:rPr>
              <w:t>17.1</w:t>
            </w:r>
          </w:p>
        </w:tc>
        <w:tc>
          <w:tcPr>
            <w:tcW w:w="7474" w:type="dxa"/>
            <w:vAlign w:val="center"/>
          </w:tcPr>
          <w:p>
            <w:pPr>
              <w:spacing w:line="360" w:lineRule="auto"/>
              <w:ind w:right="-183"/>
              <w:rPr>
                <w:rFonts w:ascii="黑体" w:hAnsi="黑体" w:eastAsia="黑体" w:cs="黑体"/>
                <w:bCs/>
                <w:spacing w:val="-4"/>
                <w:szCs w:val="21"/>
              </w:rPr>
            </w:pPr>
            <w:r>
              <w:rPr>
                <w:rFonts w:hint="eastAsia" w:ascii="黑体" w:hAnsi="黑体" w:eastAsia="黑体" w:cs="黑体"/>
                <w:bCs/>
                <w:spacing w:val="-4"/>
                <w:szCs w:val="21"/>
              </w:rPr>
              <w:t>供应商磋商时无须附有投标保证金。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8" w:type="dxa"/>
            <w:vAlign w:val="center"/>
          </w:tcPr>
          <w:p>
            <w:pPr>
              <w:spacing w:line="360" w:lineRule="auto"/>
              <w:jc w:val="left"/>
              <w:rPr>
                <w:rFonts w:ascii="黑体" w:hAnsi="黑体" w:eastAsia="黑体" w:cs="黑体"/>
                <w:szCs w:val="21"/>
                <w:lang w:val="zh-CN"/>
              </w:rPr>
            </w:pPr>
            <w:r>
              <w:rPr>
                <w:rFonts w:hint="eastAsia" w:ascii="黑体" w:hAnsi="黑体" w:eastAsia="黑体" w:cs="黑体"/>
                <w:szCs w:val="21"/>
                <w:lang w:val="zh-CN"/>
              </w:rPr>
              <w:t>18.1</w:t>
            </w:r>
          </w:p>
        </w:tc>
        <w:tc>
          <w:tcPr>
            <w:tcW w:w="7474" w:type="dxa"/>
            <w:vAlign w:val="center"/>
          </w:tcPr>
          <w:p>
            <w:pPr>
              <w:spacing w:line="360" w:lineRule="auto"/>
              <w:ind w:right="-40"/>
              <w:rPr>
                <w:rFonts w:ascii="黑体" w:hAnsi="黑体" w:eastAsia="黑体" w:cs="黑体"/>
                <w:szCs w:val="21"/>
                <w:lang w:val="zh-CN"/>
              </w:rPr>
            </w:pPr>
            <w:r>
              <w:rPr>
                <w:rFonts w:hint="eastAsia" w:ascii="黑体" w:hAnsi="黑体" w:eastAsia="黑体" w:cs="黑体"/>
                <w:szCs w:val="21"/>
                <w:lang w:val="zh-CN"/>
              </w:rPr>
              <w:t>磋商有效期：递交响应文件截止日后</w:t>
            </w:r>
            <w:r>
              <w:rPr>
                <w:rFonts w:hint="eastAsia" w:ascii="黑体" w:hAnsi="黑体" w:eastAsia="黑体" w:cs="黑体"/>
                <w:szCs w:val="21"/>
                <w:u w:val="single"/>
                <w:lang w:val="zh-CN"/>
              </w:rPr>
              <w:t xml:space="preserve"> 90 </w:t>
            </w:r>
            <w:r>
              <w:rPr>
                <w:rFonts w:hint="eastAsia" w:ascii="黑体" w:hAnsi="黑体" w:eastAsia="黑体" w:cs="黑体"/>
                <w:szCs w:val="21"/>
                <w:lang w:val="zh-CN"/>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8" w:type="dxa"/>
            <w:vAlign w:val="center"/>
          </w:tcPr>
          <w:p>
            <w:pPr>
              <w:spacing w:line="360" w:lineRule="auto"/>
              <w:jc w:val="left"/>
              <w:rPr>
                <w:rFonts w:ascii="黑体" w:hAnsi="黑体" w:eastAsia="黑体" w:cs="黑体"/>
                <w:szCs w:val="21"/>
                <w:lang w:val="zh-CN"/>
              </w:rPr>
            </w:pPr>
            <w:r>
              <w:rPr>
                <w:rFonts w:hint="eastAsia" w:ascii="黑体" w:hAnsi="黑体" w:eastAsia="黑体" w:cs="黑体"/>
                <w:szCs w:val="21"/>
                <w:lang w:val="zh-CN"/>
              </w:rPr>
              <w:t>19.1</w:t>
            </w:r>
          </w:p>
        </w:tc>
        <w:tc>
          <w:tcPr>
            <w:tcW w:w="7474" w:type="dxa"/>
            <w:vAlign w:val="center"/>
          </w:tcPr>
          <w:p>
            <w:pPr>
              <w:spacing w:line="360" w:lineRule="auto"/>
              <w:ind w:right="-4"/>
              <w:rPr>
                <w:rFonts w:ascii="黑体" w:hAnsi="黑体" w:eastAsia="黑体" w:cs="黑体"/>
                <w:szCs w:val="21"/>
                <w:lang w:val="zh-CN"/>
              </w:rPr>
            </w:pPr>
            <w:r>
              <w:rPr>
                <w:rFonts w:hint="eastAsia" w:ascii="黑体" w:hAnsi="黑体" w:eastAsia="黑体" w:cs="黑体"/>
                <w:szCs w:val="21"/>
                <w:lang w:val="zh-CN"/>
              </w:rPr>
              <w:t>响应文件份数：正本一份，副本</w:t>
            </w:r>
            <w:r>
              <w:rPr>
                <w:rFonts w:hint="eastAsia" w:ascii="黑体" w:hAnsi="黑体" w:eastAsia="黑体" w:cs="黑体"/>
                <w:szCs w:val="21"/>
              </w:rPr>
              <w:t>三</w:t>
            </w:r>
            <w:r>
              <w:rPr>
                <w:rFonts w:hint="eastAsia" w:ascii="黑体" w:hAnsi="黑体" w:eastAsia="黑体" w:cs="黑体"/>
                <w:szCs w:val="21"/>
                <w:lang w:val="zh-CN"/>
              </w:rPr>
              <w:t>份；电子文件：一份。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8" w:type="dxa"/>
            <w:vAlign w:val="center"/>
          </w:tcPr>
          <w:p>
            <w:pPr>
              <w:spacing w:line="360" w:lineRule="auto"/>
              <w:ind w:right="-4"/>
              <w:jc w:val="left"/>
              <w:rPr>
                <w:rFonts w:ascii="黑体" w:hAnsi="黑体" w:eastAsia="黑体" w:cs="黑体"/>
                <w:szCs w:val="21"/>
                <w:lang w:val="zh-CN"/>
              </w:rPr>
            </w:pPr>
            <w:r>
              <w:rPr>
                <w:rFonts w:hint="eastAsia" w:ascii="黑体" w:hAnsi="黑体" w:eastAsia="黑体" w:cs="黑体"/>
                <w:szCs w:val="21"/>
                <w:lang w:val="zh-CN"/>
              </w:rPr>
              <w:t>31.1</w:t>
            </w:r>
          </w:p>
        </w:tc>
        <w:tc>
          <w:tcPr>
            <w:tcW w:w="7474" w:type="dxa"/>
            <w:vAlign w:val="center"/>
          </w:tcPr>
          <w:p>
            <w:pPr>
              <w:spacing w:line="360" w:lineRule="auto"/>
              <w:ind w:right="-4"/>
              <w:rPr>
                <w:rFonts w:ascii="黑体" w:hAnsi="黑体" w:eastAsia="黑体" w:cs="黑体"/>
                <w:szCs w:val="21"/>
                <w:lang w:val="zh-CN"/>
              </w:rPr>
            </w:pPr>
            <w:r>
              <w:rPr>
                <w:rFonts w:hint="eastAsia" w:ascii="黑体" w:hAnsi="黑体" w:eastAsia="黑体" w:cs="黑体"/>
                <w:szCs w:val="21"/>
                <w:lang w:val="zh-CN"/>
              </w:rPr>
              <w:t>合同签订时间：自成交通知书发出之日起30日内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48" w:type="dxa"/>
            <w:vAlign w:val="center"/>
          </w:tcPr>
          <w:p>
            <w:pPr>
              <w:spacing w:line="360" w:lineRule="auto"/>
              <w:ind w:right="-4"/>
              <w:jc w:val="left"/>
              <w:rPr>
                <w:rFonts w:ascii="黑体" w:hAnsi="黑体" w:eastAsia="黑体" w:cs="黑体"/>
                <w:szCs w:val="21"/>
                <w:lang w:val="zh-CN"/>
              </w:rPr>
            </w:pPr>
            <w:r>
              <w:rPr>
                <w:rFonts w:hint="eastAsia" w:ascii="黑体" w:hAnsi="黑体" w:eastAsia="黑体" w:cs="黑体"/>
                <w:szCs w:val="21"/>
                <w:lang w:val="zh-CN"/>
              </w:rPr>
              <w:t>36.2</w:t>
            </w:r>
          </w:p>
        </w:tc>
        <w:tc>
          <w:tcPr>
            <w:tcW w:w="7474" w:type="dxa"/>
            <w:vAlign w:val="center"/>
          </w:tcPr>
          <w:p>
            <w:pPr>
              <w:spacing w:line="360" w:lineRule="auto"/>
              <w:ind w:right="-4"/>
              <w:rPr>
                <w:rFonts w:ascii="黑体" w:hAnsi="黑体" w:eastAsia="黑体" w:cs="黑体"/>
                <w:bCs/>
                <w:szCs w:val="21"/>
              </w:rPr>
            </w:pPr>
            <w:r>
              <w:rPr>
                <w:rFonts w:hint="eastAsia" w:ascii="黑体" w:hAnsi="黑体" w:eastAsia="黑体" w:cs="黑体"/>
                <w:bCs/>
                <w:szCs w:val="21"/>
              </w:rPr>
              <w:t>本项目类型为：</w:t>
            </w:r>
            <w:r>
              <w:rPr>
                <w:rFonts w:hint="eastAsia" w:ascii="黑体" w:hAnsi="黑体" w:eastAsia="黑体" w:cs="黑体"/>
                <w:bCs/>
                <w:szCs w:val="21"/>
                <w:u w:val="single"/>
              </w:rPr>
              <w:t>服务类</w:t>
            </w:r>
          </w:p>
        </w:tc>
      </w:tr>
    </w:tbl>
    <w:p>
      <w:pPr>
        <w:pStyle w:val="3"/>
        <w:keepNext w:val="0"/>
        <w:keepLines w:val="0"/>
        <w:pageBreakBefore/>
        <w:spacing w:before="300" w:after="240" w:line="360" w:lineRule="auto"/>
        <w:jc w:val="center"/>
        <w:rPr>
          <w:rFonts w:ascii="黑体" w:hAnsi="黑体" w:eastAsia="黑体"/>
          <w:spacing w:val="20"/>
          <w:sz w:val="32"/>
          <w:szCs w:val="32"/>
        </w:rPr>
      </w:pPr>
      <w:bookmarkStart w:id="19" w:name="_Toc22250"/>
      <w:r>
        <w:rPr>
          <w:rFonts w:hint="eastAsia" w:ascii="黑体" w:hAnsi="黑体" w:eastAsia="黑体"/>
          <w:spacing w:val="20"/>
          <w:sz w:val="32"/>
          <w:szCs w:val="32"/>
        </w:rPr>
        <w:t>第四部分 磋商须知</w:t>
      </w:r>
      <w:bookmarkEnd w:id="19"/>
    </w:p>
    <w:p>
      <w:pPr>
        <w:pStyle w:val="68"/>
        <w:numPr>
          <w:ilvl w:val="0"/>
          <w:numId w:val="32"/>
        </w:numPr>
        <w:spacing w:after="156" w:afterLines="50"/>
        <w:ind w:left="510" w:hanging="510" w:firstLineChars="0"/>
        <w:rPr>
          <w:rFonts w:ascii="黑体" w:hAnsi="黑体" w:eastAsia="黑体"/>
          <w:b/>
        </w:rPr>
      </w:pPr>
      <w:bookmarkStart w:id="20" w:name="_Toc410738932"/>
      <w:bookmarkStart w:id="21" w:name="_Toc416771321"/>
      <w:bookmarkStart w:id="22" w:name="_Toc416770211"/>
      <w:bookmarkStart w:id="23" w:name="_Toc502738624"/>
      <w:bookmarkStart w:id="24" w:name="_Toc293674590"/>
      <w:bookmarkStart w:id="25" w:name="_Toc410736132"/>
      <w:r>
        <w:rPr>
          <w:rFonts w:ascii="黑体" w:hAnsi="黑体" w:eastAsia="黑体"/>
          <w:b/>
        </w:rPr>
        <w:t>说 明</w:t>
      </w:r>
      <w:bookmarkEnd w:id="20"/>
      <w:bookmarkEnd w:id="21"/>
      <w:bookmarkEnd w:id="22"/>
      <w:bookmarkEnd w:id="23"/>
      <w:bookmarkEnd w:id="24"/>
      <w:bookmarkEnd w:id="25"/>
    </w:p>
    <w:p>
      <w:pPr>
        <w:numPr>
          <w:ilvl w:val="0"/>
          <w:numId w:val="33"/>
        </w:numPr>
        <w:tabs>
          <w:tab w:val="left" w:pos="567"/>
          <w:tab w:val="clear" w:pos="360"/>
        </w:tabs>
        <w:autoSpaceDE w:val="0"/>
        <w:autoSpaceDN w:val="0"/>
        <w:adjustRightInd w:val="0"/>
        <w:snapToGrid w:val="0"/>
        <w:spacing w:line="360" w:lineRule="auto"/>
        <w:ind w:left="567" w:hanging="567"/>
        <w:rPr>
          <w:rFonts w:ascii="黑体" w:hAnsi="黑体" w:eastAsia="黑体"/>
          <w:b/>
          <w:bCs/>
          <w:szCs w:val="21"/>
        </w:rPr>
      </w:pPr>
      <w:bookmarkStart w:id="26" w:name="_Toc416770212"/>
      <w:bookmarkStart w:id="27" w:name="_Toc410736133"/>
      <w:bookmarkStart w:id="28" w:name="_Toc416771322"/>
      <w:bookmarkStart w:id="29" w:name="_Toc410738933"/>
      <w:r>
        <w:rPr>
          <w:rFonts w:hint="eastAsia" w:ascii="黑体" w:hAnsi="黑体" w:eastAsia="黑体"/>
          <w:b/>
          <w:bCs/>
          <w:szCs w:val="21"/>
        </w:rPr>
        <w:t>适用范围</w:t>
      </w:r>
      <w:bookmarkEnd w:id="26"/>
      <w:bookmarkEnd w:id="27"/>
      <w:bookmarkEnd w:id="28"/>
      <w:bookmarkEnd w:id="29"/>
    </w:p>
    <w:p>
      <w:pPr>
        <w:pStyle w:val="68"/>
        <w:numPr>
          <w:ilvl w:val="0"/>
          <w:numId w:val="34"/>
        </w:numPr>
        <w:tabs>
          <w:tab w:val="left" w:pos="567"/>
          <w:tab w:val="left" w:pos="644"/>
        </w:tabs>
        <w:autoSpaceDE w:val="0"/>
        <w:autoSpaceDN w:val="0"/>
        <w:adjustRightInd w:val="0"/>
        <w:snapToGrid w:val="0"/>
        <w:spacing w:line="360" w:lineRule="auto"/>
        <w:ind w:hanging="704" w:firstLineChars="0"/>
        <w:jc w:val="left"/>
        <w:rPr>
          <w:rFonts w:ascii="黑体" w:hAnsi="黑体" w:eastAsia="黑体"/>
          <w:szCs w:val="21"/>
        </w:rPr>
      </w:pPr>
      <w:r>
        <w:rPr>
          <w:rFonts w:hint="eastAsia" w:ascii="黑体" w:hAnsi="黑体" w:eastAsia="黑体"/>
          <w:szCs w:val="21"/>
        </w:rPr>
        <w:t>本磋商文件适用于本磋商邀请中所述项目的政府采购。</w:t>
      </w:r>
    </w:p>
    <w:p>
      <w:pPr>
        <w:pStyle w:val="68"/>
        <w:numPr>
          <w:ilvl w:val="0"/>
          <w:numId w:val="34"/>
        </w:numPr>
        <w:tabs>
          <w:tab w:val="left" w:pos="567"/>
          <w:tab w:val="left" w:pos="644"/>
        </w:tabs>
        <w:autoSpaceDE w:val="0"/>
        <w:autoSpaceDN w:val="0"/>
        <w:adjustRightInd w:val="0"/>
        <w:snapToGrid w:val="0"/>
        <w:spacing w:line="360" w:lineRule="auto"/>
        <w:ind w:hanging="704" w:firstLineChars="0"/>
        <w:jc w:val="left"/>
        <w:rPr>
          <w:rFonts w:ascii="黑体" w:hAnsi="黑体" w:eastAsia="黑体"/>
          <w:szCs w:val="21"/>
        </w:rPr>
      </w:pPr>
      <w:r>
        <w:rPr>
          <w:rFonts w:hint="eastAsia" w:ascii="黑体" w:hAnsi="黑体" w:eastAsia="黑体"/>
          <w:szCs w:val="21"/>
        </w:rPr>
        <w:t>资金来源：</w:t>
      </w:r>
      <w:r>
        <w:rPr>
          <w:rFonts w:hint="eastAsia" w:ascii="黑体" w:hAnsi="黑体" w:eastAsia="黑体"/>
          <w:b/>
          <w:u w:val="single"/>
        </w:rPr>
        <w:t>（详见磋商须知前附表）</w:t>
      </w:r>
      <w:r>
        <w:rPr>
          <w:rFonts w:hint="eastAsia" w:ascii="黑体" w:hAnsi="黑体" w:eastAsia="黑体"/>
        </w:rPr>
        <w:t>。</w:t>
      </w:r>
    </w:p>
    <w:p>
      <w:pPr>
        <w:numPr>
          <w:ilvl w:val="0"/>
          <w:numId w:val="33"/>
        </w:numPr>
        <w:tabs>
          <w:tab w:val="left" w:pos="567"/>
          <w:tab w:val="clear" w:pos="360"/>
        </w:tabs>
        <w:autoSpaceDE w:val="0"/>
        <w:autoSpaceDN w:val="0"/>
        <w:spacing w:before="156" w:beforeLines="50" w:line="360" w:lineRule="auto"/>
        <w:ind w:left="567" w:hanging="567"/>
        <w:rPr>
          <w:rFonts w:ascii="黑体" w:hAnsi="黑体" w:eastAsia="黑体"/>
          <w:b/>
          <w:bCs/>
          <w:szCs w:val="21"/>
        </w:rPr>
      </w:pPr>
      <w:r>
        <w:rPr>
          <w:rFonts w:hint="eastAsia" w:ascii="黑体" w:hAnsi="黑体" w:eastAsia="黑体"/>
          <w:b/>
          <w:szCs w:val="21"/>
        </w:rPr>
        <w:t>定义</w:t>
      </w:r>
    </w:p>
    <w:p>
      <w:pPr>
        <w:pStyle w:val="68"/>
        <w:numPr>
          <w:ilvl w:val="0"/>
          <w:numId w:val="35"/>
        </w:numPr>
        <w:tabs>
          <w:tab w:val="left" w:pos="567"/>
          <w:tab w:val="left" w:pos="644"/>
        </w:tabs>
        <w:autoSpaceDE w:val="0"/>
        <w:autoSpaceDN w:val="0"/>
        <w:spacing w:line="360" w:lineRule="auto"/>
        <w:ind w:hanging="704" w:firstLineChars="0"/>
        <w:jc w:val="left"/>
        <w:rPr>
          <w:rFonts w:ascii="黑体" w:hAnsi="黑体" w:eastAsia="黑体" w:cs="宋体"/>
          <w:szCs w:val="21"/>
        </w:rPr>
      </w:pPr>
      <w:r>
        <w:rPr>
          <w:rFonts w:ascii="黑体" w:hAnsi="黑体" w:eastAsia="黑体"/>
        </w:rPr>
        <w:t>采购人是指</w:t>
      </w:r>
      <w:r>
        <w:rPr>
          <w:rFonts w:hint="eastAsia" w:ascii="黑体" w:hAnsi="黑体" w:eastAsia="黑体"/>
        </w:rPr>
        <w:t>依法进行政府采购的国家机关、事业单位、团体组织；</w:t>
      </w:r>
    </w:p>
    <w:p>
      <w:pPr>
        <w:pStyle w:val="68"/>
        <w:numPr>
          <w:ilvl w:val="0"/>
          <w:numId w:val="35"/>
        </w:numPr>
        <w:tabs>
          <w:tab w:val="left" w:pos="567"/>
          <w:tab w:val="left" w:pos="644"/>
        </w:tabs>
        <w:autoSpaceDE w:val="0"/>
        <w:autoSpaceDN w:val="0"/>
        <w:spacing w:line="360" w:lineRule="auto"/>
        <w:ind w:hanging="704" w:firstLineChars="0"/>
        <w:jc w:val="left"/>
        <w:rPr>
          <w:rFonts w:ascii="黑体" w:hAnsi="黑体" w:eastAsia="黑体"/>
          <w:szCs w:val="21"/>
        </w:rPr>
      </w:pPr>
      <w:bookmarkStart w:id="30" w:name="_Toc410738935"/>
      <w:bookmarkStart w:id="31" w:name="_Toc410736135"/>
      <w:r>
        <w:rPr>
          <w:rFonts w:hint="eastAsia" w:ascii="黑体" w:hAnsi="黑体" w:eastAsia="黑体"/>
        </w:rPr>
        <w:t>采购代理机构是指按照规定办理名录登记并通过审核的代理机构；</w:t>
      </w:r>
    </w:p>
    <w:p>
      <w:pPr>
        <w:pStyle w:val="68"/>
        <w:numPr>
          <w:ilvl w:val="0"/>
          <w:numId w:val="35"/>
        </w:numPr>
        <w:tabs>
          <w:tab w:val="left" w:pos="567"/>
          <w:tab w:val="left" w:pos="644"/>
        </w:tabs>
        <w:autoSpaceDE w:val="0"/>
        <w:autoSpaceDN w:val="0"/>
        <w:spacing w:line="360" w:lineRule="auto"/>
        <w:ind w:hanging="704" w:firstLineChars="0"/>
        <w:jc w:val="left"/>
        <w:rPr>
          <w:rFonts w:ascii="黑体" w:hAnsi="黑体" w:eastAsia="黑体"/>
          <w:szCs w:val="21"/>
        </w:rPr>
      </w:pPr>
      <w:r>
        <w:rPr>
          <w:rFonts w:ascii="黑体" w:hAnsi="黑体" w:eastAsia="黑体"/>
        </w:rPr>
        <w:t>合格的供应商</w:t>
      </w:r>
      <w:r>
        <w:rPr>
          <w:rFonts w:hint="eastAsia" w:ascii="黑体" w:hAnsi="黑体" w:eastAsia="黑体"/>
        </w:rPr>
        <w:t>是指：详见《第一部分磋商邀请》申请人的资格要求；</w:t>
      </w:r>
    </w:p>
    <w:p>
      <w:pPr>
        <w:pStyle w:val="68"/>
        <w:numPr>
          <w:ilvl w:val="0"/>
          <w:numId w:val="35"/>
        </w:numPr>
        <w:tabs>
          <w:tab w:val="left" w:pos="567"/>
          <w:tab w:val="left" w:pos="644"/>
        </w:tabs>
        <w:autoSpaceDE w:val="0"/>
        <w:autoSpaceDN w:val="0"/>
        <w:spacing w:line="360" w:lineRule="auto"/>
        <w:ind w:hanging="704" w:firstLineChars="0"/>
        <w:jc w:val="left"/>
        <w:rPr>
          <w:rFonts w:ascii="黑体" w:hAnsi="黑体" w:eastAsia="黑体"/>
          <w:szCs w:val="21"/>
        </w:rPr>
      </w:pPr>
      <w:r>
        <w:rPr>
          <w:rFonts w:hint="eastAsia" w:ascii="黑体" w:hAnsi="黑体" w:eastAsia="黑体"/>
        </w:rPr>
        <w:t>成交供应商</w:t>
      </w:r>
      <w:r>
        <w:rPr>
          <w:rFonts w:ascii="黑体" w:hAnsi="黑体" w:eastAsia="黑体"/>
        </w:rPr>
        <w:t>是指经</w:t>
      </w:r>
      <w:r>
        <w:rPr>
          <w:rFonts w:hint="eastAsia" w:ascii="黑体" w:hAnsi="黑体" w:eastAsia="黑体"/>
        </w:rPr>
        <w:t>法定程序确定</w:t>
      </w:r>
      <w:r>
        <w:rPr>
          <w:rFonts w:ascii="黑体" w:hAnsi="黑体" w:eastAsia="黑体"/>
        </w:rPr>
        <w:t>并</w:t>
      </w:r>
      <w:r>
        <w:rPr>
          <w:rFonts w:hint="eastAsia" w:ascii="黑体" w:hAnsi="黑体" w:eastAsia="黑体"/>
        </w:rPr>
        <w:t>授予</w:t>
      </w:r>
      <w:r>
        <w:rPr>
          <w:rFonts w:ascii="黑体" w:hAnsi="黑体" w:eastAsia="黑体"/>
        </w:rPr>
        <w:t>合同的供应商</w:t>
      </w:r>
      <w:r>
        <w:rPr>
          <w:rFonts w:hint="eastAsia" w:ascii="黑体" w:hAnsi="黑体" w:eastAsia="黑体"/>
        </w:rPr>
        <w:t>。</w:t>
      </w:r>
    </w:p>
    <w:bookmarkEnd w:id="30"/>
    <w:bookmarkEnd w:id="31"/>
    <w:p>
      <w:pPr>
        <w:numPr>
          <w:ilvl w:val="0"/>
          <w:numId w:val="33"/>
        </w:numPr>
        <w:tabs>
          <w:tab w:val="left" w:pos="640"/>
          <w:tab w:val="clear" w:pos="360"/>
        </w:tabs>
        <w:autoSpaceDE w:val="0"/>
        <w:autoSpaceDN w:val="0"/>
        <w:spacing w:before="156" w:beforeLines="50" w:line="360" w:lineRule="auto"/>
        <w:ind w:left="567" w:hanging="567"/>
        <w:rPr>
          <w:rFonts w:ascii="黑体" w:hAnsi="黑体" w:eastAsia="黑体"/>
          <w:b/>
          <w:bCs/>
          <w:szCs w:val="21"/>
        </w:rPr>
      </w:pPr>
      <w:bookmarkStart w:id="32" w:name="_Toc416771325"/>
      <w:bookmarkStart w:id="33" w:name="_Toc416770215"/>
      <w:bookmarkStart w:id="34" w:name="_Toc381027664"/>
      <w:r>
        <w:rPr>
          <w:rFonts w:hint="eastAsia" w:ascii="黑体" w:hAnsi="黑体" w:eastAsia="黑体"/>
          <w:b/>
          <w:bCs/>
          <w:szCs w:val="21"/>
        </w:rPr>
        <w:t>合格的货物和服务</w:t>
      </w:r>
      <w:bookmarkEnd w:id="32"/>
      <w:bookmarkEnd w:id="33"/>
      <w:bookmarkEnd w:id="34"/>
    </w:p>
    <w:p>
      <w:pPr>
        <w:pStyle w:val="68"/>
        <w:numPr>
          <w:ilvl w:val="0"/>
          <w:numId w:val="36"/>
        </w:numPr>
        <w:tabs>
          <w:tab w:val="left" w:pos="567"/>
        </w:tabs>
        <w:autoSpaceDE w:val="0"/>
        <w:autoSpaceDN w:val="0"/>
        <w:spacing w:line="360" w:lineRule="auto"/>
        <w:ind w:left="567" w:hanging="567" w:firstLineChars="0"/>
        <w:jc w:val="left"/>
        <w:rPr>
          <w:rFonts w:ascii="黑体" w:hAnsi="黑体" w:eastAsia="黑体"/>
          <w:szCs w:val="21"/>
        </w:rPr>
      </w:pPr>
      <w:r>
        <w:rPr>
          <w:rFonts w:hint="eastAsia" w:ascii="黑体" w:hAnsi="黑体" w:eastAsia="黑体"/>
          <w:szCs w:val="21"/>
        </w:rPr>
        <w:t>货物：是指供应商制造或组织符合磋商文件要求的货物等。所投的货物必须是其合法生产、合法来源的符合国家有关标准要求的货物，并满足磋商文件规定的规格、参数、质量、价格、有效期、售后服务等要求。</w:t>
      </w:r>
    </w:p>
    <w:p>
      <w:pPr>
        <w:pStyle w:val="68"/>
        <w:numPr>
          <w:ilvl w:val="0"/>
          <w:numId w:val="36"/>
        </w:numPr>
        <w:tabs>
          <w:tab w:val="left" w:pos="567"/>
        </w:tabs>
        <w:autoSpaceDE w:val="0"/>
        <w:autoSpaceDN w:val="0"/>
        <w:spacing w:line="360" w:lineRule="auto"/>
        <w:ind w:left="567" w:hanging="567" w:firstLineChars="0"/>
        <w:jc w:val="left"/>
        <w:rPr>
          <w:rFonts w:ascii="黑体" w:hAnsi="黑体" w:eastAsia="黑体"/>
          <w:szCs w:val="21"/>
        </w:rPr>
      </w:pPr>
      <w:r>
        <w:rPr>
          <w:rFonts w:hint="eastAsia" w:ascii="黑体" w:hAnsi="黑体" w:eastAsia="黑体"/>
          <w:szCs w:val="21"/>
        </w:rPr>
        <w:t>服务：是指供应商按磋商文件规定完成的全部服务内容，其中包括完成服务所需的货物，及须承担的技术支持、培训和其它伴随服务。</w:t>
      </w:r>
    </w:p>
    <w:p>
      <w:pPr>
        <w:pStyle w:val="68"/>
        <w:numPr>
          <w:ilvl w:val="0"/>
          <w:numId w:val="36"/>
        </w:numPr>
        <w:tabs>
          <w:tab w:val="left" w:pos="567"/>
        </w:tabs>
        <w:autoSpaceDE w:val="0"/>
        <w:autoSpaceDN w:val="0"/>
        <w:spacing w:line="360" w:lineRule="auto"/>
        <w:ind w:left="567" w:hanging="567" w:firstLineChars="0"/>
        <w:jc w:val="left"/>
        <w:rPr>
          <w:rFonts w:ascii="黑体" w:hAnsi="黑体" w:eastAsia="黑体"/>
          <w:szCs w:val="21"/>
        </w:rPr>
      </w:pPr>
      <w:r>
        <w:rPr>
          <w:rFonts w:hint="eastAsia" w:ascii="黑体" w:hAnsi="黑体" w:eastAsia="黑体"/>
          <w:szCs w:val="21"/>
        </w:rPr>
        <w:t>工程：是指建设工程，包括建筑物和构筑物的新建、改建、扩建、装修、拆除、修缮等。</w:t>
      </w:r>
    </w:p>
    <w:p>
      <w:pPr>
        <w:pStyle w:val="68"/>
        <w:numPr>
          <w:ilvl w:val="0"/>
          <w:numId w:val="36"/>
        </w:numPr>
        <w:tabs>
          <w:tab w:val="left" w:pos="567"/>
        </w:tabs>
        <w:autoSpaceDE w:val="0"/>
        <w:autoSpaceDN w:val="0"/>
        <w:spacing w:line="360" w:lineRule="auto"/>
        <w:ind w:left="567" w:hanging="567" w:firstLineChars="0"/>
        <w:jc w:val="left"/>
        <w:rPr>
          <w:rFonts w:ascii="黑体" w:hAnsi="黑体" w:eastAsia="黑体"/>
          <w:szCs w:val="21"/>
        </w:rPr>
      </w:pPr>
      <w:r>
        <w:rPr>
          <w:rFonts w:hint="eastAsia" w:ascii="黑体" w:hAnsi="黑体" w:eastAsia="黑体"/>
          <w:bCs/>
          <w:szCs w:val="21"/>
        </w:rPr>
        <w:t>政府采购应当采购本国产品，确需采购进口产品（是指通过中国海关报关验放进入中国境内且产自关境外的产品）的，</w:t>
      </w:r>
      <w:bookmarkStart w:id="35" w:name="_Toc211763038"/>
      <w:r>
        <w:rPr>
          <w:rFonts w:hint="eastAsia" w:ascii="黑体" w:hAnsi="黑体" w:eastAsia="黑体"/>
          <w:bCs/>
          <w:szCs w:val="21"/>
        </w:rPr>
        <w:t>应当获得财政部门核准。本项目依据《政府采购进口产品管理办法</w:t>
      </w:r>
      <w:bookmarkEnd w:id="35"/>
      <w:r>
        <w:rPr>
          <w:rFonts w:hint="eastAsia" w:ascii="黑体" w:hAnsi="黑体" w:eastAsia="黑体"/>
          <w:bCs/>
          <w:szCs w:val="21"/>
        </w:rPr>
        <w:t>》优先采购向我国企业转让技术、与我国企业签订消化吸收再创新方案的供应商的进口产品。</w:t>
      </w:r>
    </w:p>
    <w:p>
      <w:pPr>
        <w:pStyle w:val="68"/>
        <w:numPr>
          <w:ilvl w:val="0"/>
          <w:numId w:val="36"/>
        </w:numPr>
        <w:tabs>
          <w:tab w:val="left" w:pos="567"/>
        </w:tabs>
        <w:autoSpaceDE w:val="0"/>
        <w:autoSpaceDN w:val="0"/>
        <w:spacing w:line="360" w:lineRule="auto"/>
        <w:ind w:left="567" w:hanging="567" w:firstLineChars="0"/>
        <w:jc w:val="left"/>
        <w:rPr>
          <w:rFonts w:ascii="黑体" w:hAnsi="黑体" w:eastAsia="黑体"/>
          <w:szCs w:val="21"/>
        </w:rPr>
      </w:pPr>
      <w:r>
        <w:rPr>
          <w:rFonts w:hint="eastAsia" w:ascii="黑体" w:hAnsi="黑体" w:eastAsia="黑体"/>
          <w:bCs/>
          <w:szCs w:val="21"/>
        </w:rPr>
        <w:t>若磋商产品属于政府强制采购节能产品的，则供应商必须提供该产品国家强制性节能产品进行响应，并提供有效的中国节能产品认证证书，否则视为无效响应。</w:t>
      </w:r>
    </w:p>
    <w:p>
      <w:pPr>
        <w:pStyle w:val="68"/>
        <w:numPr>
          <w:ilvl w:val="0"/>
          <w:numId w:val="36"/>
        </w:numPr>
        <w:tabs>
          <w:tab w:val="left" w:pos="567"/>
        </w:tabs>
        <w:autoSpaceDE w:val="0"/>
        <w:autoSpaceDN w:val="0"/>
        <w:spacing w:line="360" w:lineRule="auto"/>
        <w:ind w:left="567" w:hanging="567" w:firstLineChars="0"/>
        <w:jc w:val="left"/>
        <w:rPr>
          <w:rFonts w:ascii="黑体" w:hAnsi="黑体" w:eastAsia="黑体"/>
          <w:szCs w:val="21"/>
        </w:rPr>
      </w:pPr>
      <w:r>
        <w:rPr>
          <w:rFonts w:hint="eastAsia" w:ascii="黑体" w:hAnsi="黑体" w:eastAsia="黑体"/>
          <w:szCs w:val="21"/>
        </w:rPr>
        <w:t>供应商提供的所有货物、服务或工程，其质量、技术等特征必须符合国家、行业现行法律、法规的相关标准和《中华人民共和国政府采购法》等有关规定。</w:t>
      </w:r>
    </w:p>
    <w:p>
      <w:pPr>
        <w:pStyle w:val="68"/>
        <w:numPr>
          <w:ilvl w:val="0"/>
          <w:numId w:val="36"/>
        </w:numPr>
        <w:tabs>
          <w:tab w:val="left" w:pos="567"/>
        </w:tabs>
        <w:autoSpaceDE w:val="0"/>
        <w:autoSpaceDN w:val="0"/>
        <w:spacing w:line="360" w:lineRule="auto"/>
        <w:ind w:left="567" w:hanging="567" w:firstLineChars="0"/>
        <w:jc w:val="left"/>
        <w:rPr>
          <w:rFonts w:ascii="黑体" w:hAnsi="黑体" w:eastAsia="黑体"/>
          <w:szCs w:val="21"/>
        </w:rPr>
      </w:pPr>
      <w:r>
        <w:rPr>
          <w:rFonts w:hint="eastAsia" w:ascii="黑体" w:hAnsi="黑体" w:eastAsia="黑体"/>
          <w:szCs w:val="21"/>
        </w:rPr>
        <w:t>采购人有权拒绝接受任何不合格的服务或工程，由此产生的费用及相关后果均由供应商自行承担。</w:t>
      </w:r>
    </w:p>
    <w:p>
      <w:pPr>
        <w:pStyle w:val="68"/>
        <w:numPr>
          <w:ilvl w:val="0"/>
          <w:numId w:val="36"/>
        </w:numPr>
        <w:tabs>
          <w:tab w:val="left" w:pos="567"/>
        </w:tabs>
        <w:autoSpaceDE w:val="0"/>
        <w:autoSpaceDN w:val="0"/>
        <w:spacing w:line="360" w:lineRule="auto"/>
        <w:ind w:left="567" w:hanging="567" w:firstLineChars="0"/>
        <w:jc w:val="left"/>
        <w:rPr>
          <w:rFonts w:ascii="黑体" w:hAnsi="黑体" w:eastAsia="黑体"/>
          <w:szCs w:val="21"/>
        </w:rPr>
      </w:pPr>
      <w:r>
        <w:rPr>
          <w:rFonts w:hint="eastAsia" w:ascii="黑体" w:hAnsi="黑体" w:eastAsia="黑体"/>
          <w:szCs w:val="21"/>
        </w:rPr>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pPr>
        <w:numPr>
          <w:ilvl w:val="0"/>
          <w:numId w:val="33"/>
        </w:numPr>
        <w:tabs>
          <w:tab w:val="left" w:pos="567"/>
          <w:tab w:val="clear" w:pos="360"/>
        </w:tabs>
        <w:autoSpaceDE w:val="0"/>
        <w:autoSpaceDN w:val="0"/>
        <w:spacing w:before="312" w:beforeLines="100" w:line="360" w:lineRule="auto"/>
        <w:ind w:left="567" w:hanging="567"/>
        <w:rPr>
          <w:rFonts w:ascii="黑体" w:hAnsi="黑体" w:eastAsia="黑体"/>
          <w:b/>
          <w:bCs/>
          <w:szCs w:val="21"/>
        </w:rPr>
      </w:pPr>
      <w:bookmarkStart w:id="36" w:name="_Toc410736137"/>
      <w:bookmarkStart w:id="37" w:name="_Toc416771326"/>
      <w:bookmarkStart w:id="38" w:name="_Toc416770216"/>
      <w:bookmarkStart w:id="39" w:name="_Toc410738937"/>
      <w:r>
        <w:rPr>
          <w:rFonts w:hint="eastAsia" w:ascii="黑体" w:hAnsi="黑体" w:eastAsia="黑体"/>
          <w:b/>
          <w:bCs/>
          <w:szCs w:val="21"/>
        </w:rPr>
        <w:t>磋商费用</w:t>
      </w:r>
      <w:bookmarkEnd w:id="36"/>
      <w:bookmarkEnd w:id="37"/>
      <w:bookmarkEnd w:id="38"/>
      <w:bookmarkEnd w:id="39"/>
    </w:p>
    <w:p>
      <w:pPr>
        <w:pStyle w:val="68"/>
        <w:numPr>
          <w:ilvl w:val="0"/>
          <w:numId w:val="37"/>
        </w:numPr>
        <w:tabs>
          <w:tab w:val="left" w:pos="567"/>
        </w:tabs>
        <w:autoSpaceDE w:val="0"/>
        <w:autoSpaceDN w:val="0"/>
        <w:spacing w:line="360" w:lineRule="auto"/>
        <w:ind w:left="567" w:hanging="567" w:firstLineChars="0"/>
        <w:jc w:val="left"/>
        <w:rPr>
          <w:rFonts w:ascii="黑体" w:hAnsi="黑体" w:eastAsia="黑体" w:cs="宋体"/>
          <w:szCs w:val="21"/>
        </w:rPr>
      </w:pPr>
      <w:r>
        <w:rPr>
          <w:rFonts w:hint="eastAsia" w:ascii="黑体" w:hAnsi="黑体" w:eastAsia="黑体"/>
          <w:szCs w:val="21"/>
        </w:rPr>
        <w:t>供应商应承担所有与准备和参加磋商有关的费用</w:t>
      </w:r>
      <w:r>
        <w:rPr>
          <w:rFonts w:hint="eastAsia" w:ascii="黑体" w:hAnsi="黑体" w:eastAsia="黑体" w:cs="宋体"/>
          <w:szCs w:val="21"/>
          <w:lang w:eastAsia="zh-TW"/>
        </w:rPr>
        <w:t>。不论磋商的结果如何</w:t>
      </w:r>
      <w:r>
        <w:rPr>
          <w:rFonts w:hint="eastAsia" w:ascii="黑体" w:hAnsi="黑体" w:eastAsia="黑体" w:cs="宋体"/>
          <w:szCs w:val="21"/>
        </w:rPr>
        <w:t>，</w:t>
      </w:r>
      <w:r>
        <w:rPr>
          <w:rFonts w:hint="eastAsia" w:ascii="黑体" w:hAnsi="黑体" w:eastAsia="黑体" w:cs="宋体"/>
          <w:szCs w:val="21"/>
          <w:lang w:eastAsia="zh-TW"/>
        </w:rPr>
        <w:t>采购人均无义务和责任承担这些费用</w:t>
      </w:r>
      <w:r>
        <w:rPr>
          <w:rFonts w:hint="eastAsia" w:ascii="黑体" w:hAnsi="黑体" w:eastAsia="黑体" w:cs="宋体"/>
          <w:szCs w:val="21"/>
        </w:rPr>
        <w:t>。</w:t>
      </w:r>
      <w:bookmarkStart w:id="40" w:name="_Toc315793298"/>
    </w:p>
    <w:bookmarkEnd w:id="40"/>
    <w:p>
      <w:pPr>
        <w:numPr>
          <w:ilvl w:val="0"/>
          <w:numId w:val="33"/>
        </w:numPr>
        <w:tabs>
          <w:tab w:val="clear" w:pos="360"/>
        </w:tabs>
        <w:autoSpaceDE w:val="0"/>
        <w:autoSpaceDN w:val="0"/>
        <w:spacing w:before="312" w:beforeLines="100" w:line="360" w:lineRule="auto"/>
        <w:ind w:left="567" w:hanging="567"/>
        <w:rPr>
          <w:rFonts w:ascii="黑体" w:hAnsi="黑体" w:eastAsia="黑体"/>
          <w:b/>
          <w:bCs/>
          <w:szCs w:val="21"/>
        </w:rPr>
      </w:pPr>
      <w:r>
        <w:rPr>
          <w:rFonts w:hint="eastAsia" w:ascii="黑体" w:hAnsi="黑体" w:eastAsia="黑体"/>
          <w:b/>
          <w:bCs/>
          <w:szCs w:val="21"/>
        </w:rPr>
        <w:t>政府采购信用担保（本项目不设投标保证金）</w:t>
      </w:r>
    </w:p>
    <w:p>
      <w:pPr>
        <w:pStyle w:val="68"/>
        <w:numPr>
          <w:ilvl w:val="0"/>
          <w:numId w:val="38"/>
        </w:numPr>
        <w:tabs>
          <w:tab w:val="left" w:pos="567"/>
        </w:tabs>
        <w:autoSpaceDE w:val="0"/>
        <w:autoSpaceDN w:val="0"/>
        <w:spacing w:line="360" w:lineRule="auto"/>
        <w:ind w:left="567" w:hanging="567" w:firstLineChars="0"/>
        <w:rPr>
          <w:rFonts w:ascii="黑体" w:hAnsi="黑体" w:eastAsia="黑体"/>
          <w:b/>
          <w:bCs/>
          <w:szCs w:val="21"/>
        </w:rPr>
      </w:pPr>
      <w:r>
        <w:rPr>
          <w:rFonts w:hint="eastAsia" w:ascii="黑体" w:hAnsi="黑体" w:eastAsia="黑体"/>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pPr>
        <w:pStyle w:val="68"/>
        <w:numPr>
          <w:ilvl w:val="0"/>
          <w:numId w:val="38"/>
        </w:numPr>
        <w:tabs>
          <w:tab w:val="left" w:pos="567"/>
        </w:tabs>
        <w:autoSpaceDE w:val="0"/>
        <w:autoSpaceDN w:val="0"/>
        <w:spacing w:line="360" w:lineRule="auto"/>
        <w:ind w:left="567" w:hanging="567" w:firstLineChars="0"/>
        <w:rPr>
          <w:rFonts w:ascii="黑体" w:hAnsi="黑体" w:eastAsia="黑体"/>
          <w:b/>
          <w:bCs/>
          <w:szCs w:val="21"/>
        </w:rPr>
      </w:pPr>
      <w:r>
        <w:rPr>
          <w:rFonts w:hint="eastAsia" w:ascii="黑体" w:hAnsi="黑体" w:eastAsia="黑体"/>
          <w:bCs/>
          <w:szCs w:val="21"/>
        </w:rPr>
        <w:t>根据《政府采购法实施条例》的规定，允许并授受供应商以专业担保机构出具的担保函的形式交纳投标保证金或履约保证金。供应商提交专业担保机构出具的投标担保函的，不得再要求其提供银行资信证明等类似文件。</w:t>
      </w:r>
    </w:p>
    <w:p>
      <w:pPr>
        <w:pStyle w:val="68"/>
        <w:numPr>
          <w:ilvl w:val="0"/>
          <w:numId w:val="38"/>
        </w:numPr>
        <w:tabs>
          <w:tab w:val="left" w:pos="567"/>
        </w:tabs>
        <w:autoSpaceDE w:val="0"/>
        <w:autoSpaceDN w:val="0"/>
        <w:spacing w:line="360" w:lineRule="auto"/>
        <w:ind w:left="567" w:hanging="567" w:firstLineChars="0"/>
        <w:rPr>
          <w:rFonts w:ascii="黑体" w:hAnsi="黑体" w:eastAsia="黑体"/>
          <w:b/>
          <w:bCs/>
          <w:szCs w:val="21"/>
        </w:rPr>
      </w:pPr>
      <w:r>
        <w:rPr>
          <w:rFonts w:hint="eastAsia" w:ascii="黑体" w:hAnsi="黑体" w:eastAsia="黑体"/>
          <w:bCs/>
          <w:szCs w:val="21"/>
        </w:rPr>
        <w:t>担保品种</w:t>
      </w:r>
    </w:p>
    <w:p>
      <w:pPr>
        <w:pStyle w:val="68"/>
        <w:numPr>
          <w:ilvl w:val="0"/>
          <w:numId w:val="39"/>
        </w:numPr>
        <w:tabs>
          <w:tab w:val="left" w:pos="360"/>
          <w:tab w:val="left" w:pos="720"/>
        </w:tabs>
        <w:autoSpaceDE w:val="0"/>
        <w:autoSpaceDN w:val="0"/>
        <w:spacing w:line="360" w:lineRule="auto"/>
        <w:ind w:hanging="704" w:firstLineChars="0"/>
        <w:jc w:val="left"/>
        <w:rPr>
          <w:rFonts w:ascii="黑体" w:hAnsi="黑体" w:eastAsia="黑体"/>
          <w:b/>
          <w:bCs/>
          <w:szCs w:val="21"/>
        </w:rPr>
      </w:pPr>
      <w:r>
        <w:rPr>
          <w:rFonts w:hint="eastAsia" w:ascii="黑体" w:hAnsi="黑体" w:eastAsia="黑体"/>
          <w:bCs/>
          <w:szCs w:val="21"/>
        </w:rPr>
        <w:t>投标担保，是指由担保机构为供应商交纳投标保证金向采购人或采购代理机构提供的保证担保。供应商在磋商有效期内撤回响应文件或成交后不签订政府采购合同的，由担保机构按照担保函的约定履行支付投标保证金的责任。</w:t>
      </w:r>
    </w:p>
    <w:p>
      <w:pPr>
        <w:pStyle w:val="68"/>
        <w:numPr>
          <w:ilvl w:val="0"/>
          <w:numId w:val="39"/>
        </w:numPr>
        <w:tabs>
          <w:tab w:val="left" w:pos="360"/>
          <w:tab w:val="left" w:pos="720"/>
        </w:tabs>
        <w:autoSpaceDE w:val="0"/>
        <w:autoSpaceDN w:val="0"/>
        <w:spacing w:line="360" w:lineRule="auto"/>
        <w:ind w:hanging="704" w:firstLineChars="0"/>
        <w:jc w:val="left"/>
        <w:rPr>
          <w:rFonts w:ascii="黑体" w:hAnsi="黑体" w:eastAsia="黑体"/>
          <w:b/>
          <w:bCs/>
          <w:szCs w:val="21"/>
        </w:rPr>
      </w:pPr>
      <w:r>
        <w:rPr>
          <w:rFonts w:hint="eastAsia" w:ascii="黑体" w:hAnsi="黑体" w:eastAsia="黑体"/>
          <w:bCs/>
          <w:szCs w:val="21"/>
        </w:rPr>
        <w:t>履约担保，是指由担保机构为供应商交纳履约保证金向采购人或采购代理机构提供的保证担保。供应商未按政府采购合同履行约定义务的，由担保机构按照担保函约定履行支付履约保证金的责任。</w:t>
      </w:r>
    </w:p>
    <w:p>
      <w:pPr>
        <w:pStyle w:val="68"/>
        <w:numPr>
          <w:ilvl w:val="0"/>
          <w:numId w:val="39"/>
        </w:numPr>
        <w:tabs>
          <w:tab w:val="left" w:pos="360"/>
          <w:tab w:val="left" w:pos="720"/>
        </w:tabs>
        <w:autoSpaceDE w:val="0"/>
        <w:autoSpaceDN w:val="0"/>
        <w:spacing w:line="360" w:lineRule="auto"/>
        <w:ind w:hanging="704" w:firstLineChars="0"/>
        <w:jc w:val="left"/>
        <w:rPr>
          <w:rFonts w:ascii="黑体" w:hAnsi="黑体" w:eastAsia="黑体"/>
          <w:b/>
          <w:bCs/>
          <w:szCs w:val="21"/>
        </w:rPr>
      </w:pPr>
      <w:r>
        <w:rPr>
          <w:rFonts w:hint="eastAsia" w:ascii="黑体" w:hAnsi="黑体" w:eastAsia="黑体"/>
          <w:bCs/>
          <w:szCs w:val="21"/>
        </w:rPr>
        <w:t>融资担保，是指担保机构为供应商向银行融资提供的保证担保。</w:t>
      </w:r>
    </w:p>
    <w:p>
      <w:pPr>
        <w:pStyle w:val="68"/>
        <w:numPr>
          <w:ilvl w:val="0"/>
          <w:numId w:val="38"/>
        </w:numPr>
        <w:tabs>
          <w:tab w:val="left" w:pos="567"/>
        </w:tabs>
        <w:autoSpaceDE w:val="0"/>
        <w:autoSpaceDN w:val="0"/>
        <w:spacing w:line="360" w:lineRule="auto"/>
        <w:ind w:left="567" w:hanging="567" w:firstLineChars="0"/>
        <w:rPr>
          <w:rFonts w:ascii="黑体" w:hAnsi="黑体" w:eastAsia="黑体"/>
          <w:b/>
          <w:bCs/>
          <w:szCs w:val="21"/>
        </w:rPr>
      </w:pPr>
      <w:r>
        <w:rPr>
          <w:rFonts w:hint="eastAsia" w:ascii="黑体" w:hAnsi="黑体" w:eastAsia="黑体"/>
          <w:bCs/>
          <w:szCs w:val="21"/>
        </w:rPr>
        <w:t>供应商可以以投标担保函、履约担保函形式缴纳保证金。</w:t>
      </w:r>
    </w:p>
    <w:p>
      <w:pPr>
        <w:numPr>
          <w:ilvl w:val="0"/>
          <w:numId w:val="33"/>
        </w:numPr>
        <w:tabs>
          <w:tab w:val="clear" w:pos="360"/>
        </w:tabs>
        <w:autoSpaceDE w:val="0"/>
        <w:autoSpaceDN w:val="0"/>
        <w:spacing w:before="312" w:beforeLines="100" w:line="360" w:lineRule="auto"/>
        <w:ind w:left="567" w:hanging="567"/>
        <w:rPr>
          <w:rFonts w:ascii="黑体" w:hAnsi="黑体" w:eastAsia="黑体"/>
          <w:b/>
          <w:bCs/>
          <w:szCs w:val="21"/>
        </w:rPr>
      </w:pPr>
      <w:r>
        <w:rPr>
          <w:rFonts w:hint="eastAsia" w:ascii="黑体" w:hAnsi="黑体" w:eastAsia="黑体"/>
          <w:b/>
          <w:bCs/>
          <w:szCs w:val="21"/>
        </w:rPr>
        <w:t>其他</w:t>
      </w:r>
    </w:p>
    <w:p>
      <w:pPr>
        <w:pStyle w:val="68"/>
        <w:numPr>
          <w:ilvl w:val="0"/>
          <w:numId w:val="40"/>
        </w:numPr>
        <w:tabs>
          <w:tab w:val="left" w:pos="567"/>
        </w:tabs>
        <w:autoSpaceDE w:val="0"/>
        <w:autoSpaceDN w:val="0"/>
        <w:spacing w:line="360" w:lineRule="auto"/>
        <w:ind w:left="567" w:hanging="567" w:firstLineChars="0"/>
        <w:rPr>
          <w:rFonts w:ascii="黑体" w:hAnsi="黑体" w:eastAsia="黑体" w:cs="宋体"/>
          <w:szCs w:val="21"/>
          <w:lang w:eastAsia="zh-TW"/>
        </w:rPr>
      </w:pPr>
      <w:r>
        <w:rPr>
          <w:rFonts w:hint="eastAsia" w:ascii="黑体" w:hAnsi="黑体" w:eastAsia="黑体" w:cs="宋体"/>
          <w:szCs w:val="21"/>
          <w:lang w:eastAsia="zh-TW"/>
        </w:rPr>
        <w:t>所有时间均为24小时制北京时间，所有货币单位均为人民币元，所使用的计量单位均以《中华人民共和国法定计量单位》为准（特别注明除外）</w:t>
      </w:r>
      <w:r>
        <w:rPr>
          <w:rFonts w:hint="eastAsia" w:ascii="黑体" w:hAnsi="黑体" w:eastAsia="黑体" w:cs="宋体"/>
          <w:szCs w:val="21"/>
        </w:rPr>
        <w:t>。</w:t>
      </w:r>
    </w:p>
    <w:p>
      <w:pPr>
        <w:pStyle w:val="68"/>
        <w:numPr>
          <w:ilvl w:val="0"/>
          <w:numId w:val="40"/>
        </w:numPr>
        <w:tabs>
          <w:tab w:val="left" w:pos="567"/>
        </w:tabs>
        <w:autoSpaceDE w:val="0"/>
        <w:autoSpaceDN w:val="0"/>
        <w:spacing w:line="360" w:lineRule="auto"/>
        <w:ind w:left="567" w:hanging="567" w:firstLineChars="0"/>
        <w:rPr>
          <w:rFonts w:ascii="黑体" w:hAnsi="黑体" w:eastAsia="黑体" w:cs="宋体"/>
          <w:szCs w:val="21"/>
          <w:lang w:eastAsia="zh-TW"/>
        </w:rPr>
      </w:pPr>
      <w:r>
        <w:rPr>
          <w:rFonts w:hint="eastAsia" w:ascii="黑体" w:hAnsi="黑体" w:eastAsia="黑体" w:cs="宋体"/>
          <w:szCs w:val="21"/>
          <w:lang w:eastAsia="zh-TW"/>
        </w:rPr>
        <w:t>供应商向我司咨询的有关项目事项，一切以法律法规的规定和本公司书面答复为准，其他一切形式均为个人意见，不代表本公司的意见。</w:t>
      </w:r>
    </w:p>
    <w:p>
      <w:pPr>
        <w:pStyle w:val="68"/>
        <w:numPr>
          <w:ilvl w:val="0"/>
          <w:numId w:val="32"/>
        </w:numPr>
        <w:spacing w:before="312" w:beforeLines="100" w:after="156" w:afterLines="50"/>
        <w:ind w:left="510" w:hanging="510" w:firstLineChars="0"/>
        <w:rPr>
          <w:rFonts w:ascii="黑体" w:hAnsi="黑体" w:eastAsia="黑体"/>
          <w:b/>
        </w:rPr>
      </w:pPr>
      <w:r>
        <w:rPr>
          <w:rFonts w:hint="eastAsia" w:ascii="黑体" w:hAnsi="黑体" w:eastAsia="黑体"/>
          <w:b/>
        </w:rPr>
        <w:t>磋商文件</w:t>
      </w:r>
    </w:p>
    <w:p>
      <w:pPr>
        <w:numPr>
          <w:ilvl w:val="0"/>
          <w:numId w:val="33"/>
        </w:numPr>
        <w:tabs>
          <w:tab w:val="left" w:pos="567"/>
          <w:tab w:val="clear" w:pos="360"/>
        </w:tabs>
        <w:autoSpaceDE w:val="0"/>
        <w:autoSpaceDN w:val="0"/>
        <w:spacing w:line="360" w:lineRule="auto"/>
        <w:ind w:left="0" w:firstLine="0"/>
        <w:rPr>
          <w:rFonts w:ascii="黑体" w:hAnsi="黑体" w:eastAsia="黑体"/>
          <w:b/>
          <w:bCs/>
        </w:rPr>
      </w:pPr>
      <w:bookmarkStart w:id="41" w:name="_Toc416770218"/>
      <w:bookmarkStart w:id="42" w:name="_Toc410736140"/>
      <w:bookmarkStart w:id="43" w:name="_Toc410738940"/>
      <w:bookmarkStart w:id="44" w:name="_Toc416771328"/>
      <w:r>
        <w:rPr>
          <w:rFonts w:hint="eastAsia" w:ascii="黑体" w:hAnsi="黑体" w:eastAsia="黑体"/>
          <w:b/>
          <w:bCs/>
        </w:rPr>
        <w:t>磋商文件的编制依据与构成</w:t>
      </w:r>
      <w:bookmarkEnd w:id="41"/>
      <w:bookmarkEnd w:id="42"/>
      <w:bookmarkEnd w:id="43"/>
      <w:bookmarkEnd w:id="44"/>
    </w:p>
    <w:p>
      <w:pPr>
        <w:pStyle w:val="68"/>
        <w:numPr>
          <w:ilvl w:val="0"/>
          <w:numId w:val="41"/>
        </w:numPr>
        <w:tabs>
          <w:tab w:val="left" w:pos="567"/>
          <w:tab w:val="left" w:pos="993"/>
          <w:tab w:val="left" w:pos="1134"/>
        </w:tabs>
        <w:autoSpaceDE w:val="0"/>
        <w:autoSpaceDN w:val="0"/>
        <w:spacing w:line="360" w:lineRule="auto"/>
        <w:ind w:left="567" w:hanging="567" w:firstLineChars="0"/>
        <w:jc w:val="left"/>
        <w:rPr>
          <w:rFonts w:ascii="黑体" w:hAnsi="黑体" w:eastAsia="黑体"/>
        </w:rPr>
      </w:pPr>
      <w:r>
        <w:rPr>
          <w:rFonts w:hint="eastAsia" w:ascii="黑体" w:hAnsi="黑体" w:eastAsia="黑体"/>
        </w:rPr>
        <w:t>本磋商文件的编制参考《中华人民共和国政府采购法》及其实施条例、</w:t>
      </w:r>
      <w:r>
        <w:rPr>
          <w:rFonts w:ascii="黑体" w:hAnsi="黑体" w:eastAsia="黑体"/>
        </w:rPr>
        <w:t>《政府采购</w:t>
      </w:r>
      <w:r>
        <w:rPr>
          <w:rFonts w:hint="eastAsia" w:ascii="黑体" w:hAnsi="黑体" w:eastAsia="黑体"/>
        </w:rPr>
        <w:t>竞争</w:t>
      </w:r>
      <w:r>
        <w:rPr>
          <w:rFonts w:ascii="黑体" w:hAnsi="黑体" w:eastAsia="黑体"/>
        </w:rPr>
        <w:t>性磋商采购方式</w:t>
      </w:r>
      <w:r>
        <w:rPr>
          <w:rFonts w:hint="eastAsia" w:ascii="黑体" w:hAnsi="黑体" w:eastAsia="黑体"/>
        </w:rPr>
        <w:t>管理暂行办</w:t>
      </w:r>
      <w:r>
        <w:rPr>
          <w:rFonts w:ascii="黑体" w:hAnsi="黑体" w:eastAsia="黑体"/>
        </w:rPr>
        <w:t>法》</w:t>
      </w:r>
      <w:r>
        <w:rPr>
          <w:rFonts w:hint="eastAsia" w:ascii="黑体" w:hAnsi="黑体" w:eastAsia="黑体"/>
        </w:rPr>
        <w:t>及其配套的法规、规章、政策。</w:t>
      </w:r>
    </w:p>
    <w:p>
      <w:pPr>
        <w:pStyle w:val="68"/>
        <w:numPr>
          <w:ilvl w:val="0"/>
          <w:numId w:val="41"/>
        </w:numPr>
        <w:tabs>
          <w:tab w:val="left" w:pos="567"/>
          <w:tab w:val="left" w:pos="993"/>
          <w:tab w:val="left" w:pos="1134"/>
        </w:tabs>
        <w:autoSpaceDE w:val="0"/>
        <w:autoSpaceDN w:val="0"/>
        <w:spacing w:line="360" w:lineRule="auto"/>
        <w:ind w:left="567" w:hanging="567" w:firstLineChars="0"/>
        <w:jc w:val="left"/>
        <w:rPr>
          <w:rFonts w:ascii="黑体" w:hAnsi="黑体" w:eastAsia="黑体"/>
        </w:rPr>
      </w:pPr>
      <w:r>
        <w:rPr>
          <w:rFonts w:hint="eastAsia" w:ascii="黑体" w:hAnsi="黑体" w:eastAsia="黑体"/>
        </w:rPr>
        <w:t>要求提供的货物或服务或工程</w:t>
      </w:r>
      <w:r>
        <w:rPr>
          <w:rFonts w:hint="eastAsia" w:ascii="黑体" w:hAnsi="黑体" w:eastAsia="黑体" w:cs="宋体"/>
          <w:lang w:eastAsia="zh-TW"/>
        </w:rPr>
        <w:t>、</w:t>
      </w:r>
      <w:r>
        <w:rPr>
          <w:rFonts w:hint="eastAsia" w:ascii="黑体" w:hAnsi="黑体" w:eastAsia="黑体" w:cs="宋体"/>
        </w:rPr>
        <w:t>采购</w:t>
      </w:r>
      <w:r>
        <w:rPr>
          <w:rFonts w:hint="eastAsia" w:ascii="黑体" w:hAnsi="黑体" w:eastAsia="黑体" w:cs="宋体"/>
          <w:lang w:eastAsia="zh-TW"/>
        </w:rPr>
        <w:t>过程和合同条件在磋商文件中均有说明。磋商文件以中文文字编写。磋商文件共</w:t>
      </w:r>
      <w:r>
        <w:rPr>
          <w:rFonts w:hint="eastAsia" w:ascii="黑体" w:hAnsi="黑体" w:eastAsia="黑体" w:cs="宋体"/>
        </w:rPr>
        <w:t>七部分，由下列文件以及在采购过程中发出的澄清、修改和补充文件组成，</w:t>
      </w:r>
      <w:r>
        <w:rPr>
          <w:rFonts w:hint="eastAsia" w:ascii="黑体" w:hAnsi="黑体" w:eastAsia="黑体" w:cs="宋体"/>
          <w:lang w:eastAsia="zh-TW"/>
        </w:rPr>
        <w:t>内容如下</w:t>
      </w:r>
      <w:r>
        <w:rPr>
          <w:rFonts w:hint="eastAsia" w:ascii="黑体" w:hAnsi="黑体" w:eastAsia="黑体" w:cs="宋体"/>
        </w:rPr>
        <w:t>：</w:t>
      </w:r>
    </w:p>
    <w:p>
      <w:pPr>
        <w:spacing w:line="360" w:lineRule="auto"/>
        <w:ind w:firstLine="567" w:firstLineChars="270"/>
        <w:rPr>
          <w:rFonts w:ascii="黑体" w:hAnsi="黑体" w:eastAsia="黑体" w:cs="宋体"/>
        </w:rPr>
      </w:pPr>
      <w:r>
        <w:rPr>
          <w:rFonts w:hint="eastAsia" w:ascii="黑体" w:hAnsi="黑体" w:eastAsia="黑体" w:cs="宋体"/>
        </w:rPr>
        <w:t xml:space="preserve">第一部分 </w:t>
      </w:r>
      <w:r>
        <w:rPr>
          <w:rFonts w:hint="eastAsia" w:ascii="黑体" w:hAnsi="黑体" w:eastAsia="黑体" w:cs="宋体"/>
          <w:lang w:eastAsia="zh-TW"/>
        </w:rPr>
        <w:t>磋商邀请</w:t>
      </w:r>
    </w:p>
    <w:p>
      <w:pPr>
        <w:spacing w:line="360" w:lineRule="auto"/>
        <w:ind w:firstLine="567" w:firstLineChars="270"/>
        <w:rPr>
          <w:rFonts w:ascii="黑体" w:hAnsi="黑体" w:eastAsia="黑体"/>
        </w:rPr>
      </w:pPr>
      <w:r>
        <w:rPr>
          <w:rFonts w:hint="eastAsia" w:ascii="黑体" w:hAnsi="黑体" w:eastAsia="黑体" w:cs="宋体"/>
        </w:rPr>
        <w:t>第二部分 采购需求</w:t>
      </w:r>
    </w:p>
    <w:p>
      <w:pPr>
        <w:spacing w:line="360" w:lineRule="auto"/>
        <w:ind w:firstLine="567" w:firstLineChars="270"/>
        <w:rPr>
          <w:rFonts w:ascii="黑体" w:hAnsi="黑体" w:eastAsia="黑体" w:cs="宋体"/>
        </w:rPr>
      </w:pPr>
      <w:r>
        <w:rPr>
          <w:rFonts w:hint="eastAsia" w:ascii="黑体" w:hAnsi="黑体" w:eastAsia="黑体" w:cs="宋体"/>
        </w:rPr>
        <w:t xml:space="preserve">第三部分 </w:t>
      </w:r>
      <w:r>
        <w:rPr>
          <w:rFonts w:hint="eastAsia" w:ascii="黑体" w:hAnsi="黑体" w:eastAsia="黑体" w:cs="宋体"/>
          <w:lang w:eastAsia="zh-TW"/>
        </w:rPr>
        <w:t>磋商</w:t>
      </w:r>
      <w:r>
        <w:rPr>
          <w:rFonts w:hint="eastAsia" w:ascii="黑体" w:hAnsi="黑体" w:eastAsia="黑体" w:cs="宋体"/>
        </w:rPr>
        <w:t>须知前附表</w:t>
      </w:r>
    </w:p>
    <w:p>
      <w:pPr>
        <w:spacing w:line="360" w:lineRule="auto"/>
        <w:ind w:firstLine="567" w:firstLineChars="270"/>
        <w:rPr>
          <w:rFonts w:ascii="黑体" w:hAnsi="黑体" w:eastAsia="黑体"/>
        </w:rPr>
      </w:pPr>
      <w:r>
        <w:rPr>
          <w:rFonts w:hint="eastAsia" w:ascii="黑体" w:hAnsi="黑体" w:eastAsia="黑体" w:cs="宋体"/>
        </w:rPr>
        <w:t>第四部分 磋商</w:t>
      </w:r>
      <w:r>
        <w:rPr>
          <w:rFonts w:hint="eastAsia" w:ascii="黑体" w:hAnsi="黑体" w:eastAsia="黑体" w:cs="宋体"/>
          <w:lang w:eastAsia="zh-TW"/>
        </w:rPr>
        <w:t>须知</w:t>
      </w:r>
    </w:p>
    <w:p>
      <w:pPr>
        <w:spacing w:line="360" w:lineRule="auto"/>
        <w:ind w:firstLine="567" w:firstLineChars="270"/>
        <w:rPr>
          <w:rFonts w:ascii="黑体" w:hAnsi="黑体" w:eastAsia="黑体"/>
        </w:rPr>
      </w:pPr>
      <w:r>
        <w:rPr>
          <w:rFonts w:hint="eastAsia" w:ascii="黑体" w:hAnsi="黑体" w:eastAsia="黑体" w:cs="宋体"/>
        </w:rPr>
        <w:t xml:space="preserve">第五部分 </w:t>
      </w:r>
      <w:r>
        <w:rPr>
          <w:rFonts w:hint="eastAsia" w:ascii="黑体" w:hAnsi="黑体" w:eastAsia="黑体" w:cs="宋体"/>
          <w:lang w:eastAsia="zh-TW"/>
        </w:rPr>
        <w:t>评审方法、步骤、标准</w:t>
      </w:r>
    </w:p>
    <w:p>
      <w:pPr>
        <w:spacing w:line="360" w:lineRule="auto"/>
        <w:ind w:firstLine="567" w:firstLineChars="270"/>
        <w:rPr>
          <w:rFonts w:ascii="黑体" w:hAnsi="黑体" w:eastAsia="黑体"/>
        </w:rPr>
      </w:pPr>
      <w:r>
        <w:rPr>
          <w:rFonts w:hint="eastAsia" w:ascii="黑体" w:hAnsi="黑体" w:eastAsia="黑体" w:cs="宋体"/>
        </w:rPr>
        <w:t xml:space="preserve">第六部分 </w:t>
      </w:r>
      <w:r>
        <w:rPr>
          <w:rFonts w:hint="eastAsia" w:ascii="黑体" w:hAnsi="黑体" w:eastAsia="黑体" w:cs="宋体"/>
          <w:lang w:eastAsia="zh-TW"/>
        </w:rPr>
        <w:t>合同书格式</w:t>
      </w:r>
    </w:p>
    <w:p>
      <w:pPr>
        <w:spacing w:line="360" w:lineRule="auto"/>
        <w:ind w:firstLine="567" w:firstLineChars="270"/>
        <w:rPr>
          <w:rFonts w:ascii="黑体" w:hAnsi="黑体" w:eastAsia="黑体" w:cs="宋体"/>
          <w:lang w:eastAsia="zh-TW"/>
        </w:rPr>
      </w:pPr>
      <w:r>
        <w:rPr>
          <w:rFonts w:hint="eastAsia" w:ascii="黑体" w:hAnsi="黑体" w:eastAsia="黑体" w:cs="宋体"/>
          <w:lang w:eastAsia="zh-TW"/>
        </w:rPr>
        <w:t>第</w:t>
      </w:r>
      <w:r>
        <w:rPr>
          <w:rFonts w:hint="eastAsia" w:ascii="黑体" w:hAnsi="黑体" w:eastAsia="黑体" w:cs="宋体"/>
        </w:rPr>
        <w:t>七部分 响应文件格式</w:t>
      </w:r>
    </w:p>
    <w:p>
      <w:pPr>
        <w:pStyle w:val="68"/>
        <w:numPr>
          <w:ilvl w:val="0"/>
          <w:numId w:val="41"/>
        </w:numPr>
        <w:tabs>
          <w:tab w:val="left" w:pos="567"/>
          <w:tab w:val="left" w:pos="993"/>
          <w:tab w:val="left" w:pos="1134"/>
        </w:tabs>
        <w:autoSpaceDE w:val="0"/>
        <w:autoSpaceDN w:val="0"/>
        <w:spacing w:line="360" w:lineRule="auto"/>
        <w:ind w:left="567" w:hanging="567" w:firstLineChars="0"/>
        <w:jc w:val="left"/>
        <w:rPr>
          <w:rFonts w:ascii="黑体" w:hAnsi="黑体" w:eastAsia="黑体" w:cs="宋体"/>
        </w:rPr>
      </w:pPr>
      <w:r>
        <w:rPr>
          <w:rFonts w:hint="eastAsia" w:ascii="黑体" w:hAnsi="黑体" w:eastAsia="黑体" w:cs="宋体"/>
          <w:lang w:eastAsia="zh-TW"/>
        </w:rPr>
        <w:t>供应商应认真阅读</w:t>
      </w:r>
      <w:r>
        <w:rPr>
          <w:rFonts w:hint="eastAsia" w:ascii="黑体" w:hAnsi="黑体" w:eastAsia="黑体" w:cs="宋体"/>
        </w:rPr>
        <w:t>、并充分理解磋商文件的全部内容（包括所有的补充、修改内容、重要事项、格式、条款和技术规范、参数及要求等）。供应商没有按照磋商文件要求提交全部资料，或者响应文件没有对磋商文件在各方面都作出实质性响应是供应商的风险，有可能导致其磋商响应被拒绝，或被认定为无效响应或被确定为响应无效。</w:t>
      </w:r>
    </w:p>
    <w:p>
      <w:pPr>
        <w:pStyle w:val="68"/>
        <w:numPr>
          <w:ilvl w:val="0"/>
          <w:numId w:val="41"/>
        </w:numPr>
        <w:tabs>
          <w:tab w:val="left" w:pos="567"/>
          <w:tab w:val="left" w:pos="993"/>
          <w:tab w:val="left" w:pos="1134"/>
        </w:tabs>
        <w:autoSpaceDE w:val="0"/>
        <w:autoSpaceDN w:val="0"/>
        <w:spacing w:line="360" w:lineRule="auto"/>
        <w:ind w:left="567" w:hanging="567" w:firstLineChars="0"/>
        <w:jc w:val="left"/>
        <w:rPr>
          <w:rFonts w:ascii="黑体" w:hAnsi="黑体" w:eastAsia="黑体" w:cs="宋体"/>
          <w:lang w:eastAsia="zh-TW"/>
        </w:rPr>
      </w:pPr>
      <w:r>
        <w:rPr>
          <w:rFonts w:hint="eastAsia" w:ascii="黑体" w:hAnsi="黑体" w:eastAsia="黑体" w:cs="宋体"/>
          <w:lang w:eastAsia="zh-TW"/>
        </w:rPr>
        <w:t>本磋商文件的解释权归“广东有德招标采购有限公司”所有。</w:t>
      </w:r>
    </w:p>
    <w:p>
      <w:pPr>
        <w:numPr>
          <w:ilvl w:val="0"/>
          <w:numId w:val="33"/>
        </w:numPr>
        <w:tabs>
          <w:tab w:val="left" w:pos="567"/>
          <w:tab w:val="clear" w:pos="360"/>
        </w:tabs>
        <w:autoSpaceDE w:val="0"/>
        <w:autoSpaceDN w:val="0"/>
        <w:spacing w:before="156" w:beforeLines="50" w:line="360" w:lineRule="auto"/>
        <w:ind w:left="567" w:hanging="567"/>
        <w:rPr>
          <w:rFonts w:ascii="黑体" w:hAnsi="黑体" w:eastAsia="黑体"/>
          <w:b/>
          <w:bCs/>
        </w:rPr>
      </w:pPr>
      <w:bookmarkStart w:id="45" w:name="_Toc410736141"/>
      <w:bookmarkStart w:id="46" w:name="_Toc410738941"/>
      <w:bookmarkStart w:id="47" w:name="_Toc416770219"/>
      <w:bookmarkStart w:id="48" w:name="_Toc416771329"/>
      <w:r>
        <w:rPr>
          <w:rFonts w:hint="eastAsia" w:ascii="黑体" w:hAnsi="黑体" w:eastAsia="黑体"/>
          <w:b/>
          <w:bCs/>
        </w:rPr>
        <w:t>磋商文件的澄清</w:t>
      </w:r>
      <w:bookmarkEnd w:id="45"/>
      <w:bookmarkEnd w:id="46"/>
      <w:r>
        <w:rPr>
          <w:rFonts w:hint="eastAsia" w:ascii="黑体" w:hAnsi="黑体" w:eastAsia="黑体"/>
          <w:b/>
          <w:bCs/>
        </w:rPr>
        <w:t>及修改</w:t>
      </w:r>
      <w:bookmarkEnd w:id="47"/>
      <w:bookmarkEnd w:id="48"/>
    </w:p>
    <w:p>
      <w:pPr>
        <w:pStyle w:val="68"/>
        <w:numPr>
          <w:ilvl w:val="0"/>
          <w:numId w:val="42"/>
        </w:numPr>
        <w:tabs>
          <w:tab w:val="left" w:pos="567"/>
          <w:tab w:val="left" w:pos="851"/>
          <w:tab w:val="left" w:pos="1134"/>
        </w:tabs>
        <w:autoSpaceDE w:val="0"/>
        <w:autoSpaceDN w:val="0"/>
        <w:spacing w:line="360" w:lineRule="auto"/>
        <w:ind w:left="567" w:hanging="567" w:firstLineChars="0"/>
        <w:rPr>
          <w:rFonts w:ascii="黑体" w:hAnsi="黑体" w:eastAsia="黑体" w:cs="宋体"/>
          <w:lang w:eastAsia="zh-TW"/>
        </w:rPr>
      </w:pPr>
      <w:r>
        <w:rPr>
          <w:rFonts w:hint="eastAsia" w:ascii="黑体" w:hAnsi="黑体" w:eastAsia="黑体" w:cs="宋体"/>
        </w:rPr>
        <w:t>采购人</w:t>
      </w:r>
      <w:r>
        <w:rPr>
          <w:rFonts w:hint="eastAsia" w:ascii="黑体" w:hAnsi="黑体" w:eastAsia="黑体" w:cs="宋体"/>
          <w:lang w:eastAsia="zh-TW"/>
        </w:rPr>
        <w:t>可以主动地或在解答供应商提出的疑问时对已发出的磋商文件进行必要的澄清或修改</w:t>
      </w:r>
      <w:r>
        <w:rPr>
          <w:rFonts w:hint="eastAsia" w:ascii="黑体" w:hAnsi="黑体" w:eastAsia="黑体" w:cs="宋体"/>
        </w:rPr>
        <w:t>，</w:t>
      </w:r>
      <w:r>
        <w:rPr>
          <w:rFonts w:hint="eastAsia" w:ascii="黑体" w:hAnsi="黑体" w:eastAsia="黑体" w:cs="宋体"/>
          <w:lang w:eastAsia="zh-TW"/>
        </w:rPr>
        <w:t>澄清或者修改应当在原公告发布媒体上发布澄清</w:t>
      </w:r>
      <w:r>
        <w:rPr>
          <w:rFonts w:hint="eastAsia" w:ascii="黑体" w:hAnsi="黑体" w:eastAsia="黑体"/>
        </w:rPr>
        <w:t>（更正/变更）</w:t>
      </w:r>
      <w:r>
        <w:rPr>
          <w:rFonts w:hint="eastAsia" w:ascii="黑体" w:hAnsi="黑体" w:eastAsia="黑体" w:cs="宋体"/>
          <w:lang w:eastAsia="zh-TW"/>
        </w:rPr>
        <w:t>公告</w:t>
      </w:r>
      <w:r>
        <w:rPr>
          <w:rFonts w:hint="eastAsia" w:ascii="黑体" w:hAnsi="黑体" w:eastAsia="黑体" w:cs="宋体"/>
        </w:rPr>
        <w:t>。</w:t>
      </w:r>
    </w:p>
    <w:p>
      <w:pPr>
        <w:pStyle w:val="68"/>
        <w:numPr>
          <w:ilvl w:val="0"/>
          <w:numId w:val="42"/>
        </w:numPr>
        <w:tabs>
          <w:tab w:val="left" w:pos="567"/>
          <w:tab w:val="left" w:pos="851"/>
          <w:tab w:val="left" w:pos="1134"/>
        </w:tabs>
        <w:autoSpaceDE w:val="0"/>
        <w:autoSpaceDN w:val="0"/>
        <w:spacing w:line="360" w:lineRule="auto"/>
        <w:ind w:left="567" w:hanging="567" w:firstLineChars="0"/>
        <w:rPr>
          <w:rFonts w:ascii="黑体" w:hAnsi="黑体" w:eastAsia="黑体" w:cs="宋体"/>
          <w:lang w:eastAsia="zh-TW"/>
        </w:rPr>
      </w:pPr>
      <w:r>
        <w:rPr>
          <w:rFonts w:hint="eastAsia" w:ascii="黑体" w:hAnsi="黑体" w:eastAsia="黑体" w:cs="宋体"/>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Pr>
          <w:rFonts w:hint="eastAsia" w:ascii="黑体" w:hAnsi="黑体" w:eastAsia="黑体" w:cs="宋体"/>
        </w:rPr>
        <w:t>。</w:t>
      </w:r>
    </w:p>
    <w:p>
      <w:pPr>
        <w:pStyle w:val="68"/>
        <w:numPr>
          <w:ilvl w:val="0"/>
          <w:numId w:val="42"/>
        </w:numPr>
        <w:tabs>
          <w:tab w:val="left" w:pos="567"/>
          <w:tab w:val="left" w:pos="851"/>
          <w:tab w:val="left" w:pos="1134"/>
        </w:tabs>
        <w:autoSpaceDE w:val="0"/>
        <w:autoSpaceDN w:val="0"/>
        <w:spacing w:line="360" w:lineRule="auto"/>
        <w:ind w:left="567" w:hanging="567" w:firstLineChars="0"/>
        <w:rPr>
          <w:rFonts w:ascii="黑体" w:hAnsi="黑体" w:eastAsia="黑体" w:cs="宋体"/>
          <w:lang w:eastAsia="zh-TW"/>
        </w:rPr>
      </w:pPr>
      <w:r>
        <w:rPr>
          <w:rFonts w:hint="eastAsia" w:ascii="黑体" w:hAnsi="黑体" w:eastAsia="黑体" w:cs="宋体"/>
          <w:lang w:eastAsia="zh-TW"/>
        </w:rPr>
        <w:t>采购人或者采购代理机构将澄清（更正/变更）公告</w:t>
      </w:r>
      <w:r>
        <w:rPr>
          <w:rFonts w:hint="eastAsia" w:ascii="黑体" w:hAnsi="黑体" w:eastAsia="黑体" w:cs="宋体"/>
        </w:rPr>
        <w:t>书面</w:t>
      </w:r>
      <w:r>
        <w:rPr>
          <w:rFonts w:hint="eastAsia" w:ascii="黑体" w:hAnsi="黑体" w:eastAsia="黑体" w:cs="宋体"/>
          <w:lang w:eastAsia="zh-TW"/>
        </w:rPr>
        <w:t>通知</w:t>
      </w:r>
      <w:r>
        <w:rPr>
          <w:rFonts w:hint="eastAsia" w:ascii="黑体" w:hAnsi="黑体" w:eastAsia="黑体" w:cs="宋体"/>
        </w:rPr>
        <w:t>并成功获取磋商文件</w:t>
      </w:r>
      <w:r>
        <w:rPr>
          <w:rFonts w:hint="eastAsia" w:ascii="黑体" w:hAnsi="黑体" w:eastAsia="黑体" w:cs="宋体"/>
          <w:lang w:eastAsia="zh-TW"/>
        </w:rPr>
        <w:t>的供应商</w:t>
      </w:r>
      <w:r>
        <w:rPr>
          <w:rFonts w:hint="eastAsia" w:ascii="黑体" w:hAnsi="黑体" w:eastAsia="黑体" w:cs="宋体"/>
        </w:rPr>
        <w:t>。</w:t>
      </w:r>
      <w:r>
        <w:rPr>
          <w:rFonts w:hint="eastAsia" w:ascii="黑体" w:hAnsi="黑体" w:eastAsia="黑体" w:cs="宋体"/>
          <w:lang w:eastAsia="zh-TW"/>
        </w:rPr>
        <w:t>其供应商在收到澄清或修改（更正/变更）通知后应按要求以书面形式（传真或电子邮件）予以确认。</w:t>
      </w:r>
      <w:r>
        <w:rPr>
          <w:rFonts w:hint="eastAsia" w:ascii="黑体" w:hAnsi="黑体" w:eastAsia="黑体"/>
          <w:bCs/>
          <w:szCs w:val="21"/>
        </w:rPr>
        <w:t>采购期间，供应商有义务上网查看，公告一经上网发布，即视为送达。</w:t>
      </w:r>
      <w:r>
        <w:rPr>
          <w:rFonts w:hint="eastAsia" w:ascii="黑体" w:hAnsi="黑体" w:eastAsia="黑体" w:cs="宋体"/>
          <w:lang w:eastAsia="zh-TW"/>
        </w:rPr>
        <w:t>如在24小时之内无书面确认则视为</w:t>
      </w:r>
      <w:r>
        <w:rPr>
          <w:rFonts w:hint="eastAsia" w:ascii="黑体" w:hAnsi="黑体" w:eastAsia="黑体" w:cs="宋体"/>
        </w:rPr>
        <w:t>收到</w:t>
      </w:r>
      <w:r>
        <w:rPr>
          <w:rFonts w:hint="eastAsia" w:ascii="黑体" w:hAnsi="黑体" w:eastAsia="黑体" w:cs="宋体"/>
          <w:lang w:eastAsia="zh-TW"/>
        </w:rPr>
        <w:t>澄清（更正/变更）公告，并有责任履行相应的义务</w:t>
      </w:r>
      <w:r>
        <w:rPr>
          <w:rFonts w:hint="eastAsia" w:ascii="黑体" w:hAnsi="黑体" w:eastAsia="黑体" w:cs="宋体"/>
        </w:rPr>
        <w:t>。</w:t>
      </w:r>
    </w:p>
    <w:p>
      <w:pPr>
        <w:pStyle w:val="68"/>
        <w:numPr>
          <w:ilvl w:val="0"/>
          <w:numId w:val="42"/>
        </w:numPr>
        <w:tabs>
          <w:tab w:val="left" w:pos="567"/>
          <w:tab w:val="left" w:pos="851"/>
          <w:tab w:val="left" w:pos="1134"/>
        </w:tabs>
        <w:autoSpaceDE w:val="0"/>
        <w:autoSpaceDN w:val="0"/>
        <w:spacing w:line="360" w:lineRule="auto"/>
        <w:ind w:left="567" w:hanging="567" w:firstLineChars="0"/>
        <w:rPr>
          <w:rFonts w:ascii="黑体" w:hAnsi="黑体" w:eastAsia="黑体" w:cs="宋体"/>
          <w:lang w:eastAsia="zh-TW"/>
        </w:rPr>
      </w:pPr>
      <w:r>
        <w:rPr>
          <w:rFonts w:ascii="黑体" w:hAnsi="黑体" w:eastAsia="黑体"/>
          <w:bCs/>
          <w:szCs w:val="21"/>
        </w:rPr>
        <w:t>磋商文件的</w:t>
      </w:r>
      <w:r>
        <w:rPr>
          <w:rFonts w:hint="eastAsia" w:ascii="黑体" w:hAnsi="黑体" w:eastAsia="黑体"/>
          <w:bCs/>
          <w:szCs w:val="21"/>
        </w:rPr>
        <w:t>澄清或</w:t>
      </w:r>
      <w:r>
        <w:rPr>
          <w:rFonts w:ascii="黑体" w:hAnsi="黑体" w:eastAsia="黑体"/>
          <w:bCs/>
          <w:szCs w:val="21"/>
        </w:rPr>
        <w:t>修改</w:t>
      </w:r>
      <w:r>
        <w:rPr>
          <w:rFonts w:hint="eastAsia" w:ascii="黑体" w:hAnsi="黑体" w:eastAsia="黑体" w:cs="宋体"/>
          <w:lang w:eastAsia="zh-TW"/>
        </w:rPr>
        <w:t>（更正/变更）</w:t>
      </w:r>
      <w:r>
        <w:rPr>
          <w:rFonts w:ascii="黑体" w:hAnsi="黑体" w:eastAsia="黑体"/>
          <w:bCs/>
          <w:szCs w:val="21"/>
        </w:rPr>
        <w:t>内容作为磋商文件的组成部分，具有约束作用</w:t>
      </w:r>
      <w:r>
        <w:rPr>
          <w:rFonts w:hint="eastAsia" w:ascii="黑体" w:hAnsi="黑体" w:eastAsia="黑体"/>
          <w:bCs/>
          <w:szCs w:val="21"/>
        </w:rPr>
        <w:t>。</w:t>
      </w:r>
      <w:r>
        <w:rPr>
          <w:rFonts w:ascii="黑体" w:hAnsi="黑体" w:eastAsia="黑体"/>
          <w:bCs/>
          <w:szCs w:val="21"/>
        </w:rPr>
        <w:t>当磋商文件、磋商文件的澄清</w:t>
      </w:r>
      <w:r>
        <w:rPr>
          <w:rFonts w:hint="eastAsia" w:ascii="黑体" w:hAnsi="黑体" w:eastAsia="黑体"/>
          <w:bCs/>
          <w:szCs w:val="21"/>
        </w:rPr>
        <w:t>或</w:t>
      </w:r>
      <w:r>
        <w:rPr>
          <w:rFonts w:ascii="黑体" w:hAnsi="黑体" w:eastAsia="黑体"/>
          <w:bCs/>
          <w:szCs w:val="21"/>
        </w:rPr>
        <w:t>修改</w:t>
      </w:r>
      <w:r>
        <w:rPr>
          <w:rFonts w:hint="eastAsia" w:ascii="黑体" w:hAnsi="黑体" w:eastAsia="黑体" w:cs="宋体"/>
          <w:lang w:eastAsia="zh-TW"/>
        </w:rPr>
        <w:t>（更正/变更）</w:t>
      </w:r>
      <w:r>
        <w:rPr>
          <w:rFonts w:ascii="黑体" w:hAnsi="黑体" w:eastAsia="黑体"/>
          <w:bCs/>
          <w:szCs w:val="21"/>
        </w:rPr>
        <w:t>等在同一内容的表述上不一致时，以最后发出的书面文件为准。</w:t>
      </w:r>
    </w:p>
    <w:p>
      <w:pPr>
        <w:pStyle w:val="68"/>
        <w:numPr>
          <w:ilvl w:val="0"/>
          <w:numId w:val="42"/>
        </w:numPr>
        <w:tabs>
          <w:tab w:val="left" w:pos="567"/>
          <w:tab w:val="left" w:pos="851"/>
          <w:tab w:val="left" w:pos="1134"/>
        </w:tabs>
        <w:autoSpaceDE w:val="0"/>
        <w:autoSpaceDN w:val="0"/>
        <w:spacing w:line="360" w:lineRule="auto"/>
        <w:ind w:left="567" w:hanging="567" w:firstLineChars="0"/>
        <w:rPr>
          <w:rFonts w:ascii="黑体" w:hAnsi="黑体" w:eastAsia="黑体" w:cs="宋体"/>
          <w:lang w:eastAsia="zh-TW"/>
        </w:rPr>
      </w:pPr>
      <w:r>
        <w:rPr>
          <w:rFonts w:hint="eastAsia" w:ascii="黑体" w:hAnsi="黑体" w:eastAsia="黑体" w:cs="宋体"/>
          <w:lang w:eastAsia="zh-TW"/>
        </w:rPr>
        <w:t>采购人</w:t>
      </w:r>
      <w:r>
        <w:rPr>
          <w:rFonts w:hint="eastAsia" w:ascii="黑体" w:hAnsi="黑体" w:eastAsia="黑体" w:cs="宋体"/>
        </w:rPr>
        <w:t>发出的</w:t>
      </w:r>
      <w:r>
        <w:rPr>
          <w:rFonts w:hint="eastAsia" w:ascii="黑体" w:hAnsi="黑体" w:eastAsia="黑体"/>
        </w:rPr>
        <w:t>澄清或修改（更正）的内容为磋商文件的组成部分，</w:t>
      </w:r>
      <w:r>
        <w:rPr>
          <w:rFonts w:hint="eastAsia" w:ascii="黑体" w:hAnsi="黑体" w:eastAsia="黑体" w:cs="宋体"/>
          <w:lang w:eastAsia="zh-TW"/>
        </w:rPr>
        <w:t>并对潜在供应商具有约束力</w:t>
      </w:r>
      <w:r>
        <w:rPr>
          <w:rFonts w:hint="eastAsia" w:ascii="黑体" w:hAnsi="黑体" w:eastAsia="黑体" w:cs="宋体"/>
        </w:rPr>
        <w:t>。</w:t>
      </w:r>
    </w:p>
    <w:p>
      <w:pPr>
        <w:pStyle w:val="68"/>
        <w:numPr>
          <w:ilvl w:val="0"/>
          <w:numId w:val="42"/>
        </w:numPr>
        <w:tabs>
          <w:tab w:val="left" w:pos="567"/>
          <w:tab w:val="left" w:pos="851"/>
          <w:tab w:val="left" w:pos="1134"/>
        </w:tabs>
        <w:autoSpaceDE w:val="0"/>
        <w:autoSpaceDN w:val="0"/>
        <w:spacing w:line="360" w:lineRule="auto"/>
        <w:ind w:left="567" w:hanging="567" w:firstLineChars="0"/>
        <w:rPr>
          <w:rFonts w:ascii="黑体" w:hAnsi="黑体" w:eastAsia="黑体" w:cs="宋体"/>
        </w:rPr>
      </w:pPr>
      <w:r>
        <w:rPr>
          <w:rFonts w:hint="eastAsia" w:ascii="黑体" w:hAnsi="黑体" w:eastAsia="黑体" w:cs="宋体"/>
          <w:lang w:eastAsia="zh-TW"/>
        </w:rPr>
        <w:t>供应商在规定的时间内未对磋商文件澄清或提出疑问的</w:t>
      </w:r>
      <w:r>
        <w:rPr>
          <w:rFonts w:hint="eastAsia" w:ascii="黑体" w:hAnsi="黑体" w:eastAsia="黑体" w:cs="宋体"/>
        </w:rPr>
        <w:t>，</w:t>
      </w:r>
      <w:r>
        <w:rPr>
          <w:rFonts w:hint="eastAsia" w:ascii="黑体" w:hAnsi="黑体" w:eastAsia="黑体" w:cs="宋体"/>
          <w:lang w:eastAsia="zh-TW"/>
        </w:rPr>
        <w:t>采购人将视其为无异议。对磋商文件中描述有歧意或前后不一致的地方，</w:t>
      </w:r>
      <w:r>
        <w:rPr>
          <w:rFonts w:hint="eastAsia" w:ascii="黑体" w:hAnsi="黑体" w:eastAsia="黑体" w:cs="宋体"/>
        </w:rPr>
        <w:t>磋商小组</w:t>
      </w:r>
      <w:r>
        <w:rPr>
          <w:rFonts w:hint="eastAsia" w:ascii="黑体" w:hAnsi="黑体" w:eastAsia="黑体" w:cs="宋体"/>
          <w:lang w:eastAsia="zh-TW"/>
        </w:rPr>
        <w:t>有权进行评判，但对同一条款的评判应适用于每个供应商。</w:t>
      </w:r>
    </w:p>
    <w:p>
      <w:pPr>
        <w:numPr>
          <w:ilvl w:val="0"/>
          <w:numId w:val="33"/>
        </w:numPr>
        <w:tabs>
          <w:tab w:val="left" w:pos="567"/>
          <w:tab w:val="clear" w:pos="360"/>
        </w:tabs>
        <w:autoSpaceDE w:val="0"/>
        <w:autoSpaceDN w:val="0"/>
        <w:spacing w:before="156" w:beforeLines="50" w:line="360" w:lineRule="auto"/>
        <w:ind w:left="567" w:hanging="567"/>
        <w:rPr>
          <w:rFonts w:ascii="黑体" w:hAnsi="黑体" w:eastAsia="黑体"/>
          <w:b/>
          <w:bCs/>
        </w:rPr>
      </w:pPr>
      <w:bookmarkStart w:id="49" w:name="_Toc433127757"/>
      <w:bookmarkStart w:id="50" w:name="_Toc434343657"/>
      <w:r>
        <w:rPr>
          <w:rFonts w:hint="eastAsia" w:ascii="黑体" w:hAnsi="黑体" w:eastAsia="黑体"/>
          <w:b/>
          <w:bCs/>
        </w:rPr>
        <w:t>磋商文件的答疑会或现场考察</w:t>
      </w:r>
      <w:bookmarkEnd w:id="49"/>
      <w:bookmarkEnd w:id="50"/>
    </w:p>
    <w:p>
      <w:pPr>
        <w:pStyle w:val="68"/>
        <w:numPr>
          <w:ilvl w:val="0"/>
          <w:numId w:val="43"/>
        </w:numPr>
        <w:tabs>
          <w:tab w:val="left" w:pos="851"/>
        </w:tabs>
        <w:autoSpaceDE w:val="0"/>
        <w:autoSpaceDN w:val="0"/>
        <w:spacing w:line="360" w:lineRule="auto"/>
        <w:ind w:left="567" w:hanging="567" w:firstLineChars="0"/>
        <w:jc w:val="left"/>
        <w:rPr>
          <w:rFonts w:ascii="黑体" w:hAnsi="黑体" w:eastAsia="黑体" w:cs="宋体"/>
        </w:rPr>
      </w:pPr>
      <w:r>
        <w:rPr>
          <w:rFonts w:hint="eastAsia" w:ascii="黑体" w:hAnsi="黑体" w:eastAsia="黑体" w:cs="宋体"/>
          <w:lang w:eastAsia="zh-TW"/>
        </w:rPr>
        <w:t>除非</w:t>
      </w:r>
      <w:r>
        <w:rPr>
          <w:rFonts w:hint="eastAsia" w:ascii="黑体" w:hAnsi="黑体" w:eastAsia="黑体" w:cs="黑体"/>
          <w:b/>
          <w:u w:val="single"/>
        </w:rPr>
        <w:t>磋商须知前附表</w:t>
      </w:r>
      <w:r>
        <w:rPr>
          <w:rFonts w:hint="eastAsia" w:ascii="黑体" w:hAnsi="黑体" w:eastAsia="黑体" w:cs="宋体"/>
        </w:rPr>
        <w:t>中另有规定，不举行项目现场考察或磋商前答疑会，如举行现场考察或磋商前答疑会的，则按以下规定：</w:t>
      </w:r>
    </w:p>
    <w:p>
      <w:pPr>
        <w:pStyle w:val="68"/>
        <w:numPr>
          <w:ilvl w:val="0"/>
          <w:numId w:val="44"/>
        </w:numPr>
        <w:tabs>
          <w:tab w:val="left" w:pos="360"/>
          <w:tab w:val="left" w:pos="720"/>
        </w:tabs>
        <w:autoSpaceDE w:val="0"/>
        <w:autoSpaceDN w:val="0"/>
        <w:spacing w:line="360" w:lineRule="auto"/>
        <w:ind w:hanging="704" w:firstLineChars="0"/>
        <w:jc w:val="left"/>
        <w:rPr>
          <w:rFonts w:ascii="黑体" w:hAnsi="黑体" w:eastAsia="黑体" w:cs="宋体"/>
        </w:rPr>
      </w:pPr>
      <w:r>
        <w:rPr>
          <w:rFonts w:hint="eastAsia" w:ascii="黑体" w:hAnsi="黑体" w:eastAsia="黑体" w:cs="宋体"/>
          <w:lang w:eastAsia="zh-TW"/>
        </w:rPr>
        <w:t>在</w:t>
      </w:r>
      <w:r>
        <w:rPr>
          <w:rFonts w:hint="eastAsia" w:ascii="黑体" w:hAnsi="黑体" w:eastAsia="黑体" w:cs="黑体"/>
          <w:b/>
          <w:u w:val="single"/>
          <w:lang w:eastAsia="zh-TW"/>
        </w:rPr>
        <w:t>磋商须知前附表</w:t>
      </w:r>
      <w:r>
        <w:rPr>
          <w:rFonts w:hint="eastAsia" w:ascii="黑体" w:hAnsi="黑体" w:eastAsia="黑体" w:cs="宋体"/>
        </w:rPr>
        <w:t>中规定的日期、时间和地点组织公开答疑会或现场考察；</w:t>
      </w:r>
    </w:p>
    <w:p>
      <w:pPr>
        <w:pStyle w:val="68"/>
        <w:numPr>
          <w:ilvl w:val="0"/>
          <w:numId w:val="44"/>
        </w:numPr>
        <w:tabs>
          <w:tab w:val="left" w:pos="360"/>
          <w:tab w:val="left" w:pos="720"/>
        </w:tabs>
        <w:autoSpaceDE w:val="0"/>
        <w:autoSpaceDN w:val="0"/>
        <w:spacing w:line="360" w:lineRule="auto"/>
        <w:ind w:hanging="704" w:firstLineChars="0"/>
        <w:jc w:val="left"/>
        <w:rPr>
          <w:rFonts w:ascii="黑体" w:hAnsi="黑体" w:eastAsia="黑体" w:cs="宋体"/>
          <w:lang w:eastAsia="zh-TW"/>
        </w:rPr>
      </w:pPr>
      <w:r>
        <w:rPr>
          <w:rFonts w:hint="eastAsia" w:ascii="黑体" w:hAnsi="黑体" w:eastAsia="黑体" w:cs="宋体"/>
          <w:lang w:eastAsia="zh-TW"/>
        </w:rPr>
        <w:t>供应商对本项目提出的疑问，需在答疑会</w:t>
      </w:r>
      <w:r>
        <w:rPr>
          <w:rFonts w:hint="eastAsia" w:ascii="黑体" w:hAnsi="黑体" w:eastAsia="黑体" w:cs="宋体"/>
        </w:rPr>
        <w:t>或现场考察</w:t>
      </w:r>
      <w:r>
        <w:rPr>
          <w:rFonts w:hint="eastAsia" w:ascii="黑体" w:hAnsi="黑体" w:eastAsia="黑体" w:cs="宋体"/>
          <w:lang w:eastAsia="zh-TW"/>
        </w:rPr>
        <w:t>召开日前至少一个工作日将问题清单以书面形式（加盖公章）提交至采购代理机构，供应商代表于上述的时间和地点出席答疑会</w:t>
      </w:r>
      <w:r>
        <w:rPr>
          <w:rFonts w:hint="eastAsia" w:ascii="黑体" w:hAnsi="黑体" w:eastAsia="黑体" w:cs="宋体"/>
        </w:rPr>
        <w:t>或现场考察</w:t>
      </w:r>
      <w:r>
        <w:rPr>
          <w:rFonts w:hint="eastAsia" w:ascii="黑体" w:hAnsi="黑体" w:eastAsia="黑体" w:cs="宋体"/>
          <w:lang w:eastAsia="zh-TW"/>
        </w:rPr>
        <w:t>；</w:t>
      </w:r>
    </w:p>
    <w:p>
      <w:pPr>
        <w:pStyle w:val="68"/>
        <w:numPr>
          <w:ilvl w:val="0"/>
          <w:numId w:val="44"/>
        </w:numPr>
        <w:tabs>
          <w:tab w:val="left" w:pos="360"/>
          <w:tab w:val="left" w:pos="720"/>
        </w:tabs>
        <w:autoSpaceDE w:val="0"/>
        <w:autoSpaceDN w:val="0"/>
        <w:spacing w:line="360" w:lineRule="auto"/>
        <w:ind w:hanging="704" w:firstLineChars="0"/>
        <w:jc w:val="left"/>
        <w:rPr>
          <w:rFonts w:ascii="黑体" w:hAnsi="黑体" w:eastAsia="黑体" w:cs="宋体"/>
          <w:lang w:eastAsia="zh-TW"/>
        </w:rPr>
      </w:pPr>
      <w:r>
        <w:rPr>
          <w:rFonts w:hint="eastAsia" w:ascii="黑体" w:hAnsi="黑体" w:eastAsia="黑体" w:cs="宋体"/>
          <w:lang w:eastAsia="zh-TW"/>
        </w:rPr>
        <w:t>已购买磋商文件的供应商如不出席答疑会</w:t>
      </w:r>
      <w:r>
        <w:rPr>
          <w:rFonts w:hint="eastAsia" w:ascii="黑体" w:hAnsi="黑体" w:eastAsia="黑体" w:cs="宋体"/>
        </w:rPr>
        <w:t>或现场考察</w:t>
      </w:r>
      <w:r>
        <w:rPr>
          <w:rFonts w:hint="eastAsia" w:ascii="黑体" w:hAnsi="黑体" w:eastAsia="黑体" w:cs="宋体"/>
          <w:lang w:eastAsia="zh-TW"/>
        </w:rPr>
        <w:t>视为对磋商文件所有内容无任何异议。</w:t>
      </w:r>
    </w:p>
    <w:p>
      <w:pPr>
        <w:pStyle w:val="68"/>
        <w:numPr>
          <w:ilvl w:val="0"/>
          <w:numId w:val="32"/>
        </w:numPr>
        <w:spacing w:before="312" w:beforeLines="100" w:after="156" w:afterLines="50"/>
        <w:ind w:left="510" w:hanging="510" w:firstLineChars="0"/>
        <w:rPr>
          <w:rFonts w:ascii="黑体" w:hAnsi="黑体" w:eastAsia="黑体"/>
          <w:b/>
        </w:rPr>
      </w:pPr>
      <w:bookmarkStart w:id="51" w:name="_Toc416770220"/>
      <w:bookmarkStart w:id="52" w:name="_Toc410736143"/>
      <w:bookmarkStart w:id="53" w:name="_Toc416771330"/>
      <w:bookmarkStart w:id="54" w:name="_Toc410738943"/>
      <w:bookmarkStart w:id="55" w:name="_Toc502738626"/>
      <w:r>
        <w:rPr>
          <w:rFonts w:hint="eastAsia" w:ascii="黑体" w:hAnsi="黑体" w:eastAsia="黑体"/>
          <w:b/>
        </w:rPr>
        <w:t>响应文件的编制</w:t>
      </w:r>
      <w:bookmarkEnd w:id="51"/>
      <w:bookmarkEnd w:id="52"/>
      <w:bookmarkEnd w:id="53"/>
      <w:bookmarkEnd w:id="54"/>
      <w:bookmarkEnd w:id="55"/>
    </w:p>
    <w:p>
      <w:pPr>
        <w:numPr>
          <w:ilvl w:val="0"/>
          <w:numId w:val="33"/>
        </w:numPr>
        <w:tabs>
          <w:tab w:val="left" w:pos="567"/>
          <w:tab w:val="clear" w:pos="360"/>
        </w:tabs>
        <w:autoSpaceDE w:val="0"/>
        <w:autoSpaceDN w:val="0"/>
        <w:spacing w:line="360" w:lineRule="auto"/>
        <w:ind w:left="567" w:hanging="567"/>
        <w:rPr>
          <w:rFonts w:ascii="黑体" w:hAnsi="黑体" w:eastAsia="黑体"/>
          <w:b/>
          <w:bCs/>
        </w:rPr>
      </w:pPr>
      <w:bookmarkStart w:id="56" w:name="_Toc410736144"/>
      <w:bookmarkStart w:id="57" w:name="_Toc416770221"/>
      <w:bookmarkStart w:id="58" w:name="_Toc410738944"/>
      <w:bookmarkStart w:id="59" w:name="_Toc416771331"/>
      <w:r>
        <w:rPr>
          <w:rFonts w:hint="eastAsia" w:ascii="黑体" w:hAnsi="黑体" w:eastAsia="黑体"/>
          <w:b/>
          <w:bCs/>
        </w:rPr>
        <w:t>磋商的语言</w:t>
      </w:r>
      <w:bookmarkEnd w:id="56"/>
      <w:bookmarkEnd w:id="57"/>
      <w:bookmarkEnd w:id="58"/>
      <w:bookmarkEnd w:id="59"/>
    </w:p>
    <w:p>
      <w:pPr>
        <w:pStyle w:val="68"/>
        <w:numPr>
          <w:ilvl w:val="0"/>
          <w:numId w:val="45"/>
        </w:numPr>
        <w:autoSpaceDE w:val="0"/>
        <w:autoSpaceDN w:val="0"/>
        <w:spacing w:line="360" w:lineRule="auto"/>
        <w:ind w:left="567" w:hanging="567" w:firstLineChars="0"/>
        <w:jc w:val="left"/>
        <w:rPr>
          <w:rFonts w:ascii="黑体" w:hAnsi="黑体" w:eastAsia="黑体" w:cs="黑体"/>
          <w:b/>
          <w:bCs/>
        </w:rPr>
      </w:pPr>
      <w:bookmarkStart w:id="60" w:name="_Toc410738945"/>
      <w:bookmarkStart w:id="61" w:name="_Toc410736145"/>
      <w:bookmarkStart w:id="62" w:name="_Toc416770222"/>
      <w:bookmarkStart w:id="63" w:name="_Toc416771332"/>
      <w:r>
        <w:rPr>
          <w:rFonts w:hint="eastAsia" w:ascii="黑体" w:hAnsi="黑体" w:eastAsia="黑体" w:cs="宋体"/>
          <w:lang w:eastAsia="zh-TW"/>
        </w:rPr>
        <w:t>供应商提交的响应文件以及供应商与采购人就有关磋商的所有来往函电均</w:t>
      </w:r>
      <w:r>
        <w:rPr>
          <w:rFonts w:hint="eastAsia" w:ascii="黑体" w:hAnsi="黑体" w:eastAsia="黑体" w:cs="宋体"/>
        </w:rPr>
        <w:t>应</w:t>
      </w:r>
      <w:r>
        <w:rPr>
          <w:rFonts w:hint="eastAsia" w:ascii="黑体" w:hAnsi="黑体" w:eastAsia="黑体" w:cs="宋体"/>
          <w:lang w:eastAsia="zh-TW"/>
        </w:rPr>
        <w:t>使用中文书写。</w:t>
      </w:r>
      <w:r>
        <w:rPr>
          <w:rFonts w:hint="eastAsia" w:ascii="黑体" w:hAnsi="黑体" w:eastAsia="黑体" w:cs="宋体"/>
        </w:rPr>
        <w:t>供应商</w:t>
      </w:r>
      <w:r>
        <w:rPr>
          <w:rFonts w:hint="eastAsia" w:ascii="黑体" w:hAnsi="黑体" w:eastAsia="黑体" w:cs="宋体"/>
          <w:lang w:eastAsia="zh-TW"/>
        </w:rPr>
        <w:t>提交的支持文件或印刷的资料可以用另一种语言</w:t>
      </w:r>
      <w:r>
        <w:rPr>
          <w:rFonts w:hint="eastAsia" w:ascii="黑体" w:hAnsi="黑体" w:eastAsia="黑体" w:cs="宋体"/>
        </w:rPr>
        <w:t>，</w:t>
      </w:r>
      <w:r>
        <w:rPr>
          <w:rFonts w:hint="eastAsia" w:ascii="黑体" w:hAnsi="黑体" w:eastAsia="黑体" w:cs="宋体"/>
          <w:lang w:eastAsia="zh-TW"/>
        </w:rPr>
        <w:t>但相应内容应附有中文翻译本</w:t>
      </w:r>
      <w:r>
        <w:rPr>
          <w:rFonts w:hint="eastAsia" w:ascii="黑体" w:hAnsi="黑体" w:eastAsia="黑体" w:cs="宋体"/>
        </w:rPr>
        <w:t>，</w:t>
      </w:r>
      <w:r>
        <w:rPr>
          <w:rFonts w:hint="eastAsia" w:ascii="黑体" w:hAnsi="黑体" w:eastAsia="黑体"/>
        </w:rPr>
        <w:t>两种语言不一致时以中文翻译本为准。</w:t>
      </w:r>
      <w:r>
        <w:rPr>
          <w:rFonts w:hint="eastAsia" w:ascii="黑体" w:hAnsi="黑体" w:eastAsia="黑体"/>
          <w:bCs/>
          <w:szCs w:val="21"/>
        </w:rPr>
        <w:t>对中文翻译有异议的，以权威机构的译本为准。</w:t>
      </w:r>
    </w:p>
    <w:p>
      <w:pPr>
        <w:numPr>
          <w:ilvl w:val="0"/>
          <w:numId w:val="33"/>
        </w:numPr>
        <w:tabs>
          <w:tab w:val="left" w:pos="567"/>
          <w:tab w:val="clear" w:pos="360"/>
        </w:tabs>
        <w:autoSpaceDE w:val="0"/>
        <w:autoSpaceDN w:val="0"/>
        <w:spacing w:before="156" w:beforeLines="50" w:line="360" w:lineRule="auto"/>
        <w:ind w:left="567" w:hanging="567"/>
        <w:rPr>
          <w:rFonts w:ascii="黑体" w:hAnsi="黑体" w:eastAsia="黑体"/>
          <w:b/>
          <w:bCs/>
        </w:rPr>
      </w:pPr>
      <w:r>
        <w:rPr>
          <w:rFonts w:hint="eastAsia" w:ascii="黑体" w:hAnsi="黑体" w:eastAsia="黑体"/>
          <w:b/>
          <w:bCs/>
        </w:rPr>
        <w:t>响应文件的构成</w:t>
      </w:r>
      <w:bookmarkEnd w:id="60"/>
      <w:bookmarkEnd w:id="61"/>
      <w:bookmarkEnd w:id="62"/>
      <w:bookmarkEnd w:id="63"/>
    </w:p>
    <w:p>
      <w:pPr>
        <w:pStyle w:val="68"/>
        <w:numPr>
          <w:ilvl w:val="0"/>
          <w:numId w:val="46"/>
        </w:numPr>
        <w:tabs>
          <w:tab w:val="left" w:pos="360"/>
          <w:tab w:val="left" w:pos="567"/>
          <w:tab w:val="left" w:pos="851"/>
        </w:tabs>
        <w:autoSpaceDE w:val="0"/>
        <w:autoSpaceDN w:val="0"/>
        <w:spacing w:line="360" w:lineRule="auto"/>
        <w:ind w:left="567" w:hanging="567" w:firstLineChars="0"/>
        <w:jc w:val="left"/>
        <w:rPr>
          <w:rFonts w:ascii="黑体" w:hAnsi="黑体" w:eastAsia="黑体" w:cs="宋体"/>
          <w:lang w:eastAsia="zh-TW"/>
        </w:rPr>
      </w:pPr>
      <w:r>
        <w:rPr>
          <w:rFonts w:hint="eastAsia" w:ascii="黑体" w:hAnsi="黑体" w:eastAsia="黑体" w:cs="宋体"/>
          <w:lang w:eastAsia="zh-TW"/>
        </w:rPr>
        <w:t>供应商</w:t>
      </w:r>
      <w:r>
        <w:rPr>
          <w:rFonts w:hint="eastAsia" w:ascii="黑体" w:hAnsi="黑体" w:eastAsia="黑体"/>
          <w:bCs/>
          <w:szCs w:val="21"/>
        </w:rPr>
        <w:t>编写的磋商文件应包括价格文件、技术文件、商务文件，价格部分必须独立装订，编排顺序参见磋商文件格式。</w:t>
      </w:r>
    </w:p>
    <w:p>
      <w:pPr>
        <w:pStyle w:val="68"/>
        <w:numPr>
          <w:ilvl w:val="0"/>
          <w:numId w:val="46"/>
        </w:numPr>
        <w:tabs>
          <w:tab w:val="left" w:pos="360"/>
          <w:tab w:val="left" w:pos="567"/>
          <w:tab w:val="left" w:pos="851"/>
        </w:tabs>
        <w:autoSpaceDE w:val="0"/>
        <w:autoSpaceDN w:val="0"/>
        <w:spacing w:line="360" w:lineRule="auto"/>
        <w:ind w:left="567" w:hanging="567" w:firstLineChars="0"/>
        <w:jc w:val="left"/>
        <w:rPr>
          <w:rFonts w:ascii="黑体" w:hAnsi="黑体" w:eastAsia="黑体" w:cs="宋体"/>
          <w:lang w:eastAsia="zh-TW"/>
        </w:rPr>
      </w:pPr>
      <w:r>
        <w:rPr>
          <w:rFonts w:hint="eastAsia" w:ascii="黑体" w:hAnsi="黑体" w:eastAsia="黑体" w:cs="宋体"/>
          <w:lang w:eastAsia="zh-TW"/>
        </w:rPr>
        <w:t>响应文件的构成应符合法律法规及磋商文件的要求。</w:t>
      </w:r>
    </w:p>
    <w:p>
      <w:pPr>
        <w:numPr>
          <w:ilvl w:val="0"/>
          <w:numId w:val="33"/>
        </w:numPr>
        <w:tabs>
          <w:tab w:val="left" w:pos="567"/>
          <w:tab w:val="clear" w:pos="360"/>
        </w:tabs>
        <w:autoSpaceDE w:val="0"/>
        <w:autoSpaceDN w:val="0"/>
        <w:spacing w:before="156" w:beforeLines="50" w:line="360" w:lineRule="auto"/>
        <w:ind w:left="567" w:hanging="567"/>
        <w:rPr>
          <w:rFonts w:ascii="黑体" w:hAnsi="黑体" w:eastAsia="黑体"/>
          <w:b/>
          <w:bCs/>
        </w:rPr>
      </w:pPr>
      <w:bookmarkStart w:id="64" w:name="_Toc410736146"/>
      <w:bookmarkStart w:id="65" w:name="_Toc416770223"/>
      <w:bookmarkStart w:id="66" w:name="_Toc410738946"/>
      <w:bookmarkStart w:id="67" w:name="_Toc416771333"/>
      <w:r>
        <w:rPr>
          <w:rFonts w:hint="eastAsia" w:ascii="黑体" w:hAnsi="黑体" w:eastAsia="黑体"/>
          <w:b/>
          <w:bCs/>
        </w:rPr>
        <w:t>响应文件的编写</w:t>
      </w:r>
      <w:bookmarkEnd w:id="64"/>
      <w:bookmarkEnd w:id="65"/>
      <w:bookmarkEnd w:id="66"/>
      <w:bookmarkEnd w:id="67"/>
    </w:p>
    <w:p>
      <w:pPr>
        <w:pStyle w:val="68"/>
        <w:numPr>
          <w:ilvl w:val="0"/>
          <w:numId w:val="47"/>
        </w:numPr>
        <w:tabs>
          <w:tab w:val="left" w:pos="567"/>
          <w:tab w:val="left" w:pos="851"/>
          <w:tab w:val="left" w:pos="993"/>
        </w:tabs>
        <w:autoSpaceDE w:val="0"/>
        <w:autoSpaceDN w:val="0"/>
        <w:spacing w:line="360" w:lineRule="auto"/>
        <w:ind w:left="567" w:hanging="567" w:firstLineChars="0"/>
        <w:jc w:val="left"/>
        <w:rPr>
          <w:rFonts w:ascii="黑体" w:hAnsi="黑体" w:eastAsia="黑体" w:cs="宋体"/>
        </w:rPr>
      </w:pPr>
      <w:r>
        <w:rPr>
          <w:rFonts w:hint="eastAsia" w:ascii="黑体" w:hAnsi="黑体" w:eastAsia="黑体" w:cs="宋体"/>
          <w:lang w:eastAsia="zh-TW"/>
        </w:rPr>
        <w:t>供应商应完整</w:t>
      </w:r>
      <w:r>
        <w:rPr>
          <w:rFonts w:hint="eastAsia" w:ascii="黑体" w:hAnsi="黑体" w:eastAsia="黑体" w:cs="宋体"/>
        </w:rPr>
        <w:t>、真实、准确</w:t>
      </w:r>
      <w:r>
        <w:rPr>
          <w:rFonts w:hint="eastAsia" w:ascii="黑体" w:hAnsi="黑体" w:eastAsia="黑体" w:cs="宋体"/>
          <w:lang w:eastAsia="zh-TW"/>
        </w:rPr>
        <w:t>地填写磋商文件中提供的磋商函、报价表以及磋商文件中规定的其它</w:t>
      </w:r>
      <w:r>
        <w:rPr>
          <w:rFonts w:hint="eastAsia" w:ascii="黑体" w:hAnsi="黑体" w:eastAsia="黑体" w:cs="宋体"/>
        </w:rPr>
        <w:t>所有</w:t>
      </w:r>
      <w:r>
        <w:rPr>
          <w:rFonts w:hint="eastAsia" w:ascii="黑体" w:hAnsi="黑体" w:eastAsia="黑体" w:cs="宋体"/>
          <w:lang w:eastAsia="zh-TW"/>
        </w:rPr>
        <w:t>内容。</w:t>
      </w:r>
    </w:p>
    <w:p>
      <w:pPr>
        <w:pStyle w:val="68"/>
        <w:numPr>
          <w:ilvl w:val="0"/>
          <w:numId w:val="47"/>
        </w:numPr>
        <w:tabs>
          <w:tab w:val="left" w:pos="567"/>
          <w:tab w:val="left" w:pos="851"/>
          <w:tab w:val="left" w:pos="993"/>
        </w:tabs>
        <w:autoSpaceDE w:val="0"/>
        <w:autoSpaceDN w:val="0"/>
        <w:spacing w:line="360" w:lineRule="auto"/>
        <w:ind w:left="567" w:hanging="567" w:firstLineChars="0"/>
        <w:jc w:val="left"/>
        <w:rPr>
          <w:rFonts w:ascii="黑体" w:hAnsi="黑体" w:eastAsia="黑体" w:cs="宋体"/>
          <w:lang w:eastAsia="zh-TW"/>
        </w:rPr>
      </w:pPr>
      <w:r>
        <w:rPr>
          <w:rFonts w:hint="eastAsia" w:ascii="黑体" w:hAnsi="黑体" w:eastAsia="黑体" w:cs="宋体"/>
          <w:lang w:eastAsia="zh-TW"/>
        </w:rPr>
        <w:t>供应商对磋商文件中多个包组进行磋商的，其响应文件的编制</w:t>
      </w:r>
      <w:r>
        <w:rPr>
          <w:rFonts w:hint="eastAsia" w:ascii="黑体" w:hAnsi="黑体" w:eastAsia="黑体" w:cs="宋体"/>
        </w:rPr>
        <w:t>可按</w:t>
      </w:r>
      <w:r>
        <w:rPr>
          <w:rFonts w:hint="eastAsia" w:ascii="黑体" w:hAnsi="黑体" w:eastAsia="黑体" w:cs="宋体"/>
          <w:lang w:eastAsia="zh-TW"/>
        </w:rPr>
        <w:t>每个包组的要求分别装订和</w:t>
      </w:r>
      <w:r>
        <w:rPr>
          <w:rFonts w:hint="eastAsia" w:ascii="黑体" w:hAnsi="黑体" w:eastAsia="黑体"/>
          <w:bCs/>
        </w:rPr>
        <w:t>密封</w:t>
      </w:r>
      <w:r>
        <w:rPr>
          <w:rFonts w:hint="eastAsia" w:ascii="黑体" w:hAnsi="黑体" w:eastAsia="黑体" w:cs="宋体"/>
          <w:lang w:eastAsia="zh-TW"/>
        </w:rPr>
        <w:t>。供应商应当对响应文件进行装订，对未经装订的响应文件可能发生的文件散落或缺损，由此造成的后果</w:t>
      </w:r>
      <w:r>
        <w:rPr>
          <w:rFonts w:hint="eastAsia" w:ascii="黑体" w:hAnsi="黑体" w:eastAsia="黑体" w:cs="宋体"/>
        </w:rPr>
        <w:t>和</w:t>
      </w:r>
      <w:r>
        <w:rPr>
          <w:rFonts w:hint="eastAsia" w:ascii="黑体" w:hAnsi="黑体" w:eastAsia="黑体" w:cs="宋体"/>
          <w:lang w:eastAsia="zh-TW"/>
        </w:rPr>
        <w:t>责任由供应商承担</w:t>
      </w:r>
      <w:r>
        <w:rPr>
          <w:rFonts w:hint="eastAsia" w:ascii="黑体" w:hAnsi="黑体" w:eastAsia="黑体" w:cs="宋体"/>
        </w:rPr>
        <w:t>。</w:t>
      </w:r>
    </w:p>
    <w:p>
      <w:pPr>
        <w:pStyle w:val="68"/>
        <w:numPr>
          <w:ilvl w:val="0"/>
          <w:numId w:val="47"/>
        </w:numPr>
        <w:tabs>
          <w:tab w:val="left" w:pos="567"/>
          <w:tab w:val="left" w:pos="851"/>
          <w:tab w:val="left" w:pos="993"/>
        </w:tabs>
        <w:autoSpaceDE w:val="0"/>
        <w:autoSpaceDN w:val="0"/>
        <w:spacing w:line="360" w:lineRule="auto"/>
        <w:ind w:left="567" w:hanging="567" w:firstLineChars="0"/>
        <w:jc w:val="left"/>
        <w:rPr>
          <w:rFonts w:ascii="黑体" w:hAnsi="黑体" w:eastAsia="黑体" w:cs="宋体"/>
          <w:lang w:eastAsia="zh-TW"/>
        </w:rPr>
      </w:pPr>
      <w:r>
        <w:rPr>
          <w:rFonts w:hint="eastAsia" w:ascii="黑体" w:hAnsi="黑体" w:eastAsia="黑体" w:cs="宋体"/>
          <w:lang w:eastAsia="zh-TW"/>
        </w:rPr>
        <w:t>供应商必须对响应文件所提供的全部资料的真实性承担法律责任，并无条件接受采购人及政府采购监督管理部门等对其中任何资料进行核实的要求。</w:t>
      </w:r>
    </w:p>
    <w:p>
      <w:pPr>
        <w:pStyle w:val="68"/>
        <w:numPr>
          <w:ilvl w:val="0"/>
          <w:numId w:val="47"/>
        </w:numPr>
        <w:tabs>
          <w:tab w:val="left" w:pos="567"/>
          <w:tab w:val="left" w:pos="851"/>
          <w:tab w:val="left" w:pos="993"/>
        </w:tabs>
        <w:autoSpaceDE w:val="0"/>
        <w:autoSpaceDN w:val="0"/>
        <w:spacing w:line="360" w:lineRule="auto"/>
        <w:ind w:left="567" w:hanging="567" w:firstLineChars="0"/>
        <w:jc w:val="left"/>
        <w:rPr>
          <w:rFonts w:ascii="黑体" w:hAnsi="黑体" w:eastAsia="黑体" w:cs="宋体"/>
          <w:lang w:eastAsia="zh-TW"/>
        </w:rPr>
      </w:pPr>
      <w:r>
        <w:rPr>
          <w:rFonts w:hint="eastAsia" w:ascii="黑体" w:hAnsi="黑体" w:eastAsia="黑体" w:cs="宋体"/>
          <w:lang w:eastAsia="zh-TW"/>
        </w:rPr>
        <w:t>如果因为供应商</w:t>
      </w:r>
      <w:r>
        <w:rPr>
          <w:rFonts w:hint="eastAsia" w:ascii="黑体" w:hAnsi="黑体" w:eastAsia="黑体" w:cs="宋体"/>
        </w:rPr>
        <w:t>的响应文件</w:t>
      </w:r>
      <w:r>
        <w:rPr>
          <w:rFonts w:hint="eastAsia" w:ascii="黑体" w:hAnsi="黑体" w:eastAsia="黑体" w:cs="宋体"/>
          <w:lang w:eastAsia="zh-TW"/>
        </w:rPr>
        <w:t>只填写和提供了本</w:t>
      </w:r>
      <w:r>
        <w:rPr>
          <w:rFonts w:hint="eastAsia" w:ascii="黑体" w:hAnsi="黑体" w:eastAsia="黑体" w:cs="宋体"/>
        </w:rPr>
        <w:t>磋商文件</w:t>
      </w:r>
      <w:r>
        <w:rPr>
          <w:rFonts w:hint="eastAsia" w:ascii="黑体" w:hAnsi="黑体" w:eastAsia="黑体" w:cs="宋体"/>
          <w:lang w:eastAsia="zh-TW"/>
        </w:rPr>
        <w:t>要求的部分内容和附件，或没有提供磋商文件中所要求的全部资料及数据，而给磋商造成困难的，其可能导致的结果和责任由供应商自行承担。</w:t>
      </w:r>
    </w:p>
    <w:p>
      <w:pPr>
        <w:numPr>
          <w:ilvl w:val="0"/>
          <w:numId w:val="33"/>
        </w:numPr>
        <w:tabs>
          <w:tab w:val="left" w:pos="567"/>
          <w:tab w:val="clear" w:pos="360"/>
        </w:tabs>
        <w:autoSpaceDE w:val="0"/>
        <w:autoSpaceDN w:val="0"/>
        <w:spacing w:before="156" w:beforeLines="50" w:line="360" w:lineRule="auto"/>
        <w:ind w:left="709" w:hanging="709"/>
        <w:rPr>
          <w:rFonts w:ascii="黑体" w:hAnsi="黑体" w:eastAsia="黑体"/>
          <w:b/>
          <w:bCs/>
        </w:rPr>
      </w:pPr>
      <w:bookmarkStart w:id="68" w:name="_Toc416770224"/>
      <w:bookmarkStart w:id="69" w:name="_Toc410738947"/>
      <w:bookmarkStart w:id="70" w:name="_Toc410736147"/>
      <w:bookmarkStart w:id="71" w:name="_Toc416771334"/>
      <w:r>
        <w:rPr>
          <w:rFonts w:hint="eastAsia" w:ascii="黑体" w:hAnsi="黑体" w:eastAsia="黑体"/>
          <w:b/>
          <w:bCs/>
        </w:rPr>
        <w:t>磋商报价</w:t>
      </w:r>
      <w:bookmarkEnd w:id="68"/>
      <w:bookmarkEnd w:id="69"/>
      <w:bookmarkEnd w:id="70"/>
      <w:bookmarkEnd w:id="71"/>
    </w:p>
    <w:p>
      <w:pPr>
        <w:pStyle w:val="68"/>
        <w:numPr>
          <w:ilvl w:val="0"/>
          <w:numId w:val="48"/>
        </w:numPr>
        <w:tabs>
          <w:tab w:val="left" w:pos="567"/>
        </w:tabs>
        <w:autoSpaceDE w:val="0"/>
        <w:autoSpaceDN w:val="0"/>
        <w:spacing w:line="360" w:lineRule="auto"/>
        <w:ind w:left="567" w:hanging="567" w:firstLineChars="0"/>
        <w:jc w:val="left"/>
        <w:rPr>
          <w:rFonts w:ascii="黑体" w:hAnsi="黑体" w:eastAsia="黑体" w:cs="黑体"/>
          <w:b/>
          <w:bCs/>
        </w:rPr>
      </w:pPr>
      <w:r>
        <w:rPr>
          <w:rFonts w:hint="eastAsia" w:ascii="黑体" w:hAnsi="黑体" w:eastAsia="黑体" w:cs="宋体"/>
          <w:lang w:eastAsia="zh-TW"/>
        </w:rPr>
        <w:t>供应商应按照“第</w:t>
      </w:r>
      <w:r>
        <w:rPr>
          <w:rFonts w:hint="eastAsia" w:ascii="黑体" w:hAnsi="黑体" w:eastAsia="黑体" w:cs="宋体"/>
        </w:rPr>
        <w:t xml:space="preserve">二部分 </w:t>
      </w:r>
      <w:r>
        <w:rPr>
          <w:rFonts w:hint="eastAsia" w:ascii="黑体" w:hAnsi="黑体" w:eastAsia="黑体" w:cs="宋体"/>
          <w:lang w:eastAsia="zh-TW"/>
        </w:rPr>
        <w:t>采购需求”</w:t>
      </w:r>
      <w:r>
        <w:rPr>
          <w:rFonts w:hint="eastAsia" w:ascii="黑体" w:hAnsi="黑体" w:eastAsia="黑体" w:cs="宋体"/>
        </w:rPr>
        <w:t>中</w:t>
      </w:r>
      <w:r>
        <w:rPr>
          <w:rFonts w:hint="eastAsia" w:ascii="黑体" w:hAnsi="黑体" w:eastAsia="黑体" w:cs="宋体"/>
          <w:lang w:eastAsia="zh-TW"/>
        </w:rPr>
        <w:t>采购项目技术或服务要求规定的内容、责任范围进行报价</w:t>
      </w:r>
      <w:r>
        <w:rPr>
          <w:rFonts w:hint="eastAsia" w:ascii="黑体" w:hAnsi="黑体" w:eastAsia="黑体" w:cs="宋体"/>
        </w:rPr>
        <w:t>，</w:t>
      </w:r>
      <w:r>
        <w:rPr>
          <w:rFonts w:hint="eastAsia" w:ascii="黑体" w:hAnsi="黑体" w:eastAsia="黑体" w:cs="宋体"/>
          <w:lang w:eastAsia="zh-TW"/>
        </w:rPr>
        <w:t>并按报价表的</w:t>
      </w:r>
      <w:r>
        <w:rPr>
          <w:rFonts w:hint="eastAsia" w:ascii="黑体" w:hAnsi="黑体" w:eastAsia="黑体" w:cs="宋体"/>
        </w:rPr>
        <w:t>要求</w:t>
      </w:r>
      <w:r>
        <w:rPr>
          <w:rFonts w:hint="eastAsia" w:ascii="黑体" w:hAnsi="黑体" w:eastAsia="黑体" w:cs="宋体"/>
          <w:lang w:eastAsia="zh-TW"/>
        </w:rPr>
        <w:t>报出价格。</w:t>
      </w:r>
      <w:r>
        <w:rPr>
          <w:rFonts w:hint="eastAsia" w:ascii="黑体" w:hAnsi="黑体" w:eastAsia="黑体" w:cs="宋体"/>
        </w:rPr>
        <w:t>报价</w:t>
      </w:r>
      <w:r>
        <w:rPr>
          <w:rFonts w:hint="eastAsia" w:ascii="黑体" w:hAnsi="黑体" w:eastAsia="黑体" w:cs="宋体"/>
          <w:lang w:eastAsia="zh-TW"/>
        </w:rPr>
        <w:t>总价中不得包含</w:t>
      </w:r>
      <w:r>
        <w:rPr>
          <w:rFonts w:hint="eastAsia" w:ascii="黑体" w:hAnsi="黑体" w:eastAsia="黑体" w:cs="宋体"/>
        </w:rPr>
        <w:t>磋商文件</w:t>
      </w:r>
      <w:r>
        <w:rPr>
          <w:rFonts w:hint="eastAsia" w:ascii="黑体" w:hAnsi="黑体" w:eastAsia="黑体" w:cs="宋体"/>
          <w:lang w:eastAsia="zh-TW"/>
        </w:rPr>
        <w:t>要求以外的内容，否则，在评</w:t>
      </w:r>
      <w:r>
        <w:rPr>
          <w:rFonts w:hint="eastAsia" w:ascii="黑体" w:hAnsi="黑体" w:eastAsia="黑体" w:cs="宋体"/>
        </w:rPr>
        <w:t>审</w:t>
      </w:r>
      <w:r>
        <w:rPr>
          <w:rFonts w:hint="eastAsia" w:ascii="黑体" w:hAnsi="黑体" w:eastAsia="黑体" w:cs="宋体"/>
          <w:lang w:eastAsia="zh-TW"/>
        </w:rPr>
        <w:t>时不予核减。若</w:t>
      </w:r>
      <w:r>
        <w:rPr>
          <w:rFonts w:hint="eastAsia" w:ascii="黑体" w:hAnsi="黑体" w:eastAsia="黑体" w:cs="宋体"/>
        </w:rPr>
        <w:t>磋商</w:t>
      </w:r>
      <w:r>
        <w:rPr>
          <w:rFonts w:hint="eastAsia" w:ascii="黑体" w:hAnsi="黑体" w:eastAsia="黑体" w:cs="宋体"/>
          <w:lang w:eastAsia="zh-TW"/>
        </w:rPr>
        <w:t>报价有缺漏项的，缺漏项部分的价格视为已包含在</w:t>
      </w:r>
      <w:r>
        <w:rPr>
          <w:rFonts w:hint="eastAsia" w:ascii="黑体" w:hAnsi="黑体" w:eastAsia="黑体" w:cs="宋体"/>
        </w:rPr>
        <w:t>磋商</w:t>
      </w:r>
      <w:r>
        <w:rPr>
          <w:rFonts w:hint="eastAsia" w:ascii="黑体" w:hAnsi="黑体" w:eastAsia="黑体" w:cs="宋体"/>
          <w:lang w:eastAsia="zh-TW"/>
        </w:rPr>
        <w:t>报价中，</w:t>
      </w:r>
      <w:r>
        <w:rPr>
          <w:rFonts w:hint="eastAsia" w:ascii="黑体" w:hAnsi="黑体" w:eastAsia="黑体" w:cs="宋体"/>
        </w:rPr>
        <w:t>成交</w:t>
      </w:r>
      <w:r>
        <w:rPr>
          <w:rFonts w:hint="eastAsia" w:ascii="黑体" w:hAnsi="黑体" w:eastAsia="黑体" w:cs="宋体"/>
          <w:lang w:eastAsia="zh-TW"/>
        </w:rPr>
        <w:t>后不作任何调整。</w:t>
      </w:r>
    </w:p>
    <w:p>
      <w:pPr>
        <w:pStyle w:val="68"/>
        <w:numPr>
          <w:ilvl w:val="0"/>
          <w:numId w:val="48"/>
        </w:numPr>
        <w:tabs>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cs="宋体"/>
        </w:rPr>
        <w:t>磋商</w:t>
      </w:r>
      <w:r>
        <w:rPr>
          <w:rFonts w:hint="eastAsia" w:ascii="黑体" w:hAnsi="黑体" w:eastAsia="黑体" w:cs="宋体"/>
          <w:lang w:eastAsia="zh-TW"/>
        </w:rPr>
        <w:t>报价</w:t>
      </w:r>
      <w:r>
        <w:rPr>
          <w:rFonts w:hint="eastAsia" w:ascii="黑体" w:hAnsi="黑体" w:eastAsia="黑体" w:cs="宋体"/>
        </w:rPr>
        <w:t>应包含：</w:t>
      </w:r>
    </w:p>
    <w:p>
      <w:pPr>
        <w:pStyle w:val="68"/>
        <w:numPr>
          <w:ilvl w:val="0"/>
          <w:numId w:val="49"/>
        </w:numPr>
        <w:tabs>
          <w:tab w:val="left" w:pos="360"/>
          <w:tab w:val="left" w:pos="720"/>
          <w:tab w:val="left" w:pos="851"/>
        </w:tabs>
        <w:autoSpaceDE w:val="0"/>
        <w:autoSpaceDN w:val="0"/>
        <w:spacing w:line="360" w:lineRule="auto"/>
        <w:ind w:hanging="704" w:firstLineChars="0"/>
        <w:jc w:val="left"/>
        <w:rPr>
          <w:rFonts w:ascii="黑体" w:hAnsi="黑体" w:eastAsia="黑体" w:cs="宋体"/>
          <w:lang w:eastAsia="zh-TW"/>
        </w:rPr>
      </w:pPr>
      <w:r>
        <w:rPr>
          <w:rFonts w:hint="eastAsia" w:ascii="黑体" w:hAnsi="黑体" w:eastAsia="黑体" w:cs="宋体"/>
        </w:rPr>
        <w:t>按磋商文件的要求全部货物及服务内容所需的所有费用，</w:t>
      </w:r>
      <w:r>
        <w:rPr>
          <w:rFonts w:ascii="黑体" w:hAnsi="黑体" w:eastAsia="黑体"/>
        </w:rPr>
        <w:t>包括但不限于项目的</w:t>
      </w:r>
      <w:r>
        <w:rPr>
          <w:rFonts w:hint="eastAsia" w:ascii="黑体" w:hAnsi="黑体" w:eastAsia="黑体" w:cs="宋体"/>
        </w:rPr>
        <w:t>全部</w:t>
      </w:r>
      <w:r>
        <w:rPr>
          <w:rFonts w:hint="eastAsia" w:ascii="黑体" w:hAnsi="黑体" w:eastAsia="黑体" w:cs="宋体"/>
          <w:lang w:eastAsia="zh-TW"/>
        </w:rPr>
        <w:t>产品</w:t>
      </w:r>
      <w:r>
        <w:rPr>
          <w:rFonts w:hint="eastAsia" w:ascii="黑体" w:hAnsi="黑体" w:eastAsia="黑体" w:cs="宋体"/>
        </w:rPr>
        <w:t>价格、服务价格、</w:t>
      </w:r>
      <w:r>
        <w:rPr>
          <w:rFonts w:hint="eastAsia" w:ascii="黑体" w:hAnsi="黑体" w:eastAsia="黑体" w:cs="宋体"/>
          <w:lang w:eastAsia="zh-TW"/>
        </w:rPr>
        <w:t>应向中华人民共和国政府缴纳的增值税和其它税等全部税费、</w:t>
      </w:r>
      <w:r>
        <w:rPr>
          <w:rFonts w:ascii="黑体" w:hAnsi="黑体" w:eastAsia="黑体"/>
        </w:rPr>
        <w:t>运输、保险、安装、伴随服务、</w:t>
      </w:r>
      <w:r>
        <w:rPr>
          <w:rFonts w:hint="eastAsia" w:ascii="黑体" w:hAnsi="黑体" w:eastAsia="黑体" w:cs="宋体"/>
          <w:lang w:eastAsia="zh-TW"/>
        </w:rPr>
        <w:t>标准附件价、备品备件及专用工具价</w:t>
      </w:r>
      <w:r>
        <w:rPr>
          <w:rFonts w:ascii="黑体" w:hAnsi="黑体" w:eastAsia="黑体" w:cs="宋体"/>
          <w:lang w:eastAsia="zh-TW"/>
        </w:rPr>
        <w:t>(</w:t>
      </w:r>
      <w:r>
        <w:rPr>
          <w:rFonts w:hint="eastAsia" w:ascii="黑体" w:hAnsi="黑体" w:eastAsia="黑体" w:cs="宋体"/>
          <w:lang w:eastAsia="zh-TW"/>
        </w:rPr>
        <w:t>如有</w:t>
      </w:r>
      <w:r>
        <w:rPr>
          <w:rFonts w:ascii="黑体" w:hAnsi="黑体" w:eastAsia="黑体" w:cs="宋体"/>
          <w:lang w:eastAsia="zh-TW"/>
        </w:rPr>
        <w:t>)</w:t>
      </w:r>
      <w:r>
        <w:rPr>
          <w:rFonts w:ascii="黑体" w:hAnsi="黑体" w:eastAsia="黑体"/>
        </w:rPr>
        <w:t>以及</w:t>
      </w:r>
      <w:r>
        <w:rPr>
          <w:rFonts w:hint="eastAsia" w:ascii="黑体" w:hAnsi="黑体" w:eastAsia="黑体" w:cs="宋体"/>
        </w:rPr>
        <w:t>履行合同所需的费用、</w:t>
      </w:r>
      <w:r>
        <w:rPr>
          <w:rFonts w:ascii="黑体" w:hAnsi="黑体" w:eastAsia="黑体"/>
        </w:rPr>
        <w:t>所有风险、责任等</w:t>
      </w:r>
      <w:r>
        <w:rPr>
          <w:rFonts w:hint="eastAsia" w:ascii="黑体" w:hAnsi="黑体" w:eastAsia="黑体" w:cs="宋体"/>
        </w:rPr>
        <w:t>其他一切隐含及不可预见的费用</w:t>
      </w:r>
      <w:r>
        <w:rPr>
          <w:rFonts w:ascii="黑体" w:hAnsi="黑体" w:eastAsia="黑体"/>
        </w:rPr>
        <w:t>。如是</w:t>
      </w:r>
      <w:r>
        <w:rPr>
          <w:rFonts w:hint="eastAsia" w:ascii="黑体" w:hAnsi="黑体" w:eastAsia="黑体" w:cs="宋体"/>
          <w:lang w:eastAsia="zh-TW"/>
        </w:rPr>
        <w:t>提供境外的货物</w:t>
      </w:r>
      <w:r>
        <w:rPr>
          <w:rFonts w:hint="eastAsia" w:ascii="黑体" w:hAnsi="黑体" w:eastAsia="黑体" w:cs="宋体"/>
        </w:rPr>
        <w:t>，</w:t>
      </w:r>
      <w:r>
        <w:rPr>
          <w:rFonts w:hint="eastAsia" w:ascii="黑体" w:hAnsi="黑体" w:eastAsia="黑体" w:cs="宋体"/>
          <w:lang w:eastAsia="zh-TW"/>
        </w:rPr>
        <w:t>还应包括货物从境外进口己缴纳或应缴纳的全部关税、增值税和其它税</w:t>
      </w:r>
      <w:r>
        <w:rPr>
          <w:rFonts w:hint="eastAsia" w:ascii="黑体" w:hAnsi="黑体" w:eastAsia="黑体" w:cs="宋体"/>
        </w:rPr>
        <w:t>、</w:t>
      </w:r>
      <w:r>
        <w:rPr>
          <w:rFonts w:hint="eastAsia" w:ascii="黑体" w:hAnsi="黑体" w:eastAsia="黑体" w:cs="宋体"/>
          <w:lang w:eastAsia="zh-TW"/>
        </w:rPr>
        <w:t>报货物境外离岸价格、国外运输费、国外运输保险费等费用。</w:t>
      </w:r>
    </w:p>
    <w:p>
      <w:pPr>
        <w:pStyle w:val="68"/>
        <w:numPr>
          <w:ilvl w:val="0"/>
          <w:numId w:val="48"/>
        </w:numPr>
        <w:tabs>
          <w:tab w:val="left" w:pos="567"/>
        </w:tabs>
        <w:autoSpaceDE w:val="0"/>
        <w:autoSpaceDN w:val="0"/>
        <w:spacing w:line="360" w:lineRule="auto"/>
        <w:ind w:left="567" w:hanging="567" w:firstLineChars="0"/>
        <w:jc w:val="left"/>
        <w:rPr>
          <w:rFonts w:ascii="黑体" w:hAnsi="黑体" w:eastAsia="黑体" w:cs="宋体"/>
        </w:rPr>
      </w:pPr>
      <w:r>
        <w:rPr>
          <w:rFonts w:hint="eastAsia" w:ascii="黑体" w:hAnsi="黑体" w:eastAsia="黑体"/>
        </w:rPr>
        <w:t>除</w:t>
      </w:r>
      <w:r>
        <w:rPr>
          <w:rFonts w:hint="eastAsia" w:ascii="黑体" w:hAnsi="黑体" w:eastAsia="黑体"/>
          <w:b/>
          <w:u w:val="single"/>
        </w:rPr>
        <w:t>磋商须知前附表</w:t>
      </w:r>
      <w:r>
        <w:rPr>
          <w:rFonts w:hint="eastAsia" w:ascii="黑体" w:hAnsi="黑体" w:eastAsia="黑体"/>
        </w:rPr>
        <w:t>中另有规定，</w:t>
      </w:r>
      <w:r>
        <w:rPr>
          <w:rFonts w:hint="eastAsia" w:ascii="黑体" w:hAnsi="黑体" w:eastAsia="黑体" w:cs="宋体"/>
          <w:lang w:eastAsia="zh-TW"/>
        </w:rPr>
        <w:t>供应商所报的磋商价在合同执行过程中是固定不变的</w:t>
      </w:r>
      <w:r>
        <w:rPr>
          <w:rFonts w:hint="eastAsia" w:ascii="黑体" w:hAnsi="黑体" w:eastAsia="黑体" w:cs="宋体"/>
        </w:rPr>
        <w:t>，</w:t>
      </w:r>
      <w:r>
        <w:rPr>
          <w:rFonts w:hint="eastAsia" w:ascii="黑体" w:hAnsi="黑体" w:eastAsia="黑体" w:cs="宋体"/>
          <w:lang w:eastAsia="zh-TW"/>
        </w:rPr>
        <w:t>不得以任何理由予以变更。任何包含价格调整要求的磋商被认为是非实质性响应磋商而予以拒绝。</w:t>
      </w:r>
    </w:p>
    <w:p>
      <w:pPr>
        <w:pStyle w:val="68"/>
        <w:numPr>
          <w:ilvl w:val="0"/>
          <w:numId w:val="48"/>
        </w:numPr>
        <w:tabs>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rPr>
        <w:t>除</w:t>
      </w:r>
      <w:r>
        <w:rPr>
          <w:rFonts w:hint="eastAsia" w:ascii="黑体" w:hAnsi="黑体" w:eastAsia="黑体"/>
          <w:b/>
          <w:u w:val="single"/>
        </w:rPr>
        <w:t>磋商须知前附表</w:t>
      </w:r>
      <w:r>
        <w:rPr>
          <w:rFonts w:hint="eastAsia" w:ascii="黑体" w:hAnsi="黑体" w:eastAsia="黑体"/>
        </w:rPr>
        <w:t>中允许有备选方案外，本次磋商不接受选择性报价，</w:t>
      </w:r>
      <w:r>
        <w:rPr>
          <w:rFonts w:hint="eastAsia" w:ascii="黑体" w:hAnsi="黑体" w:eastAsia="黑体" w:cs="宋体"/>
        </w:rPr>
        <w:t>否则将被视为无效报价。</w:t>
      </w:r>
    </w:p>
    <w:p>
      <w:pPr>
        <w:pStyle w:val="68"/>
        <w:numPr>
          <w:ilvl w:val="0"/>
          <w:numId w:val="48"/>
        </w:numPr>
        <w:tabs>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cs="宋体"/>
        </w:rPr>
        <w:t>除</w:t>
      </w:r>
      <w:r>
        <w:rPr>
          <w:rFonts w:hint="eastAsia" w:ascii="黑体" w:hAnsi="黑体" w:eastAsia="黑体" w:cs="宋体"/>
          <w:b/>
          <w:u w:val="single"/>
        </w:rPr>
        <w:t>磋商须知前附表</w:t>
      </w:r>
      <w:r>
        <w:rPr>
          <w:rFonts w:hint="eastAsia" w:ascii="黑体" w:hAnsi="黑体" w:eastAsia="黑体" w:cs="宋体"/>
        </w:rPr>
        <w:t>另有规定外，本次磋商不接受具有附加条件的报价，否则将被视为无效响应。</w:t>
      </w:r>
    </w:p>
    <w:p>
      <w:pPr>
        <w:pStyle w:val="68"/>
        <w:numPr>
          <w:ilvl w:val="0"/>
          <w:numId w:val="48"/>
        </w:numPr>
        <w:tabs>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b/>
          <w:bCs/>
          <w:spacing w:val="-6"/>
          <w:szCs w:val="21"/>
        </w:rPr>
        <w:t>供应商的首次报价高于采购预算的，该供应商的响应文件将被视为非响应性报价，作无效响应处理。</w:t>
      </w:r>
    </w:p>
    <w:p>
      <w:pPr>
        <w:numPr>
          <w:ilvl w:val="0"/>
          <w:numId w:val="33"/>
        </w:numPr>
        <w:tabs>
          <w:tab w:val="left" w:pos="567"/>
          <w:tab w:val="clear" w:pos="360"/>
        </w:tabs>
        <w:autoSpaceDE w:val="0"/>
        <w:autoSpaceDN w:val="0"/>
        <w:spacing w:before="312" w:beforeLines="100" w:line="360" w:lineRule="auto"/>
        <w:ind w:left="709" w:hanging="709"/>
        <w:rPr>
          <w:rFonts w:ascii="黑体" w:hAnsi="黑体" w:eastAsia="黑体"/>
          <w:b/>
          <w:bCs/>
        </w:rPr>
      </w:pPr>
      <w:bookmarkStart w:id="72" w:name="_Toc416771336"/>
      <w:bookmarkStart w:id="73" w:name="_Toc416770226"/>
      <w:r>
        <w:rPr>
          <w:rFonts w:hint="eastAsia" w:ascii="黑体" w:hAnsi="黑体" w:eastAsia="黑体"/>
          <w:b/>
          <w:bCs/>
        </w:rPr>
        <w:t>联合体</w:t>
      </w:r>
      <w:bookmarkEnd w:id="72"/>
      <w:bookmarkEnd w:id="73"/>
      <w:r>
        <w:rPr>
          <w:rFonts w:hint="eastAsia" w:ascii="黑体" w:hAnsi="黑体" w:eastAsia="黑体"/>
          <w:b/>
          <w:bCs/>
        </w:rPr>
        <w:t>响应</w:t>
      </w:r>
    </w:p>
    <w:p>
      <w:pPr>
        <w:pStyle w:val="68"/>
        <w:numPr>
          <w:ilvl w:val="0"/>
          <w:numId w:val="50"/>
        </w:numPr>
        <w:tabs>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rPr>
        <w:t>除非</w:t>
      </w:r>
      <w:r>
        <w:rPr>
          <w:rFonts w:hint="eastAsia" w:ascii="黑体" w:hAnsi="黑体" w:eastAsia="黑体"/>
          <w:b/>
        </w:rPr>
        <w:t>磋商邀请</w:t>
      </w:r>
      <w:r>
        <w:rPr>
          <w:rFonts w:hint="eastAsia" w:ascii="黑体" w:hAnsi="黑体" w:eastAsia="黑体"/>
        </w:rPr>
        <w:t>中另有规定，不接受联合体</w:t>
      </w:r>
      <w:bookmarkStart w:id="74" w:name="_Hlk19179260"/>
      <w:r>
        <w:rPr>
          <w:rFonts w:hint="eastAsia" w:ascii="黑体" w:hAnsi="黑体" w:eastAsia="黑体"/>
        </w:rPr>
        <w:t>响应</w:t>
      </w:r>
      <w:bookmarkEnd w:id="74"/>
      <w:r>
        <w:rPr>
          <w:rFonts w:hint="eastAsia" w:ascii="黑体" w:hAnsi="黑体" w:eastAsia="黑体"/>
        </w:rPr>
        <w:t>。如果磋商邀请中规定允许联合体响应的，则必须满足：</w:t>
      </w:r>
    </w:p>
    <w:p>
      <w:pPr>
        <w:pStyle w:val="68"/>
        <w:numPr>
          <w:ilvl w:val="0"/>
          <w:numId w:val="51"/>
        </w:numPr>
        <w:tabs>
          <w:tab w:val="left" w:pos="360"/>
          <w:tab w:val="left" w:pos="709"/>
        </w:tabs>
        <w:autoSpaceDE w:val="0"/>
        <w:autoSpaceDN w:val="0"/>
        <w:spacing w:line="360" w:lineRule="auto"/>
        <w:ind w:hanging="704" w:firstLineChars="0"/>
        <w:jc w:val="left"/>
        <w:rPr>
          <w:rFonts w:ascii="黑体" w:hAnsi="黑体" w:eastAsia="黑体"/>
        </w:rPr>
      </w:pPr>
      <w:r>
        <w:rPr>
          <w:rFonts w:hint="eastAsia" w:ascii="黑体" w:hAnsi="黑体" w:eastAsia="黑体"/>
          <w:bCs/>
          <w:szCs w:val="21"/>
        </w:rPr>
        <w:t>以联合体形式参加磋商的，联合体各方均必须符合本须知“合格的供应商”的一般规定，并至少有一方符合满足“合格的供应商”的特殊条款要求；</w:t>
      </w:r>
    </w:p>
    <w:p>
      <w:pPr>
        <w:pStyle w:val="68"/>
        <w:numPr>
          <w:ilvl w:val="0"/>
          <w:numId w:val="51"/>
        </w:numPr>
        <w:tabs>
          <w:tab w:val="left" w:pos="360"/>
          <w:tab w:val="left" w:pos="709"/>
        </w:tabs>
        <w:autoSpaceDE w:val="0"/>
        <w:autoSpaceDN w:val="0"/>
        <w:spacing w:line="360" w:lineRule="auto"/>
        <w:ind w:hanging="704" w:firstLineChars="0"/>
        <w:jc w:val="left"/>
        <w:rPr>
          <w:rFonts w:ascii="黑体" w:hAnsi="黑体" w:eastAsia="黑体"/>
        </w:rPr>
      </w:pPr>
      <w:r>
        <w:rPr>
          <w:rFonts w:hint="eastAsia" w:ascii="黑体" w:hAnsi="黑体" w:eastAsia="黑体"/>
          <w:bCs/>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pPr>
        <w:pStyle w:val="68"/>
        <w:numPr>
          <w:ilvl w:val="0"/>
          <w:numId w:val="51"/>
        </w:numPr>
        <w:tabs>
          <w:tab w:val="left" w:pos="360"/>
          <w:tab w:val="left" w:pos="709"/>
        </w:tabs>
        <w:autoSpaceDE w:val="0"/>
        <w:autoSpaceDN w:val="0"/>
        <w:spacing w:line="360" w:lineRule="auto"/>
        <w:ind w:hanging="704" w:firstLineChars="0"/>
        <w:jc w:val="left"/>
        <w:rPr>
          <w:rFonts w:ascii="黑体" w:hAnsi="黑体" w:eastAsia="黑体"/>
        </w:rPr>
      </w:pPr>
      <w:r>
        <w:rPr>
          <w:rFonts w:hint="eastAsia" w:ascii="黑体" w:hAnsi="黑体" w:eastAsia="黑体"/>
          <w:bCs/>
          <w:szCs w:val="21"/>
        </w:rPr>
        <w:t>以联合体形式参加政府采购活动的，联合体各方不得再单独参加或者与其他供应商另外组成联合体参加同一合同项下的政府采购活动；</w:t>
      </w:r>
    </w:p>
    <w:p>
      <w:pPr>
        <w:pStyle w:val="68"/>
        <w:numPr>
          <w:ilvl w:val="0"/>
          <w:numId w:val="51"/>
        </w:numPr>
        <w:tabs>
          <w:tab w:val="left" w:pos="360"/>
          <w:tab w:val="left" w:pos="709"/>
        </w:tabs>
        <w:autoSpaceDE w:val="0"/>
        <w:autoSpaceDN w:val="0"/>
        <w:spacing w:line="360" w:lineRule="auto"/>
        <w:ind w:hanging="704" w:firstLineChars="0"/>
        <w:jc w:val="left"/>
        <w:rPr>
          <w:rFonts w:ascii="黑体" w:hAnsi="黑体" w:eastAsia="黑体"/>
        </w:rPr>
      </w:pPr>
      <w:r>
        <w:rPr>
          <w:rFonts w:hint="eastAsia" w:ascii="黑体" w:hAnsi="黑体" w:eastAsia="黑体"/>
          <w:bCs/>
          <w:szCs w:val="21"/>
        </w:rPr>
        <w:t>联合体参加的，可以由联合体中的一方或者共同提交投标保证金，以一方名义提交投标保证金的，对联合体各方均具有约束力；</w:t>
      </w:r>
    </w:p>
    <w:p>
      <w:pPr>
        <w:pStyle w:val="68"/>
        <w:numPr>
          <w:ilvl w:val="0"/>
          <w:numId w:val="51"/>
        </w:numPr>
        <w:tabs>
          <w:tab w:val="left" w:pos="360"/>
          <w:tab w:val="left" w:pos="709"/>
        </w:tabs>
        <w:autoSpaceDE w:val="0"/>
        <w:autoSpaceDN w:val="0"/>
        <w:spacing w:line="360" w:lineRule="auto"/>
        <w:ind w:hanging="704" w:firstLineChars="0"/>
        <w:jc w:val="left"/>
        <w:rPr>
          <w:rFonts w:ascii="黑体" w:hAnsi="黑体" w:eastAsia="黑体"/>
        </w:rPr>
      </w:pPr>
      <w:r>
        <w:rPr>
          <w:rFonts w:hint="eastAsia" w:ascii="黑体" w:hAnsi="黑体" w:eastAsia="黑体"/>
          <w:bCs/>
          <w:szCs w:val="21"/>
        </w:rPr>
        <w:t>联合体中有同类资质的供应商按照联合体分工承担相同工作的，按照资质等级较低的供应商确定资质等级；</w:t>
      </w:r>
    </w:p>
    <w:p>
      <w:pPr>
        <w:pStyle w:val="68"/>
        <w:numPr>
          <w:ilvl w:val="0"/>
          <w:numId w:val="51"/>
        </w:numPr>
        <w:tabs>
          <w:tab w:val="left" w:pos="360"/>
          <w:tab w:val="left" w:pos="709"/>
        </w:tabs>
        <w:autoSpaceDE w:val="0"/>
        <w:autoSpaceDN w:val="0"/>
        <w:spacing w:line="360" w:lineRule="auto"/>
        <w:ind w:hanging="704" w:firstLineChars="0"/>
        <w:jc w:val="left"/>
        <w:rPr>
          <w:rFonts w:ascii="黑体" w:hAnsi="黑体" w:eastAsia="黑体"/>
        </w:rPr>
      </w:pPr>
      <w:r>
        <w:rPr>
          <w:rFonts w:hint="eastAsia" w:ascii="黑体" w:hAnsi="黑体" w:eastAsia="黑体"/>
          <w:bCs/>
          <w:szCs w:val="21"/>
        </w:rPr>
        <w:t>联合体各方应当共同与采购人签订采购合同，就采购合同约定的事项对采购人承担连带责任。</w:t>
      </w:r>
    </w:p>
    <w:p>
      <w:pPr>
        <w:numPr>
          <w:ilvl w:val="0"/>
          <w:numId w:val="33"/>
        </w:numPr>
        <w:tabs>
          <w:tab w:val="left" w:pos="567"/>
          <w:tab w:val="clear" w:pos="360"/>
        </w:tabs>
        <w:autoSpaceDE w:val="0"/>
        <w:autoSpaceDN w:val="0"/>
        <w:spacing w:before="156" w:beforeLines="50" w:line="360" w:lineRule="auto"/>
        <w:ind w:left="709" w:hanging="709"/>
        <w:rPr>
          <w:rFonts w:ascii="黑体" w:hAnsi="黑体" w:eastAsia="黑体"/>
          <w:b/>
          <w:bCs/>
        </w:rPr>
      </w:pPr>
      <w:bookmarkStart w:id="75" w:name="_Toc410736150"/>
      <w:bookmarkStart w:id="76" w:name="_Toc416771337"/>
      <w:bookmarkStart w:id="77" w:name="_Toc410738950"/>
      <w:bookmarkStart w:id="78" w:name="_Toc416770227"/>
      <w:r>
        <w:rPr>
          <w:rFonts w:hint="eastAsia" w:ascii="黑体" w:hAnsi="黑体" w:eastAsia="黑体"/>
          <w:b/>
          <w:bCs/>
        </w:rPr>
        <w:t>证明供应商合格和资格的文件</w:t>
      </w:r>
      <w:bookmarkEnd w:id="75"/>
      <w:bookmarkEnd w:id="76"/>
      <w:bookmarkEnd w:id="77"/>
      <w:bookmarkEnd w:id="78"/>
    </w:p>
    <w:p>
      <w:pPr>
        <w:pStyle w:val="68"/>
        <w:numPr>
          <w:ilvl w:val="0"/>
          <w:numId w:val="52"/>
        </w:numPr>
        <w:tabs>
          <w:tab w:val="left" w:pos="360"/>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rPr>
        <w:t>供应商应提交证明其有资格参加磋商和成交后有能力履行合同的文件</w:t>
      </w:r>
      <w:r>
        <w:rPr>
          <w:rFonts w:hint="eastAsia" w:ascii="黑体" w:hAnsi="黑体" w:eastAsia="黑体" w:cs="宋体"/>
        </w:rPr>
        <w:t>，</w:t>
      </w:r>
      <w:r>
        <w:rPr>
          <w:rFonts w:hint="eastAsia" w:ascii="黑体" w:hAnsi="黑体" w:eastAsia="黑体" w:cs="宋体"/>
          <w:lang w:eastAsia="zh-TW"/>
        </w:rPr>
        <w:t>并作为其响应文件的一部分。</w:t>
      </w:r>
      <w:r>
        <w:rPr>
          <w:rFonts w:hint="eastAsia" w:ascii="黑体" w:hAnsi="黑体" w:eastAsia="黑体"/>
          <w:bCs/>
          <w:szCs w:val="21"/>
        </w:rPr>
        <w:t>如果</w:t>
      </w:r>
      <w:r>
        <w:rPr>
          <w:rFonts w:hint="eastAsia" w:ascii="黑体" w:hAnsi="黑体" w:eastAsia="黑体"/>
        </w:rPr>
        <w:t>供应商</w:t>
      </w:r>
      <w:r>
        <w:rPr>
          <w:rFonts w:hint="eastAsia" w:ascii="黑体" w:hAnsi="黑体" w:eastAsia="黑体"/>
          <w:bCs/>
          <w:szCs w:val="21"/>
        </w:rPr>
        <w:t>为联合体，应提交联合体各方的资格证明文件、共同采购协议并注明主体方及各方拟承担的工作和责任。</w:t>
      </w:r>
    </w:p>
    <w:p>
      <w:pPr>
        <w:pStyle w:val="68"/>
        <w:numPr>
          <w:ilvl w:val="0"/>
          <w:numId w:val="52"/>
        </w:numPr>
        <w:tabs>
          <w:tab w:val="left" w:pos="360"/>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rPr>
        <w:t>供应商提交的资格证明文件应证明其满足本须知</w:t>
      </w:r>
      <w:r>
        <w:rPr>
          <w:rFonts w:hint="eastAsia" w:ascii="黑体" w:hAnsi="黑体" w:eastAsia="黑体" w:cs="宋体"/>
          <w:lang w:eastAsia="zh-TW"/>
        </w:rPr>
        <w:t>定义的合格</w:t>
      </w:r>
      <w:r>
        <w:rPr>
          <w:rFonts w:hint="eastAsia" w:ascii="黑体" w:hAnsi="黑体" w:eastAsia="黑体" w:cs="宋体"/>
        </w:rPr>
        <w:t>供应商</w:t>
      </w:r>
      <w:r>
        <w:rPr>
          <w:rFonts w:hint="eastAsia" w:ascii="黑体" w:hAnsi="黑体" w:eastAsia="黑体" w:cs="宋体"/>
          <w:lang w:eastAsia="zh-TW"/>
        </w:rPr>
        <w:t>。</w:t>
      </w:r>
    </w:p>
    <w:p>
      <w:pPr>
        <w:numPr>
          <w:ilvl w:val="0"/>
          <w:numId w:val="33"/>
        </w:numPr>
        <w:tabs>
          <w:tab w:val="left" w:pos="567"/>
          <w:tab w:val="clear" w:pos="360"/>
        </w:tabs>
        <w:autoSpaceDE w:val="0"/>
        <w:autoSpaceDN w:val="0"/>
        <w:spacing w:before="156" w:beforeLines="50" w:line="360" w:lineRule="auto"/>
        <w:ind w:left="709" w:hanging="709"/>
        <w:rPr>
          <w:rFonts w:ascii="黑体" w:hAnsi="黑体" w:eastAsia="黑体"/>
          <w:b/>
          <w:bCs/>
        </w:rPr>
      </w:pPr>
      <w:bookmarkStart w:id="79" w:name="_Toc416771338"/>
      <w:bookmarkStart w:id="80" w:name="_Toc410738951"/>
      <w:bookmarkStart w:id="81" w:name="_Toc410736151"/>
      <w:bookmarkStart w:id="82" w:name="_Toc416770228"/>
      <w:r>
        <w:rPr>
          <w:rFonts w:hint="eastAsia" w:ascii="黑体" w:hAnsi="黑体" w:eastAsia="黑体"/>
          <w:b/>
          <w:bCs/>
        </w:rPr>
        <w:t>证明货物或服务或工程的合格性和符合磋商文件规定的文件</w:t>
      </w:r>
      <w:bookmarkEnd w:id="79"/>
      <w:bookmarkEnd w:id="80"/>
      <w:bookmarkEnd w:id="81"/>
      <w:bookmarkEnd w:id="82"/>
    </w:p>
    <w:p>
      <w:pPr>
        <w:pStyle w:val="68"/>
        <w:numPr>
          <w:ilvl w:val="0"/>
          <w:numId w:val="53"/>
        </w:numPr>
        <w:tabs>
          <w:tab w:val="left" w:pos="709"/>
        </w:tabs>
        <w:autoSpaceDE w:val="0"/>
        <w:autoSpaceDN w:val="0"/>
        <w:spacing w:line="360" w:lineRule="auto"/>
        <w:ind w:left="567" w:hanging="567" w:firstLineChars="0"/>
        <w:jc w:val="left"/>
        <w:rPr>
          <w:rFonts w:ascii="黑体" w:hAnsi="黑体" w:eastAsia="黑体" w:cs="黑体"/>
          <w:bCs/>
        </w:rPr>
      </w:pPr>
      <w:r>
        <w:rPr>
          <w:rFonts w:hint="eastAsia" w:ascii="黑体" w:hAnsi="黑体" w:eastAsia="黑体" w:cs="宋体"/>
          <w:lang w:eastAsia="zh-TW"/>
        </w:rPr>
        <w:t>供应商应提交证明文件</w:t>
      </w:r>
      <w:r>
        <w:rPr>
          <w:rFonts w:hint="eastAsia" w:ascii="黑体" w:hAnsi="黑体" w:eastAsia="黑体" w:cs="宋体"/>
        </w:rPr>
        <w:t>，</w:t>
      </w:r>
      <w:r>
        <w:rPr>
          <w:rFonts w:hint="eastAsia" w:ascii="黑体" w:hAnsi="黑体" w:eastAsia="黑体" w:cs="宋体"/>
          <w:lang w:eastAsia="zh-TW"/>
        </w:rPr>
        <w:t>证明其</w:t>
      </w:r>
      <w:r>
        <w:rPr>
          <w:rFonts w:hint="eastAsia" w:ascii="黑体" w:hAnsi="黑体" w:eastAsia="黑体" w:cs="宋体"/>
        </w:rPr>
        <w:t>磋商</w:t>
      </w:r>
      <w:r>
        <w:rPr>
          <w:rFonts w:hint="eastAsia" w:ascii="黑体" w:hAnsi="黑体" w:eastAsia="黑体" w:cs="宋体"/>
          <w:lang w:eastAsia="zh-TW"/>
        </w:rPr>
        <w:t>的</w:t>
      </w:r>
      <w:r>
        <w:rPr>
          <w:rFonts w:hint="eastAsia" w:ascii="黑体" w:hAnsi="黑体" w:eastAsia="黑体" w:cs="宋体"/>
        </w:rPr>
        <w:t>货物或</w:t>
      </w:r>
      <w:r>
        <w:rPr>
          <w:rFonts w:hint="eastAsia" w:ascii="黑体" w:hAnsi="黑体" w:eastAsia="黑体" w:cs="宋体"/>
          <w:lang w:eastAsia="zh-TW"/>
        </w:rPr>
        <w:t>服务</w:t>
      </w:r>
      <w:r>
        <w:rPr>
          <w:rFonts w:hint="eastAsia" w:ascii="黑体" w:hAnsi="黑体" w:eastAsia="黑体" w:cs="宋体"/>
        </w:rPr>
        <w:t>或工程</w:t>
      </w:r>
      <w:r>
        <w:rPr>
          <w:rFonts w:hint="eastAsia" w:ascii="黑体" w:hAnsi="黑体" w:eastAsia="黑体" w:cs="宋体"/>
          <w:lang w:eastAsia="zh-TW"/>
        </w:rPr>
        <w:t>的合格性符合磋商文件规定。该证明文件作为响应文件的一部分。</w:t>
      </w:r>
    </w:p>
    <w:p>
      <w:pPr>
        <w:pStyle w:val="68"/>
        <w:numPr>
          <w:ilvl w:val="0"/>
          <w:numId w:val="53"/>
        </w:numPr>
        <w:tabs>
          <w:tab w:val="left" w:pos="709"/>
        </w:tabs>
        <w:autoSpaceDE w:val="0"/>
        <w:autoSpaceDN w:val="0"/>
        <w:spacing w:line="360" w:lineRule="auto"/>
        <w:ind w:left="567" w:hanging="567" w:firstLineChars="0"/>
        <w:jc w:val="left"/>
        <w:rPr>
          <w:rFonts w:ascii="黑体" w:hAnsi="黑体" w:eastAsia="黑体" w:cs="黑体"/>
          <w:bCs/>
        </w:rPr>
      </w:pPr>
      <w:r>
        <w:rPr>
          <w:rFonts w:hint="eastAsia" w:ascii="黑体" w:hAnsi="黑体" w:eastAsia="黑体" w:cs="宋体"/>
          <w:lang w:eastAsia="zh-TW"/>
        </w:rPr>
        <w:t>证明</w:t>
      </w:r>
      <w:r>
        <w:rPr>
          <w:rFonts w:hint="eastAsia" w:ascii="黑体" w:hAnsi="黑体" w:eastAsia="黑体" w:cs="宋体"/>
        </w:rPr>
        <w:t>货物或</w:t>
      </w:r>
      <w:r>
        <w:rPr>
          <w:rFonts w:hint="eastAsia" w:ascii="黑体" w:hAnsi="黑体" w:eastAsia="黑体" w:cs="宋体"/>
          <w:lang w:eastAsia="zh-TW"/>
        </w:rPr>
        <w:t>服务</w:t>
      </w:r>
      <w:r>
        <w:rPr>
          <w:rFonts w:hint="eastAsia" w:ascii="黑体" w:hAnsi="黑体" w:eastAsia="黑体" w:cs="宋体"/>
        </w:rPr>
        <w:t>或工程</w:t>
      </w:r>
      <w:r>
        <w:rPr>
          <w:rFonts w:hint="eastAsia" w:ascii="黑体" w:hAnsi="黑体" w:eastAsia="黑体" w:cs="宋体"/>
          <w:lang w:eastAsia="zh-TW"/>
        </w:rPr>
        <w:t>与磋商文件的要求相一致的文件，可以是文字资料、图纸和数据，它包括：</w:t>
      </w:r>
    </w:p>
    <w:p>
      <w:pPr>
        <w:pStyle w:val="68"/>
        <w:numPr>
          <w:ilvl w:val="0"/>
          <w:numId w:val="54"/>
        </w:numPr>
        <w:tabs>
          <w:tab w:val="left" w:pos="360"/>
          <w:tab w:val="left" w:pos="720"/>
          <w:tab w:val="left" w:pos="851"/>
        </w:tabs>
        <w:autoSpaceDE w:val="0"/>
        <w:autoSpaceDN w:val="0"/>
        <w:spacing w:line="360" w:lineRule="auto"/>
        <w:ind w:hanging="704" w:firstLineChars="0"/>
        <w:rPr>
          <w:rFonts w:ascii="黑体" w:hAnsi="黑体" w:eastAsia="黑体"/>
        </w:rPr>
      </w:pPr>
      <w:r>
        <w:rPr>
          <w:rFonts w:hint="eastAsia" w:ascii="黑体" w:hAnsi="黑体" w:eastAsia="黑体" w:cs="宋体"/>
          <w:lang w:eastAsia="zh-TW"/>
        </w:rPr>
        <w:t>货物主要技术指标和性能的详细说明</w:t>
      </w:r>
      <w:r>
        <w:rPr>
          <w:rFonts w:hint="eastAsia" w:ascii="黑体" w:hAnsi="黑体" w:eastAsia="黑体" w:cs="宋体"/>
        </w:rPr>
        <w:t>；</w:t>
      </w:r>
      <w:r>
        <w:rPr>
          <w:rFonts w:hint="eastAsia" w:ascii="黑体" w:hAnsi="黑体" w:eastAsia="黑体" w:cs="宋体"/>
          <w:lang w:eastAsia="zh-TW"/>
        </w:rPr>
        <w:t>货物正常使用所必须的备件和专用工具清单</w:t>
      </w:r>
      <w:r>
        <w:rPr>
          <w:rFonts w:hint="eastAsia" w:ascii="黑体" w:hAnsi="黑体" w:eastAsia="黑体" w:cs="宋体"/>
        </w:rPr>
        <w:t>，</w:t>
      </w:r>
      <w:r>
        <w:rPr>
          <w:rFonts w:hint="eastAsia" w:ascii="黑体" w:hAnsi="黑体" w:eastAsia="黑体" w:cs="宋体"/>
          <w:lang w:eastAsia="zh-TW"/>
        </w:rPr>
        <w:t>包括备件和专用工具的货源及现行价格</w:t>
      </w:r>
      <w:r>
        <w:rPr>
          <w:rFonts w:hint="eastAsia" w:ascii="黑体" w:hAnsi="黑体" w:eastAsia="黑体" w:cs="宋体"/>
        </w:rPr>
        <w:t>；（适用货物类项目）</w:t>
      </w:r>
    </w:p>
    <w:p>
      <w:pPr>
        <w:pStyle w:val="68"/>
        <w:numPr>
          <w:ilvl w:val="0"/>
          <w:numId w:val="54"/>
        </w:numPr>
        <w:tabs>
          <w:tab w:val="left" w:pos="360"/>
          <w:tab w:val="left" w:pos="720"/>
          <w:tab w:val="left" w:pos="851"/>
        </w:tabs>
        <w:autoSpaceDE w:val="0"/>
        <w:autoSpaceDN w:val="0"/>
        <w:spacing w:line="360" w:lineRule="auto"/>
        <w:ind w:hanging="704" w:firstLineChars="0"/>
        <w:rPr>
          <w:rFonts w:ascii="黑体" w:hAnsi="黑体" w:eastAsia="黑体"/>
        </w:rPr>
      </w:pPr>
      <w:r>
        <w:rPr>
          <w:rFonts w:hint="eastAsia" w:ascii="黑体" w:hAnsi="黑体" w:eastAsia="黑体" w:cs="宋体"/>
        </w:rPr>
        <w:t>服务</w:t>
      </w:r>
      <w:r>
        <w:rPr>
          <w:rFonts w:hint="eastAsia" w:ascii="黑体" w:hAnsi="黑体" w:eastAsia="黑体" w:cs="宋体"/>
          <w:lang w:eastAsia="zh-TW"/>
        </w:rPr>
        <w:t>主要</w:t>
      </w:r>
      <w:r>
        <w:rPr>
          <w:rFonts w:hint="eastAsia" w:ascii="黑体" w:hAnsi="黑体" w:eastAsia="黑体" w:cs="宋体"/>
        </w:rPr>
        <w:t>内容、方案、质量、标准</w:t>
      </w:r>
      <w:r>
        <w:rPr>
          <w:rFonts w:hint="eastAsia" w:ascii="黑体" w:hAnsi="黑体" w:eastAsia="黑体" w:cs="宋体"/>
          <w:lang w:eastAsia="zh-TW"/>
        </w:rPr>
        <w:t>指标</w:t>
      </w:r>
      <w:r>
        <w:rPr>
          <w:rFonts w:hint="eastAsia" w:ascii="黑体" w:hAnsi="黑体" w:eastAsia="黑体" w:cs="宋体"/>
        </w:rPr>
        <w:t>等</w:t>
      </w:r>
      <w:r>
        <w:rPr>
          <w:rFonts w:hint="eastAsia" w:ascii="黑体" w:hAnsi="黑体" w:eastAsia="黑体" w:cs="宋体"/>
          <w:lang w:eastAsia="zh-TW"/>
        </w:rPr>
        <w:t>的详细说明</w:t>
      </w:r>
      <w:r>
        <w:rPr>
          <w:rFonts w:hint="eastAsia" w:ascii="黑体" w:hAnsi="黑体" w:eastAsia="黑体" w:cs="宋体"/>
        </w:rPr>
        <w:t>；（适用服务类项目）</w:t>
      </w:r>
    </w:p>
    <w:p>
      <w:pPr>
        <w:pStyle w:val="68"/>
        <w:numPr>
          <w:ilvl w:val="0"/>
          <w:numId w:val="54"/>
        </w:numPr>
        <w:tabs>
          <w:tab w:val="left" w:pos="360"/>
          <w:tab w:val="left" w:pos="720"/>
          <w:tab w:val="left" w:pos="851"/>
        </w:tabs>
        <w:autoSpaceDE w:val="0"/>
        <w:autoSpaceDN w:val="0"/>
        <w:spacing w:line="360" w:lineRule="auto"/>
        <w:ind w:hanging="704" w:firstLineChars="0"/>
        <w:rPr>
          <w:rFonts w:ascii="黑体" w:hAnsi="黑体" w:eastAsia="黑体"/>
        </w:rPr>
      </w:pPr>
      <w:r>
        <w:rPr>
          <w:rFonts w:hint="eastAsia" w:ascii="黑体" w:hAnsi="黑体" w:eastAsia="黑体"/>
        </w:rPr>
        <w:t>工程主要内容、施工方案、质量、标准指标等的详细说明；</w:t>
      </w:r>
      <w:r>
        <w:rPr>
          <w:rFonts w:hint="eastAsia" w:ascii="黑体" w:hAnsi="黑体" w:eastAsia="黑体" w:cs="宋体"/>
        </w:rPr>
        <w:t>（适用工程类项目）</w:t>
      </w:r>
    </w:p>
    <w:p>
      <w:pPr>
        <w:pStyle w:val="68"/>
        <w:numPr>
          <w:ilvl w:val="0"/>
          <w:numId w:val="54"/>
        </w:numPr>
        <w:tabs>
          <w:tab w:val="left" w:pos="360"/>
          <w:tab w:val="left" w:pos="720"/>
          <w:tab w:val="left" w:pos="851"/>
        </w:tabs>
        <w:autoSpaceDE w:val="0"/>
        <w:autoSpaceDN w:val="0"/>
        <w:spacing w:line="360" w:lineRule="auto"/>
        <w:ind w:hanging="704" w:firstLineChars="0"/>
        <w:rPr>
          <w:rFonts w:ascii="黑体" w:hAnsi="黑体" w:eastAsia="黑体"/>
        </w:rPr>
      </w:pPr>
      <w:r>
        <w:rPr>
          <w:rFonts w:hint="eastAsia" w:ascii="黑体" w:hAnsi="黑体" w:eastAsia="黑体" w:cs="宋体"/>
          <w:lang w:eastAsia="zh-TW"/>
        </w:rPr>
        <w:t>对照磋商文件</w:t>
      </w:r>
      <w:r>
        <w:rPr>
          <w:rFonts w:hint="eastAsia" w:ascii="黑体" w:hAnsi="黑体" w:eastAsia="黑体" w:cs="宋体"/>
        </w:rPr>
        <w:t>货物或服务或工程内容与要求</w:t>
      </w:r>
      <w:r>
        <w:rPr>
          <w:rFonts w:hint="eastAsia" w:ascii="黑体" w:hAnsi="黑体" w:eastAsia="黑体" w:cs="宋体"/>
          <w:lang w:eastAsia="zh-TW"/>
        </w:rPr>
        <w:t>，逐条说明所提供</w:t>
      </w:r>
      <w:r>
        <w:rPr>
          <w:rFonts w:hint="eastAsia" w:ascii="黑体" w:hAnsi="黑体" w:eastAsia="黑体" w:cs="宋体"/>
        </w:rPr>
        <w:t>货物或</w:t>
      </w:r>
      <w:r>
        <w:rPr>
          <w:rFonts w:hint="eastAsia" w:ascii="黑体" w:hAnsi="黑体" w:eastAsia="黑体" w:cs="宋体"/>
          <w:lang w:eastAsia="zh-TW"/>
        </w:rPr>
        <w:t>服务</w:t>
      </w:r>
      <w:r>
        <w:rPr>
          <w:rFonts w:hint="eastAsia" w:ascii="黑体" w:hAnsi="黑体" w:eastAsia="黑体" w:cs="宋体"/>
        </w:rPr>
        <w:t>或工程</w:t>
      </w:r>
      <w:r>
        <w:rPr>
          <w:rFonts w:hint="eastAsia" w:ascii="黑体" w:hAnsi="黑体" w:eastAsia="黑体" w:cs="宋体"/>
          <w:lang w:eastAsia="zh-TW"/>
        </w:rPr>
        <w:t>已对磋商文件的</w:t>
      </w:r>
      <w:r>
        <w:rPr>
          <w:rFonts w:hint="eastAsia" w:ascii="黑体" w:hAnsi="黑体" w:eastAsia="黑体" w:cs="宋体"/>
        </w:rPr>
        <w:t>采购内容与要求</w:t>
      </w:r>
      <w:r>
        <w:rPr>
          <w:rFonts w:hint="eastAsia" w:ascii="黑体" w:hAnsi="黑体" w:eastAsia="黑体" w:cs="宋体"/>
          <w:lang w:eastAsia="zh-TW"/>
        </w:rPr>
        <w:t>作出了实质性的响应</w:t>
      </w:r>
      <w:r>
        <w:rPr>
          <w:rFonts w:hint="eastAsia" w:ascii="黑体" w:hAnsi="黑体" w:eastAsia="黑体" w:cs="宋体"/>
        </w:rPr>
        <w:t>，</w:t>
      </w:r>
      <w:r>
        <w:rPr>
          <w:rFonts w:hint="eastAsia" w:ascii="黑体" w:hAnsi="黑体" w:eastAsia="黑体" w:cs="宋体"/>
          <w:lang w:eastAsia="zh-TW"/>
        </w:rPr>
        <w:t>并申明与</w:t>
      </w:r>
      <w:r>
        <w:rPr>
          <w:rFonts w:hint="eastAsia" w:ascii="黑体" w:hAnsi="黑体" w:eastAsia="黑体" w:cs="宋体"/>
        </w:rPr>
        <w:t>采购内容与要求</w:t>
      </w:r>
      <w:r>
        <w:rPr>
          <w:rFonts w:hint="eastAsia" w:ascii="黑体" w:hAnsi="黑体" w:eastAsia="黑体" w:cs="宋体"/>
          <w:lang w:eastAsia="zh-TW"/>
        </w:rPr>
        <w:t>条文的偏差和例外。特别对有具体参数要求的指标</w:t>
      </w:r>
      <w:r>
        <w:rPr>
          <w:rFonts w:hint="eastAsia" w:ascii="黑体" w:hAnsi="黑体" w:eastAsia="黑体" w:cs="宋体"/>
        </w:rPr>
        <w:t>，</w:t>
      </w:r>
      <w:r>
        <w:rPr>
          <w:rFonts w:hint="eastAsia" w:ascii="黑体" w:hAnsi="黑体" w:eastAsia="黑体" w:cs="宋体"/>
          <w:lang w:eastAsia="zh-TW"/>
        </w:rPr>
        <w:t>供应商须提供所投</w:t>
      </w:r>
      <w:r>
        <w:rPr>
          <w:rFonts w:hint="eastAsia" w:ascii="黑体" w:hAnsi="黑体" w:eastAsia="黑体" w:cs="宋体"/>
        </w:rPr>
        <w:t>服务</w:t>
      </w:r>
      <w:r>
        <w:rPr>
          <w:rFonts w:hint="eastAsia" w:ascii="黑体" w:hAnsi="黑体" w:eastAsia="黑体" w:cs="宋体"/>
          <w:lang w:eastAsia="zh-TW"/>
        </w:rPr>
        <w:t>的具体参数值。</w:t>
      </w:r>
      <w:r>
        <w:rPr>
          <w:rFonts w:hint="eastAsia" w:ascii="黑体" w:hAnsi="黑体" w:eastAsia="黑体"/>
        </w:rPr>
        <w:t>供应商在阐述</w:t>
      </w:r>
      <w:r>
        <w:rPr>
          <w:rFonts w:hint="eastAsia" w:ascii="黑体" w:hAnsi="黑体" w:eastAsia="黑体" w:cs="宋体"/>
          <w:lang w:eastAsia="zh-TW"/>
        </w:rPr>
        <w:t>时应注意磋商文件的</w:t>
      </w:r>
      <w:r>
        <w:rPr>
          <w:rFonts w:hint="eastAsia" w:ascii="黑体" w:hAnsi="黑体" w:eastAsia="黑体" w:cs="宋体"/>
        </w:rPr>
        <w:t>采购内容、要求和</w:t>
      </w:r>
      <w:r>
        <w:rPr>
          <w:rFonts w:hint="eastAsia" w:ascii="黑体" w:hAnsi="黑体" w:eastAsia="黑体" w:cs="宋体"/>
          <w:lang w:eastAsia="zh-TW"/>
        </w:rPr>
        <w:t>标准</w:t>
      </w:r>
      <w:r>
        <w:rPr>
          <w:rFonts w:hint="eastAsia" w:ascii="黑体" w:hAnsi="黑体" w:eastAsia="黑体" w:cs="宋体"/>
        </w:rPr>
        <w:t>，</w:t>
      </w:r>
      <w:r>
        <w:rPr>
          <w:rFonts w:hint="eastAsia" w:ascii="黑体" w:hAnsi="黑体" w:eastAsia="黑体" w:cs="宋体"/>
          <w:lang w:eastAsia="zh-TW"/>
        </w:rPr>
        <w:t>供应商在磋商中要实质上满足或</w:t>
      </w:r>
      <w:r>
        <w:rPr>
          <w:rFonts w:hint="eastAsia" w:ascii="黑体" w:hAnsi="黑体" w:eastAsia="黑体" w:cs="宋体"/>
        </w:rPr>
        <w:t>优于</w:t>
      </w:r>
      <w:r>
        <w:rPr>
          <w:rFonts w:hint="eastAsia" w:ascii="黑体" w:hAnsi="黑体" w:eastAsia="黑体" w:cs="宋体"/>
          <w:lang w:eastAsia="zh-TW"/>
        </w:rPr>
        <w:t>磋商文件的要求。</w:t>
      </w:r>
    </w:p>
    <w:p>
      <w:pPr>
        <w:numPr>
          <w:ilvl w:val="0"/>
          <w:numId w:val="33"/>
        </w:numPr>
        <w:tabs>
          <w:tab w:val="left" w:pos="567"/>
          <w:tab w:val="clear" w:pos="360"/>
        </w:tabs>
        <w:autoSpaceDE w:val="0"/>
        <w:autoSpaceDN w:val="0"/>
        <w:spacing w:before="156" w:beforeLines="50" w:line="360" w:lineRule="auto"/>
        <w:ind w:left="709" w:hanging="709"/>
        <w:rPr>
          <w:rFonts w:ascii="黑体" w:hAnsi="黑体" w:eastAsia="黑体"/>
          <w:b/>
          <w:bCs/>
        </w:rPr>
      </w:pPr>
      <w:r>
        <w:rPr>
          <w:rFonts w:hint="eastAsia" w:ascii="黑体" w:hAnsi="黑体" w:eastAsia="黑体"/>
          <w:b/>
          <w:bCs/>
        </w:rPr>
        <w:t>投标担保</w:t>
      </w:r>
    </w:p>
    <w:p>
      <w:pPr>
        <w:pStyle w:val="68"/>
        <w:numPr>
          <w:ilvl w:val="0"/>
          <w:numId w:val="55"/>
        </w:numPr>
        <w:tabs>
          <w:tab w:val="left" w:pos="360"/>
          <w:tab w:val="left" w:pos="567"/>
        </w:tabs>
        <w:autoSpaceDE w:val="0"/>
        <w:autoSpaceDN w:val="0"/>
        <w:spacing w:line="360" w:lineRule="auto"/>
        <w:ind w:hanging="704" w:firstLineChars="0"/>
        <w:rPr>
          <w:rFonts w:ascii="黑体" w:hAnsi="黑体" w:eastAsia="黑体"/>
          <w:lang w:eastAsia="zh-TW"/>
        </w:rPr>
      </w:pPr>
      <w:r>
        <w:rPr>
          <w:rFonts w:hint="eastAsia" w:ascii="黑体" w:hAnsi="黑体" w:eastAsia="黑体"/>
          <w:bCs/>
          <w:szCs w:val="21"/>
        </w:rPr>
        <w:t>供应商参加磋商时须</w:t>
      </w:r>
      <w:r>
        <w:rPr>
          <w:rFonts w:ascii="黑体" w:hAnsi="黑体" w:eastAsia="黑体"/>
          <w:bCs/>
          <w:szCs w:val="21"/>
        </w:rPr>
        <w:t>附有</w:t>
      </w:r>
      <w:r>
        <w:rPr>
          <w:rFonts w:hint="eastAsia" w:ascii="黑体" w:hAnsi="黑体" w:eastAsia="黑体"/>
          <w:bCs/>
          <w:szCs w:val="21"/>
        </w:rPr>
        <w:t>投标保证金为：</w:t>
      </w:r>
      <w:r>
        <w:rPr>
          <w:rFonts w:hint="eastAsia" w:ascii="黑体" w:hAnsi="黑体" w:eastAsia="黑体"/>
          <w:bCs/>
          <w:szCs w:val="21"/>
          <w:u w:val="single"/>
        </w:rPr>
        <w:t>（</w:t>
      </w:r>
      <w:r>
        <w:rPr>
          <w:rFonts w:hint="eastAsia" w:ascii="黑体" w:hAnsi="黑体" w:eastAsia="黑体"/>
          <w:b/>
          <w:bCs/>
          <w:szCs w:val="21"/>
          <w:u w:val="single"/>
        </w:rPr>
        <w:t>详见磋商须知前附表</w:t>
      </w:r>
      <w:r>
        <w:rPr>
          <w:rFonts w:hint="eastAsia" w:ascii="黑体" w:hAnsi="黑体" w:eastAsia="黑体"/>
          <w:bCs/>
          <w:szCs w:val="21"/>
          <w:u w:val="single"/>
        </w:rPr>
        <w:t>）</w:t>
      </w:r>
      <w:r>
        <w:rPr>
          <w:rFonts w:hint="eastAsia" w:ascii="黑体" w:hAnsi="黑体" w:eastAsia="黑体"/>
          <w:bCs/>
          <w:szCs w:val="21"/>
        </w:rPr>
        <w:t>。</w:t>
      </w:r>
    </w:p>
    <w:p>
      <w:pPr>
        <w:pStyle w:val="68"/>
        <w:numPr>
          <w:ilvl w:val="0"/>
          <w:numId w:val="55"/>
        </w:numPr>
        <w:tabs>
          <w:tab w:val="left" w:pos="360"/>
          <w:tab w:val="left" w:pos="567"/>
        </w:tabs>
        <w:autoSpaceDE w:val="0"/>
        <w:autoSpaceDN w:val="0"/>
        <w:spacing w:line="360" w:lineRule="auto"/>
        <w:ind w:hanging="704" w:firstLineChars="0"/>
        <w:rPr>
          <w:rFonts w:ascii="黑体" w:hAnsi="黑体" w:eastAsia="黑体"/>
        </w:rPr>
      </w:pPr>
      <w:r>
        <w:rPr>
          <w:rFonts w:hint="eastAsia" w:ascii="黑体" w:hAnsi="黑体" w:eastAsia="黑体"/>
          <w:bCs/>
          <w:szCs w:val="21"/>
        </w:rPr>
        <w:t>投标保证金作为供应商参见磋商的组成部分，与响应文件一同递交。</w:t>
      </w:r>
    </w:p>
    <w:p>
      <w:pPr>
        <w:pStyle w:val="68"/>
        <w:numPr>
          <w:ilvl w:val="0"/>
          <w:numId w:val="55"/>
        </w:numPr>
        <w:tabs>
          <w:tab w:val="left" w:pos="360"/>
          <w:tab w:val="left" w:pos="567"/>
        </w:tabs>
        <w:autoSpaceDE w:val="0"/>
        <w:autoSpaceDN w:val="0"/>
        <w:spacing w:line="360" w:lineRule="auto"/>
        <w:ind w:left="567" w:hanging="567" w:firstLineChars="0"/>
        <w:rPr>
          <w:rFonts w:ascii="黑体" w:hAnsi="黑体" w:eastAsia="黑体"/>
          <w:bCs/>
          <w:szCs w:val="21"/>
        </w:rPr>
      </w:pPr>
      <w:r>
        <w:rPr>
          <w:rFonts w:hint="eastAsia" w:ascii="黑体" w:hAnsi="黑体" w:eastAsia="黑体"/>
          <w:bCs/>
          <w:szCs w:val="21"/>
        </w:rPr>
        <w:t>投标保证金应当以支票、汇票、本票或者金融机构、担保机构出具的保函等非现金形式提交。供应商与交款人名称必须一致，非供应商缴纳的投标保证金无效。</w:t>
      </w:r>
    </w:p>
    <w:p>
      <w:pPr>
        <w:pStyle w:val="68"/>
        <w:numPr>
          <w:ilvl w:val="0"/>
          <w:numId w:val="55"/>
        </w:numPr>
        <w:tabs>
          <w:tab w:val="left" w:pos="360"/>
          <w:tab w:val="left" w:pos="567"/>
        </w:tabs>
        <w:autoSpaceDE w:val="0"/>
        <w:autoSpaceDN w:val="0"/>
        <w:spacing w:line="360" w:lineRule="auto"/>
        <w:ind w:hanging="704" w:firstLineChars="0"/>
        <w:rPr>
          <w:rFonts w:ascii="黑体" w:hAnsi="黑体" w:eastAsia="黑体"/>
        </w:rPr>
      </w:pPr>
      <w:r>
        <w:rPr>
          <w:rFonts w:hint="eastAsia" w:ascii="黑体" w:hAnsi="黑体" w:eastAsia="黑体"/>
          <w:bCs/>
          <w:szCs w:val="21"/>
        </w:rPr>
        <w:t>如项目出现分包情况的，供应商必须按包号分别提交投标保证金并注明包号。</w:t>
      </w:r>
    </w:p>
    <w:p>
      <w:pPr>
        <w:pStyle w:val="68"/>
        <w:numPr>
          <w:ilvl w:val="0"/>
          <w:numId w:val="55"/>
        </w:numPr>
        <w:tabs>
          <w:tab w:val="left" w:pos="360"/>
          <w:tab w:val="left" w:pos="567"/>
        </w:tabs>
        <w:autoSpaceDE w:val="0"/>
        <w:autoSpaceDN w:val="0"/>
        <w:spacing w:line="360" w:lineRule="auto"/>
        <w:ind w:hanging="704" w:firstLineChars="0"/>
        <w:rPr>
          <w:rFonts w:ascii="黑体" w:hAnsi="黑体" w:eastAsia="黑体"/>
        </w:rPr>
      </w:pPr>
      <w:r>
        <w:rPr>
          <w:rFonts w:hint="eastAsia" w:ascii="黑体" w:hAnsi="黑体" w:eastAsia="黑体"/>
          <w:bCs/>
          <w:szCs w:val="21"/>
        </w:rPr>
        <w:t>提交保证金时应符合下列规定：</w:t>
      </w:r>
    </w:p>
    <w:p>
      <w:pPr>
        <w:pStyle w:val="68"/>
        <w:numPr>
          <w:ilvl w:val="0"/>
          <w:numId w:val="56"/>
        </w:numPr>
        <w:tabs>
          <w:tab w:val="left" w:pos="360"/>
          <w:tab w:val="left" w:pos="720"/>
          <w:tab w:val="left" w:pos="851"/>
        </w:tabs>
        <w:autoSpaceDE w:val="0"/>
        <w:autoSpaceDN w:val="0"/>
        <w:spacing w:line="360" w:lineRule="auto"/>
        <w:ind w:hanging="704" w:firstLineChars="0"/>
        <w:jc w:val="left"/>
        <w:rPr>
          <w:rFonts w:ascii="黑体" w:hAnsi="黑体" w:eastAsia="黑体"/>
        </w:rPr>
      </w:pPr>
      <w:r>
        <w:rPr>
          <w:rFonts w:hint="eastAsia" w:ascii="黑体" w:hAnsi="黑体" w:eastAsia="黑体"/>
          <w:bCs/>
          <w:szCs w:val="21"/>
        </w:rPr>
        <w:t>投标保证金以转账形式递交的，请务必按以下信息填写汇款单：</w:t>
      </w:r>
      <w:r>
        <w:rPr>
          <w:rFonts w:hint="eastAsia" w:ascii="黑体" w:hAnsi="黑体" w:eastAsia="黑体"/>
          <w:bCs/>
          <w:szCs w:val="21"/>
          <w:u w:val="single"/>
        </w:rPr>
        <w:t>（</w:t>
      </w:r>
      <w:r>
        <w:rPr>
          <w:rFonts w:hint="eastAsia" w:ascii="黑体" w:hAnsi="黑体" w:eastAsia="黑体"/>
          <w:b/>
          <w:bCs/>
          <w:szCs w:val="21"/>
          <w:u w:val="single"/>
        </w:rPr>
        <w:t>详见磋商须知前附表</w:t>
      </w:r>
      <w:r>
        <w:rPr>
          <w:rFonts w:hint="eastAsia" w:ascii="黑体" w:hAnsi="黑体" w:eastAsia="黑体"/>
          <w:bCs/>
          <w:szCs w:val="21"/>
          <w:u w:val="single"/>
        </w:rPr>
        <w:t>）</w:t>
      </w:r>
      <w:r>
        <w:rPr>
          <w:rFonts w:hint="eastAsia" w:ascii="黑体" w:hAnsi="黑体" w:eastAsia="黑体"/>
          <w:bCs/>
          <w:szCs w:val="21"/>
        </w:rPr>
        <w:t>账户上；</w:t>
      </w:r>
    </w:p>
    <w:p>
      <w:pPr>
        <w:pStyle w:val="68"/>
        <w:numPr>
          <w:ilvl w:val="0"/>
          <w:numId w:val="56"/>
        </w:numPr>
        <w:tabs>
          <w:tab w:val="left" w:pos="360"/>
          <w:tab w:val="left" w:pos="720"/>
          <w:tab w:val="left" w:pos="851"/>
        </w:tabs>
        <w:autoSpaceDE w:val="0"/>
        <w:autoSpaceDN w:val="0"/>
        <w:spacing w:line="360" w:lineRule="auto"/>
        <w:ind w:hanging="704" w:firstLineChars="0"/>
        <w:jc w:val="left"/>
        <w:rPr>
          <w:rFonts w:ascii="黑体" w:hAnsi="黑体" w:eastAsia="黑体"/>
        </w:rPr>
      </w:pPr>
      <w:r>
        <w:rPr>
          <w:rFonts w:hint="eastAsia" w:ascii="黑体" w:hAnsi="黑体" w:eastAsia="黑体"/>
          <w:bCs/>
          <w:szCs w:val="21"/>
        </w:rPr>
        <w:t>采用《政府采购投标担保函》递交的，投标担保函有效期应与磋商有效期一致。</w:t>
      </w:r>
      <w:bookmarkStart w:id="83" w:name="_Toc410738953"/>
      <w:bookmarkStart w:id="84" w:name="_Toc416771340"/>
      <w:bookmarkStart w:id="85" w:name="_Toc416770230"/>
      <w:bookmarkStart w:id="86" w:name="_Toc410736153"/>
    </w:p>
    <w:p>
      <w:pPr>
        <w:pStyle w:val="68"/>
        <w:numPr>
          <w:ilvl w:val="0"/>
          <w:numId w:val="55"/>
        </w:numPr>
        <w:tabs>
          <w:tab w:val="left" w:pos="360"/>
          <w:tab w:val="left" w:pos="567"/>
        </w:tabs>
        <w:autoSpaceDE w:val="0"/>
        <w:autoSpaceDN w:val="0"/>
        <w:spacing w:line="360" w:lineRule="auto"/>
        <w:ind w:left="567" w:hanging="567" w:firstLineChars="0"/>
        <w:rPr>
          <w:rFonts w:ascii="黑体" w:hAnsi="黑体" w:eastAsia="黑体"/>
        </w:rPr>
      </w:pPr>
      <w:r>
        <w:rPr>
          <w:rFonts w:hint="eastAsia" w:ascii="黑体" w:hAnsi="黑体" w:eastAsia="黑体"/>
          <w:bCs/>
          <w:szCs w:val="21"/>
        </w:rPr>
        <w:t>任何未按第</w:t>
      </w:r>
      <w:r>
        <w:rPr>
          <w:rFonts w:ascii="黑体" w:hAnsi="黑体" w:eastAsia="黑体"/>
          <w:bCs/>
          <w:szCs w:val="21"/>
        </w:rPr>
        <w:t>17</w:t>
      </w:r>
      <w:r>
        <w:rPr>
          <w:rFonts w:hint="eastAsia" w:ascii="黑体" w:hAnsi="黑体" w:eastAsia="黑体"/>
          <w:bCs/>
          <w:szCs w:val="21"/>
        </w:rPr>
        <w:t>.1款和第</w:t>
      </w:r>
      <w:r>
        <w:rPr>
          <w:rFonts w:ascii="黑体" w:hAnsi="黑体" w:eastAsia="黑体"/>
          <w:bCs/>
          <w:szCs w:val="21"/>
        </w:rPr>
        <w:t>17</w:t>
      </w:r>
      <w:r>
        <w:rPr>
          <w:rFonts w:hint="eastAsia" w:ascii="黑体" w:hAnsi="黑体" w:eastAsia="黑体"/>
          <w:bCs/>
          <w:szCs w:val="21"/>
        </w:rPr>
        <w:t>.4款规定的要求提交投标保证金的，将被视为非响应性磋商予以拒绝。</w:t>
      </w:r>
    </w:p>
    <w:p>
      <w:pPr>
        <w:pStyle w:val="68"/>
        <w:numPr>
          <w:ilvl w:val="0"/>
          <w:numId w:val="55"/>
        </w:numPr>
        <w:tabs>
          <w:tab w:val="left" w:pos="360"/>
          <w:tab w:val="left" w:pos="567"/>
        </w:tabs>
        <w:autoSpaceDE w:val="0"/>
        <w:autoSpaceDN w:val="0"/>
        <w:spacing w:line="360" w:lineRule="auto"/>
        <w:ind w:left="567" w:hanging="567" w:firstLineChars="0"/>
        <w:rPr>
          <w:rFonts w:ascii="黑体" w:hAnsi="黑体" w:eastAsia="黑体"/>
        </w:rPr>
      </w:pPr>
      <w:r>
        <w:rPr>
          <w:rFonts w:hint="eastAsia" w:ascii="黑体" w:hAnsi="黑体" w:eastAsia="黑体"/>
          <w:bCs/>
          <w:szCs w:val="21"/>
        </w:rPr>
        <w:t>采购人或者采购代理机构应当在采购活动结束后及时退还供应商的投标保证金，但因供应商自身原因导致无法及时退还的除外。未成交供应商的投标保证金应当在成交通知书发出后5个工作日内退还，成交供应商的投标保证金应当在采购合同签订后5个工作日内退还。</w:t>
      </w:r>
    </w:p>
    <w:p>
      <w:pPr>
        <w:pStyle w:val="68"/>
        <w:numPr>
          <w:ilvl w:val="0"/>
          <w:numId w:val="55"/>
        </w:numPr>
        <w:tabs>
          <w:tab w:val="left" w:pos="360"/>
          <w:tab w:val="left" w:pos="567"/>
        </w:tabs>
        <w:autoSpaceDE w:val="0"/>
        <w:autoSpaceDN w:val="0"/>
        <w:spacing w:line="360" w:lineRule="auto"/>
        <w:ind w:hanging="704" w:firstLineChars="0"/>
        <w:rPr>
          <w:rFonts w:ascii="黑体" w:hAnsi="黑体" w:eastAsia="黑体"/>
        </w:rPr>
      </w:pPr>
      <w:r>
        <w:rPr>
          <w:rFonts w:hint="eastAsia" w:ascii="黑体" w:hAnsi="黑体" w:eastAsia="黑体"/>
          <w:bCs/>
          <w:szCs w:val="21"/>
        </w:rPr>
        <w:t>成交供应商有下列情形之一的，投标保证金将被没收：</w:t>
      </w:r>
    </w:p>
    <w:p>
      <w:pPr>
        <w:pStyle w:val="68"/>
        <w:numPr>
          <w:ilvl w:val="0"/>
          <w:numId w:val="57"/>
        </w:numPr>
        <w:tabs>
          <w:tab w:val="left" w:pos="360"/>
          <w:tab w:val="left" w:pos="993"/>
        </w:tabs>
        <w:autoSpaceDE w:val="0"/>
        <w:autoSpaceDN w:val="0"/>
        <w:spacing w:line="360" w:lineRule="auto"/>
        <w:ind w:hanging="704" w:firstLineChars="0"/>
        <w:jc w:val="left"/>
        <w:rPr>
          <w:rFonts w:ascii="黑体" w:hAnsi="黑体" w:eastAsia="黑体"/>
        </w:rPr>
      </w:pPr>
      <w:r>
        <w:rPr>
          <w:rFonts w:ascii="黑体" w:hAnsi="黑体" w:eastAsia="黑体" w:cs="Arial"/>
          <w:szCs w:val="21"/>
          <w:shd w:val="clear" w:color="auto" w:fill="FFFFFF"/>
        </w:rPr>
        <w:t>供应商在提交响应文件截止时间后撤</w:t>
      </w:r>
      <w:r>
        <w:rPr>
          <w:rFonts w:hint="eastAsia" w:ascii="黑体" w:hAnsi="黑体" w:eastAsia="黑体" w:cs="Arial"/>
          <w:szCs w:val="21"/>
          <w:shd w:val="clear" w:color="auto" w:fill="FFFFFF"/>
        </w:rPr>
        <w:t>销</w:t>
      </w:r>
      <w:r>
        <w:rPr>
          <w:rFonts w:ascii="黑体" w:hAnsi="黑体" w:eastAsia="黑体" w:cs="Arial"/>
          <w:szCs w:val="21"/>
          <w:shd w:val="clear" w:color="auto" w:fill="FFFFFF"/>
        </w:rPr>
        <w:t>响应文件的；</w:t>
      </w:r>
    </w:p>
    <w:p>
      <w:pPr>
        <w:pStyle w:val="68"/>
        <w:numPr>
          <w:ilvl w:val="0"/>
          <w:numId w:val="57"/>
        </w:numPr>
        <w:tabs>
          <w:tab w:val="left" w:pos="360"/>
          <w:tab w:val="left" w:pos="993"/>
        </w:tabs>
        <w:autoSpaceDE w:val="0"/>
        <w:autoSpaceDN w:val="0"/>
        <w:spacing w:line="360" w:lineRule="auto"/>
        <w:ind w:hanging="704" w:firstLineChars="0"/>
        <w:jc w:val="left"/>
        <w:rPr>
          <w:rFonts w:ascii="黑体" w:hAnsi="黑体" w:eastAsia="黑体"/>
        </w:rPr>
      </w:pPr>
      <w:r>
        <w:rPr>
          <w:rFonts w:ascii="黑体" w:hAnsi="黑体" w:eastAsia="黑体" w:cs="Arial"/>
          <w:szCs w:val="21"/>
          <w:shd w:val="clear" w:color="auto" w:fill="FFFFFF"/>
        </w:rPr>
        <w:t>供应商在响应文件中提供虚假材料的；</w:t>
      </w:r>
    </w:p>
    <w:p>
      <w:pPr>
        <w:pStyle w:val="68"/>
        <w:numPr>
          <w:ilvl w:val="0"/>
          <w:numId w:val="57"/>
        </w:numPr>
        <w:tabs>
          <w:tab w:val="left" w:pos="360"/>
          <w:tab w:val="left" w:pos="993"/>
        </w:tabs>
        <w:autoSpaceDE w:val="0"/>
        <w:autoSpaceDN w:val="0"/>
        <w:spacing w:line="360" w:lineRule="auto"/>
        <w:ind w:hanging="704" w:firstLineChars="0"/>
        <w:jc w:val="left"/>
        <w:rPr>
          <w:rFonts w:ascii="黑体" w:hAnsi="黑体" w:eastAsia="黑体"/>
        </w:rPr>
      </w:pPr>
      <w:r>
        <w:rPr>
          <w:rFonts w:hint="eastAsia" w:ascii="黑体" w:hAnsi="黑体" w:eastAsia="黑体"/>
        </w:rPr>
        <w:t>除因不可抗力或磋商文件认可的情形以外，成交供应商不与采购人签订合同的；</w:t>
      </w:r>
    </w:p>
    <w:p>
      <w:pPr>
        <w:pStyle w:val="68"/>
        <w:numPr>
          <w:ilvl w:val="0"/>
          <w:numId w:val="57"/>
        </w:numPr>
        <w:tabs>
          <w:tab w:val="left" w:pos="360"/>
          <w:tab w:val="left" w:pos="993"/>
        </w:tabs>
        <w:autoSpaceDE w:val="0"/>
        <w:autoSpaceDN w:val="0"/>
        <w:spacing w:line="360" w:lineRule="auto"/>
        <w:ind w:hanging="704" w:firstLineChars="0"/>
        <w:jc w:val="left"/>
        <w:rPr>
          <w:rFonts w:ascii="黑体" w:hAnsi="黑体" w:eastAsia="黑体"/>
        </w:rPr>
      </w:pPr>
      <w:r>
        <w:rPr>
          <w:rFonts w:ascii="黑体" w:hAnsi="黑体" w:eastAsia="黑体" w:cs="Arial"/>
          <w:szCs w:val="21"/>
          <w:shd w:val="clear" w:color="auto" w:fill="FFFFFF"/>
        </w:rPr>
        <w:t>供应商与采购人、其他供应商或者采购代理机构恶意串通的；</w:t>
      </w:r>
    </w:p>
    <w:p>
      <w:pPr>
        <w:pStyle w:val="68"/>
        <w:numPr>
          <w:ilvl w:val="0"/>
          <w:numId w:val="57"/>
        </w:numPr>
        <w:tabs>
          <w:tab w:val="left" w:pos="360"/>
          <w:tab w:val="left" w:pos="993"/>
        </w:tabs>
        <w:autoSpaceDE w:val="0"/>
        <w:autoSpaceDN w:val="0"/>
        <w:spacing w:line="360" w:lineRule="auto"/>
        <w:ind w:hanging="704" w:firstLineChars="0"/>
        <w:jc w:val="left"/>
        <w:rPr>
          <w:rFonts w:ascii="黑体" w:hAnsi="黑体" w:eastAsia="黑体"/>
        </w:rPr>
      </w:pPr>
      <w:r>
        <w:rPr>
          <w:rFonts w:ascii="黑体" w:hAnsi="黑体" w:eastAsia="黑体" w:cs="Arial"/>
          <w:szCs w:val="21"/>
          <w:shd w:val="clear" w:color="auto" w:fill="FFFFFF"/>
        </w:rPr>
        <w:t>磋商文件规定的其他情形。</w:t>
      </w:r>
    </w:p>
    <w:p>
      <w:pPr>
        <w:numPr>
          <w:ilvl w:val="0"/>
          <w:numId w:val="33"/>
        </w:numPr>
        <w:tabs>
          <w:tab w:val="left" w:pos="567"/>
          <w:tab w:val="clear" w:pos="360"/>
        </w:tabs>
        <w:autoSpaceDE w:val="0"/>
        <w:autoSpaceDN w:val="0"/>
        <w:spacing w:before="156" w:beforeLines="50" w:line="360" w:lineRule="auto"/>
        <w:ind w:left="567" w:hanging="567"/>
        <w:rPr>
          <w:rFonts w:ascii="黑体" w:hAnsi="黑体" w:eastAsia="黑体"/>
          <w:b/>
          <w:bCs/>
        </w:rPr>
      </w:pPr>
      <w:r>
        <w:rPr>
          <w:rFonts w:hint="eastAsia" w:ascii="黑体" w:hAnsi="黑体" w:eastAsia="黑体"/>
          <w:b/>
          <w:bCs/>
        </w:rPr>
        <w:t>磋商有效期</w:t>
      </w:r>
      <w:bookmarkEnd w:id="83"/>
      <w:bookmarkEnd w:id="84"/>
      <w:bookmarkEnd w:id="85"/>
      <w:bookmarkEnd w:id="86"/>
    </w:p>
    <w:p>
      <w:pPr>
        <w:pStyle w:val="68"/>
        <w:numPr>
          <w:ilvl w:val="0"/>
          <w:numId w:val="58"/>
        </w:numPr>
        <w:tabs>
          <w:tab w:val="left" w:pos="360"/>
          <w:tab w:val="left" w:pos="567"/>
        </w:tabs>
        <w:autoSpaceDE w:val="0"/>
        <w:autoSpaceDN w:val="0"/>
        <w:spacing w:line="360" w:lineRule="auto"/>
        <w:ind w:left="567" w:hanging="567" w:firstLineChars="0"/>
        <w:jc w:val="left"/>
        <w:rPr>
          <w:rFonts w:ascii="黑体" w:hAnsi="黑体" w:eastAsia="黑体" w:cs="宋体"/>
        </w:rPr>
      </w:pPr>
      <w:r>
        <w:rPr>
          <w:rFonts w:hint="eastAsia" w:ascii="黑体" w:hAnsi="黑体" w:eastAsia="黑体"/>
        </w:rPr>
        <w:t>磋商有效期自磋商文件规定的响应文件递交截止时间起算，并在</w:t>
      </w:r>
      <w:r>
        <w:rPr>
          <w:rFonts w:hint="eastAsia" w:ascii="黑体" w:hAnsi="黑体" w:eastAsia="黑体"/>
          <w:b/>
          <w:u w:val="single"/>
        </w:rPr>
        <w:t>磋商须知前附表</w:t>
      </w:r>
      <w:r>
        <w:rPr>
          <w:rFonts w:hint="eastAsia" w:ascii="黑体" w:hAnsi="黑体" w:eastAsia="黑体"/>
        </w:rPr>
        <w:t>中所述期限内有效。磋商有效期比规定时间短的响应将被认定为非实质性响应，视为无效响应。</w:t>
      </w:r>
    </w:p>
    <w:p>
      <w:pPr>
        <w:pStyle w:val="68"/>
        <w:numPr>
          <w:ilvl w:val="0"/>
          <w:numId w:val="58"/>
        </w:numPr>
        <w:tabs>
          <w:tab w:val="left" w:pos="360"/>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cs="宋体"/>
          <w:lang w:eastAsia="zh-TW"/>
        </w:rPr>
        <w:t>特殊情况下</w:t>
      </w:r>
      <w:r>
        <w:rPr>
          <w:rFonts w:hint="eastAsia" w:ascii="黑体" w:hAnsi="黑体" w:eastAsia="黑体" w:cs="宋体"/>
        </w:rPr>
        <w:t>，</w:t>
      </w:r>
      <w:r>
        <w:rPr>
          <w:rFonts w:hint="eastAsia" w:ascii="黑体" w:hAnsi="黑体" w:eastAsia="黑体"/>
        </w:rPr>
        <w:t>在原磋商有效期截止之前</w:t>
      </w:r>
      <w:r>
        <w:rPr>
          <w:rFonts w:hint="eastAsia" w:ascii="黑体" w:hAnsi="黑体" w:eastAsia="黑体" w:cs="宋体"/>
        </w:rPr>
        <w:t>，</w:t>
      </w:r>
      <w:r>
        <w:rPr>
          <w:rFonts w:hint="eastAsia" w:ascii="黑体" w:hAnsi="黑体" w:eastAsia="黑体" w:cs="宋体"/>
          <w:lang w:eastAsia="zh-TW"/>
        </w:rPr>
        <w:t>采购代理机构可要求供应商延长磋商有效期。这种要求与答复均应以书面形式提交。供应商可拒绝采购代理机构的这种要求</w:t>
      </w:r>
      <w:r>
        <w:rPr>
          <w:rFonts w:hint="eastAsia" w:ascii="黑体" w:hAnsi="黑体" w:eastAsia="黑体" w:cs="宋体"/>
        </w:rPr>
        <w:t>，</w:t>
      </w:r>
      <w:r>
        <w:rPr>
          <w:rFonts w:hint="eastAsia" w:ascii="黑体" w:hAnsi="黑体" w:eastAsia="黑体" w:cs="宋体"/>
          <w:lang w:eastAsia="zh-TW"/>
        </w:rPr>
        <w:t>其</w:t>
      </w:r>
      <w:r>
        <w:rPr>
          <w:rFonts w:hint="eastAsia" w:ascii="黑体" w:hAnsi="黑体" w:eastAsia="黑体"/>
        </w:rPr>
        <w:t>投标保证金</w:t>
      </w:r>
      <w:r>
        <w:rPr>
          <w:rFonts w:hint="eastAsia" w:ascii="黑体" w:hAnsi="黑体" w:eastAsia="黑体" w:cs="宋体"/>
          <w:lang w:eastAsia="zh-TW"/>
        </w:rPr>
        <w:t>将</w:t>
      </w:r>
      <w:r>
        <w:rPr>
          <w:rFonts w:hint="eastAsia" w:ascii="黑体" w:hAnsi="黑体" w:eastAsia="黑体" w:cs="宋体"/>
        </w:rPr>
        <w:t>予以退还，</w:t>
      </w:r>
      <w:r>
        <w:rPr>
          <w:rFonts w:hint="eastAsia" w:ascii="黑体" w:hAnsi="黑体" w:eastAsia="黑体" w:cs="宋体"/>
          <w:lang w:eastAsia="zh-TW"/>
        </w:rPr>
        <w:t>但其磋商在原磋商有效期期满后将不再有效。同意延长磋商有效期的供应商将不会被要求和允许修正其磋商</w:t>
      </w:r>
      <w:r>
        <w:rPr>
          <w:rFonts w:hint="eastAsia" w:ascii="黑体" w:hAnsi="黑体" w:eastAsia="黑体" w:cs="宋体"/>
        </w:rPr>
        <w:t>，</w:t>
      </w:r>
      <w:r>
        <w:rPr>
          <w:rFonts w:hint="eastAsia" w:ascii="黑体" w:hAnsi="黑体" w:eastAsia="黑体" w:cs="宋体"/>
          <w:lang w:eastAsia="zh-TW"/>
        </w:rPr>
        <w:t>而只会被要求相应地延长其</w:t>
      </w:r>
      <w:r>
        <w:rPr>
          <w:rFonts w:hint="eastAsia" w:ascii="黑体" w:hAnsi="黑体" w:eastAsia="黑体"/>
        </w:rPr>
        <w:t>投标保证金</w:t>
      </w:r>
      <w:r>
        <w:rPr>
          <w:rFonts w:hint="eastAsia" w:ascii="黑体" w:hAnsi="黑体" w:eastAsia="黑体" w:cs="宋体"/>
          <w:lang w:eastAsia="zh-TW"/>
        </w:rPr>
        <w:t>的有效期。在这种情况下</w:t>
      </w:r>
      <w:r>
        <w:rPr>
          <w:rFonts w:hint="eastAsia" w:ascii="黑体" w:hAnsi="黑体" w:eastAsia="黑体" w:cs="宋体"/>
        </w:rPr>
        <w:t>，</w:t>
      </w:r>
      <w:r>
        <w:rPr>
          <w:rFonts w:hint="eastAsia" w:ascii="黑体" w:hAnsi="黑体" w:eastAsia="黑体" w:cs="宋体"/>
          <w:lang w:eastAsia="zh-TW"/>
        </w:rPr>
        <w:t>本须知有关</w:t>
      </w:r>
      <w:r>
        <w:rPr>
          <w:rFonts w:hint="eastAsia" w:ascii="黑体" w:hAnsi="黑体" w:eastAsia="黑体"/>
        </w:rPr>
        <w:t>投标保证金</w:t>
      </w:r>
      <w:r>
        <w:rPr>
          <w:rFonts w:hint="eastAsia" w:ascii="黑体" w:hAnsi="黑体" w:eastAsia="黑体" w:cs="宋体"/>
          <w:lang w:eastAsia="zh-TW"/>
        </w:rPr>
        <w:t>的退还和</w:t>
      </w:r>
      <w:r>
        <w:rPr>
          <w:rFonts w:hint="eastAsia" w:ascii="黑体" w:hAnsi="黑体" w:eastAsia="黑体" w:cs="宋体"/>
        </w:rPr>
        <w:t>不予退还</w:t>
      </w:r>
      <w:r>
        <w:rPr>
          <w:rFonts w:hint="eastAsia" w:ascii="黑体" w:hAnsi="黑体" w:eastAsia="黑体" w:cs="宋体"/>
          <w:lang w:eastAsia="zh-TW"/>
        </w:rPr>
        <w:t>的规定将在延长了的有效期内继续有效。</w:t>
      </w:r>
    </w:p>
    <w:p>
      <w:pPr>
        <w:numPr>
          <w:ilvl w:val="0"/>
          <w:numId w:val="33"/>
        </w:numPr>
        <w:tabs>
          <w:tab w:val="left" w:pos="567"/>
          <w:tab w:val="clear" w:pos="360"/>
        </w:tabs>
        <w:autoSpaceDE w:val="0"/>
        <w:autoSpaceDN w:val="0"/>
        <w:spacing w:before="156" w:beforeLines="50" w:line="360" w:lineRule="auto"/>
        <w:ind w:left="709" w:hanging="709"/>
        <w:rPr>
          <w:rFonts w:ascii="黑体" w:hAnsi="黑体" w:eastAsia="黑体"/>
          <w:b/>
          <w:bCs/>
        </w:rPr>
      </w:pPr>
      <w:bookmarkStart w:id="87" w:name="_Toc410738954"/>
      <w:bookmarkStart w:id="88" w:name="_Toc416770231"/>
      <w:bookmarkStart w:id="89" w:name="_Toc410736154"/>
      <w:bookmarkStart w:id="90" w:name="_Toc416771341"/>
      <w:r>
        <w:rPr>
          <w:rFonts w:hint="eastAsia" w:ascii="黑体" w:hAnsi="黑体" w:eastAsia="黑体"/>
          <w:b/>
          <w:bCs/>
        </w:rPr>
        <w:t>响应文件的式样和签署</w:t>
      </w:r>
      <w:bookmarkEnd w:id="87"/>
      <w:bookmarkEnd w:id="88"/>
      <w:bookmarkEnd w:id="89"/>
      <w:bookmarkEnd w:id="90"/>
    </w:p>
    <w:p>
      <w:pPr>
        <w:pStyle w:val="68"/>
        <w:numPr>
          <w:ilvl w:val="0"/>
          <w:numId w:val="59"/>
        </w:numPr>
        <w:tabs>
          <w:tab w:val="left" w:pos="567"/>
          <w:tab w:val="left" w:pos="851"/>
        </w:tabs>
        <w:autoSpaceDE w:val="0"/>
        <w:autoSpaceDN w:val="0"/>
        <w:spacing w:line="360" w:lineRule="auto"/>
        <w:ind w:left="567" w:hanging="567" w:firstLineChars="0"/>
        <w:jc w:val="left"/>
        <w:rPr>
          <w:rFonts w:ascii="黑体" w:hAnsi="黑体" w:eastAsia="黑体"/>
        </w:rPr>
      </w:pPr>
      <w:r>
        <w:rPr>
          <w:rFonts w:hint="eastAsia" w:ascii="黑体" w:hAnsi="黑体" w:eastAsia="黑体"/>
          <w:bCs/>
          <w:szCs w:val="21"/>
        </w:rPr>
        <w:t>响应文件的式样：供应商应准备一份响应文件正本、电子文件和</w:t>
      </w:r>
      <w:r>
        <w:rPr>
          <w:rFonts w:hint="eastAsia" w:ascii="黑体" w:hAnsi="黑体" w:eastAsia="黑体"/>
          <w:b/>
          <w:bCs/>
          <w:szCs w:val="21"/>
          <w:u w:val="single"/>
        </w:rPr>
        <w:t>磋商须知前附表</w:t>
      </w:r>
      <w:r>
        <w:rPr>
          <w:rFonts w:hint="eastAsia" w:ascii="黑体" w:hAnsi="黑体" w:eastAsia="黑体"/>
          <w:bCs/>
          <w:szCs w:val="21"/>
        </w:rPr>
        <w:t>中规定数目的副本，响应文件的副本可采用正本的复印件。每套响应文件须清楚地标明“正本”或“副本”。若副本与正本不符，以正本为准。</w:t>
      </w:r>
    </w:p>
    <w:p>
      <w:pPr>
        <w:pStyle w:val="68"/>
        <w:numPr>
          <w:ilvl w:val="0"/>
          <w:numId w:val="59"/>
        </w:numPr>
        <w:tabs>
          <w:tab w:val="left" w:pos="567"/>
          <w:tab w:val="left" w:pos="851"/>
        </w:tabs>
        <w:autoSpaceDE w:val="0"/>
        <w:autoSpaceDN w:val="0"/>
        <w:spacing w:line="360" w:lineRule="auto"/>
        <w:ind w:left="567" w:hanging="567" w:firstLineChars="0"/>
        <w:jc w:val="left"/>
        <w:rPr>
          <w:rFonts w:ascii="黑体" w:hAnsi="黑体" w:eastAsia="黑体" w:cs="宋体"/>
          <w:lang w:eastAsia="zh-TW"/>
        </w:rPr>
      </w:pPr>
      <w:r>
        <w:rPr>
          <w:rFonts w:hint="eastAsia" w:ascii="黑体" w:hAnsi="黑体" w:eastAsia="黑体" w:cs="宋体"/>
          <w:lang w:eastAsia="zh-TW"/>
        </w:rPr>
        <w:t>响应文件</w:t>
      </w:r>
      <w:r>
        <w:rPr>
          <w:rFonts w:hint="eastAsia" w:ascii="黑体" w:hAnsi="黑体" w:eastAsia="黑体" w:cs="宋体"/>
        </w:rPr>
        <w:t>的签署</w:t>
      </w:r>
    </w:p>
    <w:p>
      <w:pPr>
        <w:pStyle w:val="68"/>
        <w:numPr>
          <w:ilvl w:val="0"/>
          <w:numId w:val="60"/>
        </w:numPr>
        <w:tabs>
          <w:tab w:val="left" w:pos="360"/>
          <w:tab w:val="left" w:pos="567"/>
          <w:tab w:val="left" w:pos="851"/>
        </w:tabs>
        <w:autoSpaceDE w:val="0"/>
        <w:autoSpaceDN w:val="0"/>
        <w:spacing w:line="360" w:lineRule="auto"/>
        <w:ind w:hanging="704" w:firstLineChars="0"/>
        <w:rPr>
          <w:rFonts w:ascii="黑体" w:hAnsi="黑体" w:eastAsia="黑体" w:cs="宋体"/>
          <w:lang w:eastAsia="zh-TW"/>
        </w:rPr>
      </w:pPr>
      <w:r>
        <w:rPr>
          <w:rFonts w:hint="eastAsia" w:ascii="黑体" w:hAnsi="黑体" w:eastAsia="黑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pPr>
        <w:pStyle w:val="68"/>
        <w:numPr>
          <w:ilvl w:val="0"/>
          <w:numId w:val="60"/>
        </w:numPr>
        <w:tabs>
          <w:tab w:val="left" w:pos="360"/>
          <w:tab w:val="left" w:pos="567"/>
          <w:tab w:val="left" w:pos="851"/>
        </w:tabs>
        <w:autoSpaceDE w:val="0"/>
        <w:autoSpaceDN w:val="0"/>
        <w:spacing w:line="360" w:lineRule="auto"/>
        <w:ind w:hanging="704" w:firstLineChars="0"/>
        <w:rPr>
          <w:rFonts w:ascii="黑体" w:hAnsi="黑体" w:eastAsia="黑体" w:cs="宋体"/>
        </w:rPr>
      </w:pPr>
      <w:r>
        <w:rPr>
          <w:rFonts w:hint="eastAsia" w:ascii="黑体" w:hAnsi="黑体" w:eastAsia="黑体"/>
          <w:bCs/>
          <w:szCs w:val="21"/>
        </w:rPr>
        <w:t>响应文件中的任何重要的插字、涂改和增删，必须由法定代表人或经其正式授权的代表在旁边签署。</w:t>
      </w:r>
    </w:p>
    <w:p>
      <w:pPr>
        <w:pStyle w:val="68"/>
        <w:numPr>
          <w:ilvl w:val="0"/>
          <w:numId w:val="59"/>
        </w:numPr>
        <w:tabs>
          <w:tab w:val="left" w:pos="567"/>
          <w:tab w:val="left" w:pos="851"/>
        </w:tabs>
        <w:autoSpaceDE w:val="0"/>
        <w:autoSpaceDN w:val="0"/>
        <w:spacing w:line="360" w:lineRule="auto"/>
        <w:ind w:left="567" w:hanging="567" w:firstLineChars="0"/>
        <w:jc w:val="left"/>
        <w:rPr>
          <w:rFonts w:ascii="黑体" w:hAnsi="黑体" w:eastAsia="黑体" w:cs="宋体"/>
        </w:rPr>
      </w:pPr>
      <w:r>
        <w:rPr>
          <w:rFonts w:hint="eastAsia" w:ascii="黑体" w:hAnsi="黑体" w:eastAsia="黑体"/>
          <w:bCs/>
          <w:szCs w:val="21"/>
        </w:rPr>
        <w:t>响应文件的“正本”及所有“副本”的封面及骑缝均须加盖供应商公章。</w:t>
      </w:r>
    </w:p>
    <w:p>
      <w:pPr>
        <w:pStyle w:val="68"/>
        <w:numPr>
          <w:ilvl w:val="0"/>
          <w:numId w:val="32"/>
        </w:numPr>
        <w:spacing w:before="312" w:beforeLines="100" w:after="156" w:afterLines="50"/>
        <w:ind w:left="510" w:hanging="510" w:firstLineChars="0"/>
        <w:rPr>
          <w:rFonts w:ascii="黑体" w:hAnsi="黑体" w:eastAsia="黑体"/>
          <w:b/>
        </w:rPr>
      </w:pPr>
      <w:bookmarkStart w:id="91" w:name="_Toc416771342"/>
      <w:bookmarkStart w:id="92" w:name="_Toc410738955"/>
      <w:bookmarkStart w:id="93" w:name="_Toc410736155"/>
      <w:bookmarkStart w:id="94" w:name="_Toc502738627"/>
      <w:bookmarkStart w:id="95" w:name="_Toc416770232"/>
      <w:r>
        <w:rPr>
          <w:rFonts w:hint="eastAsia" w:ascii="黑体" w:hAnsi="黑体" w:eastAsia="黑体"/>
          <w:b/>
        </w:rPr>
        <w:t>响应文件的递交</w:t>
      </w:r>
      <w:bookmarkEnd w:id="91"/>
      <w:bookmarkEnd w:id="92"/>
      <w:bookmarkEnd w:id="93"/>
      <w:bookmarkEnd w:id="94"/>
      <w:bookmarkEnd w:id="95"/>
    </w:p>
    <w:p>
      <w:pPr>
        <w:numPr>
          <w:ilvl w:val="0"/>
          <w:numId w:val="33"/>
        </w:numPr>
        <w:tabs>
          <w:tab w:val="left" w:pos="640"/>
          <w:tab w:val="clear" w:pos="360"/>
        </w:tabs>
        <w:autoSpaceDE w:val="0"/>
        <w:autoSpaceDN w:val="0"/>
        <w:spacing w:line="360" w:lineRule="auto"/>
        <w:ind w:left="567" w:hanging="567"/>
        <w:rPr>
          <w:rFonts w:ascii="黑体" w:hAnsi="黑体" w:eastAsia="黑体"/>
          <w:b/>
          <w:bCs/>
        </w:rPr>
      </w:pPr>
      <w:bookmarkStart w:id="96" w:name="_Toc416770233"/>
      <w:bookmarkStart w:id="97" w:name="_Toc410738956"/>
      <w:bookmarkStart w:id="98" w:name="_Toc410736156"/>
      <w:bookmarkStart w:id="99" w:name="_Toc416771343"/>
      <w:r>
        <w:rPr>
          <w:rFonts w:hint="eastAsia" w:ascii="黑体" w:hAnsi="黑体" w:eastAsia="黑体"/>
          <w:b/>
          <w:bCs/>
        </w:rPr>
        <w:t>响应文件的密封和标记</w:t>
      </w:r>
      <w:bookmarkEnd w:id="96"/>
      <w:bookmarkEnd w:id="97"/>
      <w:bookmarkEnd w:id="98"/>
      <w:bookmarkEnd w:id="99"/>
    </w:p>
    <w:p>
      <w:pPr>
        <w:pStyle w:val="68"/>
        <w:numPr>
          <w:ilvl w:val="0"/>
          <w:numId w:val="61"/>
        </w:numPr>
        <w:tabs>
          <w:tab w:val="left" w:pos="360"/>
          <w:tab w:val="left" w:pos="567"/>
        </w:tabs>
        <w:autoSpaceDE w:val="0"/>
        <w:autoSpaceDN w:val="0"/>
        <w:spacing w:line="360" w:lineRule="auto"/>
        <w:ind w:left="567" w:hanging="567" w:firstLineChars="0"/>
        <w:jc w:val="left"/>
        <w:rPr>
          <w:rFonts w:ascii="黑体" w:hAnsi="黑体" w:eastAsia="黑体" w:cs="宋体"/>
        </w:rPr>
      </w:pPr>
      <w:r>
        <w:rPr>
          <w:rFonts w:hint="eastAsia" w:ascii="黑体" w:hAnsi="黑体" w:eastAsia="黑体"/>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2407"/>
        <w:gridCol w:w="1845"/>
        <w:gridCol w:w="3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676" w:type="dxa"/>
            <w:vAlign w:val="center"/>
          </w:tcPr>
          <w:p>
            <w:pPr>
              <w:spacing w:line="360" w:lineRule="auto"/>
              <w:jc w:val="center"/>
              <w:rPr>
                <w:rFonts w:ascii="黑体" w:hAnsi="黑体" w:eastAsia="黑体"/>
                <w:b/>
                <w:szCs w:val="21"/>
              </w:rPr>
            </w:pPr>
            <w:r>
              <w:rPr>
                <w:rFonts w:hint="eastAsia" w:ascii="黑体" w:hAnsi="黑体" w:eastAsia="黑体"/>
                <w:b/>
                <w:szCs w:val="21"/>
              </w:rPr>
              <w:t>序号</w:t>
            </w:r>
          </w:p>
        </w:tc>
        <w:tc>
          <w:tcPr>
            <w:tcW w:w="2407" w:type="dxa"/>
            <w:vAlign w:val="center"/>
          </w:tcPr>
          <w:p>
            <w:pPr>
              <w:spacing w:line="360" w:lineRule="auto"/>
              <w:jc w:val="center"/>
              <w:rPr>
                <w:rFonts w:ascii="黑体" w:hAnsi="黑体" w:eastAsia="黑体"/>
                <w:b/>
                <w:szCs w:val="21"/>
              </w:rPr>
            </w:pPr>
            <w:r>
              <w:rPr>
                <w:rFonts w:hint="eastAsia" w:ascii="黑体" w:hAnsi="黑体" w:eastAsia="黑体"/>
                <w:b/>
                <w:szCs w:val="21"/>
              </w:rPr>
              <w:t>文件名称</w:t>
            </w:r>
          </w:p>
        </w:tc>
        <w:tc>
          <w:tcPr>
            <w:tcW w:w="1845" w:type="dxa"/>
            <w:vAlign w:val="center"/>
          </w:tcPr>
          <w:p>
            <w:pPr>
              <w:spacing w:line="360" w:lineRule="auto"/>
              <w:jc w:val="center"/>
              <w:rPr>
                <w:rFonts w:ascii="黑体" w:hAnsi="黑体" w:eastAsia="黑体"/>
                <w:b/>
                <w:szCs w:val="21"/>
              </w:rPr>
            </w:pPr>
            <w:r>
              <w:rPr>
                <w:rFonts w:hint="eastAsia" w:ascii="黑体" w:hAnsi="黑体" w:eastAsia="黑体"/>
                <w:b/>
                <w:szCs w:val="21"/>
              </w:rPr>
              <w:t>装订</w:t>
            </w:r>
          </w:p>
        </w:tc>
        <w:tc>
          <w:tcPr>
            <w:tcW w:w="3594" w:type="dxa"/>
            <w:vAlign w:val="center"/>
          </w:tcPr>
          <w:p>
            <w:pPr>
              <w:spacing w:line="360" w:lineRule="auto"/>
              <w:jc w:val="center"/>
              <w:rPr>
                <w:rFonts w:ascii="黑体" w:hAnsi="黑体" w:eastAsia="黑体"/>
                <w:b/>
                <w:szCs w:val="21"/>
              </w:rPr>
            </w:pPr>
            <w:r>
              <w:rPr>
                <w:rFonts w:hint="eastAsia" w:ascii="黑体" w:hAnsi="黑体" w:eastAsia="黑体"/>
                <w:b/>
                <w:szCs w:val="21"/>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tcPr>
          <w:p>
            <w:pPr>
              <w:spacing w:line="360" w:lineRule="auto"/>
              <w:jc w:val="center"/>
              <w:rPr>
                <w:rFonts w:ascii="黑体" w:hAnsi="黑体" w:eastAsia="黑体"/>
                <w:szCs w:val="21"/>
              </w:rPr>
            </w:pPr>
            <w:r>
              <w:rPr>
                <w:rFonts w:hint="eastAsia" w:ascii="黑体" w:hAnsi="黑体" w:eastAsia="黑体"/>
                <w:szCs w:val="21"/>
              </w:rPr>
              <w:t>1</w:t>
            </w:r>
          </w:p>
        </w:tc>
        <w:tc>
          <w:tcPr>
            <w:tcW w:w="2407" w:type="dxa"/>
          </w:tcPr>
          <w:p>
            <w:pPr>
              <w:spacing w:line="360" w:lineRule="auto"/>
              <w:jc w:val="center"/>
              <w:rPr>
                <w:rFonts w:ascii="黑体" w:hAnsi="黑体" w:eastAsia="黑体"/>
                <w:szCs w:val="21"/>
              </w:rPr>
            </w:pPr>
            <w:r>
              <w:rPr>
                <w:rFonts w:hint="eastAsia" w:ascii="黑体" w:hAnsi="黑体" w:eastAsia="黑体"/>
                <w:szCs w:val="21"/>
              </w:rPr>
              <w:t>价格文件</w:t>
            </w:r>
          </w:p>
        </w:tc>
        <w:tc>
          <w:tcPr>
            <w:tcW w:w="1845" w:type="dxa"/>
          </w:tcPr>
          <w:p>
            <w:pPr>
              <w:spacing w:line="360" w:lineRule="auto"/>
              <w:jc w:val="center"/>
              <w:rPr>
                <w:rFonts w:ascii="黑体" w:hAnsi="黑体" w:eastAsia="黑体"/>
                <w:szCs w:val="21"/>
              </w:rPr>
            </w:pPr>
            <w:r>
              <w:rPr>
                <w:rFonts w:hint="eastAsia" w:ascii="黑体" w:hAnsi="黑体" w:eastAsia="黑体"/>
                <w:szCs w:val="21"/>
              </w:rPr>
              <w:t>每份独立装订</w:t>
            </w:r>
          </w:p>
        </w:tc>
        <w:tc>
          <w:tcPr>
            <w:tcW w:w="3594" w:type="dxa"/>
          </w:tcPr>
          <w:p>
            <w:pPr>
              <w:spacing w:line="360" w:lineRule="auto"/>
              <w:jc w:val="center"/>
              <w:rPr>
                <w:rFonts w:ascii="黑体" w:hAnsi="黑体" w:eastAsia="黑体"/>
                <w:szCs w:val="21"/>
              </w:rPr>
            </w:pPr>
            <w:r>
              <w:rPr>
                <w:rFonts w:hint="eastAsia" w:ascii="黑体" w:hAnsi="黑体" w:eastAsia="黑体"/>
                <w:szCs w:val="21"/>
              </w:rPr>
              <w:t>正本、副本一起密封包装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tcPr>
          <w:p>
            <w:pPr>
              <w:spacing w:line="360" w:lineRule="auto"/>
              <w:jc w:val="center"/>
              <w:rPr>
                <w:rFonts w:ascii="黑体" w:hAnsi="黑体" w:eastAsia="黑体"/>
                <w:szCs w:val="21"/>
              </w:rPr>
            </w:pPr>
            <w:r>
              <w:rPr>
                <w:rFonts w:hint="eastAsia" w:ascii="黑体" w:hAnsi="黑体" w:eastAsia="黑体"/>
                <w:szCs w:val="21"/>
              </w:rPr>
              <w:t>2</w:t>
            </w:r>
          </w:p>
        </w:tc>
        <w:tc>
          <w:tcPr>
            <w:tcW w:w="2407" w:type="dxa"/>
          </w:tcPr>
          <w:p>
            <w:pPr>
              <w:spacing w:line="360" w:lineRule="auto"/>
              <w:jc w:val="center"/>
              <w:rPr>
                <w:rFonts w:ascii="黑体" w:hAnsi="黑体" w:eastAsia="黑体"/>
                <w:szCs w:val="21"/>
              </w:rPr>
            </w:pPr>
            <w:r>
              <w:rPr>
                <w:rFonts w:hint="eastAsia" w:ascii="黑体" w:hAnsi="黑体" w:eastAsia="黑体"/>
                <w:szCs w:val="21"/>
              </w:rPr>
              <w:t>商务技术文件</w:t>
            </w:r>
          </w:p>
        </w:tc>
        <w:tc>
          <w:tcPr>
            <w:tcW w:w="1845" w:type="dxa"/>
          </w:tcPr>
          <w:p>
            <w:pPr>
              <w:spacing w:line="360" w:lineRule="auto"/>
              <w:jc w:val="center"/>
              <w:rPr>
                <w:rFonts w:ascii="黑体" w:hAnsi="黑体" w:eastAsia="黑体"/>
                <w:szCs w:val="21"/>
              </w:rPr>
            </w:pPr>
            <w:r>
              <w:rPr>
                <w:rFonts w:hint="eastAsia" w:ascii="黑体" w:hAnsi="黑体" w:eastAsia="黑体"/>
                <w:szCs w:val="21"/>
              </w:rPr>
              <w:t>每份独立装订</w:t>
            </w:r>
          </w:p>
        </w:tc>
        <w:tc>
          <w:tcPr>
            <w:tcW w:w="3594" w:type="dxa"/>
          </w:tcPr>
          <w:p>
            <w:pPr>
              <w:spacing w:line="360" w:lineRule="auto"/>
              <w:jc w:val="center"/>
              <w:rPr>
                <w:rFonts w:ascii="黑体" w:hAnsi="黑体" w:eastAsia="黑体"/>
                <w:szCs w:val="21"/>
              </w:rPr>
            </w:pPr>
            <w:r>
              <w:rPr>
                <w:rFonts w:hint="eastAsia" w:ascii="黑体" w:hAnsi="黑体" w:eastAsia="黑体"/>
                <w:szCs w:val="21"/>
              </w:rPr>
              <w:t>正本、副本、</w:t>
            </w:r>
            <w:r>
              <w:rPr>
                <w:rFonts w:ascii="黑体" w:hAnsi="黑体" w:eastAsia="黑体"/>
                <w:bCs/>
                <w:szCs w:val="21"/>
              </w:rPr>
              <w:t>电子文件</w:t>
            </w:r>
            <w:r>
              <w:rPr>
                <w:rFonts w:hint="eastAsia" w:ascii="黑体" w:hAnsi="黑体" w:eastAsia="黑体"/>
                <w:szCs w:val="21"/>
              </w:rPr>
              <w:t>一起密封包装</w:t>
            </w:r>
          </w:p>
        </w:tc>
      </w:tr>
    </w:tbl>
    <w:p>
      <w:pPr>
        <w:pStyle w:val="68"/>
        <w:numPr>
          <w:ilvl w:val="0"/>
          <w:numId w:val="61"/>
        </w:numPr>
        <w:tabs>
          <w:tab w:val="left" w:pos="360"/>
          <w:tab w:val="left" w:pos="567"/>
        </w:tabs>
        <w:autoSpaceDE w:val="0"/>
        <w:autoSpaceDN w:val="0"/>
        <w:spacing w:line="360" w:lineRule="auto"/>
        <w:ind w:left="567" w:hanging="567" w:firstLineChars="0"/>
        <w:jc w:val="left"/>
        <w:rPr>
          <w:rFonts w:ascii="黑体" w:hAnsi="黑体" w:eastAsia="黑体"/>
          <w:bCs/>
          <w:szCs w:val="21"/>
        </w:rPr>
      </w:pPr>
      <w:r>
        <w:rPr>
          <w:rFonts w:hint="eastAsia" w:ascii="黑体" w:hAnsi="黑体" w:eastAsia="黑体"/>
          <w:bCs/>
          <w:szCs w:val="21"/>
        </w:rPr>
        <w:t>电子文件</w:t>
      </w:r>
      <w:bookmarkStart w:id="100" w:name="_Hlk86740118"/>
      <w:r>
        <w:rPr>
          <w:rFonts w:hint="eastAsia" w:ascii="黑体" w:hAnsi="黑体" w:eastAsia="黑体"/>
          <w:bCs/>
          <w:szCs w:val="21"/>
        </w:rPr>
        <w:t>须同时提交以下文件</w:t>
      </w:r>
      <w:bookmarkEnd w:id="100"/>
      <w:r>
        <w:rPr>
          <w:rFonts w:hint="eastAsia" w:ascii="黑体" w:hAnsi="黑体" w:eastAsia="黑体"/>
          <w:bCs/>
          <w:szCs w:val="21"/>
        </w:rPr>
        <w:t>：</w:t>
      </w:r>
      <w:bookmarkStart w:id="101" w:name="_Hlk86740096"/>
      <w:r>
        <w:rPr>
          <w:rFonts w:hint="eastAsia" w:ascii="黑体" w:hAnsi="黑体" w:eastAsia="黑体"/>
          <w:bCs/>
          <w:szCs w:val="21"/>
        </w:rPr>
        <w:t>①可编辑的WORD或 EXCEL 格式文件。②按采购文件要求签署、盖章后的正本投标文件扫描成PDF格式文件。</w:t>
      </w:r>
      <w:r>
        <w:rPr>
          <w:rFonts w:ascii="黑体" w:hAnsi="黑体" w:eastAsia="黑体"/>
          <w:bCs/>
          <w:szCs w:val="21"/>
        </w:rPr>
        <w:t>电子文件</w:t>
      </w:r>
      <w:r>
        <w:rPr>
          <w:rFonts w:hint="eastAsia" w:ascii="黑体" w:hAnsi="黑体" w:eastAsia="黑体"/>
          <w:bCs/>
          <w:szCs w:val="21"/>
        </w:rPr>
        <w:t>由</w:t>
      </w:r>
      <w:r>
        <w:rPr>
          <w:rFonts w:ascii="黑体" w:hAnsi="黑体" w:eastAsia="黑体"/>
          <w:bCs/>
          <w:szCs w:val="21"/>
        </w:rPr>
        <w:t>CD-R光盘</w:t>
      </w:r>
      <w:r>
        <w:rPr>
          <w:rFonts w:hint="eastAsia" w:ascii="黑体" w:hAnsi="黑体" w:eastAsia="黑体"/>
          <w:bCs/>
          <w:szCs w:val="21"/>
        </w:rPr>
        <w:t>或U盘</w:t>
      </w:r>
      <w:r>
        <w:rPr>
          <w:rFonts w:ascii="黑体" w:hAnsi="黑体" w:eastAsia="黑体"/>
          <w:bCs/>
          <w:szCs w:val="21"/>
        </w:rPr>
        <w:t>储存</w:t>
      </w:r>
      <w:bookmarkEnd w:id="101"/>
      <w:r>
        <w:rPr>
          <w:rFonts w:hint="eastAsia" w:ascii="黑体" w:hAnsi="黑体" w:eastAsia="黑体"/>
          <w:bCs/>
          <w:szCs w:val="21"/>
        </w:rPr>
        <w:t>。</w:t>
      </w:r>
    </w:p>
    <w:p>
      <w:pPr>
        <w:pStyle w:val="68"/>
        <w:numPr>
          <w:ilvl w:val="0"/>
          <w:numId w:val="61"/>
        </w:numPr>
        <w:tabs>
          <w:tab w:val="left" w:pos="360"/>
          <w:tab w:val="left" w:pos="567"/>
        </w:tabs>
        <w:autoSpaceDE w:val="0"/>
        <w:autoSpaceDN w:val="0"/>
        <w:spacing w:line="360" w:lineRule="auto"/>
        <w:ind w:left="567" w:hanging="567" w:firstLineChars="0"/>
        <w:jc w:val="left"/>
        <w:rPr>
          <w:rFonts w:ascii="黑体" w:hAnsi="黑体" w:eastAsia="黑体"/>
        </w:rPr>
      </w:pPr>
      <w:bookmarkStart w:id="102" w:name="_Hlk90987241"/>
      <w:r>
        <w:rPr>
          <w:rFonts w:hint="eastAsia" w:ascii="黑体" w:hAnsi="黑体" w:eastAsia="黑体"/>
          <w:bCs/>
          <w:szCs w:val="21"/>
        </w:rPr>
        <w:t>供应商应将响应文件的价格文件（含正、副本）一起密封包装、商务技术文件（含正、副本、</w:t>
      </w:r>
      <w:r>
        <w:rPr>
          <w:rFonts w:ascii="黑体" w:hAnsi="黑体" w:eastAsia="黑体"/>
          <w:bCs/>
          <w:szCs w:val="21"/>
        </w:rPr>
        <w:t>电子文件</w:t>
      </w:r>
      <w:r>
        <w:rPr>
          <w:rFonts w:hint="eastAsia" w:ascii="黑体" w:hAnsi="黑体" w:eastAsia="黑体"/>
          <w:bCs/>
          <w:szCs w:val="21"/>
        </w:rPr>
        <w:t>）一起密封包装，且在信封上标明“价格文件”</w:t>
      </w:r>
      <w:r>
        <w:rPr>
          <w:rFonts w:ascii="黑体" w:hAnsi="黑体" w:eastAsia="黑体"/>
          <w:bCs/>
          <w:szCs w:val="21"/>
        </w:rPr>
        <w:t>/“商务技术文件”</w:t>
      </w:r>
      <w:r>
        <w:rPr>
          <w:rFonts w:hint="eastAsia" w:ascii="黑体" w:hAnsi="黑体" w:eastAsia="黑体"/>
          <w:bCs/>
          <w:szCs w:val="21"/>
        </w:rPr>
        <w:t>的字样。</w:t>
      </w:r>
    </w:p>
    <w:bookmarkEnd w:id="102"/>
    <w:p>
      <w:pPr>
        <w:numPr>
          <w:ilvl w:val="0"/>
          <w:numId w:val="33"/>
        </w:numPr>
        <w:tabs>
          <w:tab w:val="left" w:pos="567"/>
          <w:tab w:val="clear" w:pos="360"/>
        </w:tabs>
        <w:autoSpaceDE w:val="0"/>
        <w:autoSpaceDN w:val="0"/>
        <w:spacing w:before="156" w:beforeLines="50" w:line="360" w:lineRule="auto"/>
        <w:ind w:left="709" w:hanging="709"/>
        <w:rPr>
          <w:rFonts w:ascii="黑体" w:hAnsi="黑体" w:eastAsia="黑体"/>
          <w:b/>
          <w:bCs/>
        </w:rPr>
      </w:pPr>
      <w:bookmarkStart w:id="103" w:name="_Toc416770234"/>
      <w:bookmarkStart w:id="104" w:name="_Toc410736157"/>
      <w:bookmarkStart w:id="105" w:name="_Toc410738957"/>
      <w:bookmarkStart w:id="106" w:name="_Toc416771344"/>
      <w:r>
        <w:rPr>
          <w:rFonts w:hint="eastAsia" w:ascii="黑体" w:hAnsi="黑体" w:eastAsia="黑体"/>
          <w:b/>
          <w:bCs/>
        </w:rPr>
        <w:t>响应文件包装密封</w:t>
      </w:r>
    </w:p>
    <w:p>
      <w:pPr>
        <w:pStyle w:val="68"/>
        <w:numPr>
          <w:ilvl w:val="0"/>
          <w:numId w:val="62"/>
        </w:numPr>
        <w:tabs>
          <w:tab w:val="left" w:pos="360"/>
        </w:tabs>
        <w:autoSpaceDE w:val="0"/>
        <w:autoSpaceDN w:val="0"/>
        <w:spacing w:line="360" w:lineRule="auto"/>
        <w:ind w:left="567" w:hanging="567" w:firstLineChars="0"/>
        <w:jc w:val="left"/>
        <w:rPr>
          <w:rFonts w:ascii="黑体" w:hAnsi="黑体" w:eastAsia="黑体"/>
          <w:b/>
          <w:bCs/>
        </w:rPr>
      </w:pPr>
      <w:r>
        <w:rPr>
          <w:rFonts w:hint="eastAsia" w:ascii="黑体" w:hAnsi="黑体" w:eastAsia="黑体"/>
          <w:bCs/>
          <w:szCs w:val="21"/>
        </w:rPr>
        <w:t>供应商应将响应文件密封包装；</w:t>
      </w:r>
    </w:p>
    <w:p>
      <w:pPr>
        <w:pStyle w:val="68"/>
        <w:numPr>
          <w:ilvl w:val="0"/>
          <w:numId w:val="62"/>
        </w:numPr>
        <w:tabs>
          <w:tab w:val="left" w:pos="360"/>
        </w:tabs>
        <w:autoSpaceDE w:val="0"/>
        <w:autoSpaceDN w:val="0"/>
        <w:spacing w:line="360" w:lineRule="auto"/>
        <w:ind w:left="567" w:hanging="567" w:firstLineChars="0"/>
        <w:jc w:val="left"/>
        <w:rPr>
          <w:rFonts w:ascii="黑体" w:hAnsi="黑体" w:eastAsia="黑体"/>
          <w:b/>
          <w:bCs/>
        </w:rPr>
      </w:pPr>
      <w:r>
        <w:rPr>
          <w:rFonts w:hint="eastAsia" w:ascii="黑体" w:hAnsi="黑体" w:eastAsia="黑体"/>
          <w:bCs/>
          <w:szCs w:val="21"/>
        </w:rPr>
        <w:t>不足以造成响应文件可从外包装内散出而导致响应文件泄密的，不认定为响应文件未密封。</w:t>
      </w:r>
    </w:p>
    <w:p>
      <w:pPr>
        <w:pStyle w:val="68"/>
        <w:numPr>
          <w:ilvl w:val="0"/>
          <w:numId w:val="62"/>
        </w:numPr>
        <w:tabs>
          <w:tab w:val="left" w:pos="360"/>
        </w:tabs>
        <w:autoSpaceDE w:val="0"/>
        <w:autoSpaceDN w:val="0"/>
        <w:spacing w:line="360" w:lineRule="auto"/>
        <w:ind w:left="567" w:hanging="567" w:firstLineChars="0"/>
        <w:jc w:val="left"/>
        <w:rPr>
          <w:rFonts w:ascii="黑体" w:hAnsi="黑体" w:eastAsia="黑体"/>
          <w:b/>
          <w:bCs/>
        </w:rPr>
      </w:pPr>
      <w:r>
        <w:rPr>
          <w:rFonts w:hint="eastAsia" w:ascii="黑体" w:hAnsi="黑体" w:eastAsia="黑体"/>
          <w:bCs/>
          <w:szCs w:val="21"/>
        </w:rPr>
        <w:t>包装封套均应注明：</w:t>
      </w:r>
    </w:p>
    <w:p>
      <w:pPr>
        <w:autoSpaceDE w:val="0"/>
        <w:autoSpaceDN w:val="0"/>
        <w:spacing w:line="360" w:lineRule="auto"/>
        <w:ind w:left="567"/>
        <w:jc w:val="left"/>
        <w:rPr>
          <w:rFonts w:ascii="黑体" w:hAnsi="黑体" w:eastAsia="黑体"/>
          <w:bCs/>
        </w:rPr>
      </w:pPr>
      <w:r>
        <w:rPr>
          <w:rFonts w:hint="eastAsia" w:ascii="黑体" w:hAnsi="黑体" w:eastAsia="黑体"/>
          <w:bCs/>
        </w:rPr>
        <w:t>收件人名称：</w:t>
      </w:r>
      <w:r>
        <w:rPr>
          <w:rFonts w:hint="eastAsia" w:ascii="黑体" w:hAnsi="黑体" w:eastAsia="黑体"/>
          <w:bCs/>
          <w:u w:val="single"/>
        </w:rPr>
        <w:t xml:space="preserve">广东有德招标采购有限公司         </w:t>
      </w:r>
    </w:p>
    <w:p>
      <w:pPr>
        <w:autoSpaceDE w:val="0"/>
        <w:autoSpaceDN w:val="0"/>
        <w:spacing w:line="360" w:lineRule="auto"/>
        <w:ind w:left="567"/>
        <w:jc w:val="left"/>
        <w:rPr>
          <w:rFonts w:ascii="黑体" w:hAnsi="黑体" w:eastAsia="黑体"/>
          <w:bCs/>
        </w:rPr>
      </w:pPr>
      <w:r>
        <w:rPr>
          <w:rFonts w:hint="eastAsia" w:ascii="黑体" w:hAnsi="黑体" w:eastAsia="黑体"/>
          <w:bCs/>
        </w:rPr>
        <w:t>响应供应商名称：</w:t>
      </w:r>
      <w:r>
        <w:rPr>
          <w:rFonts w:hint="eastAsia" w:ascii="黑体" w:hAnsi="黑体" w:eastAsia="黑体"/>
          <w:bCs/>
          <w:u w:val="single"/>
        </w:rPr>
        <w:t xml:space="preserve">                             </w:t>
      </w:r>
    </w:p>
    <w:p>
      <w:pPr>
        <w:autoSpaceDE w:val="0"/>
        <w:autoSpaceDN w:val="0"/>
        <w:spacing w:line="360" w:lineRule="auto"/>
        <w:ind w:left="567"/>
        <w:jc w:val="left"/>
        <w:rPr>
          <w:rFonts w:ascii="黑体" w:hAnsi="黑体" w:eastAsia="黑体"/>
          <w:bCs/>
        </w:rPr>
      </w:pPr>
      <w:r>
        <w:rPr>
          <w:rFonts w:hint="eastAsia" w:ascii="黑体" w:hAnsi="黑体" w:eastAsia="黑体"/>
          <w:bCs/>
        </w:rPr>
        <w:t>项目名称：</w:t>
      </w:r>
      <w:r>
        <w:rPr>
          <w:rFonts w:hint="eastAsia" w:ascii="黑体" w:hAnsi="黑体" w:eastAsia="黑体"/>
          <w:bCs/>
          <w:u w:val="single"/>
        </w:rPr>
        <w:t xml:space="preserve">        （详见磋商邀请）         </w:t>
      </w:r>
    </w:p>
    <w:p>
      <w:pPr>
        <w:autoSpaceDE w:val="0"/>
        <w:autoSpaceDN w:val="0"/>
        <w:spacing w:line="360" w:lineRule="auto"/>
        <w:ind w:left="567"/>
        <w:jc w:val="left"/>
        <w:rPr>
          <w:rFonts w:ascii="黑体" w:hAnsi="黑体" w:eastAsia="黑体"/>
          <w:bCs/>
        </w:rPr>
      </w:pPr>
      <w:r>
        <w:rPr>
          <w:rFonts w:hint="eastAsia" w:ascii="黑体" w:hAnsi="黑体" w:eastAsia="黑体"/>
          <w:bCs/>
        </w:rPr>
        <w:t>项目编号：</w:t>
      </w:r>
      <w:r>
        <w:rPr>
          <w:rFonts w:hint="eastAsia" w:ascii="黑体" w:hAnsi="黑体" w:eastAsia="黑体"/>
          <w:bCs/>
          <w:u w:val="single"/>
        </w:rPr>
        <w:t xml:space="preserve">        （详见磋商邀请）         </w:t>
      </w:r>
    </w:p>
    <w:p>
      <w:pPr>
        <w:autoSpaceDE w:val="0"/>
        <w:autoSpaceDN w:val="0"/>
        <w:spacing w:line="360" w:lineRule="auto"/>
        <w:ind w:left="567"/>
        <w:jc w:val="left"/>
        <w:rPr>
          <w:rFonts w:ascii="黑体" w:hAnsi="黑体" w:eastAsia="黑体"/>
          <w:bCs/>
        </w:rPr>
      </w:pPr>
      <w:r>
        <w:rPr>
          <w:rFonts w:hint="eastAsia" w:ascii="黑体" w:hAnsi="黑体" w:eastAsia="黑体"/>
          <w:bCs/>
        </w:rPr>
        <w:t>注明：“</w:t>
      </w:r>
      <w:r>
        <w:rPr>
          <w:rFonts w:hint="eastAsia" w:ascii="黑体" w:hAnsi="黑体" w:eastAsia="黑体"/>
          <w:bCs/>
          <w:u w:val="single"/>
        </w:rPr>
        <w:t xml:space="preserve">于  年  月  日北京时间  ： </w:t>
      </w:r>
      <w:r>
        <w:rPr>
          <w:rFonts w:ascii="黑体" w:hAnsi="黑体" w:eastAsia="黑体"/>
          <w:bCs/>
          <w:u w:val="single"/>
        </w:rPr>
        <w:t xml:space="preserve"> </w:t>
      </w:r>
      <w:r>
        <w:rPr>
          <w:rFonts w:hint="eastAsia" w:ascii="黑体" w:hAnsi="黑体" w:eastAsia="黑体"/>
          <w:bCs/>
        </w:rPr>
        <w:t>（详见磋商邀请）之前不得启封”的字样。</w:t>
      </w:r>
    </w:p>
    <w:p>
      <w:pPr>
        <w:pStyle w:val="68"/>
        <w:numPr>
          <w:ilvl w:val="0"/>
          <w:numId w:val="62"/>
        </w:numPr>
        <w:tabs>
          <w:tab w:val="left" w:pos="360"/>
        </w:tabs>
        <w:autoSpaceDE w:val="0"/>
        <w:autoSpaceDN w:val="0"/>
        <w:spacing w:line="360" w:lineRule="auto"/>
        <w:ind w:left="567" w:hanging="567" w:firstLineChars="0"/>
        <w:jc w:val="left"/>
        <w:rPr>
          <w:rFonts w:ascii="黑体" w:hAnsi="黑体" w:eastAsia="黑体"/>
          <w:b/>
          <w:bCs/>
        </w:rPr>
      </w:pPr>
      <w:r>
        <w:rPr>
          <w:rFonts w:hint="eastAsia" w:ascii="黑体" w:hAnsi="黑体" w:eastAsia="黑体"/>
          <w:bCs/>
          <w:spacing w:val="-4"/>
          <w:szCs w:val="21"/>
        </w:rPr>
        <w:t>如果未按本须知上款要求加写标记和密封，采购代理机构对误投或提前启封概不负责。</w:t>
      </w:r>
    </w:p>
    <w:p>
      <w:pPr>
        <w:numPr>
          <w:ilvl w:val="0"/>
          <w:numId w:val="33"/>
        </w:numPr>
        <w:tabs>
          <w:tab w:val="left" w:pos="567"/>
          <w:tab w:val="clear" w:pos="360"/>
        </w:tabs>
        <w:autoSpaceDE w:val="0"/>
        <w:autoSpaceDN w:val="0"/>
        <w:spacing w:before="156" w:beforeLines="50" w:line="360" w:lineRule="auto"/>
        <w:ind w:left="709" w:hanging="709"/>
        <w:rPr>
          <w:rFonts w:ascii="黑体" w:hAnsi="黑体" w:eastAsia="黑体"/>
          <w:b/>
          <w:bCs/>
        </w:rPr>
      </w:pPr>
      <w:r>
        <w:rPr>
          <w:rFonts w:hint="eastAsia" w:ascii="黑体" w:hAnsi="黑体" w:eastAsia="黑体"/>
          <w:b/>
          <w:bCs/>
        </w:rPr>
        <w:t>响应文件递交截止期</w:t>
      </w:r>
      <w:bookmarkEnd w:id="103"/>
      <w:bookmarkEnd w:id="104"/>
      <w:bookmarkEnd w:id="105"/>
      <w:bookmarkEnd w:id="106"/>
    </w:p>
    <w:p>
      <w:pPr>
        <w:pStyle w:val="68"/>
        <w:numPr>
          <w:ilvl w:val="0"/>
          <w:numId w:val="63"/>
        </w:numPr>
        <w:tabs>
          <w:tab w:val="left" w:pos="360"/>
        </w:tabs>
        <w:autoSpaceDE w:val="0"/>
        <w:autoSpaceDN w:val="0"/>
        <w:spacing w:line="360" w:lineRule="auto"/>
        <w:ind w:left="567" w:hanging="567" w:firstLineChars="0"/>
        <w:jc w:val="left"/>
        <w:rPr>
          <w:rFonts w:ascii="黑体" w:hAnsi="黑体" w:eastAsia="黑体"/>
        </w:rPr>
      </w:pPr>
      <w:r>
        <w:rPr>
          <w:rFonts w:hint="eastAsia" w:ascii="黑体" w:hAnsi="黑体" w:eastAsia="黑体"/>
          <w:bCs/>
          <w:szCs w:val="21"/>
        </w:rPr>
        <w:t>供应商应在不迟于</w:t>
      </w:r>
      <w:r>
        <w:rPr>
          <w:rFonts w:hint="eastAsia" w:ascii="黑体" w:hAnsi="黑体" w:eastAsia="黑体"/>
          <w:b/>
          <w:bCs/>
          <w:szCs w:val="21"/>
          <w:u w:val="single"/>
        </w:rPr>
        <w:t>磋商邀请</w:t>
      </w:r>
      <w:r>
        <w:rPr>
          <w:rFonts w:hint="eastAsia" w:ascii="黑体" w:hAnsi="黑体" w:eastAsia="黑体"/>
          <w:bCs/>
          <w:szCs w:val="21"/>
        </w:rPr>
        <w:t>中规定的截止日期和时间将响应文件递交至采购代理机构，递交地点应是</w:t>
      </w:r>
      <w:r>
        <w:rPr>
          <w:rFonts w:hint="eastAsia" w:ascii="黑体" w:hAnsi="黑体" w:eastAsia="黑体"/>
          <w:b/>
          <w:bCs/>
          <w:szCs w:val="21"/>
          <w:u w:val="single"/>
        </w:rPr>
        <w:t>磋商邀请</w:t>
      </w:r>
      <w:r>
        <w:rPr>
          <w:rFonts w:hint="eastAsia" w:ascii="黑体" w:hAnsi="黑体" w:eastAsia="黑体"/>
          <w:bCs/>
          <w:szCs w:val="21"/>
        </w:rPr>
        <w:t>中指明的地址。</w:t>
      </w:r>
    </w:p>
    <w:p>
      <w:pPr>
        <w:pStyle w:val="68"/>
        <w:numPr>
          <w:ilvl w:val="0"/>
          <w:numId w:val="63"/>
        </w:numPr>
        <w:tabs>
          <w:tab w:val="left" w:pos="360"/>
        </w:tabs>
        <w:autoSpaceDE w:val="0"/>
        <w:autoSpaceDN w:val="0"/>
        <w:spacing w:line="360" w:lineRule="auto"/>
        <w:ind w:left="567" w:hanging="567" w:firstLineChars="0"/>
        <w:jc w:val="left"/>
        <w:rPr>
          <w:rFonts w:ascii="黑体" w:hAnsi="黑体" w:eastAsia="黑体"/>
        </w:rPr>
      </w:pPr>
      <w:r>
        <w:rPr>
          <w:rFonts w:hint="eastAsia" w:ascii="黑体" w:hAnsi="黑体" w:eastAsia="黑体"/>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pPr>
        <w:pStyle w:val="68"/>
        <w:numPr>
          <w:ilvl w:val="0"/>
          <w:numId w:val="63"/>
        </w:numPr>
        <w:tabs>
          <w:tab w:val="left" w:pos="360"/>
        </w:tabs>
        <w:autoSpaceDE w:val="0"/>
        <w:autoSpaceDN w:val="0"/>
        <w:spacing w:line="360" w:lineRule="auto"/>
        <w:ind w:left="567" w:hanging="567" w:firstLineChars="0"/>
        <w:jc w:val="left"/>
        <w:rPr>
          <w:rFonts w:ascii="黑体" w:hAnsi="黑体" w:eastAsia="黑体"/>
        </w:rPr>
      </w:pPr>
      <w:r>
        <w:rPr>
          <w:rFonts w:hint="eastAsia" w:ascii="黑体" w:hAnsi="黑体" w:eastAsia="黑体"/>
          <w:bCs/>
          <w:szCs w:val="21"/>
        </w:rPr>
        <w:t>采购代理机构将拒绝在规定的磋商截止期后收到的任何响应文件。</w:t>
      </w:r>
    </w:p>
    <w:p>
      <w:pPr>
        <w:numPr>
          <w:ilvl w:val="0"/>
          <w:numId w:val="33"/>
        </w:numPr>
        <w:tabs>
          <w:tab w:val="left" w:pos="567"/>
          <w:tab w:val="clear" w:pos="360"/>
        </w:tabs>
        <w:autoSpaceDE w:val="0"/>
        <w:autoSpaceDN w:val="0"/>
        <w:spacing w:before="156" w:beforeLines="50" w:line="360" w:lineRule="auto"/>
        <w:ind w:left="709" w:hanging="709"/>
        <w:rPr>
          <w:rFonts w:ascii="黑体" w:hAnsi="黑体" w:eastAsia="黑体"/>
          <w:b/>
          <w:bCs/>
        </w:rPr>
      </w:pPr>
      <w:bookmarkStart w:id="107" w:name="_Toc416771345"/>
      <w:bookmarkStart w:id="108" w:name="_Toc416770235"/>
      <w:bookmarkStart w:id="109" w:name="_Toc410736158"/>
      <w:bookmarkStart w:id="110" w:name="_Toc410738958"/>
      <w:r>
        <w:rPr>
          <w:rFonts w:hint="eastAsia" w:ascii="黑体" w:hAnsi="黑体" w:eastAsia="黑体"/>
          <w:b/>
          <w:bCs/>
        </w:rPr>
        <w:t>响应文件的修改和撤回</w:t>
      </w:r>
      <w:bookmarkEnd w:id="107"/>
      <w:bookmarkEnd w:id="108"/>
      <w:bookmarkEnd w:id="109"/>
      <w:bookmarkEnd w:id="110"/>
    </w:p>
    <w:p>
      <w:pPr>
        <w:pStyle w:val="68"/>
        <w:numPr>
          <w:ilvl w:val="0"/>
          <w:numId w:val="64"/>
        </w:numPr>
        <w:tabs>
          <w:tab w:val="left" w:pos="360"/>
          <w:tab w:val="left" w:pos="567"/>
        </w:tabs>
        <w:autoSpaceDE w:val="0"/>
        <w:autoSpaceDN w:val="0"/>
        <w:spacing w:line="360" w:lineRule="auto"/>
        <w:ind w:left="567" w:hanging="567" w:firstLineChars="0"/>
        <w:rPr>
          <w:rFonts w:ascii="黑体" w:hAnsi="黑体" w:eastAsia="黑体" w:cs="宋体"/>
        </w:rPr>
      </w:pPr>
      <w:r>
        <w:rPr>
          <w:rFonts w:hint="eastAsia" w:ascii="黑体" w:hAnsi="黑体" w:eastAsia="黑体"/>
          <w:bCs/>
          <w:spacing w:val="-2"/>
          <w:szCs w:val="21"/>
        </w:rPr>
        <w:t>供应商</w:t>
      </w:r>
      <w:r>
        <w:rPr>
          <w:rFonts w:hint="eastAsia" w:ascii="黑体" w:hAnsi="黑体" w:eastAsia="黑体"/>
          <w:bCs/>
          <w:szCs w:val="21"/>
        </w:rPr>
        <w:t>在磋商截止时间前，可以对所递交的响应文件进行补充、修改或者撤回，并书面通知采购代理机构。补充、修改的内容应当按照磋商文件要求签署、盖章，密封后，作为响应文件的组成部分。</w:t>
      </w:r>
    </w:p>
    <w:p>
      <w:pPr>
        <w:pStyle w:val="68"/>
        <w:numPr>
          <w:ilvl w:val="0"/>
          <w:numId w:val="64"/>
        </w:numPr>
        <w:tabs>
          <w:tab w:val="left" w:pos="360"/>
          <w:tab w:val="left" w:pos="567"/>
        </w:tabs>
        <w:autoSpaceDE w:val="0"/>
        <w:autoSpaceDN w:val="0"/>
        <w:spacing w:line="360" w:lineRule="auto"/>
        <w:ind w:left="567" w:hanging="567" w:firstLineChars="0"/>
        <w:rPr>
          <w:rFonts w:ascii="黑体" w:hAnsi="黑体" w:eastAsia="黑体"/>
          <w:bCs/>
        </w:rPr>
      </w:pPr>
      <w:r>
        <w:rPr>
          <w:rFonts w:hint="eastAsia" w:ascii="黑体" w:hAnsi="黑体" w:eastAsia="黑体"/>
          <w:bCs/>
          <w:szCs w:val="21"/>
        </w:rPr>
        <w:t>在磋商截止时间之后，供应商不得对其响应文件做任何修改和补充。</w:t>
      </w:r>
    </w:p>
    <w:p>
      <w:pPr>
        <w:pStyle w:val="47"/>
        <w:numPr>
          <w:ilvl w:val="0"/>
          <w:numId w:val="64"/>
        </w:numPr>
        <w:spacing w:line="360" w:lineRule="auto"/>
        <w:ind w:left="567" w:hanging="567" w:firstLineChars="0"/>
        <w:rPr>
          <w:rFonts w:ascii="黑体" w:hAnsi="黑体" w:eastAsia="黑体"/>
          <w:sz w:val="21"/>
          <w:szCs w:val="21"/>
        </w:rPr>
      </w:pPr>
      <w:bookmarkStart w:id="111" w:name="_Hlk92231500"/>
      <w:r>
        <w:rPr>
          <w:rFonts w:hint="eastAsia" w:ascii="黑体" w:hAnsi="黑体" w:eastAsia="黑体"/>
          <w:sz w:val="21"/>
          <w:szCs w:val="21"/>
        </w:rPr>
        <w:t>在提交响应文件截止时间至磋商有效期满之前，供应商不得撤回其响应文件。</w:t>
      </w:r>
    </w:p>
    <w:bookmarkEnd w:id="111"/>
    <w:p>
      <w:pPr>
        <w:pStyle w:val="68"/>
        <w:numPr>
          <w:ilvl w:val="0"/>
          <w:numId w:val="32"/>
        </w:numPr>
        <w:spacing w:before="312" w:beforeLines="100" w:after="156" w:afterLines="50"/>
        <w:ind w:left="510" w:hanging="510" w:firstLineChars="0"/>
        <w:rPr>
          <w:rFonts w:ascii="黑体" w:hAnsi="黑体" w:eastAsia="黑体"/>
          <w:b/>
        </w:rPr>
      </w:pPr>
      <w:bookmarkStart w:id="112" w:name="_Toc410736159"/>
      <w:bookmarkStart w:id="113" w:name="_Toc416771346"/>
      <w:bookmarkStart w:id="114" w:name="_Toc410738959"/>
      <w:bookmarkStart w:id="115" w:name="_Toc416770236"/>
      <w:bookmarkStart w:id="116" w:name="_Toc502738628"/>
      <w:r>
        <w:rPr>
          <w:rFonts w:hint="eastAsia" w:ascii="黑体" w:hAnsi="黑体" w:eastAsia="黑体"/>
          <w:b/>
        </w:rPr>
        <w:t>竞争性磋商流程</w:t>
      </w:r>
      <w:bookmarkEnd w:id="112"/>
      <w:bookmarkEnd w:id="113"/>
      <w:bookmarkEnd w:id="114"/>
      <w:bookmarkEnd w:id="115"/>
      <w:bookmarkEnd w:id="116"/>
    </w:p>
    <w:p>
      <w:pPr>
        <w:numPr>
          <w:ilvl w:val="0"/>
          <w:numId w:val="33"/>
        </w:numPr>
        <w:tabs>
          <w:tab w:val="left" w:pos="567"/>
          <w:tab w:val="clear" w:pos="360"/>
        </w:tabs>
        <w:autoSpaceDE w:val="0"/>
        <w:autoSpaceDN w:val="0"/>
        <w:spacing w:line="360" w:lineRule="auto"/>
        <w:ind w:left="567" w:hanging="567"/>
        <w:rPr>
          <w:rFonts w:ascii="黑体" w:hAnsi="黑体" w:eastAsia="黑体"/>
          <w:b/>
          <w:bCs/>
          <w:szCs w:val="21"/>
        </w:rPr>
      </w:pPr>
      <w:bookmarkStart w:id="117" w:name="_Toc410736160"/>
      <w:bookmarkStart w:id="118" w:name="_Toc416771347"/>
      <w:bookmarkStart w:id="119" w:name="_Toc416770237"/>
      <w:bookmarkStart w:id="120" w:name="_Toc410738960"/>
      <w:r>
        <w:rPr>
          <w:rFonts w:hint="eastAsia" w:ascii="黑体" w:hAnsi="黑体" w:eastAsia="黑体"/>
          <w:b/>
          <w:bCs/>
          <w:szCs w:val="21"/>
        </w:rPr>
        <w:t>开标</w:t>
      </w:r>
      <w:bookmarkEnd w:id="117"/>
      <w:bookmarkEnd w:id="118"/>
      <w:bookmarkEnd w:id="119"/>
      <w:bookmarkEnd w:id="120"/>
    </w:p>
    <w:p>
      <w:pPr>
        <w:pStyle w:val="68"/>
        <w:numPr>
          <w:ilvl w:val="0"/>
          <w:numId w:val="65"/>
        </w:numPr>
        <w:tabs>
          <w:tab w:val="left" w:pos="360"/>
          <w:tab w:val="left" w:pos="709"/>
        </w:tabs>
        <w:autoSpaceDE w:val="0"/>
        <w:autoSpaceDN w:val="0"/>
        <w:spacing w:line="360" w:lineRule="auto"/>
        <w:ind w:left="567" w:hanging="567" w:firstLineChars="0"/>
        <w:jc w:val="left"/>
        <w:rPr>
          <w:rFonts w:ascii="黑体" w:hAnsi="黑体" w:eastAsia="黑体"/>
          <w:szCs w:val="21"/>
        </w:rPr>
      </w:pPr>
      <w:r>
        <w:rPr>
          <w:rFonts w:hint="eastAsia" w:ascii="黑体" w:hAnsi="黑体" w:eastAsia="黑体"/>
          <w:bCs/>
          <w:szCs w:val="21"/>
        </w:rPr>
        <w:t>采购代理机构按</w:t>
      </w:r>
      <w:r>
        <w:rPr>
          <w:rFonts w:hint="eastAsia" w:ascii="黑体" w:hAnsi="黑体" w:eastAsia="黑体"/>
          <w:b/>
          <w:bCs/>
          <w:szCs w:val="21"/>
          <w:u w:val="single"/>
        </w:rPr>
        <w:t>磋商邀请</w:t>
      </w:r>
      <w:r>
        <w:rPr>
          <w:rFonts w:hint="eastAsia" w:ascii="黑体" w:hAnsi="黑体" w:eastAsia="黑体"/>
          <w:bCs/>
          <w:szCs w:val="21"/>
        </w:rPr>
        <w:t>中规定的日期、时间和地点组织公开开标。开标时邀请所有供应商代表参加。参加开标的法定代表人或其授权代表携带有效身份证签名报到以证明其出席。</w:t>
      </w:r>
    </w:p>
    <w:p>
      <w:pPr>
        <w:pStyle w:val="68"/>
        <w:numPr>
          <w:ilvl w:val="0"/>
          <w:numId w:val="65"/>
        </w:numPr>
        <w:tabs>
          <w:tab w:val="left" w:pos="360"/>
          <w:tab w:val="left" w:pos="709"/>
        </w:tabs>
        <w:autoSpaceDE w:val="0"/>
        <w:autoSpaceDN w:val="0"/>
        <w:spacing w:line="360" w:lineRule="auto"/>
        <w:ind w:left="567" w:hanging="567" w:firstLineChars="0"/>
        <w:jc w:val="left"/>
        <w:rPr>
          <w:rFonts w:ascii="黑体" w:hAnsi="黑体" w:eastAsia="黑体"/>
          <w:b/>
          <w:szCs w:val="21"/>
        </w:rPr>
      </w:pPr>
      <w:r>
        <w:rPr>
          <w:rFonts w:hint="eastAsia" w:ascii="黑体" w:hAnsi="黑体" w:eastAsia="黑体" w:cs="宋体"/>
          <w:szCs w:val="21"/>
        </w:rPr>
        <w:t>响应文件递交</w:t>
      </w:r>
      <w:r>
        <w:rPr>
          <w:rFonts w:hint="eastAsia" w:ascii="黑体" w:hAnsi="黑体" w:eastAsia="黑体" w:cs="宋体"/>
          <w:szCs w:val="21"/>
          <w:lang w:eastAsia="zh-TW"/>
        </w:rPr>
        <w:t>截止时间后，由全体</w:t>
      </w:r>
      <w:r>
        <w:rPr>
          <w:rFonts w:hint="eastAsia" w:ascii="黑体" w:hAnsi="黑体" w:eastAsia="黑体" w:cs="宋体"/>
          <w:szCs w:val="21"/>
        </w:rPr>
        <w:t>供应商</w:t>
      </w:r>
      <w:r>
        <w:rPr>
          <w:rFonts w:hint="eastAsia" w:ascii="黑体" w:hAnsi="黑体" w:eastAsia="黑体" w:cs="宋体"/>
          <w:szCs w:val="21"/>
          <w:lang w:eastAsia="zh-TW"/>
        </w:rPr>
        <w:t>对全部响应文件的密封情况进行检查。</w:t>
      </w:r>
    </w:p>
    <w:p>
      <w:pPr>
        <w:numPr>
          <w:ilvl w:val="0"/>
          <w:numId w:val="33"/>
        </w:numPr>
        <w:tabs>
          <w:tab w:val="left" w:pos="567"/>
          <w:tab w:val="clear" w:pos="360"/>
        </w:tabs>
        <w:autoSpaceDE w:val="0"/>
        <w:autoSpaceDN w:val="0"/>
        <w:spacing w:before="156" w:beforeLines="50" w:line="360" w:lineRule="auto"/>
        <w:ind w:left="567" w:hanging="567"/>
        <w:rPr>
          <w:rFonts w:ascii="黑体" w:hAnsi="黑体" w:eastAsia="黑体"/>
          <w:b/>
          <w:bCs/>
        </w:rPr>
      </w:pPr>
      <w:bookmarkStart w:id="121" w:name="_Toc410736161"/>
      <w:bookmarkStart w:id="122" w:name="_Toc416770238"/>
      <w:bookmarkStart w:id="123" w:name="_Toc416771348"/>
      <w:bookmarkStart w:id="124" w:name="_Toc410738961"/>
      <w:r>
        <w:rPr>
          <w:rFonts w:hint="eastAsia" w:ascii="黑体" w:hAnsi="黑体" w:eastAsia="黑体"/>
          <w:b/>
          <w:bCs/>
        </w:rPr>
        <w:t>磋商小组</w:t>
      </w:r>
      <w:bookmarkEnd w:id="121"/>
      <w:bookmarkEnd w:id="122"/>
      <w:bookmarkEnd w:id="123"/>
      <w:bookmarkEnd w:id="124"/>
    </w:p>
    <w:p>
      <w:pPr>
        <w:pStyle w:val="68"/>
        <w:numPr>
          <w:ilvl w:val="0"/>
          <w:numId w:val="66"/>
        </w:numPr>
        <w:tabs>
          <w:tab w:val="left" w:pos="567"/>
          <w:tab w:val="left" w:pos="709"/>
        </w:tabs>
        <w:autoSpaceDE w:val="0"/>
        <w:autoSpaceDN w:val="0"/>
        <w:spacing w:line="360" w:lineRule="auto"/>
        <w:ind w:left="567" w:hanging="567" w:firstLineChars="0"/>
        <w:jc w:val="left"/>
        <w:rPr>
          <w:rFonts w:ascii="黑体" w:hAnsi="黑体" w:eastAsia="黑体"/>
        </w:rPr>
      </w:pPr>
      <w:r>
        <w:rPr>
          <w:rFonts w:hint="eastAsia" w:ascii="黑体" w:hAnsi="黑体" w:eastAsia="黑体" w:cs="宋体"/>
        </w:rPr>
        <w:t>磋商小组</w:t>
      </w:r>
      <w:r>
        <w:rPr>
          <w:rFonts w:hint="eastAsia" w:ascii="黑体" w:hAnsi="黑体" w:eastAsia="黑体" w:cs="宋体"/>
          <w:lang w:eastAsia="zh-TW"/>
        </w:rPr>
        <w:t>由依照政府采购法律、法规、规章、政策的规定，组建的</w:t>
      </w:r>
      <w:r>
        <w:rPr>
          <w:rFonts w:hint="eastAsia" w:ascii="黑体" w:hAnsi="黑体" w:eastAsia="黑体" w:cs="宋体"/>
        </w:rPr>
        <w:t>磋商小组</w:t>
      </w:r>
      <w:r>
        <w:rPr>
          <w:rFonts w:hint="eastAsia" w:ascii="黑体" w:hAnsi="黑体" w:eastAsia="黑体" w:cs="宋体"/>
          <w:lang w:eastAsia="zh-TW"/>
        </w:rPr>
        <w:t>负责。</w:t>
      </w:r>
      <w:r>
        <w:rPr>
          <w:rFonts w:hint="eastAsia" w:ascii="黑体" w:hAnsi="黑体" w:eastAsia="黑体" w:cs="宋体"/>
        </w:rPr>
        <w:t>磋商小组由采购人代表和评审专家共3人以上单数组成，其中评审专家人数不得少于磋商小组成员总数的2/3。</w:t>
      </w:r>
    </w:p>
    <w:p>
      <w:pPr>
        <w:pStyle w:val="68"/>
        <w:numPr>
          <w:ilvl w:val="0"/>
          <w:numId w:val="66"/>
        </w:numPr>
        <w:tabs>
          <w:tab w:val="left" w:pos="567"/>
          <w:tab w:val="left" w:pos="709"/>
        </w:tabs>
        <w:autoSpaceDE w:val="0"/>
        <w:autoSpaceDN w:val="0"/>
        <w:spacing w:line="360" w:lineRule="auto"/>
        <w:ind w:left="567" w:hanging="567" w:firstLineChars="0"/>
        <w:jc w:val="left"/>
        <w:rPr>
          <w:rFonts w:ascii="黑体" w:hAnsi="黑体" w:eastAsia="黑体"/>
        </w:rPr>
      </w:pPr>
      <w:r>
        <w:rPr>
          <w:rFonts w:hint="eastAsia" w:ascii="黑体" w:hAnsi="黑体" w:eastAsia="黑体" w:cs="宋体"/>
        </w:rPr>
        <w:t>磋商小组</w:t>
      </w:r>
      <w:r>
        <w:rPr>
          <w:rFonts w:hint="eastAsia" w:ascii="黑体" w:hAnsi="黑体" w:eastAsia="黑体"/>
          <w:bCs/>
          <w:szCs w:val="21"/>
        </w:rPr>
        <w:t>成员依法从采购代理机构评审专家库中，通过随机方式抽取。</w:t>
      </w:r>
    </w:p>
    <w:p>
      <w:pPr>
        <w:pStyle w:val="68"/>
        <w:numPr>
          <w:ilvl w:val="0"/>
          <w:numId w:val="66"/>
        </w:numPr>
        <w:tabs>
          <w:tab w:val="left" w:pos="567"/>
          <w:tab w:val="left" w:pos="709"/>
        </w:tabs>
        <w:autoSpaceDE w:val="0"/>
        <w:autoSpaceDN w:val="0"/>
        <w:spacing w:line="360" w:lineRule="auto"/>
        <w:ind w:left="567" w:hanging="567" w:firstLineChars="0"/>
        <w:jc w:val="left"/>
        <w:rPr>
          <w:rFonts w:ascii="黑体" w:hAnsi="黑体" w:eastAsia="黑体"/>
        </w:rPr>
      </w:pPr>
      <w:r>
        <w:rPr>
          <w:rFonts w:hint="eastAsia" w:ascii="黑体" w:hAnsi="黑体" w:eastAsia="黑体" w:cs="宋体"/>
        </w:rPr>
        <w:t>磋商小组</w:t>
      </w:r>
      <w:r>
        <w:rPr>
          <w:rFonts w:hint="eastAsia" w:ascii="黑体" w:hAnsi="黑体" w:eastAsia="黑体"/>
          <w:bCs/>
          <w:szCs w:val="21"/>
        </w:rPr>
        <w:t>将按照磋商文件确定的评审方法进行评审。磋商小组会对响应文件的评审分为资格性、符合性审查和商务评审、技术评审、价格评审。</w:t>
      </w:r>
    </w:p>
    <w:p>
      <w:pPr>
        <w:numPr>
          <w:ilvl w:val="0"/>
          <w:numId w:val="33"/>
        </w:numPr>
        <w:tabs>
          <w:tab w:val="left" w:pos="567"/>
          <w:tab w:val="clear" w:pos="360"/>
        </w:tabs>
        <w:autoSpaceDE w:val="0"/>
        <w:autoSpaceDN w:val="0"/>
        <w:spacing w:before="156" w:beforeLines="50" w:line="360" w:lineRule="auto"/>
        <w:ind w:left="567" w:hanging="567"/>
        <w:rPr>
          <w:rFonts w:ascii="黑体" w:hAnsi="黑体" w:eastAsia="黑体"/>
          <w:b/>
          <w:bCs/>
        </w:rPr>
      </w:pPr>
      <w:bookmarkStart w:id="125" w:name="_Toc416771349"/>
      <w:bookmarkStart w:id="126" w:name="_Toc416770239"/>
      <w:r>
        <w:rPr>
          <w:rFonts w:hint="eastAsia" w:ascii="黑体" w:hAnsi="黑体" w:eastAsia="黑体"/>
          <w:b/>
          <w:bCs/>
        </w:rPr>
        <w:t>磋商过程</w:t>
      </w:r>
      <w:bookmarkEnd w:id="125"/>
      <w:bookmarkEnd w:id="126"/>
    </w:p>
    <w:p>
      <w:pPr>
        <w:pStyle w:val="68"/>
        <w:numPr>
          <w:ilvl w:val="0"/>
          <w:numId w:val="67"/>
        </w:numPr>
        <w:tabs>
          <w:tab w:val="left" w:pos="567"/>
        </w:tabs>
        <w:autoSpaceDE w:val="0"/>
        <w:autoSpaceDN w:val="0"/>
        <w:spacing w:line="360" w:lineRule="auto"/>
        <w:ind w:left="567" w:hanging="567" w:firstLineChars="0"/>
        <w:jc w:val="left"/>
        <w:rPr>
          <w:rFonts w:ascii="黑体" w:hAnsi="黑体" w:eastAsia="黑体" w:cs="黑体"/>
          <w:b/>
          <w:bCs/>
        </w:rPr>
      </w:pPr>
      <w:r>
        <w:rPr>
          <w:rFonts w:hint="eastAsia" w:ascii="黑体" w:hAnsi="黑体" w:eastAsia="黑体"/>
        </w:rPr>
        <w:t>磋商小组应当对响应文件的有效性、完整性和响应程度进行评审。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hint="eastAsia" w:ascii="黑体" w:hAnsi="黑体" w:eastAsia="黑体" w:cs="宋体"/>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pStyle w:val="68"/>
        <w:numPr>
          <w:ilvl w:val="0"/>
          <w:numId w:val="67"/>
        </w:numPr>
        <w:tabs>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rPr>
        <w:t>资格、符合性评审详见</w:t>
      </w:r>
      <w:r>
        <w:rPr>
          <w:rFonts w:hint="eastAsia" w:ascii="黑体" w:hAnsi="黑体" w:eastAsia="黑体"/>
          <w:b/>
          <w:u w:val="single"/>
        </w:rPr>
        <w:t>评审方法、步骤、标准</w:t>
      </w:r>
      <w:r>
        <w:rPr>
          <w:rFonts w:hint="eastAsia" w:ascii="黑体" w:hAnsi="黑体" w:eastAsia="黑体"/>
        </w:rPr>
        <w:t>，未能通过资格、符合性审查被认定为无效响应。</w:t>
      </w:r>
      <w:r>
        <w:rPr>
          <w:rFonts w:hint="eastAsia" w:ascii="黑体" w:hAnsi="黑体" w:eastAsia="黑体" w:cs="宋体"/>
        </w:rPr>
        <w:t>只</w:t>
      </w:r>
      <w:r>
        <w:rPr>
          <w:rFonts w:hint="eastAsia" w:ascii="黑体" w:hAnsi="黑体" w:eastAsia="黑体"/>
        </w:rPr>
        <w:t>有全部满足《资格性、符合性审查表》所列各项要求的响应才是有效响应，只要不满足资格、符合性条款中所列各项要求之一的，将被认定为无效响应。对响应有效性认定意见不一致的，磋商小组按照少数服从多数的原则确定。</w:t>
      </w:r>
    </w:p>
    <w:p>
      <w:pPr>
        <w:pStyle w:val="68"/>
        <w:numPr>
          <w:ilvl w:val="0"/>
          <w:numId w:val="67"/>
        </w:numPr>
        <w:tabs>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rPr>
        <w:t>磋商小组所有成员应当集中与单一供应商</w:t>
      </w:r>
      <w:r>
        <w:rPr>
          <w:rFonts w:hint="eastAsia" w:ascii="黑体" w:hAnsi="黑体" w:eastAsia="黑体" w:cs="宋体"/>
          <w:lang w:eastAsia="zh-TW"/>
        </w:rPr>
        <w:t>（以</w:t>
      </w:r>
      <w:r>
        <w:rPr>
          <w:rFonts w:hint="eastAsia" w:ascii="黑体" w:hAnsi="黑体" w:eastAsia="黑体" w:cs="宋体"/>
        </w:rPr>
        <w:t>供应商</w:t>
      </w:r>
      <w:r>
        <w:rPr>
          <w:rFonts w:hint="eastAsia" w:ascii="黑体" w:hAnsi="黑体" w:eastAsia="黑体" w:cs="宋体"/>
          <w:lang w:eastAsia="zh-TW"/>
        </w:rPr>
        <w:t>签到顺序为准）</w:t>
      </w:r>
      <w:r>
        <w:rPr>
          <w:rFonts w:hint="eastAsia" w:ascii="黑体" w:hAnsi="黑体" w:eastAsia="黑体"/>
        </w:rPr>
        <w:t>分别进行磋商，并给予所有参加磋商</w:t>
      </w:r>
      <w:r>
        <w:rPr>
          <w:rFonts w:hint="eastAsia" w:ascii="黑体" w:hAnsi="黑体" w:eastAsia="黑体" w:cs="宋体"/>
        </w:rPr>
        <w:t>的供应商</w:t>
      </w:r>
      <w:r>
        <w:rPr>
          <w:rFonts w:hint="eastAsia" w:ascii="黑体" w:hAnsi="黑体" w:eastAsia="黑体"/>
        </w:rPr>
        <w:t>平等的磋商机</w:t>
      </w:r>
      <w:r>
        <w:rPr>
          <w:rFonts w:hint="eastAsia" w:ascii="黑体" w:hAnsi="黑体" w:eastAsia="黑体" w:cs="宋体"/>
        </w:rPr>
        <w:t>会</w:t>
      </w:r>
      <w:r>
        <w:rPr>
          <w:rFonts w:hint="eastAsia" w:ascii="黑体" w:hAnsi="黑体" w:eastAsia="黑体"/>
        </w:rPr>
        <w:t>。</w:t>
      </w:r>
    </w:p>
    <w:p>
      <w:pPr>
        <w:pStyle w:val="68"/>
        <w:numPr>
          <w:ilvl w:val="0"/>
          <w:numId w:val="67"/>
        </w:numPr>
        <w:tabs>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rPr>
        <w:t>在磋商过程中，磋商小组可以根据磋商文件和磋商情况实质性变动采购需求中的技术、服务要求以及合同草案条款，但不得变动磋商文件中的其他内容。实质性变动的内容，须经采购人代表确认。对磋商文件作出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w:t>
      </w:r>
      <w:r>
        <w:rPr>
          <w:rFonts w:hint="eastAsia" w:ascii="黑体" w:hAnsi="黑体" w:eastAsia="黑体" w:cs="宋体"/>
        </w:rPr>
        <w:t>由授权代表签字的，应当附法定代表人授权书。供应商为自然人的，应当由本人签字并附身份证明。</w:t>
      </w:r>
    </w:p>
    <w:p>
      <w:pPr>
        <w:pStyle w:val="68"/>
        <w:numPr>
          <w:ilvl w:val="0"/>
          <w:numId w:val="67"/>
        </w:numPr>
        <w:tabs>
          <w:tab w:val="left" w:pos="567"/>
        </w:tabs>
        <w:autoSpaceDE w:val="0"/>
        <w:autoSpaceDN w:val="0"/>
        <w:spacing w:line="360" w:lineRule="auto"/>
        <w:ind w:left="567" w:hanging="567" w:firstLineChars="0"/>
        <w:jc w:val="left"/>
        <w:rPr>
          <w:rFonts w:ascii="黑体" w:hAnsi="黑体" w:eastAsia="黑体" w:cs="宋体"/>
          <w:lang w:eastAsia="zh-TW"/>
        </w:rPr>
      </w:pPr>
      <w:r>
        <w:rPr>
          <w:rFonts w:hint="eastAsia" w:ascii="黑体" w:hAnsi="黑体" w:eastAsia="黑体"/>
        </w:rPr>
        <w:t>在磋商中</w:t>
      </w:r>
      <w:r>
        <w:rPr>
          <w:rFonts w:hint="eastAsia" w:ascii="黑体" w:hAnsi="黑体" w:eastAsia="黑体" w:cs="宋体"/>
          <w:lang w:eastAsia="zh-TW"/>
        </w:rPr>
        <w:t>，磋商小组</w:t>
      </w:r>
      <w:r>
        <w:rPr>
          <w:rFonts w:hint="eastAsia" w:ascii="黑体" w:hAnsi="黑体" w:eastAsia="黑体" w:cs="宋体"/>
        </w:rPr>
        <w:t>及</w:t>
      </w:r>
      <w:r>
        <w:rPr>
          <w:rFonts w:hint="eastAsia" w:ascii="黑体" w:hAnsi="黑体" w:eastAsia="黑体" w:cs="宋体"/>
          <w:lang w:eastAsia="zh-TW"/>
        </w:rPr>
        <w:t>有关当事人应当严格遵守保密原则，任何人不得透露与磋商有关的</w:t>
      </w:r>
      <w:r>
        <w:rPr>
          <w:rFonts w:hint="eastAsia" w:ascii="黑体" w:hAnsi="黑体" w:eastAsia="黑体" w:cs="宋体"/>
        </w:rPr>
        <w:t>其他</w:t>
      </w:r>
      <w:r>
        <w:rPr>
          <w:rFonts w:hint="eastAsia" w:ascii="黑体" w:hAnsi="黑体" w:eastAsia="黑体" w:cs="宋体"/>
          <w:lang w:eastAsia="zh-TW"/>
        </w:rPr>
        <w:t>供应商的技术</w:t>
      </w:r>
      <w:r>
        <w:rPr>
          <w:rFonts w:hint="eastAsia" w:ascii="黑体" w:hAnsi="黑体" w:eastAsia="黑体" w:cs="宋体"/>
        </w:rPr>
        <w:t>资料</w:t>
      </w:r>
      <w:r>
        <w:rPr>
          <w:rFonts w:hint="eastAsia" w:ascii="黑体" w:hAnsi="黑体" w:eastAsia="黑体" w:cs="宋体"/>
          <w:lang w:eastAsia="zh-TW"/>
        </w:rPr>
        <w:t>、价格和其他信息。</w:t>
      </w:r>
    </w:p>
    <w:p>
      <w:pPr>
        <w:pStyle w:val="68"/>
        <w:numPr>
          <w:ilvl w:val="0"/>
          <w:numId w:val="67"/>
        </w:numPr>
        <w:tabs>
          <w:tab w:val="left" w:pos="567"/>
        </w:tabs>
        <w:autoSpaceDE w:val="0"/>
        <w:autoSpaceDN w:val="0"/>
        <w:spacing w:line="360" w:lineRule="auto"/>
        <w:ind w:left="567" w:hanging="567" w:firstLineChars="0"/>
        <w:jc w:val="left"/>
        <w:rPr>
          <w:rFonts w:ascii="黑体" w:hAnsi="黑体" w:eastAsia="黑体" w:cs="宋体"/>
        </w:rPr>
      </w:pPr>
      <w:r>
        <w:rPr>
          <w:rFonts w:hint="eastAsia" w:ascii="黑体" w:hAnsi="黑体" w:eastAsia="黑体" w:cs="宋体"/>
        </w:rPr>
        <w:t>磋商文件能够详细列明采购标的的技术、服务要求的，</w:t>
      </w:r>
      <w:r>
        <w:rPr>
          <w:rFonts w:hint="eastAsia" w:ascii="黑体" w:hAnsi="黑体" w:eastAsia="黑体" w:cs="宋体"/>
          <w:lang w:eastAsia="zh-TW"/>
        </w:rPr>
        <w:t>磋商结束后，</w:t>
      </w:r>
      <w:r>
        <w:rPr>
          <w:rFonts w:hint="eastAsia" w:ascii="黑体" w:hAnsi="黑体" w:eastAsia="黑体" w:cs="宋体"/>
        </w:rPr>
        <w:t>磋商小组要求</w:t>
      </w:r>
      <w:r>
        <w:rPr>
          <w:rFonts w:hint="eastAsia" w:ascii="黑体" w:hAnsi="黑体" w:eastAsia="黑体" w:cs="宋体"/>
          <w:lang w:eastAsia="zh-TW"/>
        </w:rPr>
        <w:t>所有作出实质性响应的有效供应商应在规定的时间内提交最后磋商报价</w:t>
      </w:r>
      <w:r>
        <w:rPr>
          <w:rFonts w:hint="eastAsia" w:ascii="黑体" w:hAnsi="黑体" w:eastAsia="黑体" w:cs="宋体"/>
        </w:rPr>
        <w:t>。</w:t>
      </w:r>
    </w:p>
    <w:p>
      <w:pPr>
        <w:pStyle w:val="68"/>
        <w:numPr>
          <w:ilvl w:val="0"/>
          <w:numId w:val="67"/>
        </w:numPr>
        <w:tabs>
          <w:tab w:val="left" w:pos="567"/>
        </w:tabs>
        <w:autoSpaceDE w:val="0"/>
        <w:autoSpaceDN w:val="0"/>
        <w:spacing w:line="360" w:lineRule="auto"/>
        <w:ind w:left="567" w:hanging="567" w:firstLineChars="0"/>
        <w:jc w:val="left"/>
        <w:rPr>
          <w:rFonts w:ascii="黑体" w:hAnsi="黑体" w:eastAsia="黑体" w:cs="宋体"/>
        </w:rPr>
      </w:pPr>
      <w:r>
        <w:rPr>
          <w:rFonts w:hint="eastAsia" w:ascii="黑体" w:hAnsi="黑体" w:eastAsia="黑体" w:cs="宋体"/>
        </w:rPr>
        <w:t>如出现磋商文件不能详细列明采购标的的技术、服务要求，需经磋商由供应商最终设计方案或解决方案的，</w:t>
      </w:r>
      <w:r>
        <w:rPr>
          <w:rFonts w:hint="eastAsia" w:ascii="黑体" w:hAnsi="黑体" w:eastAsia="黑体" w:cs="宋体"/>
          <w:lang w:eastAsia="zh-TW"/>
        </w:rPr>
        <w:t>磋商结束后，</w:t>
      </w:r>
      <w:r>
        <w:rPr>
          <w:rFonts w:hint="eastAsia" w:ascii="黑体" w:hAnsi="黑体" w:eastAsia="黑体" w:cs="宋体"/>
        </w:rPr>
        <w:t>磋商小组按照少数服从多数的原则，投票推荐3家以上供应商的设计方案或者解决方案</w:t>
      </w:r>
      <w:r>
        <w:rPr>
          <w:rFonts w:hint="eastAsia" w:ascii="黑体" w:hAnsi="黑体" w:eastAsia="黑体" w:cs="宋体"/>
          <w:lang w:eastAsia="zh-TW"/>
        </w:rPr>
        <w:t>在规定的时间内提交最后磋商报价（最后磋商报价时间由磋商小组视磋商进程决定）</w:t>
      </w:r>
      <w:r>
        <w:rPr>
          <w:rFonts w:hint="eastAsia" w:ascii="黑体" w:hAnsi="黑体" w:eastAsia="黑体" w:cs="宋体"/>
        </w:rPr>
        <w:t>。</w:t>
      </w:r>
    </w:p>
    <w:p>
      <w:pPr>
        <w:pStyle w:val="68"/>
        <w:numPr>
          <w:ilvl w:val="0"/>
          <w:numId w:val="67"/>
        </w:numPr>
        <w:tabs>
          <w:tab w:val="left" w:pos="567"/>
        </w:tabs>
        <w:autoSpaceDE w:val="0"/>
        <w:autoSpaceDN w:val="0"/>
        <w:spacing w:line="360" w:lineRule="auto"/>
        <w:ind w:left="567" w:hanging="567" w:firstLineChars="0"/>
        <w:jc w:val="left"/>
        <w:rPr>
          <w:rFonts w:ascii="黑体" w:hAnsi="黑体" w:eastAsia="黑体" w:cs="宋体"/>
        </w:rPr>
      </w:pPr>
      <w:r>
        <w:rPr>
          <w:rFonts w:hint="eastAsia" w:ascii="黑体" w:hAnsi="黑体" w:eastAsia="黑体" w:cs="宋体"/>
        </w:rPr>
        <w:t>已提交响应文件的供应商，在提交最后磋商报价之前，可以根据磋商情况退出磋商。采购人、采购代理机构应当退还退出磋商的供应商的投标保证金。</w:t>
      </w:r>
    </w:p>
    <w:p>
      <w:pPr>
        <w:pStyle w:val="68"/>
        <w:numPr>
          <w:ilvl w:val="0"/>
          <w:numId w:val="67"/>
        </w:numPr>
        <w:tabs>
          <w:tab w:val="left" w:pos="567"/>
        </w:tabs>
        <w:autoSpaceDE w:val="0"/>
        <w:autoSpaceDN w:val="0"/>
        <w:spacing w:line="360" w:lineRule="auto"/>
        <w:ind w:left="567" w:hanging="567" w:firstLineChars="0"/>
        <w:jc w:val="left"/>
        <w:rPr>
          <w:rFonts w:ascii="黑体" w:hAnsi="黑体" w:eastAsia="黑体" w:cs="宋体"/>
        </w:rPr>
      </w:pPr>
      <w:r>
        <w:rPr>
          <w:rFonts w:hint="eastAsia" w:ascii="黑体" w:hAnsi="黑体" w:eastAsia="黑体" w:cs="宋体"/>
        </w:rPr>
        <w:t>磋商小组</w:t>
      </w:r>
      <w:r>
        <w:rPr>
          <w:rFonts w:hint="eastAsia" w:ascii="黑体" w:hAnsi="黑体" w:eastAsia="黑体" w:cs="宋体"/>
          <w:lang w:eastAsia="zh-TW"/>
        </w:rPr>
        <w:t>认为</w:t>
      </w:r>
      <w:r>
        <w:rPr>
          <w:rFonts w:hint="eastAsia" w:ascii="黑体" w:hAnsi="黑体" w:eastAsia="黑体" w:cs="宋体"/>
        </w:rPr>
        <w:t>供应商</w:t>
      </w:r>
      <w:r>
        <w:rPr>
          <w:rFonts w:hint="eastAsia" w:ascii="黑体" w:hAnsi="黑体" w:eastAsia="黑体" w:cs="宋体"/>
          <w:lang w:eastAsia="zh-TW"/>
        </w:rPr>
        <w:t>的报价明显低于其他通过</w:t>
      </w:r>
      <w:r>
        <w:rPr>
          <w:rFonts w:hint="eastAsia" w:ascii="黑体" w:hAnsi="黑体" w:eastAsia="黑体" w:cs="宋体"/>
        </w:rPr>
        <w:t>资格、</w:t>
      </w:r>
      <w:r>
        <w:rPr>
          <w:rFonts w:hint="eastAsia" w:ascii="黑体" w:hAnsi="黑体" w:eastAsia="黑体" w:cs="宋体"/>
          <w:lang w:eastAsia="zh-TW"/>
        </w:rPr>
        <w:t>符合性审查</w:t>
      </w:r>
      <w:r>
        <w:rPr>
          <w:rFonts w:hint="eastAsia" w:ascii="黑体" w:hAnsi="黑体" w:eastAsia="黑体" w:cs="宋体"/>
        </w:rPr>
        <w:t>供应商</w:t>
      </w:r>
      <w:r>
        <w:rPr>
          <w:rFonts w:hint="eastAsia" w:ascii="黑体" w:hAnsi="黑体" w:eastAsia="黑体" w:cs="宋体"/>
          <w:lang w:eastAsia="zh-TW"/>
        </w:rPr>
        <w:t>的报价，有可能影响产品质量或者不能诚信履约的，应当要求其在</w:t>
      </w:r>
      <w:r>
        <w:rPr>
          <w:rFonts w:hint="eastAsia" w:ascii="黑体" w:hAnsi="黑体" w:eastAsia="黑体" w:cs="宋体"/>
        </w:rPr>
        <w:t>磋商</w:t>
      </w:r>
      <w:r>
        <w:rPr>
          <w:rFonts w:hint="eastAsia" w:ascii="黑体" w:hAnsi="黑体" w:eastAsia="黑体" w:cs="宋体"/>
          <w:lang w:eastAsia="zh-TW"/>
        </w:rPr>
        <w:t>现场合理的时间内提供书面说明，必要时提交相关证明材料；</w:t>
      </w:r>
      <w:r>
        <w:rPr>
          <w:rFonts w:hint="eastAsia" w:ascii="黑体" w:hAnsi="黑体" w:eastAsia="黑体" w:cs="宋体"/>
        </w:rPr>
        <w:t>供应商</w:t>
      </w:r>
      <w:r>
        <w:rPr>
          <w:rFonts w:hint="eastAsia" w:ascii="黑体" w:hAnsi="黑体" w:eastAsia="黑体" w:cs="宋体"/>
          <w:lang w:eastAsia="zh-TW"/>
        </w:rPr>
        <w:t>不能证明其报价合理性的，</w:t>
      </w:r>
      <w:r>
        <w:rPr>
          <w:rFonts w:hint="eastAsia" w:ascii="黑体" w:hAnsi="黑体" w:eastAsia="黑体" w:cs="宋体"/>
        </w:rPr>
        <w:t>磋商小组</w:t>
      </w:r>
      <w:r>
        <w:rPr>
          <w:rFonts w:hint="eastAsia" w:ascii="黑体" w:hAnsi="黑体" w:eastAsia="黑体" w:cs="宋体"/>
          <w:lang w:eastAsia="zh-TW"/>
        </w:rPr>
        <w:t>应当将其作为无效</w:t>
      </w:r>
      <w:r>
        <w:rPr>
          <w:rFonts w:hint="eastAsia" w:ascii="黑体" w:hAnsi="黑体" w:eastAsia="黑体"/>
        </w:rPr>
        <w:t>响应</w:t>
      </w:r>
      <w:r>
        <w:rPr>
          <w:rFonts w:hint="eastAsia" w:ascii="黑体" w:hAnsi="黑体" w:eastAsia="黑体" w:cs="宋体"/>
          <w:lang w:eastAsia="zh-TW"/>
        </w:rPr>
        <w:t>处理</w:t>
      </w:r>
      <w:r>
        <w:rPr>
          <w:rFonts w:hint="eastAsia" w:ascii="黑体" w:hAnsi="黑体" w:eastAsia="黑体" w:cs="宋体"/>
        </w:rPr>
        <w:t>。</w:t>
      </w:r>
    </w:p>
    <w:p>
      <w:pPr>
        <w:pStyle w:val="68"/>
        <w:numPr>
          <w:ilvl w:val="0"/>
          <w:numId w:val="67"/>
        </w:numPr>
        <w:tabs>
          <w:tab w:val="left" w:pos="567"/>
        </w:tabs>
        <w:autoSpaceDE w:val="0"/>
        <w:autoSpaceDN w:val="0"/>
        <w:spacing w:line="360" w:lineRule="auto"/>
        <w:ind w:left="567" w:hanging="567" w:firstLineChars="0"/>
        <w:jc w:val="left"/>
        <w:rPr>
          <w:rFonts w:ascii="黑体" w:hAnsi="黑体" w:eastAsia="黑体" w:cs="宋体"/>
          <w:lang w:eastAsia="zh-TW"/>
        </w:rPr>
      </w:pPr>
      <w:r>
        <w:rPr>
          <w:rFonts w:hint="eastAsia" w:ascii="黑体" w:hAnsi="黑体" w:eastAsia="黑体" w:cs="宋体"/>
        </w:rPr>
        <w:t>报价</w:t>
      </w:r>
      <w:r>
        <w:rPr>
          <w:rFonts w:hint="eastAsia" w:ascii="黑体" w:hAnsi="黑体" w:eastAsia="黑体" w:cs="宋体"/>
          <w:lang w:eastAsia="zh-TW"/>
        </w:rPr>
        <w:t>修正误差的原则如下：</w:t>
      </w:r>
    </w:p>
    <w:p>
      <w:pPr>
        <w:numPr>
          <w:ilvl w:val="2"/>
          <w:numId w:val="33"/>
        </w:numPr>
        <w:tabs>
          <w:tab w:val="left" w:pos="851"/>
        </w:tabs>
        <w:spacing w:line="360" w:lineRule="auto"/>
        <w:rPr>
          <w:rFonts w:ascii="黑体" w:hAnsi="黑体" w:eastAsia="黑体" w:cs="Arial"/>
        </w:rPr>
      </w:pPr>
      <w:r>
        <w:rPr>
          <w:rFonts w:hint="eastAsia" w:ascii="黑体" w:hAnsi="黑体" w:eastAsia="黑体"/>
          <w:bCs/>
        </w:rPr>
        <w:t>响应文件中的大写金额和小写金额不一致的，以大写金额为准；</w:t>
      </w:r>
    </w:p>
    <w:p>
      <w:pPr>
        <w:numPr>
          <w:ilvl w:val="2"/>
          <w:numId w:val="33"/>
        </w:numPr>
        <w:tabs>
          <w:tab w:val="left" w:pos="851"/>
        </w:tabs>
        <w:spacing w:line="360" w:lineRule="auto"/>
        <w:rPr>
          <w:rFonts w:ascii="黑体" w:hAnsi="黑体" w:eastAsia="黑体"/>
          <w:bCs/>
        </w:rPr>
      </w:pPr>
      <w:r>
        <w:rPr>
          <w:rFonts w:hint="eastAsia" w:ascii="黑体" w:hAnsi="黑体" w:eastAsia="黑体" w:cs="宋体"/>
          <w:lang w:eastAsia="zh-TW"/>
        </w:rPr>
        <w:t>单价金额小数点或者百分比有明显错位的，以</w:t>
      </w:r>
      <w:r>
        <w:rPr>
          <w:rFonts w:hint="eastAsia" w:ascii="黑体" w:hAnsi="黑体" w:eastAsia="黑体" w:cs="宋体"/>
        </w:rPr>
        <w:t>报价表</w:t>
      </w:r>
      <w:r>
        <w:rPr>
          <w:rFonts w:hint="eastAsia" w:ascii="黑体" w:hAnsi="黑体" w:eastAsia="黑体" w:cs="宋体"/>
          <w:lang w:eastAsia="zh-TW"/>
        </w:rPr>
        <w:t>的总价为准，并修改单价</w:t>
      </w:r>
      <w:r>
        <w:rPr>
          <w:rFonts w:hint="eastAsia" w:ascii="黑体" w:hAnsi="黑体" w:eastAsia="黑体"/>
          <w:bCs/>
        </w:rPr>
        <w:t>；</w:t>
      </w:r>
    </w:p>
    <w:p>
      <w:pPr>
        <w:numPr>
          <w:ilvl w:val="2"/>
          <w:numId w:val="33"/>
        </w:numPr>
        <w:tabs>
          <w:tab w:val="left" w:pos="851"/>
          <w:tab w:val="clear" w:pos="720"/>
        </w:tabs>
        <w:spacing w:line="360" w:lineRule="auto"/>
        <w:ind w:left="851" w:hanging="851"/>
        <w:rPr>
          <w:rFonts w:ascii="黑体" w:hAnsi="黑体" w:eastAsia="黑体"/>
          <w:bCs/>
        </w:rPr>
      </w:pPr>
      <w:r>
        <w:rPr>
          <w:rFonts w:hint="eastAsia" w:ascii="黑体" w:hAnsi="黑体" w:eastAsia="黑体" w:cs="宋体"/>
          <w:lang w:eastAsia="zh-TW"/>
        </w:rPr>
        <w:t>总价金额与按单价汇总金额不一致的，以单价金额计算结果为准</w:t>
      </w:r>
    </w:p>
    <w:p>
      <w:pPr>
        <w:tabs>
          <w:tab w:val="left" w:pos="851"/>
        </w:tabs>
        <w:spacing w:line="360" w:lineRule="auto"/>
        <w:ind w:left="851"/>
        <w:rPr>
          <w:rFonts w:ascii="黑体" w:hAnsi="黑体" w:eastAsia="黑体"/>
          <w:bCs/>
        </w:rPr>
      </w:pPr>
      <w:r>
        <w:rPr>
          <w:rFonts w:hint="eastAsia" w:ascii="黑体" w:hAnsi="黑体" w:eastAsia="黑体" w:cs="宋体"/>
          <w:lang w:eastAsia="zh-TW"/>
        </w:rPr>
        <w:t>同时出现两种以上不一致的，按照前款规定的顺序修正。磋商小组按上述修正误差的原则调整的价格对其供应商具有约束力。如果供应商不接受修正后的价格，其报价将被拒绝</w:t>
      </w:r>
      <w:r>
        <w:rPr>
          <w:rFonts w:hint="eastAsia" w:ascii="黑体" w:hAnsi="黑体" w:eastAsia="黑体" w:cs="宋体"/>
        </w:rPr>
        <w:t>。</w:t>
      </w:r>
    </w:p>
    <w:p>
      <w:pPr>
        <w:numPr>
          <w:ilvl w:val="2"/>
          <w:numId w:val="33"/>
        </w:numPr>
        <w:tabs>
          <w:tab w:val="left" w:pos="851"/>
        </w:tabs>
        <w:spacing w:line="360" w:lineRule="auto"/>
        <w:rPr>
          <w:rFonts w:ascii="黑体" w:hAnsi="黑体" w:eastAsia="黑体"/>
          <w:bCs/>
        </w:rPr>
      </w:pPr>
      <w:r>
        <w:rPr>
          <w:rFonts w:hint="eastAsia" w:ascii="黑体" w:hAnsi="黑体" w:eastAsia="黑体"/>
          <w:bCs/>
        </w:rPr>
        <w:t>对不同文字文本响应文件的解释发生异议的，以中文文本为准。</w:t>
      </w:r>
    </w:p>
    <w:p>
      <w:pPr>
        <w:pStyle w:val="68"/>
        <w:numPr>
          <w:ilvl w:val="0"/>
          <w:numId w:val="67"/>
        </w:numPr>
        <w:tabs>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pStyle w:val="68"/>
        <w:numPr>
          <w:ilvl w:val="0"/>
          <w:numId w:val="67"/>
        </w:numPr>
        <w:tabs>
          <w:tab w:val="left" w:pos="567"/>
        </w:tabs>
        <w:autoSpaceDE w:val="0"/>
        <w:autoSpaceDN w:val="0"/>
        <w:spacing w:line="360" w:lineRule="auto"/>
        <w:ind w:left="567" w:hanging="567" w:firstLineChars="0"/>
        <w:jc w:val="left"/>
        <w:rPr>
          <w:rFonts w:ascii="黑体" w:hAnsi="黑体" w:eastAsia="黑体" w:cs="宋体"/>
        </w:rPr>
      </w:pPr>
      <w:r>
        <w:rPr>
          <w:rFonts w:ascii="黑体" w:hAnsi="黑体" w:eastAsia="黑体" w:cs="宋体"/>
        </w:rPr>
        <w:t>出现下列情形之一的，</w:t>
      </w:r>
      <w:r>
        <w:rPr>
          <w:rFonts w:hint="eastAsia" w:ascii="黑体" w:hAnsi="黑体" w:eastAsia="黑体" w:cs="宋体"/>
        </w:rPr>
        <w:t>采购人终止竞争性磋商采购活动</w:t>
      </w:r>
      <w:r>
        <w:rPr>
          <w:rFonts w:ascii="黑体" w:hAnsi="黑体" w:eastAsia="黑体" w:cs="宋体"/>
        </w:rPr>
        <w:t xml:space="preserve">： </w:t>
      </w:r>
    </w:p>
    <w:p>
      <w:pPr>
        <w:pStyle w:val="68"/>
        <w:numPr>
          <w:ilvl w:val="0"/>
          <w:numId w:val="68"/>
        </w:numPr>
        <w:tabs>
          <w:tab w:val="left" w:pos="360"/>
          <w:tab w:val="left" w:pos="720"/>
          <w:tab w:val="left" w:pos="851"/>
        </w:tabs>
        <w:autoSpaceDE w:val="0"/>
        <w:autoSpaceDN w:val="0"/>
        <w:spacing w:line="360" w:lineRule="auto"/>
        <w:ind w:firstLineChars="0"/>
        <w:jc w:val="left"/>
        <w:rPr>
          <w:rFonts w:ascii="黑体" w:hAnsi="黑体" w:eastAsia="黑体" w:cs="宋体"/>
        </w:rPr>
      </w:pPr>
      <w:r>
        <w:rPr>
          <w:rFonts w:hint="eastAsia" w:ascii="黑体" w:hAnsi="黑体" w:eastAsia="黑体" w:cs="宋体"/>
        </w:rPr>
        <w:t>因情况变化，不再符合规定的竞争性磋商采购方式适用情形的；</w:t>
      </w:r>
    </w:p>
    <w:p>
      <w:pPr>
        <w:pStyle w:val="68"/>
        <w:numPr>
          <w:ilvl w:val="0"/>
          <w:numId w:val="68"/>
        </w:numPr>
        <w:tabs>
          <w:tab w:val="left" w:pos="360"/>
          <w:tab w:val="left" w:pos="720"/>
          <w:tab w:val="left" w:pos="851"/>
        </w:tabs>
        <w:autoSpaceDE w:val="0"/>
        <w:autoSpaceDN w:val="0"/>
        <w:spacing w:line="360" w:lineRule="auto"/>
        <w:ind w:firstLineChars="0"/>
        <w:jc w:val="left"/>
        <w:rPr>
          <w:rFonts w:ascii="黑体" w:hAnsi="黑体" w:eastAsia="黑体" w:cs="宋体"/>
        </w:rPr>
      </w:pPr>
      <w:r>
        <w:rPr>
          <w:rFonts w:hint="eastAsia" w:ascii="黑体" w:hAnsi="黑体" w:eastAsia="黑体" w:cs="宋体"/>
        </w:rPr>
        <w:t>出现影响采购公正的违法、违规行为的；</w:t>
      </w:r>
    </w:p>
    <w:p>
      <w:pPr>
        <w:pStyle w:val="68"/>
        <w:numPr>
          <w:ilvl w:val="0"/>
          <w:numId w:val="68"/>
        </w:numPr>
        <w:tabs>
          <w:tab w:val="left" w:pos="709"/>
          <w:tab w:val="left" w:pos="851"/>
        </w:tabs>
        <w:autoSpaceDE w:val="0"/>
        <w:autoSpaceDN w:val="0"/>
        <w:spacing w:line="360" w:lineRule="auto"/>
        <w:ind w:left="851" w:hanging="851" w:firstLineChars="0"/>
        <w:jc w:val="left"/>
        <w:rPr>
          <w:rFonts w:ascii="黑体" w:hAnsi="黑体" w:eastAsia="黑体" w:cs="宋体"/>
        </w:rPr>
      </w:pPr>
      <w:r>
        <w:rPr>
          <w:rFonts w:hint="eastAsia" w:ascii="黑体" w:hAnsi="黑体" w:eastAsia="黑体" w:cs="宋体"/>
        </w:rPr>
        <w:t>除法律法规规定的情形外，在采购过程中符合要求的供应商或者报价未超过采购预算的供应商不足3家的。</w:t>
      </w:r>
    </w:p>
    <w:p>
      <w:pPr>
        <w:pStyle w:val="68"/>
        <w:numPr>
          <w:ilvl w:val="0"/>
          <w:numId w:val="67"/>
        </w:numPr>
        <w:tabs>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rPr>
        <w:t>最后磋商报价是供应商响应文件的有效组成部分。符合“市场竞争不充分的科研项目，以及需要扶持的科技成果转化项目”情形的，提交最后磋商报价的供应商可以为2家。</w:t>
      </w:r>
    </w:p>
    <w:p>
      <w:pPr>
        <w:pStyle w:val="68"/>
        <w:numPr>
          <w:ilvl w:val="0"/>
          <w:numId w:val="67"/>
        </w:numPr>
        <w:tabs>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rPr>
        <w:t>政府购买服务项目（含政府和社会资本合作项目），在采购过程中符合要求的供应商（社会资本）只有2家的，竞争性磋商采购活动可以继续进行。</w:t>
      </w:r>
      <w:bookmarkStart w:id="127" w:name="_Toc434343677"/>
    </w:p>
    <w:p>
      <w:pPr>
        <w:numPr>
          <w:ilvl w:val="0"/>
          <w:numId w:val="33"/>
        </w:numPr>
        <w:tabs>
          <w:tab w:val="left" w:pos="567"/>
          <w:tab w:val="clear" w:pos="360"/>
        </w:tabs>
        <w:autoSpaceDE w:val="0"/>
        <w:autoSpaceDN w:val="0"/>
        <w:spacing w:before="156" w:beforeLines="50" w:line="360" w:lineRule="auto"/>
        <w:ind w:left="567" w:hanging="567"/>
        <w:rPr>
          <w:rFonts w:ascii="黑体" w:hAnsi="黑体" w:eastAsia="黑体"/>
          <w:b/>
          <w:bCs/>
        </w:rPr>
      </w:pPr>
      <w:r>
        <w:rPr>
          <w:rFonts w:ascii="黑体" w:hAnsi="黑体" w:eastAsia="黑体"/>
          <w:b/>
          <w:bCs/>
        </w:rPr>
        <w:t>评审方法</w:t>
      </w:r>
      <w:r>
        <w:rPr>
          <w:rFonts w:hint="eastAsia" w:ascii="黑体" w:hAnsi="黑体" w:eastAsia="黑体"/>
          <w:b/>
          <w:bCs/>
        </w:rPr>
        <w:t>和标准</w:t>
      </w:r>
      <w:bookmarkEnd w:id="127"/>
    </w:p>
    <w:p>
      <w:pPr>
        <w:pStyle w:val="68"/>
        <w:numPr>
          <w:ilvl w:val="0"/>
          <w:numId w:val="69"/>
        </w:numPr>
        <w:tabs>
          <w:tab w:val="left" w:pos="567"/>
          <w:tab w:val="left" w:pos="709"/>
        </w:tabs>
        <w:autoSpaceDE w:val="0"/>
        <w:autoSpaceDN w:val="0"/>
        <w:spacing w:line="360" w:lineRule="auto"/>
        <w:ind w:left="567" w:hanging="567" w:firstLineChars="0"/>
        <w:jc w:val="left"/>
        <w:rPr>
          <w:rFonts w:ascii="黑体" w:hAnsi="黑体" w:eastAsia="黑体"/>
        </w:rPr>
      </w:pPr>
      <w:r>
        <w:rPr>
          <w:rFonts w:hint="eastAsia" w:ascii="黑体" w:hAnsi="黑体" w:eastAsia="黑体"/>
        </w:rPr>
        <w:t>磋商结束后，所有作出实质性响应的有效供应商应在规定的时间内集中密封提交最后磋商报价（最后磋商报价时间视磋商进程由磋商小组决定），最后磋商报价是供应商响应文件的有效组成部分。</w:t>
      </w:r>
    </w:p>
    <w:p>
      <w:pPr>
        <w:pStyle w:val="68"/>
        <w:numPr>
          <w:ilvl w:val="0"/>
          <w:numId w:val="69"/>
        </w:numPr>
        <w:tabs>
          <w:tab w:val="left" w:pos="567"/>
          <w:tab w:val="left" w:pos="709"/>
        </w:tabs>
        <w:autoSpaceDE w:val="0"/>
        <w:autoSpaceDN w:val="0"/>
        <w:spacing w:line="360" w:lineRule="auto"/>
        <w:ind w:left="567" w:hanging="567" w:firstLineChars="0"/>
        <w:jc w:val="left"/>
        <w:rPr>
          <w:rFonts w:ascii="黑体" w:hAnsi="黑体" w:eastAsia="黑体" w:cs="宋体"/>
          <w:lang w:eastAsia="zh-TW"/>
        </w:rPr>
      </w:pPr>
      <w:r>
        <w:rPr>
          <w:rFonts w:hint="eastAsia" w:ascii="黑体" w:hAnsi="黑体" w:eastAsia="黑体" w:cs="宋体"/>
          <w:lang w:eastAsia="zh-TW"/>
        </w:rPr>
        <w:t>磋商小组将按照本磋商文件</w:t>
      </w:r>
      <w:r>
        <w:rPr>
          <w:rFonts w:hint="eastAsia" w:ascii="黑体" w:hAnsi="黑体" w:eastAsia="黑体" w:cs="宋体"/>
          <w:b/>
          <w:u w:val="single"/>
        </w:rPr>
        <w:t>评审方法、步骤、标准</w:t>
      </w:r>
      <w:r>
        <w:rPr>
          <w:rFonts w:hint="eastAsia" w:ascii="黑体" w:hAnsi="黑体" w:eastAsia="黑体" w:cs="宋体"/>
          <w:lang w:eastAsia="zh-TW"/>
        </w:rPr>
        <w:t>中</w:t>
      </w:r>
      <w:r>
        <w:rPr>
          <w:rFonts w:hint="eastAsia" w:ascii="黑体" w:hAnsi="黑体" w:eastAsia="黑体" w:cs="宋体"/>
        </w:rPr>
        <w:t>的评审标准</w:t>
      </w:r>
      <w:r>
        <w:rPr>
          <w:rFonts w:hint="eastAsia" w:ascii="黑体" w:hAnsi="黑体" w:eastAsia="黑体" w:cs="宋体"/>
          <w:lang w:eastAsia="zh-TW"/>
        </w:rPr>
        <w:t>进行评</w:t>
      </w:r>
      <w:r>
        <w:rPr>
          <w:rFonts w:hint="eastAsia" w:ascii="黑体" w:hAnsi="黑体" w:eastAsia="黑体" w:cs="宋体"/>
        </w:rPr>
        <w:t>审</w:t>
      </w:r>
      <w:r>
        <w:rPr>
          <w:rFonts w:hint="eastAsia" w:ascii="黑体" w:hAnsi="黑体" w:eastAsia="黑体" w:cs="宋体"/>
          <w:lang w:eastAsia="zh-TW"/>
        </w:rPr>
        <w:t>。</w:t>
      </w:r>
    </w:p>
    <w:p>
      <w:pPr>
        <w:numPr>
          <w:ilvl w:val="0"/>
          <w:numId w:val="33"/>
        </w:numPr>
        <w:tabs>
          <w:tab w:val="left" w:pos="567"/>
          <w:tab w:val="clear" w:pos="360"/>
        </w:tabs>
        <w:autoSpaceDE w:val="0"/>
        <w:autoSpaceDN w:val="0"/>
        <w:spacing w:before="156" w:beforeLines="50" w:line="360" w:lineRule="auto"/>
        <w:ind w:left="567" w:hanging="567"/>
        <w:rPr>
          <w:rFonts w:ascii="黑体" w:hAnsi="黑体" w:eastAsia="黑体"/>
          <w:b/>
          <w:bCs/>
        </w:rPr>
      </w:pPr>
      <w:r>
        <w:rPr>
          <w:rFonts w:hint="eastAsia" w:ascii="黑体" w:hAnsi="黑体" w:eastAsia="黑体"/>
          <w:b/>
          <w:bCs/>
        </w:rPr>
        <w:t>确认成交与授权</w:t>
      </w:r>
    </w:p>
    <w:p>
      <w:pPr>
        <w:pStyle w:val="68"/>
        <w:numPr>
          <w:ilvl w:val="0"/>
          <w:numId w:val="70"/>
        </w:numPr>
        <w:tabs>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bCs/>
          <w:szCs w:val="21"/>
        </w:rPr>
        <w:t>磋商小组按照磋商文件确定的评审方法、步骤、标准，对响应文件进行评审，提出书面评审报告。</w:t>
      </w:r>
    </w:p>
    <w:p>
      <w:pPr>
        <w:pStyle w:val="68"/>
        <w:numPr>
          <w:ilvl w:val="0"/>
          <w:numId w:val="70"/>
        </w:numPr>
        <w:tabs>
          <w:tab w:val="left" w:pos="567"/>
        </w:tabs>
        <w:autoSpaceDE w:val="0"/>
        <w:autoSpaceDN w:val="0"/>
        <w:spacing w:line="360" w:lineRule="auto"/>
        <w:ind w:left="567" w:hanging="567" w:firstLineChars="0"/>
        <w:jc w:val="left"/>
        <w:rPr>
          <w:rFonts w:ascii="黑体" w:hAnsi="黑体" w:eastAsia="黑体"/>
        </w:rPr>
      </w:pPr>
      <w:r>
        <w:rPr>
          <w:rFonts w:hint="eastAsia" w:ascii="黑体" w:hAnsi="黑体" w:eastAsia="黑体"/>
          <w:bCs/>
          <w:szCs w:val="21"/>
        </w:rPr>
        <w:t>采购代理机构应当在评审结束后2个工作日内将评审报告送采购人确认。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bookmarkStart w:id="128" w:name="_Toc433127783"/>
      <w:bookmarkStart w:id="129" w:name="_Toc410738966"/>
      <w:bookmarkStart w:id="130" w:name="_Toc416771352"/>
      <w:bookmarkStart w:id="131" w:name="_Toc416770242"/>
      <w:bookmarkStart w:id="132" w:name="_Toc410736166"/>
    </w:p>
    <w:p>
      <w:pPr>
        <w:numPr>
          <w:ilvl w:val="0"/>
          <w:numId w:val="33"/>
        </w:numPr>
        <w:tabs>
          <w:tab w:val="left" w:pos="567"/>
          <w:tab w:val="clear" w:pos="360"/>
        </w:tabs>
        <w:autoSpaceDE w:val="0"/>
        <w:autoSpaceDN w:val="0"/>
        <w:spacing w:before="156" w:beforeLines="50" w:line="360" w:lineRule="auto"/>
        <w:ind w:left="567" w:hanging="567"/>
        <w:rPr>
          <w:rFonts w:ascii="黑体" w:hAnsi="黑体" w:eastAsia="黑体"/>
          <w:b/>
          <w:bCs/>
        </w:rPr>
      </w:pPr>
      <w:r>
        <w:rPr>
          <w:rFonts w:hint="eastAsia" w:ascii="黑体" w:hAnsi="黑体" w:eastAsia="黑体"/>
          <w:b/>
          <w:bCs/>
        </w:rPr>
        <w:t>询问、质疑、投诉</w:t>
      </w:r>
      <w:bookmarkEnd w:id="128"/>
    </w:p>
    <w:p>
      <w:pPr>
        <w:pStyle w:val="68"/>
        <w:numPr>
          <w:ilvl w:val="0"/>
          <w:numId w:val="71"/>
        </w:numPr>
        <w:tabs>
          <w:tab w:val="left" w:pos="709"/>
        </w:tabs>
        <w:autoSpaceDE w:val="0"/>
        <w:autoSpaceDN w:val="0"/>
        <w:spacing w:line="360" w:lineRule="auto"/>
        <w:ind w:left="567" w:hanging="567" w:firstLineChars="0"/>
        <w:rPr>
          <w:rFonts w:ascii="黑体" w:hAnsi="黑体" w:eastAsia="黑体" w:cs="黑体"/>
          <w:bCs/>
        </w:rPr>
      </w:pPr>
      <w:r>
        <w:rPr>
          <w:rFonts w:hint="eastAsia" w:ascii="黑体" w:hAnsi="黑体" w:eastAsia="黑体" w:cs="黑体"/>
          <w:bCs/>
        </w:rPr>
        <w:t>询问</w:t>
      </w:r>
    </w:p>
    <w:p>
      <w:pPr>
        <w:pStyle w:val="68"/>
        <w:numPr>
          <w:ilvl w:val="0"/>
          <w:numId w:val="72"/>
        </w:numPr>
        <w:tabs>
          <w:tab w:val="left" w:pos="851"/>
        </w:tabs>
        <w:autoSpaceDE w:val="0"/>
        <w:autoSpaceDN w:val="0"/>
        <w:spacing w:line="360" w:lineRule="auto"/>
        <w:ind w:left="851" w:hanging="851" w:firstLineChars="0"/>
        <w:rPr>
          <w:rFonts w:ascii="黑体" w:hAnsi="黑体" w:eastAsia="黑体" w:cs="黑体"/>
          <w:bCs/>
        </w:rPr>
      </w:pPr>
      <w:r>
        <w:rPr>
          <w:rFonts w:hint="eastAsia" w:ascii="黑体" w:hAnsi="黑体" w:eastAsia="黑体" w:cs="黑体"/>
          <w:bCs/>
        </w:rPr>
        <w:t>供应商对政府采购活动事项有疑问的，可以向采购人提出询问，询问可以口头方式提出，也可以书面方式提出。</w:t>
      </w:r>
    </w:p>
    <w:p>
      <w:pPr>
        <w:pStyle w:val="68"/>
        <w:numPr>
          <w:ilvl w:val="0"/>
          <w:numId w:val="72"/>
        </w:numPr>
        <w:tabs>
          <w:tab w:val="left" w:pos="851"/>
        </w:tabs>
        <w:autoSpaceDE w:val="0"/>
        <w:autoSpaceDN w:val="0"/>
        <w:spacing w:line="360" w:lineRule="auto"/>
        <w:ind w:left="851" w:hanging="851" w:firstLineChars="0"/>
        <w:rPr>
          <w:rFonts w:ascii="黑体" w:hAnsi="黑体" w:eastAsia="黑体" w:cs="黑体"/>
          <w:bCs/>
        </w:rPr>
      </w:pPr>
      <w:r>
        <w:rPr>
          <w:rFonts w:hint="eastAsia" w:ascii="黑体" w:hAnsi="黑体" w:eastAsia="黑体"/>
          <w:bCs/>
          <w:szCs w:val="21"/>
        </w:rPr>
        <w:t>如采用书面方式提出询问，供应商为自然人的，询问函应当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授权代表身份证复印件。</w:t>
      </w:r>
    </w:p>
    <w:p>
      <w:pPr>
        <w:pStyle w:val="68"/>
        <w:numPr>
          <w:ilvl w:val="0"/>
          <w:numId w:val="72"/>
        </w:numPr>
        <w:tabs>
          <w:tab w:val="left" w:pos="851"/>
        </w:tabs>
        <w:autoSpaceDE w:val="0"/>
        <w:autoSpaceDN w:val="0"/>
        <w:spacing w:line="360" w:lineRule="auto"/>
        <w:ind w:left="851" w:hanging="851" w:firstLineChars="0"/>
        <w:rPr>
          <w:rFonts w:ascii="黑体" w:hAnsi="黑体" w:eastAsia="黑体" w:cs="黑体"/>
          <w:bCs/>
        </w:rPr>
      </w:pPr>
      <w:r>
        <w:rPr>
          <w:rFonts w:hint="eastAsia" w:ascii="黑体" w:hAnsi="黑体" w:eastAsia="黑体"/>
          <w:bCs/>
          <w:szCs w:val="21"/>
        </w:rPr>
        <w:t>采购人或者采购代理机构在三个工作日内对供应商依法提出的询问作出答复。</w:t>
      </w:r>
    </w:p>
    <w:p>
      <w:pPr>
        <w:pStyle w:val="68"/>
        <w:numPr>
          <w:ilvl w:val="0"/>
          <w:numId w:val="71"/>
        </w:numPr>
        <w:tabs>
          <w:tab w:val="left" w:pos="709"/>
        </w:tabs>
        <w:autoSpaceDE w:val="0"/>
        <w:autoSpaceDN w:val="0"/>
        <w:spacing w:line="360" w:lineRule="auto"/>
        <w:ind w:left="567" w:hanging="567" w:firstLineChars="0"/>
        <w:rPr>
          <w:rFonts w:ascii="黑体" w:hAnsi="黑体" w:eastAsia="黑体" w:cs="黑体"/>
          <w:bCs/>
        </w:rPr>
      </w:pPr>
      <w:r>
        <w:rPr>
          <w:rFonts w:hint="eastAsia" w:ascii="黑体" w:hAnsi="黑体" w:eastAsia="黑体" w:cs="黑体"/>
          <w:bCs/>
        </w:rPr>
        <w:t>质疑</w:t>
      </w:r>
    </w:p>
    <w:p>
      <w:pPr>
        <w:pStyle w:val="68"/>
        <w:numPr>
          <w:ilvl w:val="0"/>
          <w:numId w:val="73"/>
        </w:numPr>
        <w:tabs>
          <w:tab w:val="left" w:pos="720"/>
          <w:tab w:val="left" w:pos="851"/>
        </w:tabs>
        <w:autoSpaceDE w:val="0"/>
        <w:autoSpaceDN w:val="0"/>
        <w:spacing w:line="360" w:lineRule="auto"/>
        <w:ind w:left="709" w:hanging="709" w:firstLineChars="0"/>
        <w:rPr>
          <w:rFonts w:ascii="黑体" w:hAnsi="黑体" w:eastAsia="黑体" w:cs="黑体"/>
          <w:bCs/>
        </w:rPr>
      </w:pPr>
      <w:r>
        <w:rPr>
          <w:rFonts w:hint="eastAsia" w:ascii="黑体" w:hAnsi="黑体" w:eastAsia="黑体" w:cs="宋体"/>
          <w:kern w:val="0"/>
          <w:szCs w:val="21"/>
        </w:rPr>
        <w:t>供应商认为磋商文件、采购过程、成交或者成交结果使自己的权益受到损害的，可以在知道或者应知其权益受到损害之日起7个工作日内，以书面形式向采购人、采购代理机构提出质疑。</w:t>
      </w:r>
    </w:p>
    <w:p>
      <w:pPr>
        <w:pStyle w:val="68"/>
        <w:numPr>
          <w:ilvl w:val="0"/>
          <w:numId w:val="73"/>
        </w:numPr>
        <w:tabs>
          <w:tab w:val="left" w:pos="720"/>
          <w:tab w:val="left" w:pos="851"/>
        </w:tabs>
        <w:autoSpaceDE w:val="0"/>
        <w:autoSpaceDN w:val="0"/>
        <w:spacing w:line="360" w:lineRule="auto"/>
        <w:ind w:left="709" w:hanging="709" w:firstLineChars="0"/>
        <w:rPr>
          <w:rFonts w:ascii="黑体" w:hAnsi="黑体" w:eastAsia="黑体" w:cs="黑体"/>
          <w:bCs/>
        </w:rPr>
      </w:pPr>
      <w:r>
        <w:rPr>
          <w:rFonts w:hint="eastAsia" w:ascii="黑体" w:hAnsi="黑体" w:eastAsia="黑体"/>
          <w:bCs/>
          <w:szCs w:val="21"/>
        </w:rPr>
        <w:t>提出质疑的供应商应当是参与所质疑项目采购活动的供应商。</w:t>
      </w:r>
    </w:p>
    <w:p>
      <w:pPr>
        <w:pStyle w:val="68"/>
        <w:numPr>
          <w:ilvl w:val="0"/>
          <w:numId w:val="71"/>
        </w:numPr>
        <w:tabs>
          <w:tab w:val="left" w:pos="709"/>
        </w:tabs>
        <w:autoSpaceDE w:val="0"/>
        <w:autoSpaceDN w:val="0"/>
        <w:spacing w:line="360" w:lineRule="auto"/>
        <w:ind w:left="567" w:hanging="567" w:firstLineChars="0"/>
        <w:rPr>
          <w:rFonts w:ascii="黑体" w:hAnsi="黑体" w:eastAsia="黑体" w:cs="黑体"/>
          <w:bCs/>
        </w:rPr>
      </w:pPr>
      <w:r>
        <w:rPr>
          <w:rFonts w:hint="eastAsia" w:ascii="黑体" w:hAnsi="黑体" w:eastAsia="黑体" w:cs="黑体"/>
          <w:bCs/>
        </w:rPr>
        <w:t>提交要求：</w:t>
      </w:r>
    </w:p>
    <w:p>
      <w:pPr>
        <w:pStyle w:val="68"/>
        <w:numPr>
          <w:ilvl w:val="0"/>
          <w:numId w:val="74"/>
        </w:numPr>
        <w:tabs>
          <w:tab w:val="left" w:pos="360"/>
          <w:tab w:val="left" w:pos="720"/>
        </w:tabs>
        <w:autoSpaceDE w:val="0"/>
        <w:autoSpaceDN w:val="0"/>
        <w:spacing w:line="360" w:lineRule="auto"/>
        <w:ind w:firstLineChars="0"/>
        <w:rPr>
          <w:rFonts w:ascii="黑体" w:hAnsi="黑体" w:eastAsia="黑体" w:cs="黑体"/>
          <w:bCs/>
        </w:rPr>
      </w:pPr>
      <w:r>
        <w:rPr>
          <w:rFonts w:hint="eastAsia" w:ascii="黑体" w:hAnsi="黑体" w:eastAsia="黑体"/>
          <w:bCs/>
          <w:szCs w:val="21"/>
        </w:rPr>
        <w:t>以书面形式向采购人或者采购代理机构一次性提出针对同一采购程序环节的质疑。</w:t>
      </w:r>
    </w:p>
    <w:p>
      <w:pPr>
        <w:pStyle w:val="68"/>
        <w:numPr>
          <w:ilvl w:val="0"/>
          <w:numId w:val="74"/>
        </w:numPr>
        <w:tabs>
          <w:tab w:val="left" w:pos="360"/>
          <w:tab w:val="left" w:pos="720"/>
        </w:tabs>
        <w:autoSpaceDE w:val="0"/>
        <w:autoSpaceDN w:val="0"/>
        <w:spacing w:line="360" w:lineRule="auto"/>
        <w:ind w:firstLineChars="0"/>
        <w:rPr>
          <w:rFonts w:ascii="黑体" w:hAnsi="黑体" w:eastAsia="黑体" w:cs="黑体"/>
          <w:bCs/>
        </w:rPr>
      </w:pPr>
      <w:r>
        <w:rPr>
          <w:rFonts w:hint="eastAsia" w:ascii="黑体" w:hAnsi="黑体" w:eastAsia="黑体"/>
          <w:bCs/>
          <w:spacing w:val="-4"/>
          <w:szCs w:val="21"/>
        </w:rPr>
        <w:t>以联合体形式参加政府采购活动的，其质疑应当由组成联合体的所有供应商共同提出</w:t>
      </w:r>
      <w:r>
        <w:rPr>
          <w:rFonts w:hint="eastAsia" w:ascii="黑体" w:hAnsi="黑体" w:eastAsia="黑体"/>
          <w:bCs/>
          <w:szCs w:val="21"/>
        </w:rPr>
        <w:t>。</w:t>
      </w:r>
    </w:p>
    <w:p>
      <w:pPr>
        <w:pStyle w:val="68"/>
        <w:numPr>
          <w:ilvl w:val="0"/>
          <w:numId w:val="74"/>
        </w:numPr>
        <w:tabs>
          <w:tab w:val="left" w:pos="709"/>
        </w:tabs>
        <w:autoSpaceDE w:val="0"/>
        <w:autoSpaceDN w:val="0"/>
        <w:spacing w:line="360" w:lineRule="auto"/>
        <w:ind w:left="709" w:hanging="709" w:firstLineChars="0"/>
        <w:rPr>
          <w:rFonts w:ascii="黑体" w:hAnsi="黑体" w:eastAsia="黑体" w:cs="黑体"/>
          <w:bCs/>
        </w:rPr>
      </w:pPr>
      <w:r>
        <w:rPr>
          <w:rFonts w:hint="eastAsia" w:ascii="黑体" w:hAnsi="黑体" w:eastAsia="黑体"/>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pPr>
        <w:pStyle w:val="68"/>
        <w:numPr>
          <w:ilvl w:val="0"/>
          <w:numId w:val="74"/>
        </w:numPr>
        <w:tabs>
          <w:tab w:val="left" w:pos="720"/>
          <w:tab w:val="left" w:pos="851"/>
        </w:tabs>
        <w:autoSpaceDE w:val="0"/>
        <w:autoSpaceDN w:val="0"/>
        <w:spacing w:line="360" w:lineRule="auto"/>
        <w:ind w:left="709" w:hanging="709" w:firstLineChars="0"/>
        <w:rPr>
          <w:rFonts w:ascii="黑体" w:hAnsi="黑体" w:eastAsia="黑体" w:cs="黑体"/>
          <w:bCs/>
        </w:rPr>
      </w:pPr>
      <w:r>
        <w:rPr>
          <w:rFonts w:hint="eastAsia" w:ascii="黑体" w:hAnsi="黑体" w:eastAsia="黑体"/>
          <w:bCs/>
          <w:szCs w:val="21"/>
        </w:rPr>
        <w:t>供应商捏造事实、提供虚假材料或者以非法手段取得证明材料不能作为质疑的证明材料。采购人或者采购代理机构在收到供应商的书面质疑后</w:t>
      </w:r>
      <w:r>
        <w:rPr>
          <w:rFonts w:ascii="黑体" w:hAnsi="黑体" w:eastAsia="黑体"/>
          <w:bCs/>
          <w:szCs w:val="21"/>
        </w:rPr>
        <w:t>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pPr>
        <w:pStyle w:val="68"/>
        <w:numPr>
          <w:ilvl w:val="0"/>
          <w:numId w:val="74"/>
        </w:numPr>
        <w:tabs>
          <w:tab w:val="left" w:pos="720"/>
          <w:tab w:val="left" w:pos="851"/>
        </w:tabs>
        <w:autoSpaceDE w:val="0"/>
        <w:autoSpaceDN w:val="0"/>
        <w:spacing w:line="360" w:lineRule="auto"/>
        <w:ind w:left="709" w:hanging="709" w:firstLineChars="0"/>
        <w:rPr>
          <w:rFonts w:ascii="黑体" w:hAnsi="黑体" w:eastAsia="黑体" w:cs="黑体"/>
          <w:bCs/>
        </w:rPr>
      </w:pPr>
      <w:r>
        <w:rPr>
          <w:rFonts w:hint="eastAsia" w:ascii="黑体" w:hAnsi="黑体" w:eastAsia="黑体"/>
          <w:bCs/>
          <w:szCs w:val="21"/>
        </w:rPr>
        <w:t>采购人或采购代理机构接收以书面形式递交的质疑函，接收质疑函的联系人、联系方式和通讯地址：</w:t>
      </w:r>
    </w:p>
    <w:p>
      <w:pPr>
        <w:tabs>
          <w:tab w:val="left" w:pos="709"/>
        </w:tabs>
        <w:autoSpaceDE w:val="0"/>
        <w:autoSpaceDN w:val="0"/>
        <w:spacing w:line="360" w:lineRule="auto"/>
        <w:ind w:left="720"/>
        <w:rPr>
          <w:rFonts w:ascii="黑体" w:hAnsi="黑体" w:eastAsia="黑体" w:cs="黑体"/>
          <w:bCs/>
        </w:rPr>
      </w:pPr>
      <w:r>
        <w:rPr>
          <w:rFonts w:hint="eastAsia" w:ascii="黑体" w:hAnsi="黑体" w:eastAsia="黑体" w:cs="黑体"/>
          <w:bCs/>
        </w:rPr>
        <w:t>联系人：黄小姐       联系电话：（0769）23362836</w:t>
      </w:r>
    </w:p>
    <w:p>
      <w:pPr>
        <w:tabs>
          <w:tab w:val="left" w:pos="709"/>
        </w:tabs>
        <w:autoSpaceDE w:val="0"/>
        <w:autoSpaceDN w:val="0"/>
        <w:spacing w:line="360" w:lineRule="auto"/>
        <w:ind w:left="720"/>
        <w:rPr>
          <w:rFonts w:ascii="黑体" w:hAnsi="黑体" w:eastAsia="黑体" w:cs="黑体"/>
          <w:bCs/>
        </w:rPr>
      </w:pPr>
      <w:r>
        <w:rPr>
          <w:rFonts w:hint="eastAsia" w:ascii="黑体" w:hAnsi="黑体" w:eastAsia="黑体" w:cs="黑体"/>
          <w:bCs/>
        </w:rPr>
        <w:t>联系地址：东莞市东城街道新源路海德琥珀台6栋1703室</w:t>
      </w:r>
    </w:p>
    <w:p>
      <w:pPr>
        <w:pStyle w:val="68"/>
        <w:numPr>
          <w:ilvl w:val="0"/>
          <w:numId w:val="71"/>
        </w:numPr>
        <w:tabs>
          <w:tab w:val="left" w:pos="709"/>
        </w:tabs>
        <w:autoSpaceDE w:val="0"/>
        <w:autoSpaceDN w:val="0"/>
        <w:spacing w:line="360" w:lineRule="auto"/>
        <w:ind w:left="567" w:hanging="567" w:firstLineChars="0"/>
        <w:rPr>
          <w:rFonts w:ascii="黑体" w:hAnsi="黑体" w:eastAsia="黑体" w:cs="黑体"/>
          <w:bCs/>
        </w:rPr>
      </w:pPr>
      <w:r>
        <w:rPr>
          <w:rFonts w:hint="eastAsia" w:ascii="黑体" w:hAnsi="黑体" w:eastAsia="黑体" w:cs="黑体"/>
          <w:bCs/>
        </w:rPr>
        <w:t>投诉</w:t>
      </w:r>
    </w:p>
    <w:p>
      <w:pPr>
        <w:pStyle w:val="68"/>
        <w:numPr>
          <w:ilvl w:val="0"/>
          <w:numId w:val="75"/>
        </w:numPr>
        <w:tabs>
          <w:tab w:val="left" w:pos="709"/>
        </w:tabs>
        <w:autoSpaceDE w:val="0"/>
        <w:autoSpaceDN w:val="0"/>
        <w:spacing w:line="360" w:lineRule="auto"/>
        <w:ind w:left="709" w:hanging="709" w:firstLineChars="0"/>
        <w:rPr>
          <w:rFonts w:ascii="黑体" w:hAnsi="黑体" w:eastAsia="黑体" w:cs="黑体"/>
          <w:b/>
          <w:bCs/>
        </w:rPr>
      </w:pPr>
      <w:r>
        <w:rPr>
          <w:rFonts w:hint="eastAsia" w:ascii="黑体" w:hAnsi="黑体" w:eastAsia="黑体" w:cs="宋体"/>
          <w:kern w:val="0"/>
          <w:szCs w:val="21"/>
        </w:rPr>
        <w:t>质疑供应商对采购人、采购代理机构的答复不满意，或者采购人、采购代理机构未在规定时间内作出答复的，可以在答复期满后15个工作日内向采购人有关部门提起投诉。</w:t>
      </w:r>
    </w:p>
    <w:p>
      <w:pPr>
        <w:pStyle w:val="68"/>
        <w:numPr>
          <w:ilvl w:val="0"/>
          <w:numId w:val="75"/>
        </w:numPr>
        <w:tabs>
          <w:tab w:val="left" w:pos="709"/>
        </w:tabs>
        <w:autoSpaceDE w:val="0"/>
        <w:autoSpaceDN w:val="0"/>
        <w:spacing w:line="360" w:lineRule="auto"/>
        <w:ind w:left="709" w:hanging="709" w:firstLineChars="0"/>
        <w:rPr>
          <w:rFonts w:ascii="黑体" w:hAnsi="黑体" w:eastAsia="黑体" w:cs="黑体"/>
          <w:b/>
          <w:bCs/>
        </w:rPr>
      </w:pPr>
      <w:r>
        <w:rPr>
          <w:rFonts w:hint="eastAsia" w:ascii="黑体" w:hAnsi="黑体" w:eastAsia="黑体" w:cs="宋体"/>
          <w:spacing w:val="-4"/>
          <w:kern w:val="0"/>
          <w:szCs w:val="21"/>
        </w:rPr>
        <w:t>以联合体形式参加政府采购活动的，其投诉应当由组成联合体的所有供应商共同提出。</w:t>
      </w:r>
    </w:p>
    <w:bookmarkEnd w:id="129"/>
    <w:bookmarkEnd w:id="130"/>
    <w:bookmarkEnd w:id="131"/>
    <w:bookmarkEnd w:id="132"/>
    <w:p>
      <w:pPr>
        <w:numPr>
          <w:ilvl w:val="0"/>
          <w:numId w:val="33"/>
        </w:numPr>
        <w:tabs>
          <w:tab w:val="left" w:pos="567"/>
          <w:tab w:val="clear" w:pos="360"/>
        </w:tabs>
        <w:autoSpaceDE w:val="0"/>
        <w:autoSpaceDN w:val="0"/>
        <w:spacing w:before="156" w:beforeLines="50" w:line="360" w:lineRule="auto"/>
        <w:ind w:left="567" w:hanging="567"/>
        <w:rPr>
          <w:rFonts w:ascii="黑体" w:hAnsi="黑体" w:eastAsia="黑体"/>
          <w:b/>
          <w:bCs/>
        </w:rPr>
      </w:pPr>
      <w:bookmarkStart w:id="133" w:name="_Toc410738967"/>
      <w:bookmarkStart w:id="134" w:name="_Toc416771353"/>
      <w:bookmarkStart w:id="135" w:name="_Toc410736167"/>
      <w:bookmarkStart w:id="136" w:name="_Toc416770243"/>
      <w:r>
        <w:rPr>
          <w:rFonts w:hint="eastAsia" w:ascii="黑体" w:hAnsi="黑体" w:eastAsia="黑体"/>
          <w:b/>
          <w:bCs/>
        </w:rPr>
        <w:t>成交通知书</w:t>
      </w:r>
    </w:p>
    <w:p>
      <w:pPr>
        <w:pStyle w:val="68"/>
        <w:numPr>
          <w:ilvl w:val="0"/>
          <w:numId w:val="76"/>
        </w:numPr>
        <w:tabs>
          <w:tab w:val="left" w:pos="709"/>
        </w:tabs>
        <w:autoSpaceDE w:val="0"/>
        <w:autoSpaceDN w:val="0"/>
        <w:spacing w:line="360" w:lineRule="auto"/>
        <w:ind w:left="567" w:hanging="567" w:firstLineChars="0"/>
        <w:rPr>
          <w:rFonts w:ascii="黑体" w:hAnsi="黑体" w:eastAsia="黑体"/>
          <w:b/>
          <w:bCs/>
        </w:rPr>
      </w:pPr>
      <w:r>
        <w:rPr>
          <w:rFonts w:hint="eastAsia" w:ascii="黑体" w:hAnsi="黑体" w:eastAsia="黑体"/>
          <w:bCs/>
          <w:szCs w:val="21"/>
        </w:rPr>
        <w:t>采购人或者采购代理机构应当自成交供应商确定之日起</w:t>
      </w:r>
      <w:r>
        <w:rPr>
          <w:rFonts w:ascii="黑体" w:hAnsi="黑体" w:eastAsia="黑体"/>
          <w:bCs/>
          <w:szCs w:val="21"/>
        </w:rPr>
        <w:t>2个工作日内在指定媒体公告</w:t>
      </w:r>
      <w:r>
        <w:rPr>
          <w:rFonts w:hint="eastAsia" w:ascii="黑体" w:hAnsi="黑体" w:eastAsia="黑体"/>
          <w:bCs/>
          <w:szCs w:val="21"/>
        </w:rPr>
        <w:t>成交</w:t>
      </w:r>
      <w:r>
        <w:rPr>
          <w:rFonts w:ascii="黑体" w:hAnsi="黑体" w:eastAsia="黑体"/>
          <w:bCs/>
          <w:szCs w:val="21"/>
        </w:rPr>
        <w:t>结果和发出</w:t>
      </w:r>
      <w:r>
        <w:rPr>
          <w:rFonts w:hint="eastAsia" w:ascii="黑体" w:hAnsi="黑体" w:eastAsia="黑体"/>
          <w:bCs/>
          <w:szCs w:val="21"/>
        </w:rPr>
        <w:t>成交</w:t>
      </w:r>
      <w:r>
        <w:rPr>
          <w:rFonts w:ascii="黑体" w:hAnsi="黑体" w:eastAsia="黑体"/>
          <w:bCs/>
          <w:szCs w:val="21"/>
        </w:rPr>
        <w:t>通知书，公告期为1个工作日</w:t>
      </w:r>
      <w:r>
        <w:rPr>
          <w:rFonts w:hint="eastAsia" w:ascii="黑体" w:hAnsi="黑体" w:eastAsia="黑体"/>
          <w:bCs/>
          <w:szCs w:val="21"/>
        </w:rPr>
        <w:t>。</w:t>
      </w:r>
    </w:p>
    <w:p>
      <w:pPr>
        <w:pStyle w:val="68"/>
        <w:numPr>
          <w:ilvl w:val="0"/>
          <w:numId w:val="76"/>
        </w:numPr>
        <w:tabs>
          <w:tab w:val="left" w:pos="709"/>
        </w:tabs>
        <w:autoSpaceDE w:val="0"/>
        <w:autoSpaceDN w:val="0"/>
        <w:spacing w:line="360" w:lineRule="auto"/>
        <w:ind w:left="567" w:hanging="567" w:firstLineChars="0"/>
        <w:rPr>
          <w:rFonts w:ascii="黑体" w:hAnsi="黑体" w:eastAsia="黑体"/>
          <w:b/>
          <w:bCs/>
        </w:rPr>
      </w:pPr>
      <w:r>
        <w:rPr>
          <w:rFonts w:hint="eastAsia" w:ascii="黑体" w:hAnsi="黑体" w:eastAsia="黑体"/>
          <w:bCs/>
          <w:szCs w:val="21"/>
        </w:rPr>
        <w:t>《成交通知书》对成交供应商和采购人具有同等法律效力。</w:t>
      </w:r>
    </w:p>
    <w:p>
      <w:pPr>
        <w:pStyle w:val="68"/>
        <w:numPr>
          <w:ilvl w:val="0"/>
          <w:numId w:val="76"/>
        </w:numPr>
        <w:tabs>
          <w:tab w:val="left" w:pos="709"/>
        </w:tabs>
        <w:autoSpaceDE w:val="0"/>
        <w:autoSpaceDN w:val="0"/>
        <w:spacing w:line="360" w:lineRule="auto"/>
        <w:ind w:left="567" w:hanging="567" w:firstLineChars="0"/>
        <w:rPr>
          <w:rFonts w:ascii="黑体" w:hAnsi="黑体" w:eastAsia="黑体"/>
          <w:b/>
          <w:bCs/>
        </w:rPr>
      </w:pPr>
      <w:r>
        <w:rPr>
          <w:rFonts w:hint="eastAsia" w:ascii="黑体" w:hAnsi="黑体" w:eastAsia="黑体"/>
          <w:bCs/>
          <w:szCs w:val="21"/>
        </w:rPr>
        <w:t>成交通知书发出后，采购人不得违法改变成交结果，成交供应商无正当理由不得放弃成交。</w:t>
      </w:r>
    </w:p>
    <w:p>
      <w:pPr>
        <w:pStyle w:val="68"/>
        <w:numPr>
          <w:ilvl w:val="0"/>
          <w:numId w:val="76"/>
        </w:numPr>
        <w:tabs>
          <w:tab w:val="left" w:pos="709"/>
        </w:tabs>
        <w:autoSpaceDE w:val="0"/>
        <w:autoSpaceDN w:val="0"/>
        <w:spacing w:line="360" w:lineRule="auto"/>
        <w:ind w:left="567" w:hanging="567" w:firstLineChars="0"/>
        <w:rPr>
          <w:rFonts w:ascii="黑体" w:hAnsi="黑体" w:eastAsia="黑体"/>
          <w:b/>
          <w:bCs/>
        </w:rPr>
      </w:pPr>
      <w:r>
        <w:rPr>
          <w:rFonts w:hint="eastAsia" w:ascii="黑体" w:hAnsi="黑体" w:eastAsia="黑体"/>
          <w:bCs/>
          <w:szCs w:val="21"/>
        </w:rPr>
        <w:t>《成交通知书》将作为授予合同资格的合法依据，是合同的一个组成部分。</w:t>
      </w:r>
    </w:p>
    <w:p>
      <w:pPr>
        <w:pStyle w:val="68"/>
        <w:numPr>
          <w:ilvl w:val="0"/>
          <w:numId w:val="32"/>
        </w:numPr>
        <w:spacing w:before="312" w:beforeLines="100" w:after="156" w:afterLines="50"/>
        <w:ind w:left="510" w:hanging="510" w:firstLineChars="0"/>
        <w:rPr>
          <w:rFonts w:ascii="黑体" w:hAnsi="黑体" w:eastAsia="黑体"/>
          <w:b/>
        </w:rPr>
      </w:pPr>
      <w:r>
        <w:rPr>
          <w:rFonts w:hint="eastAsia" w:ascii="黑体" w:hAnsi="黑体" w:eastAsia="黑体"/>
          <w:b/>
        </w:rPr>
        <w:t>授予合同</w:t>
      </w:r>
    </w:p>
    <w:p>
      <w:pPr>
        <w:numPr>
          <w:ilvl w:val="0"/>
          <w:numId w:val="33"/>
        </w:numPr>
        <w:tabs>
          <w:tab w:val="left" w:pos="567"/>
          <w:tab w:val="clear" w:pos="360"/>
        </w:tabs>
        <w:autoSpaceDE w:val="0"/>
        <w:autoSpaceDN w:val="0"/>
        <w:spacing w:line="360" w:lineRule="auto"/>
        <w:ind w:left="567" w:hanging="567"/>
        <w:rPr>
          <w:rFonts w:ascii="黑体" w:hAnsi="黑体" w:eastAsia="黑体"/>
          <w:b/>
          <w:bCs/>
          <w:szCs w:val="21"/>
        </w:rPr>
      </w:pPr>
      <w:r>
        <w:rPr>
          <w:rFonts w:hint="eastAsia" w:ascii="黑体" w:hAnsi="黑体" w:eastAsia="黑体"/>
          <w:b/>
          <w:bCs/>
          <w:szCs w:val="21"/>
        </w:rPr>
        <w:t>合同的订立</w:t>
      </w:r>
      <w:bookmarkEnd w:id="133"/>
      <w:bookmarkEnd w:id="134"/>
      <w:bookmarkEnd w:id="135"/>
      <w:bookmarkEnd w:id="136"/>
    </w:p>
    <w:p>
      <w:pPr>
        <w:pStyle w:val="68"/>
        <w:numPr>
          <w:ilvl w:val="0"/>
          <w:numId w:val="77"/>
        </w:numPr>
        <w:tabs>
          <w:tab w:val="left" w:pos="709"/>
        </w:tabs>
        <w:autoSpaceDE w:val="0"/>
        <w:autoSpaceDN w:val="0"/>
        <w:spacing w:line="360" w:lineRule="auto"/>
        <w:ind w:left="567" w:hanging="567" w:firstLineChars="0"/>
        <w:rPr>
          <w:rFonts w:ascii="黑体" w:hAnsi="黑体" w:eastAsia="黑体" w:cs="宋体"/>
          <w:szCs w:val="21"/>
        </w:rPr>
      </w:pPr>
      <w:r>
        <w:rPr>
          <w:rFonts w:hint="eastAsia" w:ascii="黑体" w:hAnsi="黑体" w:eastAsia="黑体"/>
          <w:bCs/>
          <w:szCs w:val="21"/>
        </w:rPr>
        <w:t>除非</w:t>
      </w:r>
      <w:r>
        <w:rPr>
          <w:rFonts w:hint="eastAsia" w:ascii="黑体" w:hAnsi="黑体" w:eastAsia="黑体"/>
          <w:b/>
          <w:bCs/>
          <w:szCs w:val="21"/>
          <w:u w:val="single"/>
        </w:rPr>
        <w:t>磋商须知前附表</w:t>
      </w:r>
      <w:r>
        <w:rPr>
          <w:rFonts w:hint="eastAsia" w:ascii="黑体" w:hAnsi="黑体" w:eastAsia="黑体"/>
          <w:bCs/>
          <w:szCs w:val="21"/>
        </w:rPr>
        <w:t>另有规定，采购人与成交供应商应当在成交通知书发出之日起30日内，按照磋商文件确定的合同文本以及采购标的、规格型号、采购金额、采购数量、技术和服务要求等事项签订政府采购合同。</w:t>
      </w:r>
    </w:p>
    <w:p>
      <w:pPr>
        <w:pStyle w:val="68"/>
        <w:numPr>
          <w:ilvl w:val="0"/>
          <w:numId w:val="77"/>
        </w:numPr>
        <w:tabs>
          <w:tab w:val="left" w:pos="709"/>
        </w:tabs>
        <w:autoSpaceDE w:val="0"/>
        <w:autoSpaceDN w:val="0"/>
        <w:spacing w:line="360" w:lineRule="auto"/>
        <w:ind w:left="567" w:hanging="567" w:firstLineChars="0"/>
        <w:rPr>
          <w:rFonts w:ascii="黑体" w:hAnsi="黑体" w:eastAsia="黑体" w:cs="宋体"/>
          <w:szCs w:val="21"/>
        </w:rPr>
      </w:pPr>
      <w:r>
        <w:rPr>
          <w:rFonts w:hint="eastAsia" w:ascii="黑体" w:hAnsi="黑体" w:eastAsia="黑体"/>
          <w:bCs/>
          <w:szCs w:val="21"/>
        </w:rPr>
        <w:t>采购人不得向成交供应商提出超出磋商文件以外的任何要求作为签订合同的条件，不得与成交供应商订立背离磋商文件确定的合同文本以及采购标的、规格型号、采购金额、采购数量、技术和服务要求等实质性内容的协议。</w:t>
      </w:r>
    </w:p>
    <w:p>
      <w:pPr>
        <w:pStyle w:val="68"/>
        <w:numPr>
          <w:ilvl w:val="0"/>
          <w:numId w:val="77"/>
        </w:numPr>
        <w:tabs>
          <w:tab w:val="left" w:pos="709"/>
        </w:tabs>
        <w:autoSpaceDE w:val="0"/>
        <w:autoSpaceDN w:val="0"/>
        <w:spacing w:line="360" w:lineRule="auto"/>
        <w:ind w:left="567" w:hanging="567" w:firstLineChars="0"/>
        <w:rPr>
          <w:rFonts w:ascii="黑体" w:hAnsi="黑体" w:eastAsia="黑体" w:cs="宋体"/>
          <w:szCs w:val="21"/>
        </w:rPr>
      </w:pPr>
      <w:r>
        <w:rPr>
          <w:rFonts w:hint="eastAsia" w:ascii="黑体" w:hAnsi="黑体" w:eastAsia="黑体"/>
          <w:bCs/>
          <w:szCs w:val="21"/>
        </w:rPr>
        <w:t>成交供应商在获取磋商文件至磋商有效期结束期间，采购人、代理机构及成交供应商关于本项目的各类澄清、修改及补充文件均视为采购合同的有效组成部分。</w:t>
      </w:r>
    </w:p>
    <w:p>
      <w:pPr>
        <w:pStyle w:val="68"/>
        <w:numPr>
          <w:ilvl w:val="0"/>
          <w:numId w:val="77"/>
        </w:numPr>
        <w:tabs>
          <w:tab w:val="left" w:pos="709"/>
        </w:tabs>
        <w:autoSpaceDE w:val="0"/>
        <w:autoSpaceDN w:val="0"/>
        <w:spacing w:line="360" w:lineRule="auto"/>
        <w:ind w:left="567" w:hanging="567" w:firstLineChars="0"/>
        <w:rPr>
          <w:rFonts w:ascii="黑体" w:hAnsi="黑体" w:eastAsia="黑体" w:cs="宋体"/>
          <w:szCs w:val="21"/>
        </w:rPr>
      </w:pPr>
      <w:r>
        <w:rPr>
          <w:rFonts w:ascii="黑体" w:hAnsi="黑体" w:eastAsia="黑体"/>
          <w:bCs/>
          <w:szCs w:val="21"/>
        </w:rPr>
        <w:t>成交供应商拒绝与采购人签订合同的，采购人可以按照评审报告推荐的成交候选人名单排序，确定下一候选人为成交供应商，也可以重新开展政府采购活动。</w:t>
      </w:r>
    </w:p>
    <w:p>
      <w:pPr>
        <w:pStyle w:val="68"/>
        <w:numPr>
          <w:ilvl w:val="0"/>
          <w:numId w:val="77"/>
        </w:numPr>
        <w:tabs>
          <w:tab w:val="left" w:pos="709"/>
        </w:tabs>
        <w:autoSpaceDE w:val="0"/>
        <w:autoSpaceDN w:val="0"/>
        <w:spacing w:line="360" w:lineRule="auto"/>
        <w:ind w:left="567" w:hanging="567" w:firstLineChars="0"/>
        <w:rPr>
          <w:rFonts w:ascii="黑体" w:hAnsi="黑体" w:eastAsia="黑体" w:cs="宋体"/>
          <w:szCs w:val="21"/>
        </w:rPr>
      </w:pPr>
      <w:r>
        <w:rPr>
          <w:rFonts w:hint="eastAsia" w:ascii="黑体" w:hAnsi="黑体" w:eastAsia="黑体"/>
          <w:bCs/>
          <w:szCs w:val="21"/>
        </w:rPr>
        <w:t>合同签订之日起</w:t>
      </w:r>
      <w:r>
        <w:rPr>
          <w:rFonts w:ascii="黑体" w:hAnsi="黑体" w:eastAsia="黑体"/>
          <w:bCs/>
          <w:szCs w:val="21"/>
        </w:rPr>
        <w:t>2个工作日内，成交供应商须将所签订的合同原件或者副本交采购代理机构处归档并办理退还投标保证金事宜。</w:t>
      </w:r>
    </w:p>
    <w:p>
      <w:pPr>
        <w:numPr>
          <w:ilvl w:val="0"/>
          <w:numId w:val="33"/>
        </w:numPr>
        <w:tabs>
          <w:tab w:val="left" w:pos="-142"/>
          <w:tab w:val="left" w:pos="640"/>
          <w:tab w:val="left" w:pos="993"/>
          <w:tab w:val="clear" w:pos="360"/>
        </w:tabs>
        <w:autoSpaceDE w:val="0"/>
        <w:autoSpaceDN w:val="0"/>
        <w:spacing w:before="156" w:beforeLines="50" w:line="360" w:lineRule="auto"/>
        <w:ind w:left="424" w:hanging="424"/>
        <w:rPr>
          <w:rFonts w:ascii="黑体" w:hAnsi="黑体" w:eastAsia="黑体"/>
          <w:b/>
          <w:bCs/>
          <w:szCs w:val="21"/>
        </w:rPr>
      </w:pPr>
      <w:bookmarkStart w:id="137" w:name="_Toc416771354"/>
      <w:bookmarkStart w:id="138" w:name="_Toc410738968"/>
      <w:bookmarkStart w:id="139" w:name="_Toc410736168"/>
      <w:bookmarkStart w:id="140" w:name="_Toc416770244"/>
      <w:r>
        <w:rPr>
          <w:rFonts w:hint="eastAsia" w:ascii="黑体" w:hAnsi="黑体" w:eastAsia="黑体"/>
          <w:b/>
          <w:bCs/>
          <w:szCs w:val="21"/>
        </w:rPr>
        <w:t>合同的履行</w:t>
      </w:r>
      <w:bookmarkEnd w:id="137"/>
      <w:bookmarkEnd w:id="138"/>
      <w:bookmarkEnd w:id="139"/>
      <w:bookmarkEnd w:id="140"/>
    </w:p>
    <w:p>
      <w:pPr>
        <w:pStyle w:val="68"/>
        <w:numPr>
          <w:ilvl w:val="0"/>
          <w:numId w:val="78"/>
        </w:numPr>
        <w:tabs>
          <w:tab w:val="left" w:pos="-142"/>
          <w:tab w:val="left" w:pos="567"/>
          <w:tab w:val="left" w:pos="709"/>
          <w:tab w:val="left" w:pos="851"/>
          <w:tab w:val="left" w:pos="993"/>
        </w:tabs>
        <w:autoSpaceDE w:val="0"/>
        <w:autoSpaceDN w:val="0"/>
        <w:spacing w:line="360" w:lineRule="auto"/>
        <w:ind w:left="567" w:hanging="567" w:firstLineChars="0"/>
        <w:jc w:val="left"/>
        <w:rPr>
          <w:rFonts w:ascii="黑体" w:hAnsi="黑体" w:eastAsia="黑体" w:cs="宋体"/>
          <w:szCs w:val="21"/>
          <w:lang w:eastAsia="zh-TW"/>
        </w:rPr>
      </w:pPr>
      <w:r>
        <w:rPr>
          <w:rFonts w:hint="eastAsia" w:ascii="黑体" w:hAnsi="黑体" w:eastAsia="黑体"/>
          <w:bCs/>
          <w:szCs w:val="21"/>
        </w:rPr>
        <w:t>采购人和成交供应商应当根据合同的约定依法履行合同义务。</w:t>
      </w:r>
    </w:p>
    <w:p>
      <w:pPr>
        <w:pStyle w:val="68"/>
        <w:numPr>
          <w:ilvl w:val="0"/>
          <w:numId w:val="78"/>
        </w:numPr>
        <w:tabs>
          <w:tab w:val="left" w:pos="-142"/>
          <w:tab w:val="left" w:pos="567"/>
          <w:tab w:val="left" w:pos="709"/>
          <w:tab w:val="left" w:pos="851"/>
          <w:tab w:val="left" w:pos="993"/>
        </w:tabs>
        <w:autoSpaceDE w:val="0"/>
        <w:autoSpaceDN w:val="0"/>
        <w:spacing w:line="360" w:lineRule="auto"/>
        <w:ind w:left="567" w:hanging="567" w:firstLineChars="0"/>
        <w:jc w:val="left"/>
        <w:rPr>
          <w:rFonts w:ascii="黑体" w:hAnsi="黑体" w:eastAsia="黑体" w:cs="宋体"/>
          <w:szCs w:val="21"/>
          <w:lang w:eastAsia="zh-TW"/>
        </w:rPr>
      </w:pPr>
      <w:r>
        <w:rPr>
          <w:rFonts w:hint="eastAsia" w:ascii="黑体" w:hAnsi="黑体" w:eastAsia="黑体"/>
          <w:bCs/>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pPr>
        <w:pStyle w:val="68"/>
        <w:numPr>
          <w:ilvl w:val="0"/>
          <w:numId w:val="78"/>
        </w:numPr>
        <w:tabs>
          <w:tab w:val="left" w:pos="-142"/>
          <w:tab w:val="left" w:pos="567"/>
          <w:tab w:val="left" w:pos="709"/>
          <w:tab w:val="left" w:pos="851"/>
          <w:tab w:val="left" w:pos="993"/>
        </w:tabs>
        <w:autoSpaceDE w:val="0"/>
        <w:autoSpaceDN w:val="0"/>
        <w:spacing w:line="360" w:lineRule="auto"/>
        <w:ind w:left="567" w:hanging="567" w:firstLineChars="0"/>
        <w:jc w:val="left"/>
        <w:rPr>
          <w:rFonts w:ascii="黑体" w:hAnsi="黑体" w:eastAsia="黑体" w:cs="宋体"/>
          <w:szCs w:val="21"/>
          <w:lang w:eastAsia="zh-TW"/>
        </w:rPr>
      </w:pPr>
      <w:r>
        <w:rPr>
          <w:rFonts w:hint="eastAsia" w:ascii="黑体" w:hAnsi="黑体" w:eastAsia="黑体"/>
          <w:bCs/>
          <w:szCs w:val="21"/>
        </w:rPr>
        <w:t>政府采购合同履行中，采购人需追加与合同标的相同的货物、工程或者服务的，在不改变合同其他条款的前提下，可以与成交供应商签订补充合同，但所补充合同的采购金额不得超过原合同采购金额的百分之十。签订补充合同的必须按规定备案。</w:t>
      </w:r>
    </w:p>
    <w:p>
      <w:pPr>
        <w:numPr>
          <w:ilvl w:val="0"/>
          <w:numId w:val="33"/>
        </w:numPr>
        <w:tabs>
          <w:tab w:val="left" w:pos="0"/>
          <w:tab w:val="left" w:pos="426"/>
          <w:tab w:val="left" w:pos="993"/>
          <w:tab w:val="clear" w:pos="360"/>
        </w:tabs>
        <w:autoSpaceDE w:val="0"/>
        <w:autoSpaceDN w:val="0"/>
        <w:spacing w:before="156" w:beforeLines="50" w:line="360" w:lineRule="auto"/>
        <w:ind w:left="-143" w:leftChars="-68" w:firstLine="143" w:firstLineChars="68"/>
        <w:rPr>
          <w:rFonts w:ascii="黑体" w:hAnsi="黑体" w:eastAsia="黑体"/>
          <w:b/>
          <w:bCs/>
          <w:szCs w:val="21"/>
        </w:rPr>
      </w:pPr>
      <w:bookmarkStart w:id="141" w:name="_Toc416771355"/>
      <w:bookmarkStart w:id="142" w:name="_Toc410738969"/>
      <w:bookmarkStart w:id="143" w:name="_Toc410736169"/>
      <w:bookmarkStart w:id="144" w:name="_Toc416770245"/>
      <w:r>
        <w:rPr>
          <w:rFonts w:hint="eastAsia" w:ascii="黑体" w:hAnsi="黑体" w:eastAsia="黑体"/>
          <w:b/>
          <w:bCs/>
          <w:szCs w:val="21"/>
        </w:rPr>
        <w:t>接受和拒绝任何或所有磋商的权利</w:t>
      </w:r>
    </w:p>
    <w:p>
      <w:pPr>
        <w:pStyle w:val="68"/>
        <w:numPr>
          <w:ilvl w:val="0"/>
          <w:numId w:val="79"/>
        </w:numPr>
        <w:tabs>
          <w:tab w:val="left" w:pos="567"/>
          <w:tab w:val="left" w:pos="851"/>
          <w:tab w:val="left" w:pos="993"/>
        </w:tabs>
        <w:autoSpaceDE w:val="0"/>
        <w:autoSpaceDN w:val="0"/>
        <w:spacing w:line="360" w:lineRule="auto"/>
        <w:ind w:left="567" w:hanging="567" w:firstLineChars="0"/>
        <w:jc w:val="left"/>
        <w:rPr>
          <w:rFonts w:ascii="黑体" w:hAnsi="黑体" w:eastAsia="黑体"/>
          <w:b/>
          <w:bCs/>
          <w:szCs w:val="21"/>
        </w:rPr>
      </w:pPr>
      <w:r>
        <w:rPr>
          <w:rFonts w:hint="eastAsia" w:ascii="黑体" w:hAnsi="黑体" w:eastAsia="黑体"/>
          <w:bCs/>
          <w:szCs w:val="21"/>
        </w:rPr>
        <w:t>在特殊情况下，采购代理机构保留在磋商之前拒绝任何磋商以及宣布采购程序无效或拒绝所有磋商的权力。</w:t>
      </w:r>
    </w:p>
    <w:p>
      <w:pPr>
        <w:numPr>
          <w:ilvl w:val="0"/>
          <w:numId w:val="33"/>
        </w:numPr>
        <w:tabs>
          <w:tab w:val="left" w:pos="-142"/>
          <w:tab w:val="left" w:pos="640"/>
          <w:tab w:val="left" w:pos="993"/>
          <w:tab w:val="clear" w:pos="360"/>
        </w:tabs>
        <w:autoSpaceDE w:val="0"/>
        <w:autoSpaceDN w:val="0"/>
        <w:spacing w:before="156" w:beforeLines="50" w:line="360" w:lineRule="auto"/>
        <w:ind w:left="424" w:hanging="424"/>
        <w:rPr>
          <w:rFonts w:ascii="黑体" w:hAnsi="黑体" w:eastAsia="黑体"/>
          <w:b/>
          <w:bCs/>
          <w:szCs w:val="21"/>
        </w:rPr>
      </w:pPr>
      <w:r>
        <w:rPr>
          <w:rFonts w:hint="eastAsia" w:ascii="黑体" w:hAnsi="黑体" w:eastAsia="黑体"/>
          <w:b/>
          <w:bCs/>
          <w:szCs w:val="21"/>
        </w:rPr>
        <w:t>履约</w:t>
      </w:r>
      <w:bookmarkEnd w:id="141"/>
      <w:bookmarkEnd w:id="142"/>
      <w:bookmarkEnd w:id="143"/>
      <w:bookmarkEnd w:id="144"/>
      <w:r>
        <w:rPr>
          <w:rFonts w:hint="eastAsia" w:ascii="黑体" w:hAnsi="黑体" w:eastAsia="黑体"/>
          <w:b/>
          <w:bCs/>
          <w:szCs w:val="21"/>
        </w:rPr>
        <w:t>担保</w:t>
      </w:r>
    </w:p>
    <w:p>
      <w:pPr>
        <w:pStyle w:val="68"/>
        <w:numPr>
          <w:ilvl w:val="0"/>
          <w:numId w:val="80"/>
        </w:numPr>
        <w:tabs>
          <w:tab w:val="left" w:pos="-142"/>
          <w:tab w:val="left" w:pos="709"/>
          <w:tab w:val="left" w:pos="851"/>
          <w:tab w:val="left" w:pos="993"/>
        </w:tabs>
        <w:spacing w:line="360" w:lineRule="auto"/>
        <w:ind w:left="567" w:hanging="567" w:firstLineChars="0"/>
        <w:rPr>
          <w:rFonts w:ascii="黑体" w:hAnsi="黑体" w:eastAsia="黑体"/>
          <w:bCs/>
          <w:szCs w:val="21"/>
        </w:rPr>
      </w:pPr>
      <w:r>
        <w:rPr>
          <w:rFonts w:hint="eastAsia" w:ascii="黑体" w:hAnsi="黑体" w:eastAsia="黑体"/>
          <w:szCs w:val="21"/>
        </w:rPr>
        <w:t>成交人应按《磋商须知前附表》要求向采购人缴纳履约担保（如采用保函形式，格式详见磋商文件第七部分响应文件格式—政府采购履约担保）。履约担保可以采用银行转账或者以专业担保机构、金融机构出具的担保函的形式缴交。履约保函的内容，应符合磋商文件、投标响应文件和采购合同的要求。履约保函应在采购合同有效期满后28天内继续有效。</w:t>
      </w:r>
    </w:p>
    <w:p>
      <w:pPr>
        <w:pStyle w:val="68"/>
        <w:numPr>
          <w:ilvl w:val="0"/>
          <w:numId w:val="80"/>
        </w:numPr>
        <w:tabs>
          <w:tab w:val="left" w:pos="-142"/>
          <w:tab w:val="left" w:pos="709"/>
          <w:tab w:val="left" w:pos="851"/>
          <w:tab w:val="left" w:pos="993"/>
        </w:tabs>
        <w:spacing w:line="360" w:lineRule="auto"/>
        <w:ind w:left="567" w:hanging="567" w:firstLineChars="0"/>
        <w:rPr>
          <w:rFonts w:ascii="黑体" w:hAnsi="黑体" w:eastAsia="黑体"/>
          <w:bCs/>
          <w:szCs w:val="21"/>
        </w:rPr>
      </w:pPr>
      <w:r>
        <w:rPr>
          <w:rFonts w:hint="eastAsia" w:ascii="黑体" w:hAnsi="黑体" w:eastAsia="黑体"/>
          <w:bCs/>
          <w:szCs w:val="21"/>
        </w:rPr>
        <w:t>在整个项目验收合格后，成交人向采购人提交退回履约保证金的申请，采购人办理履约保证金退还手续，将履约保证金退回原成交人的汇入账户。、</w:t>
      </w:r>
    </w:p>
    <w:p>
      <w:pPr>
        <w:pStyle w:val="68"/>
        <w:numPr>
          <w:ilvl w:val="0"/>
          <w:numId w:val="80"/>
        </w:numPr>
        <w:tabs>
          <w:tab w:val="left" w:pos="-142"/>
          <w:tab w:val="left" w:pos="709"/>
          <w:tab w:val="left" w:pos="851"/>
          <w:tab w:val="left" w:pos="993"/>
        </w:tabs>
        <w:spacing w:line="360" w:lineRule="auto"/>
        <w:ind w:left="567" w:hanging="567" w:firstLineChars="0"/>
        <w:rPr>
          <w:rFonts w:ascii="黑体" w:hAnsi="黑体" w:eastAsia="黑体"/>
          <w:bCs/>
          <w:szCs w:val="21"/>
        </w:rPr>
      </w:pPr>
      <w:r>
        <w:rPr>
          <w:rFonts w:hint="eastAsia" w:ascii="黑体" w:hAnsi="黑体" w:eastAsia="黑体"/>
          <w:bCs/>
          <w:szCs w:val="21"/>
        </w:rPr>
        <w:t>发生下列情况之一的，履约保证金将被没收：</w:t>
      </w:r>
    </w:p>
    <w:p>
      <w:pPr>
        <w:pStyle w:val="30"/>
        <w:numPr>
          <w:ilvl w:val="0"/>
          <w:numId w:val="81"/>
        </w:numPr>
        <w:tabs>
          <w:tab w:val="left" w:pos="709"/>
          <w:tab w:val="left" w:pos="851"/>
        </w:tabs>
        <w:spacing w:line="360" w:lineRule="auto"/>
        <w:ind w:left="709" w:hanging="709" w:firstLineChars="0"/>
        <w:rPr>
          <w:rFonts w:ascii="黑体" w:hAnsi="黑体" w:eastAsia="黑体"/>
          <w:szCs w:val="21"/>
        </w:rPr>
      </w:pPr>
      <w:r>
        <w:rPr>
          <w:rFonts w:hint="eastAsia" w:ascii="黑体" w:hAnsi="黑体" w:eastAsia="黑体"/>
          <w:szCs w:val="21"/>
        </w:rPr>
        <w:t>成交供应商将本项目转让给他人，或者在响应文件中未说明，且未经采购人同意，将成交项目分包给他人的，采购人可依法没收其履约保证金；</w:t>
      </w:r>
    </w:p>
    <w:p>
      <w:pPr>
        <w:pStyle w:val="30"/>
        <w:numPr>
          <w:ilvl w:val="0"/>
          <w:numId w:val="81"/>
        </w:numPr>
        <w:tabs>
          <w:tab w:val="left" w:pos="709"/>
          <w:tab w:val="left" w:pos="851"/>
        </w:tabs>
        <w:spacing w:line="360" w:lineRule="auto"/>
        <w:ind w:left="709" w:hanging="709" w:firstLineChars="0"/>
        <w:rPr>
          <w:rFonts w:ascii="黑体" w:hAnsi="黑体" w:eastAsia="黑体"/>
          <w:szCs w:val="21"/>
        </w:rPr>
      </w:pPr>
      <w:r>
        <w:rPr>
          <w:rFonts w:hint="eastAsia" w:ascii="黑体" w:hAnsi="黑体" w:eastAsia="黑体"/>
          <w:szCs w:val="21"/>
        </w:rPr>
        <w:t>成交供应商在履行采购合同期间，违反有关法律法规的规定及合同约定的条款，损害了采购人的利益，采购人可依法没收其履约保证金。</w:t>
      </w:r>
    </w:p>
    <w:p>
      <w:pPr>
        <w:numPr>
          <w:ilvl w:val="0"/>
          <w:numId w:val="33"/>
        </w:numPr>
        <w:autoSpaceDE w:val="0"/>
        <w:autoSpaceDN w:val="0"/>
        <w:spacing w:before="156" w:beforeLines="50" w:line="360" w:lineRule="auto"/>
        <w:ind w:left="357" w:hanging="357"/>
        <w:rPr>
          <w:rFonts w:ascii="黑体" w:hAnsi="黑体" w:eastAsia="黑体"/>
          <w:b/>
          <w:bCs/>
          <w:szCs w:val="21"/>
        </w:rPr>
      </w:pPr>
      <w:bookmarkStart w:id="145" w:name="_Toc410738970"/>
      <w:bookmarkStart w:id="146" w:name="_Toc410736170"/>
      <w:bookmarkStart w:id="147" w:name="_Toc416771356"/>
      <w:bookmarkStart w:id="148" w:name="_Toc416770246"/>
      <w:r>
        <w:rPr>
          <w:rFonts w:hint="eastAsia" w:ascii="黑体" w:hAnsi="黑体" w:eastAsia="黑体"/>
          <w:b/>
          <w:bCs/>
          <w:szCs w:val="21"/>
        </w:rPr>
        <w:t>发票</w:t>
      </w:r>
    </w:p>
    <w:p>
      <w:pPr>
        <w:pStyle w:val="68"/>
        <w:numPr>
          <w:ilvl w:val="0"/>
          <w:numId w:val="82"/>
        </w:numPr>
        <w:tabs>
          <w:tab w:val="left" w:pos="567"/>
          <w:tab w:val="left" w:pos="644"/>
          <w:tab w:val="left" w:pos="709"/>
        </w:tabs>
        <w:autoSpaceDE w:val="0"/>
        <w:autoSpaceDN w:val="0"/>
        <w:spacing w:line="360" w:lineRule="auto"/>
        <w:ind w:left="567" w:hanging="567" w:firstLineChars="0"/>
        <w:jc w:val="left"/>
        <w:rPr>
          <w:rFonts w:ascii="黑体" w:hAnsi="黑体" w:eastAsia="黑体"/>
          <w:b/>
          <w:bCs/>
          <w:szCs w:val="21"/>
        </w:rPr>
      </w:pPr>
      <w:r>
        <w:rPr>
          <w:rFonts w:hint="eastAsia" w:ascii="黑体" w:hAnsi="黑体" w:eastAsia="黑体"/>
          <w:bCs/>
          <w:spacing w:val="-2"/>
          <w:szCs w:val="21"/>
        </w:rPr>
        <w:t>成交供应商与采购人签署合同后，开具发票时，开发票的单位名称必须与成交供应商的名称一致。</w:t>
      </w:r>
    </w:p>
    <w:p>
      <w:pPr>
        <w:numPr>
          <w:ilvl w:val="0"/>
          <w:numId w:val="33"/>
        </w:numPr>
        <w:autoSpaceDE w:val="0"/>
        <w:autoSpaceDN w:val="0"/>
        <w:spacing w:before="156" w:beforeLines="50" w:line="360" w:lineRule="auto"/>
        <w:ind w:left="357" w:hanging="357"/>
        <w:rPr>
          <w:rFonts w:ascii="黑体" w:hAnsi="黑体" w:eastAsia="黑体"/>
          <w:b/>
          <w:bCs/>
          <w:szCs w:val="21"/>
        </w:rPr>
      </w:pPr>
      <w:r>
        <w:rPr>
          <w:rFonts w:hint="eastAsia" w:ascii="黑体" w:hAnsi="黑体" w:eastAsia="黑体"/>
          <w:b/>
          <w:bCs/>
          <w:szCs w:val="21"/>
        </w:rPr>
        <w:t>采购代理服务费</w:t>
      </w:r>
      <w:bookmarkEnd w:id="145"/>
      <w:bookmarkEnd w:id="146"/>
      <w:bookmarkEnd w:id="147"/>
      <w:bookmarkEnd w:id="148"/>
    </w:p>
    <w:p>
      <w:pPr>
        <w:pStyle w:val="68"/>
        <w:numPr>
          <w:ilvl w:val="0"/>
          <w:numId w:val="83"/>
        </w:numPr>
        <w:tabs>
          <w:tab w:val="left" w:pos="644"/>
        </w:tabs>
        <w:autoSpaceDE w:val="0"/>
        <w:autoSpaceDN w:val="0"/>
        <w:spacing w:line="360" w:lineRule="auto"/>
        <w:ind w:left="567" w:hanging="567" w:firstLineChars="0"/>
        <w:jc w:val="left"/>
        <w:rPr>
          <w:rFonts w:ascii="黑体" w:hAnsi="黑体" w:eastAsia="黑体" w:cs="宋体"/>
          <w:szCs w:val="21"/>
        </w:rPr>
      </w:pPr>
      <w:r>
        <w:rPr>
          <w:rFonts w:hint="eastAsia" w:ascii="黑体" w:hAnsi="黑体" w:eastAsia="黑体"/>
          <w:bCs/>
          <w:szCs w:val="21"/>
        </w:rPr>
        <w:t>成交供应商应在领取《成交通知书》原件时向招标代理机构一次性支付采购代理服务费</w:t>
      </w:r>
      <w:r>
        <w:rPr>
          <w:rFonts w:ascii="黑体" w:hAnsi="黑体" w:eastAsia="黑体"/>
          <w:bCs/>
          <w:szCs w:val="21"/>
        </w:rPr>
        <w:t>(</w:t>
      </w:r>
      <w:r>
        <w:rPr>
          <w:rFonts w:hint="eastAsia" w:ascii="黑体" w:hAnsi="黑体" w:eastAsia="黑体"/>
          <w:bCs/>
          <w:szCs w:val="21"/>
        </w:rPr>
        <w:t>参照国家计委文件</w:t>
      </w:r>
      <w:r>
        <w:rPr>
          <w:rFonts w:ascii="黑体" w:hAnsi="黑体" w:eastAsia="黑体"/>
          <w:bCs/>
          <w:szCs w:val="21"/>
        </w:rPr>
        <w:t>“</w:t>
      </w:r>
      <w:r>
        <w:rPr>
          <w:rFonts w:hint="eastAsia" w:ascii="黑体" w:hAnsi="黑体" w:eastAsia="黑体"/>
          <w:bCs/>
          <w:szCs w:val="21"/>
        </w:rPr>
        <w:t>计价格</w:t>
      </w:r>
      <w:r>
        <w:rPr>
          <w:rFonts w:ascii="黑体" w:hAnsi="黑体" w:eastAsia="黑体"/>
          <w:bCs/>
          <w:szCs w:val="21"/>
        </w:rPr>
        <w:t>[2002]1980</w:t>
      </w:r>
      <w:r>
        <w:rPr>
          <w:rFonts w:hint="eastAsia" w:ascii="黑体" w:hAnsi="黑体" w:eastAsia="黑体"/>
          <w:bCs/>
          <w:szCs w:val="21"/>
        </w:rPr>
        <w:t>号文</w:t>
      </w:r>
      <w:r>
        <w:rPr>
          <w:rFonts w:ascii="黑体" w:hAnsi="黑体" w:eastAsia="黑体"/>
          <w:bCs/>
          <w:szCs w:val="21"/>
        </w:rPr>
        <w:t>”</w:t>
      </w:r>
      <w:r>
        <w:rPr>
          <w:rFonts w:hint="eastAsia" w:ascii="黑体" w:hAnsi="黑体" w:eastAsia="黑体"/>
          <w:bCs/>
          <w:szCs w:val="21"/>
        </w:rPr>
        <w:t>、“发改办价格</w:t>
      </w:r>
      <w:r>
        <w:rPr>
          <w:rFonts w:ascii="黑体" w:hAnsi="黑体" w:eastAsia="黑体"/>
          <w:bCs/>
          <w:szCs w:val="21"/>
        </w:rPr>
        <w:t>[2003]857</w:t>
      </w:r>
      <w:r>
        <w:rPr>
          <w:rFonts w:hint="eastAsia" w:ascii="黑体" w:hAnsi="黑体" w:eastAsia="黑体"/>
          <w:bCs/>
          <w:szCs w:val="21"/>
        </w:rPr>
        <w:t>号文”和“发改价格</w:t>
      </w:r>
      <w:r>
        <w:rPr>
          <w:rFonts w:ascii="黑体" w:hAnsi="黑体" w:eastAsia="黑体"/>
          <w:bCs/>
          <w:szCs w:val="21"/>
        </w:rPr>
        <w:t>[2011]534号文</w:t>
      </w:r>
      <w:r>
        <w:rPr>
          <w:rFonts w:hint="eastAsia" w:ascii="黑体" w:hAnsi="黑体" w:eastAsia="黑体"/>
          <w:bCs/>
          <w:szCs w:val="21"/>
        </w:rPr>
        <w:t>”的规定标准执行</w:t>
      </w:r>
      <w:r>
        <w:rPr>
          <w:rFonts w:ascii="黑体" w:hAnsi="黑体" w:eastAsia="黑体"/>
          <w:bCs/>
          <w:szCs w:val="21"/>
        </w:rPr>
        <w:t>)</w:t>
      </w:r>
      <w:r>
        <w:rPr>
          <w:rFonts w:hint="eastAsia" w:ascii="黑体" w:hAnsi="黑体" w:eastAsia="黑体"/>
          <w:bCs/>
          <w:szCs w:val="21"/>
        </w:rPr>
        <w:t>。</w:t>
      </w:r>
    </w:p>
    <w:p>
      <w:pPr>
        <w:pStyle w:val="68"/>
        <w:numPr>
          <w:ilvl w:val="0"/>
          <w:numId w:val="83"/>
        </w:numPr>
        <w:tabs>
          <w:tab w:val="left" w:pos="644"/>
        </w:tabs>
        <w:autoSpaceDE w:val="0"/>
        <w:autoSpaceDN w:val="0"/>
        <w:spacing w:line="360" w:lineRule="auto"/>
        <w:ind w:left="567" w:hanging="567" w:firstLineChars="0"/>
        <w:jc w:val="left"/>
        <w:rPr>
          <w:rFonts w:ascii="黑体" w:hAnsi="黑体" w:eastAsia="黑体" w:cs="宋体"/>
          <w:szCs w:val="21"/>
        </w:rPr>
      </w:pPr>
      <w:r>
        <w:rPr>
          <w:rFonts w:hint="eastAsia" w:ascii="黑体" w:hAnsi="黑体" w:eastAsia="黑体"/>
          <w:bCs/>
          <w:szCs w:val="21"/>
        </w:rPr>
        <w:t>本项目类型为</w:t>
      </w:r>
      <w:r>
        <w:rPr>
          <w:rFonts w:hint="eastAsia" w:ascii="黑体" w:hAnsi="黑体" w:eastAsia="黑体"/>
          <w:bCs/>
          <w:szCs w:val="21"/>
          <w:u w:val="single"/>
        </w:rPr>
        <w:t>（</w:t>
      </w:r>
      <w:r>
        <w:rPr>
          <w:rFonts w:hint="eastAsia" w:ascii="黑体" w:hAnsi="黑体" w:eastAsia="黑体"/>
          <w:b/>
          <w:bCs/>
          <w:szCs w:val="21"/>
          <w:u w:val="single"/>
        </w:rPr>
        <w:t>详见磋商须知前附表</w:t>
      </w:r>
      <w:r>
        <w:rPr>
          <w:rFonts w:hint="eastAsia" w:ascii="黑体" w:hAnsi="黑体" w:eastAsia="黑体"/>
          <w:bCs/>
          <w:szCs w:val="21"/>
          <w:u w:val="single"/>
        </w:rPr>
        <w:t>）</w:t>
      </w:r>
      <w:r>
        <w:rPr>
          <w:rFonts w:hint="eastAsia" w:ascii="黑体" w:hAnsi="黑体" w:eastAsia="黑体"/>
          <w:b/>
          <w:bCs/>
          <w:szCs w:val="21"/>
        </w:rPr>
        <w:t>。</w:t>
      </w:r>
    </w:p>
    <w:p>
      <w:pPr>
        <w:pStyle w:val="68"/>
        <w:numPr>
          <w:ilvl w:val="0"/>
          <w:numId w:val="83"/>
        </w:numPr>
        <w:tabs>
          <w:tab w:val="left" w:pos="644"/>
        </w:tabs>
        <w:autoSpaceDE w:val="0"/>
        <w:autoSpaceDN w:val="0"/>
        <w:spacing w:line="360" w:lineRule="auto"/>
        <w:ind w:left="567" w:hanging="567" w:firstLineChars="0"/>
        <w:jc w:val="left"/>
        <w:rPr>
          <w:rFonts w:ascii="黑体" w:hAnsi="黑体" w:eastAsia="黑体" w:cs="宋体"/>
          <w:szCs w:val="21"/>
        </w:rPr>
      </w:pPr>
      <w:r>
        <w:rPr>
          <w:rFonts w:ascii="黑体" w:hAnsi="黑体" w:eastAsia="黑体"/>
          <w:bCs/>
          <w:szCs w:val="21"/>
        </w:rPr>
        <w:t>招标代理服务收</w:t>
      </w:r>
      <w:r>
        <w:rPr>
          <w:rFonts w:hint="eastAsia" w:ascii="黑体" w:hAnsi="黑体" w:eastAsia="黑体"/>
          <w:bCs/>
          <w:szCs w:val="21"/>
        </w:rPr>
        <w:t>费</w:t>
      </w:r>
      <w:r>
        <w:rPr>
          <w:rFonts w:ascii="黑体" w:hAnsi="黑体" w:eastAsia="黑体"/>
          <w:bCs/>
          <w:szCs w:val="21"/>
        </w:rPr>
        <w:t>标准</w:t>
      </w:r>
      <w:r>
        <w:rPr>
          <w:rFonts w:hint="eastAsia" w:ascii="黑体" w:hAnsi="黑体" w:eastAsia="黑体"/>
          <w:bCs/>
          <w:szCs w:val="21"/>
        </w:rPr>
        <w:t>：</w:t>
      </w:r>
    </w:p>
    <w:tbl>
      <w:tblPr>
        <w:tblStyle w:val="22"/>
        <w:tblW w:w="8522"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375"/>
        <w:gridCol w:w="1986"/>
        <w:gridCol w:w="1984"/>
        <w:gridCol w:w="217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4" w:hRule="atLeast"/>
          <w:jc w:val="center"/>
        </w:trPr>
        <w:tc>
          <w:tcPr>
            <w:tcW w:w="2375" w:type="dxa"/>
            <w:tcBorders>
              <w:tl2br w:val="single" w:color="000000" w:sz="8" w:space="0"/>
            </w:tcBorders>
            <w:shd w:val="clear" w:color="auto" w:fill="auto"/>
          </w:tcPr>
          <w:p>
            <w:pPr>
              <w:spacing w:line="360" w:lineRule="auto"/>
              <w:rPr>
                <w:rFonts w:ascii="黑体" w:hAnsi="黑体" w:eastAsia="黑体"/>
                <w:szCs w:val="21"/>
              </w:rPr>
            </w:pPr>
            <w:r>
              <w:rPr>
                <w:rFonts w:ascii="黑体" w:hAnsi="黑体" w:eastAsia="黑体"/>
                <w:szCs w:val="21"/>
              </w:rPr>
              <w:t xml:space="preserve">              费率</w:t>
            </w:r>
          </w:p>
          <w:p>
            <w:pPr>
              <w:spacing w:line="360" w:lineRule="auto"/>
              <w:rPr>
                <w:rFonts w:ascii="黑体" w:hAnsi="黑体" w:eastAsia="黑体"/>
                <w:szCs w:val="21"/>
              </w:rPr>
            </w:pPr>
            <w:r>
              <w:rPr>
                <w:rFonts w:hint="eastAsia" w:ascii="黑体" w:hAnsi="黑体" w:eastAsia="黑体"/>
                <w:szCs w:val="21"/>
              </w:rPr>
              <w:t>成交金额</w:t>
            </w:r>
          </w:p>
        </w:tc>
        <w:tc>
          <w:tcPr>
            <w:tcW w:w="1986" w:type="dxa"/>
            <w:shd w:val="clear" w:color="auto" w:fill="auto"/>
            <w:vAlign w:val="center"/>
          </w:tcPr>
          <w:p>
            <w:pPr>
              <w:spacing w:line="360" w:lineRule="auto"/>
              <w:jc w:val="center"/>
              <w:rPr>
                <w:rFonts w:ascii="黑体" w:hAnsi="黑体" w:eastAsia="黑体"/>
                <w:szCs w:val="21"/>
              </w:rPr>
            </w:pPr>
            <w:r>
              <w:rPr>
                <w:rFonts w:hint="eastAsia" w:ascii="黑体" w:hAnsi="黑体" w:eastAsia="黑体"/>
                <w:szCs w:val="21"/>
              </w:rPr>
              <w:t>货物招标</w:t>
            </w:r>
          </w:p>
        </w:tc>
        <w:tc>
          <w:tcPr>
            <w:tcW w:w="1984" w:type="dxa"/>
            <w:shd w:val="clear" w:color="auto" w:fill="auto"/>
            <w:vAlign w:val="center"/>
          </w:tcPr>
          <w:p>
            <w:pPr>
              <w:spacing w:line="360" w:lineRule="auto"/>
              <w:jc w:val="center"/>
              <w:rPr>
                <w:rFonts w:ascii="黑体" w:hAnsi="黑体" w:eastAsia="黑体"/>
                <w:szCs w:val="21"/>
              </w:rPr>
            </w:pPr>
            <w:r>
              <w:rPr>
                <w:rFonts w:hint="eastAsia" w:ascii="黑体" w:hAnsi="黑体" w:eastAsia="黑体"/>
                <w:szCs w:val="21"/>
              </w:rPr>
              <w:t>服务招标</w:t>
            </w:r>
          </w:p>
        </w:tc>
        <w:tc>
          <w:tcPr>
            <w:tcW w:w="2177" w:type="dxa"/>
            <w:shd w:val="clear" w:color="auto" w:fill="auto"/>
            <w:vAlign w:val="center"/>
          </w:tcPr>
          <w:p>
            <w:pPr>
              <w:spacing w:line="360" w:lineRule="auto"/>
              <w:jc w:val="center"/>
              <w:rPr>
                <w:rFonts w:ascii="黑体" w:hAnsi="黑体" w:eastAsia="黑体"/>
                <w:szCs w:val="21"/>
              </w:rPr>
            </w:pPr>
            <w:r>
              <w:rPr>
                <w:rFonts w:hint="eastAsia" w:ascii="黑体" w:hAnsi="黑体" w:eastAsia="黑体"/>
                <w:szCs w:val="21"/>
              </w:rPr>
              <w:t>工程招标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30" w:hRule="atLeast"/>
          <w:jc w:val="center"/>
        </w:trPr>
        <w:tc>
          <w:tcPr>
            <w:tcW w:w="2375" w:type="dxa"/>
            <w:vAlign w:val="center"/>
          </w:tcPr>
          <w:p>
            <w:pPr>
              <w:spacing w:line="360" w:lineRule="auto"/>
              <w:jc w:val="center"/>
              <w:rPr>
                <w:rFonts w:ascii="黑体" w:hAnsi="黑体" w:eastAsia="黑体"/>
                <w:szCs w:val="21"/>
              </w:rPr>
            </w:pPr>
            <w:r>
              <w:rPr>
                <w:rFonts w:ascii="黑体" w:hAnsi="黑体" w:eastAsia="黑体"/>
                <w:szCs w:val="21"/>
              </w:rPr>
              <w:t>100万元以下</w:t>
            </w:r>
          </w:p>
        </w:tc>
        <w:tc>
          <w:tcPr>
            <w:tcW w:w="1986" w:type="dxa"/>
            <w:vAlign w:val="center"/>
          </w:tcPr>
          <w:p>
            <w:pPr>
              <w:spacing w:line="360" w:lineRule="auto"/>
              <w:jc w:val="center"/>
              <w:rPr>
                <w:rFonts w:ascii="黑体" w:hAnsi="黑体" w:eastAsia="黑体"/>
                <w:szCs w:val="21"/>
              </w:rPr>
            </w:pPr>
            <w:r>
              <w:rPr>
                <w:rFonts w:ascii="黑体" w:hAnsi="黑体" w:eastAsia="黑体"/>
                <w:szCs w:val="21"/>
              </w:rPr>
              <w:t>1.5%</w:t>
            </w:r>
          </w:p>
        </w:tc>
        <w:tc>
          <w:tcPr>
            <w:tcW w:w="1984" w:type="dxa"/>
            <w:vAlign w:val="center"/>
          </w:tcPr>
          <w:p>
            <w:pPr>
              <w:spacing w:line="360" w:lineRule="auto"/>
              <w:jc w:val="center"/>
              <w:rPr>
                <w:rFonts w:ascii="黑体" w:hAnsi="黑体" w:eastAsia="黑体"/>
                <w:szCs w:val="21"/>
              </w:rPr>
            </w:pPr>
            <w:r>
              <w:rPr>
                <w:rFonts w:ascii="黑体" w:hAnsi="黑体" w:eastAsia="黑体"/>
                <w:szCs w:val="21"/>
              </w:rPr>
              <w:t>1.5%</w:t>
            </w:r>
          </w:p>
        </w:tc>
        <w:tc>
          <w:tcPr>
            <w:tcW w:w="2177" w:type="dxa"/>
            <w:vAlign w:val="center"/>
          </w:tcPr>
          <w:p>
            <w:pPr>
              <w:spacing w:line="360" w:lineRule="auto"/>
              <w:jc w:val="center"/>
              <w:rPr>
                <w:rFonts w:ascii="黑体" w:hAnsi="黑体" w:eastAsia="黑体"/>
                <w:szCs w:val="21"/>
              </w:rPr>
            </w:pPr>
            <w:r>
              <w:rPr>
                <w:rFonts w:ascii="黑体" w:hAnsi="黑体" w:eastAsia="黑体"/>
                <w:szCs w:val="21"/>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2375" w:type="dxa"/>
            <w:vAlign w:val="center"/>
          </w:tcPr>
          <w:p>
            <w:pPr>
              <w:spacing w:line="360" w:lineRule="auto"/>
              <w:jc w:val="center"/>
              <w:rPr>
                <w:rFonts w:ascii="黑体" w:hAnsi="黑体" w:eastAsia="黑体"/>
                <w:szCs w:val="21"/>
              </w:rPr>
            </w:pPr>
            <w:r>
              <w:rPr>
                <w:rFonts w:ascii="黑体" w:hAnsi="黑体" w:eastAsia="黑体"/>
                <w:szCs w:val="21"/>
              </w:rPr>
              <w:t>100-500万元</w:t>
            </w:r>
          </w:p>
        </w:tc>
        <w:tc>
          <w:tcPr>
            <w:tcW w:w="1986" w:type="dxa"/>
            <w:vAlign w:val="center"/>
          </w:tcPr>
          <w:p>
            <w:pPr>
              <w:spacing w:line="360" w:lineRule="auto"/>
              <w:jc w:val="center"/>
              <w:rPr>
                <w:rFonts w:ascii="黑体" w:hAnsi="黑体" w:eastAsia="黑体"/>
                <w:szCs w:val="21"/>
              </w:rPr>
            </w:pPr>
            <w:r>
              <w:rPr>
                <w:rFonts w:ascii="黑体" w:hAnsi="黑体" w:eastAsia="黑体"/>
                <w:szCs w:val="21"/>
              </w:rPr>
              <w:t>1.1%</w:t>
            </w:r>
          </w:p>
        </w:tc>
        <w:tc>
          <w:tcPr>
            <w:tcW w:w="1984" w:type="dxa"/>
            <w:vAlign w:val="center"/>
          </w:tcPr>
          <w:p>
            <w:pPr>
              <w:spacing w:line="360" w:lineRule="auto"/>
              <w:jc w:val="center"/>
              <w:rPr>
                <w:rFonts w:ascii="黑体" w:hAnsi="黑体" w:eastAsia="黑体"/>
                <w:szCs w:val="21"/>
              </w:rPr>
            </w:pPr>
            <w:r>
              <w:rPr>
                <w:rFonts w:ascii="黑体" w:hAnsi="黑体" w:eastAsia="黑体"/>
                <w:szCs w:val="21"/>
              </w:rPr>
              <w:t>0.8%</w:t>
            </w:r>
          </w:p>
        </w:tc>
        <w:tc>
          <w:tcPr>
            <w:tcW w:w="2177" w:type="dxa"/>
            <w:vAlign w:val="center"/>
          </w:tcPr>
          <w:p>
            <w:pPr>
              <w:spacing w:line="360" w:lineRule="auto"/>
              <w:jc w:val="center"/>
              <w:rPr>
                <w:rFonts w:ascii="黑体" w:hAnsi="黑体" w:eastAsia="黑体"/>
                <w:szCs w:val="21"/>
              </w:rPr>
            </w:pPr>
            <w:r>
              <w:rPr>
                <w:rFonts w:ascii="黑体" w:hAnsi="黑体" w:eastAsia="黑体"/>
                <w:szCs w:val="21"/>
              </w:rPr>
              <w:t>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1" w:hRule="atLeast"/>
          <w:jc w:val="center"/>
        </w:trPr>
        <w:tc>
          <w:tcPr>
            <w:tcW w:w="2375" w:type="dxa"/>
            <w:vAlign w:val="center"/>
          </w:tcPr>
          <w:p>
            <w:pPr>
              <w:spacing w:line="360" w:lineRule="auto"/>
              <w:jc w:val="center"/>
              <w:rPr>
                <w:rFonts w:ascii="黑体" w:hAnsi="黑体" w:eastAsia="黑体"/>
                <w:szCs w:val="21"/>
              </w:rPr>
            </w:pPr>
            <w:r>
              <w:rPr>
                <w:rFonts w:ascii="黑体" w:hAnsi="黑体" w:eastAsia="黑体"/>
                <w:szCs w:val="21"/>
              </w:rPr>
              <w:t>500-1000万元</w:t>
            </w:r>
          </w:p>
        </w:tc>
        <w:tc>
          <w:tcPr>
            <w:tcW w:w="1986" w:type="dxa"/>
            <w:vAlign w:val="center"/>
          </w:tcPr>
          <w:p>
            <w:pPr>
              <w:spacing w:line="360" w:lineRule="auto"/>
              <w:jc w:val="center"/>
              <w:rPr>
                <w:rFonts w:ascii="黑体" w:hAnsi="黑体" w:eastAsia="黑体"/>
                <w:szCs w:val="21"/>
              </w:rPr>
            </w:pPr>
            <w:r>
              <w:rPr>
                <w:rFonts w:ascii="黑体" w:hAnsi="黑体" w:eastAsia="黑体"/>
                <w:szCs w:val="21"/>
              </w:rPr>
              <w:t>0.8%</w:t>
            </w:r>
          </w:p>
        </w:tc>
        <w:tc>
          <w:tcPr>
            <w:tcW w:w="1984" w:type="dxa"/>
            <w:vAlign w:val="center"/>
          </w:tcPr>
          <w:p>
            <w:pPr>
              <w:spacing w:line="360" w:lineRule="auto"/>
              <w:jc w:val="center"/>
              <w:rPr>
                <w:rFonts w:ascii="黑体" w:hAnsi="黑体" w:eastAsia="黑体"/>
                <w:szCs w:val="21"/>
              </w:rPr>
            </w:pPr>
            <w:r>
              <w:rPr>
                <w:rFonts w:ascii="黑体" w:hAnsi="黑体" w:eastAsia="黑体"/>
                <w:szCs w:val="21"/>
              </w:rPr>
              <w:t>0.45%</w:t>
            </w:r>
          </w:p>
        </w:tc>
        <w:tc>
          <w:tcPr>
            <w:tcW w:w="2177" w:type="dxa"/>
            <w:vAlign w:val="center"/>
          </w:tcPr>
          <w:p>
            <w:pPr>
              <w:spacing w:line="360" w:lineRule="auto"/>
              <w:jc w:val="center"/>
              <w:rPr>
                <w:rFonts w:ascii="黑体" w:hAnsi="黑体" w:eastAsia="黑体"/>
                <w:szCs w:val="21"/>
              </w:rPr>
            </w:pPr>
            <w:r>
              <w:rPr>
                <w:rFonts w:ascii="黑体" w:hAnsi="黑体" w:eastAsia="黑体"/>
                <w:szCs w:val="21"/>
              </w:rPr>
              <w:t>0.55%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7" w:hRule="atLeast"/>
          <w:jc w:val="center"/>
        </w:trPr>
        <w:tc>
          <w:tcPr>
            <w:tcW w:w="2375" w:type="dxa"/>
            <w:vAlign w:val="center"/>
          </w:tcPr>
          <w:p>
            <w:pPr>
              <w:spacing w:line="360" w:lineRule="auto"/>
              <w:jc w:val="center"/>
              <w:rPr>
                <w:rFonts w:ascii="黑体" w:hAnsi="黑体" w:eastAsia="黑体"/>
                <w:szCs w:val="21"/>
              </w:rPr>
            </w:pPr>
            <w:r>
              <w:rPr>
                <w:rFonts w:ascii="黑体" w:hAnsi="黑体" w:eastAsia="黑体"/>
                <w:szCs w:val="21"/>
              </w:rPr>
              <w:t>1000-5000万元</w:t>
            </w:r>
          </w:p>
        </w:tc>
        <w:tc>
          <w:tcPr>
            <w:tcW w:w="1986" w:type="dxa"/>
            <w:vAlign w:val="center"/>
          </w:tcPr>
          <w:p>
            <w:pPr>
              <w:spacing w:line="360" w:lineRule="auto"/>
              <w:jc w:val="center"/>
              <w:rPr>
                <w:rFonts w:ascii="黑体" w:hAnsi="黑体" w:eastAsia="黑体"/>
                <w:szCs w:val="21"/>
              </w:rPr>
            </w:pPr>
            <w:r>
              <w:rPr>
                <w:rFonts w:ascii="黑体" w:hAnsi="黑体" w:eastAsia="黑体"/>
                <w:szCs w:val="21"/>
              </w:rPr>
              <w:t xml:space="preserve">0.5%                </w:t>
            </w:r>
          </w:p>
        </w:tc>
        <w:tc>
          <w:tcPr>
            <w:tcW w:w="1984" w:type="dxa"/>
            <w:vAlign w:val="center"/>
          </w:tcPr>
          <w:p>
            <w:pPr>
              <w:spacing w:line="360" w:lineRule="auto"/>
              <w:jc w:val="center"/>
              <w:rPr>
                <w:rFonts w:ascii="黑体" w:hAnsi="黑体" w:eastAsia="黑体"/>
                <w:szCs w:val="21"/>
              </w:rPr>
            </w:pPr>
            <w:r>
              <w:rPr>
                <w:rFonts w:ascii="黑体" w:hAnsi="黑体" w:eastAsia="黑体"/>
                <w:szCs w:val="21"/>
              </w:rPr>
              <w:t>0.25%</w:t>
            </w:r>
          </w:p>
        </w:tc>
        <w:tc>
          <w:tcPr>
            <w:tcW w:w="2177" w:type="dxa"/>
            <w:vAlign w:val="center"/>
          </w:tcPr>
          <w:p>
            <w:pPr>
              <w:spacing w:line="360" w:lineRule="auto"/>
              <w:jc w:val="center"/>
              <w:rPr>
                <w:rFonts w:ascii="黑体" w:hAnsi="黑体" w:eastAsia="黑体"/>
                <w:szCs w:val="21"/>
              </w:rPr>
            </w:pPr>
            <w:r>
              <w:rPr>
                <w:rFonts w:ascii="黑体" w:hAnsi="黑体" w:eastAsia="黑体"/>
                <w:szCs w:val="21"/>
              </w:rPr>
              <w:t>0.35%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8" w:hRule="atLeast"/>
          <w:jc w:val="center"/>
        </w:trPr>
        <w:tc>
          <w:tcPr>
            <w:tcW w:w="2375" w:type="dxa"/>
            <w:vAlign w:val="center"/>
          </w:tcPr>
          <w:p>
            <w:pPr>
              <w:spacing w:line="360" w:lineRule="auto"/>
              <w:jc w:val="center"/>
              <w:rPr>
                <w:rFonts w:ascii="黑体" w:hAnsi="黑体" w:eastAsia="黑体"/>
                <w:szCs w:val="21"/>
              </w:rPr>
            </w:pPr>
            <w:r>
              <w:rPr>
                <w:rFonts w:ascii="黑体" w:hAnsi="黑体" w:eastAsia="黑体"/>
                <w:szCs w:val="21"/>
              </w:rPr>
              <w:t>5000万元-1亿元</w:t>
            </w:r>
          </w:p>
        </w:tc>
        <w:tc>
          <w:tcPr>
            <w:tcW w:w="1986" w:type="dxa"/>
            <w:vAlign w:val="center"/>
          </w:tcPr>
          <w:p>
            <w:pPr>
              <w:spacing w:line="360" w:lineRule="auto"/>
              <w:jc w:val="center"/>
              <w:rPr>
                <w:rFonts w:ascii="黑体" w:hAnsi="黑体" w:eastAsia="黑体"/>
                <w:szCs w:val="21"/>
              </w:rPr>
            </w:pPr>
            <w:r>
              <w:rPr>
                <w:rFonts w:ascii="黑体" w:hAnsi="黑体" w:eastAsia="黑体"/>
                <w:szCs w:val="21"/>
              </w:rPr>
              <w:t xml:space="preserve">0.25%                 </w:t>
            </w:r>
          </w:p>
        </w:tc>
        <w:tc>
          <w:tcPr>
            <w:tcW w:w="1984" w:type="dxa"/>
            <w:vAlign w:val="center"/>
          </w:tcPr>
          <w:p>
            <w:pPr>
              <w:spacing w:line="360" w:lineRule="auto"/>
              <w:jc w:val="center"/>
              <w:rPr>
                <w:rFonts w:ascii="黑体" w:hAnsi="黑体" w:eastAsia="黑体"/>
                <w:szCs w:val="21"/>
              </w:rPr>
            </w:pPr>
            <w:r>
              <w:rPr>
                <w:rFonts w:ascii="黑体" w:hAnsi="黑体" w:eastAsia="黑体"/>
                <w:szCs w:val="21"/>
              </w:rPr>
              <w:t>0.1%</w:t>
            </w:r>
          </w:p>
        </w:tc>
        <w:tc>
          <w:tcPr>
            <w:tcW w:w="2177" w:type="dxa"/>
            <w:vAlign w:val="center"/>
          </w:tcPr>
          <w:p>
            <w:pPr>
              <w:spacing w:line="360" w:lineRule="auto"/>
              <w:jc w:val="center"/>
              <w:rPr>
                <w:rFonts w:ascii="黑体" w:hAnsi="黑体" w:eastAsia="黑体"/>
                <w:szCs w:val="21"/>
              </w:rPr>
            </w:pPr>
            <w:r>
              <w:rPr>
                <w:rFonts w:ascii="黑体" w:hAnsi="黑体" w:eastAsia="黑体"/>
                <w:szCs w:val="21"/>
              </w:rPr>
              <w:t>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4" w:hRule="atLeast"/>
          <w:jc w:val="center"/>
        </w:trPr>
        <w:tc>
          <w:tcPr>
            <w:tcW w:w="2375" w:type="dxa"/>
            <w:vAlign w:val="center"/>
          </w:tcPr>
          <w:p>
            <w:pPr>
              <w:spacing w:line="360" w:lineRule="auto"/>
              <w:jc w:val="center"/>
              <w:rPr>
                <w:rFonts w:ascii="黑体" w:hAnsi="黑体" w:eastAsia="黑体"/>
                <w:szCs w:val="21"/>
              </w:rPr>
            </w:pPr>
            <w:r>
              <w:rPr>
                <w:rFonts w:ascii="黑体" w:hAnsi="黑体" w:eastAsia="黑体"/>
                <w:szCs w:val="21"/>
              </w:rPr>
              <w:t>1-5亿元</w:t>
            </w:r>
          </w:p>
        </w:tc>
        <w:tc>
          <w:tcPr>
            <w:tcW w:w="1986" w:type="dxa"/>
            <w:vAlign w:val="center"/>
          </w:tcPr>
          <w:p>
            <w:pPr>
              <w:spacing w:line="360" w:lineRule="auto"/>
              <w:jc w:val="center"/>
              <w:rPr>
                <w:rFonts w:ascii="黑体" w:hAnsi="黑体" w:eastAsia="黑体"/>
                <w:szCs w:val="21"/>
              </w:rPr>
            </w:pPr>
            <w:r>
              <w:rPr>
                <w:rFonts w:ascii="黑体" w:hAnsi="黑体" w:eastAsia="黑体"/>
                <w:szCs w:val="21"/>
              </w:rPr>
              <w:t>0.05%</w:t>
            </w:r>
          </w:p>
        </w:tc>
        <w:tc>
          <w:tcPr>
            <w:tcW w:w="1984" w:type="dxa"/>
            <w:vAlign w:val="center"/>
          </w:tcPr>
          <w:p>
            <w:pPr>
              <w:spacing w:line="360" w:lineRule="auto"/>
              <w:jc w:val="center"/>
              <w:rPr>
                <w:rFonts w:ascii="黑体" w:hAnsi="黑体" w:eastAsia="黑体"/>
                <w:szCs w:val="21"/>
              </w:rPr>
            </w:pPr>
            <w:r>
              <w:rPr>
                <w:rFonts w:ascii="黑体" w:hAnsi="黑体" w:eastAsia="黑体"/>
                <w:szCs w:val="21"/>
              </w:rPr>
              <w:t>0.05%</w:t>
            </w:r>
          </w:p>
        </w:tc>
        <w:tc>
          <w:tcPr>
            <w:tcW w:w="2177" w:type="dxa"/>
            <w:vAlign w:val="center"/>
          </w:tcPr>
          <w:p>
            <w:pPr>
              <w:spacing w:line="360" w:lineRule="auto"/>
              <w:jc w:val="center"/>
              <w:rPr>
                <w:rFonts w:ascii="黑体" w:hAnsi="黑体" w:eastAsia="黑体"/>
                <w:szCs w:val="21"/>
              </w:rPr>
            </w:pPr>
            <w:r>
              <w:rPr>
                <w:rFonts w:ascii="黑体" w:hAnsi="黑体" w:eastAsia="黑体"/>
                <w:szCs w:val="21"/>
              </w:rPr>
              <w:t>0.05%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1" w:hRule="atLeast"/>
          <w:jc w:val="center"/>
        </w:trPr>
        <w:tc>
          <w:tcPr>
            <w:tcW w:w="2375" w:type="dxa"/>
            <w:vAlign w:val="center"/>
          </w:tcPr>
          <w:p>
            <w:pPr>
              <w:spacing w:line="360" w:lineRule="auto"/>
              <w:jc w:val="center"/>
              <w:rPr>
                <w:rFonts w:ascii="黑体" w:hAnsi="黑体" w:eastAsia="黑体"/>
                <w:szCs w:val="21"/>
              </w:rPr>
            </w:pPr>
            <w:r>
              <w:rPr>
                <w:rFonts w:ascii="黑体" w:hAnsi="黑体" w:eastAsia="黑体"/>
                <w:szCs w:val="21"/>
              </w:rPr>
              <w:t>5-10亿元</w:t>
            </w:r>
          </w:p>
        </w:tc>
        <w:tc>
          <w:tcPr>
            <w:tcW w:w="1986" w:type="dxa"/>
            <w:vAlign w:val="center"/>
          </w:tcPr>
          <w:p>
            <w:pPr>
              <w:spacing w:line="360" w:lineRule="auto"/>
              <w:jc w:val="center"/>
              <w:rPr>
                <w:rFonts w:ascii="黑体" w:hAnsi="黑体" w:eastAsia="黑体"/>
                <w:szCs w:val="21"/>
              </w:rPr>
            </w:pPr>
            <w:r>
              <w:rPr>
                <w:rFonts w:ascii="黑体" w:hAnsi="黑体" w:eastAsia="黑体"/>
                <w:szCs w:val="21"/>
              </w:rPr>
              <w:t>0.035%</w:t>
            </w:r>
          </w:p>
        </w:tc>
        <w:tc>
          <w:tcPr>
            <w:tcW w:w="1984" w:type="dxa"/>
            <w:vAlign w:val="center"/>
          </w:tcPr>
          <w:p>
            <w:pPr>
              <w:spacing w:line="360" w:lineRule="auto"/>
              <w:jc w:val="center"/>
              <w:rPr>
                <w:rFonts w:ascii="黑体" w:hAnsi="黑体" w:eastAsia="黑体"/>
                <w:szCs w:val="21"/>
              </w:rPr>
            </w:pPr>
            <w:r>
              <w:rPr>
                <w:rFonts w:ascii="黑体" w:hAnsi="黑体" w:eastAsia="黑体"/>
                <w:szCs w:val="21"/>
              </w:rPr>
              <w:t>0.035%</w:t>
            </w:r>
          </w:p>
        </w:tc>
        <w:tc>
          <w:tcPr>
            <w:tcW w:w="2177" w:type="dxa"/>
            <w:vAlign w:val="center"/>
          </w:tcPr>
          <w:p>
            <w:pPr>
              <w:spacing w:line="360" w:lineRule="auto"/>
              <w:jc w:val="center"/>
              <w:rPr>
                <w:rFonts w:ascii="黑体" w:hAnsi="黑体" w:eastAsia="黑体"/>
                <w:szCs w:val="21"/>
              </w:rPr>
            </w:pPr>
            <w:r>
              <w:rPr>
                <w:rFonts w:ascii="黑体" w:hAnsi="黑体" w:eastAsia="黑体"/>
                <w:szCs w:val="21"/>
              </w:rPr>
              <w:t>0.035%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3" w:hRule="atLeast"/>
          <w:jc w:val="center"/>
        </w:trPr>
        <w:tc>
          <w:tcPr>
            <w:tcW w:w="2375" w:type="dxa"/>
            <w:vAlign w:val="center"/>
          </w:tcPr>
          <w:p>
            <w:pPr>
              <w:spacing w:line="360" w:lineRule="auto"/>
              <w:jc w:val="center"/>
              <w:rPr>
                <w:rFonts w:ascii="黑体" w:hAnsi="黑体" w:eastAsia="黑体"/>
                <w:szCs w:val="21"/>
              </w:rPr>
            </w:pPr>
            <w:r>
              <w:rPr>
                <w:rFonts w:ascii="黑体" w:hAnsi="黑体" w:eastAsia="黑体"/>
                <w:szCs w:val="21"/>
              </w:rPr>
              <w:t>10-50亿元</w:t>
            </w:r>
          </w:p>
        </w:tc>
        <w:tc>
          <w:tcPr>
            <w:tcW w:w="1986" w:type="dxa"/>
            <w:vAlign w:val="center"/>
          </w:tcPr>
          <w:p>
            <w:pPr>
              <w:spacing w:line="360" w:lineRule="auto"/>
              <w:jc w:val="center"/>
              <w:rPr>
                <w:rFonts w:ascii="黑体" w:hAnsi="黑体" w:eastAsia="黑体"/>
                <w:szCs w:val="21"/>
              </w:rPr>
            </w:pPr>
            <w:r>
              <w:rPr>
                <w:rFonts w:ascii="黑体" w:hAnsi="黑体" w:eastAsia="黑体"/>
                <w:szCs w:val="21"/>
              </w:rPr>
              <w:t>0.008%</w:t>
            </w:r>
          </w:p>
        </w:tc>
        <w:tc>
          <w:tcPr>
            <w:tcW w:w="1984" w:type="dxa"/>
            <w:vAlign w:val="center"/>
          </w:tcPr>
          <w:p>
            <w:pPr>
              <w:spacing w:line="360" w:lineRule="auto"/>
              <w:jc w:val="center"/>
              <w:rPr>
                <w:rFonts w:ascii="黑体" w:hAnsi="黑体" w:eastAsia="黑体"/>
                <w:szCs w:val="21"/>
              </w:rPr>
            </w:pPr>
            <w:r>
              <w:rPr>
                <w:rFonts w:ascii="黑体" w:hAnsi="黑体" w:eastAsia="黑体"/>
                <w:szCs w:val="21"/>
              </w:rPr>
              <w:t>0.008%</w:t>
            </w:r>
          </w:p>
        </w:tc>
        <w:tc>
          <w:tcPr>
            <w:tcW w:w="2177" w:type="dxa"/>
            <w:vAlign w:val="center"/>
          </w:tcPr>
          <w:p>
            <w:pPr>
              <w:spacing w:line="360" w:lineRule="auto"/>
              <w:jc w:val="center"/>
              <w:rPr>
                <w:rFonts w:ascii="黑体" w:hAnsi="黑体" w:eastAsia="黑体"/>
                <w:szCs w:val="21"/>
              </w:rPr>
            </w:pPr>
            <w:r>
              <w:rPr>
                <w:rFonts w:ascii="黑体" w:hAnsi="黑体" w:eastAsia="黑体"/>
                <w:szCs w:val="21"/>
              </w:rPr>
              <w:t>0.008%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2375" w:type="dxa"/>
            <w:vAlign w:val="center"/>
          </w:tcPr>
          <w:p>
            <w:pPr>
              <w:spacing w:line="360" w:lineRule="auto"/>
              <w:jc w:val="center"/>
              <w:rPr>
                <w:rFonts w:ascii="黑体" w:hAnsi="黑体" w:eastAsia="黑体"/>
                <w:szCs w:val="21"/>
              </w:rPr>
            </w:pPr>
            <w:r>
              <w:rPr>
                <w:rFonts w:ascii="黑体" w:hAnsi="黑体" w:eastAsia="黑体"/>
                <w:szCs w:val="21"/>
              </w:rPr>
              <w:t>50-100亿元</w:t>
            </w:r>
          </w:p>
        </w:tc>
        <w:tc>
          <w:tcPr>
            <w:tcW w:w="1986" w:type="dxa"/>
            <w:vAlign w:val="center"/>
          </w:tcPr>
          <w:p>
            <w:pPr>
              <w:spacing w:line="360" w:lineRule="auto"/>
              <w:jc w:val="center"/>
              <w:rPr>
                <w:rFonts w:ascii="黑体" w:hAnsi="黑体" w:eastAsia="黑体"/>
                <w:szCs w:val="21"/>
              </w:rPr>
            </w:pPr>
            <w:r>
              <w:rPr>
                <w:rFonts w:ascii="黑体" w:hAnsi="黑体" w:eastAsia="黑体"/>
                <w:szCs w:val="21"/>
              </w:rPr>
              <w:t>0.006%</w:t>
            </w:r>
          </w:p>
        </w:tc>
        <w:tc>
          <w:tcPr>
            <w:tcW w:w="1984" w:type="dxa"/>
            <w:vAlign w:val="center"/>
          </w:tcPr>
          <w:p>
            <w:pPr>
              <w:spacing w:line="360" w:lineRule="auto"/>
              <w:jc w:val="center"/>
              <w:rPr>
                <w:rFonts w:ascii="黑体" w:hAnsi="黑体" w:eastAsia="黑体"/>
                <w:szCs w:val="21"/>
              </w:rPr>
            </w:pPr>
            <w:r>
              <w:rPr>
                <w:rFonts w:ascii="黑体" w:hAnsi="黑体" w:eastAsia="黑体"/>
                <w:szCs w:val="21"/>
              </w:rPr>
              <w:t>0.006%</w:t>
            </w:r>
          </w:p>
        </w:tc>
        <w:tc>
          <w:tcPr>
            <w:tcW w:w="2177" w:type="dxa"/>
            <w:vAlign w:val="center"/>
          </w:tcPr>
          <w:p>
            <w:pPr>
              <w:spacing w:line="360" w:lineRule="auto"/>
              <w:jc w:val="center"/>
              <w:rPr>
                <w:rFonts w:ascii="黑体" w:hAnsi="黑体" w:eastAsia="黑体"/>
                <w:szCs w:val="21"/>
              </w:rPr>
            </w:pPr>
            <w:r>
              <w:rPr>
                <w:rFonts w:ascii="黑体" w:hAnsi="黑体" w:eastAsia="黑体"/>
                <w:szCs w:val="21"/>
              </w:rPr>
              <w:t>0.006%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05" w:hRule="atLeast"/>
          <w:jc w:val="center"/>
        </w:trPr>
        <w:tc>
          <w:tcPr>
            <w:tcW w:w="2375" w:type="dxa"/>
            <w:vAlign w:val="center"/>
          </w:tcPr>
          <w:p>
            <w:pPr>
              <w:spacing w:line="360" w:lineRule="auto"/>
              <w:jc w:val="center"/>
              <w:rPr>
                <w:rFonts w:ascii="黑体" w:hAnsi="黑体" w:eastAsia="黑体"/>
                <w:szCs w:val="21"/>
              </w:rPr>
            </w:pPr>
            <w:r>
              <w:rPr>
                <w:rFonts w:ascii="黑体" w:hAnsi="黑体" w:eastAsia="黑体"/>
                <w:szCs w:val="21"/>
              </w:rPr>
              <w:t>100亿以上</w:t>
            </w:r>
          </w:p>
        </w:tc>
        <w:tc>
          <w:tcPr>
            <w:tcW w:w="1986" w:type="dxa"/>
            <w:vAlign w:val="center"/>
          </w:tcPr>
          <w:p>
            <w:pPr>
              <w:spacing w:line="360" w:lineRule="auto"/>
              <w:jc w:val="center"/>
              <w:rPr>
                <w:rFonts w:ascii="黑体" w:hAnsi="黑体" w:eastAsia="黑体"/>
                <w:szCs w:val="21"/>
              </w:rPr>
            </w:pPr>
            <w:r>
              <w:rPr>
                <w:rFonts w:ascii="黑体" w:hAnsi="黑体" w:eastAsia="黑体"/>
                <w:szCs w:val="21"/>
              </w:rPr>
              <w:t>0.004%</w:t>
            </w:r>
          </w:p>
        </w:tc>
        <w:tc>
          <w:tcPr>
            <w:tcW w:w="1984" w:type="dxa"/>
            <w:vAlign w:val="center"/>
          </w:tcPr>
          <w:p>
            <w:pPr>
              <w:spacing w:line="360" w:lineRule="auto"/>
              <w:jc w:val="center"/>
              <w:rPr>
                <w:rFonts w:ascii="黑体" w:hAnsi="黑体" w:eastAsia="黑体"/>
                <w:szCs w:val="21"/>
              </w:rPr>
            </w:pPr>
            <w:r>
              <w:rPr>
                <w:rFonts w:ascii="黑体" w:hAnsi="黑体" w:eastAsia="黑体"/>
                <w:szCs w:val="21"/>
              </w:rPr>
              <w:t>0.004%</w:t>
            </w:r>
          </w:p>
        </w:tc>
        <w:tc>
          <w:tcPr>
            <w:tcW w:w="2177" w:type="dxa"/>
            <w:vAlign w:val="center"/>
          </w:tcPr>
          <w:p>
            <w:pPr>
              <w:spacing w:line="360" w:lineRule="auto"/>
              <w:jc w:val="center"/>
              <w:rPr>
                <w:rFonts w:ascii="黑体" w:hAnsi="黑体" w:eastAsia="黑体"/>
                <w:szCs w:val="21"/>
              </w:rPr>
            </w:pPr>
            <w:r>
              <w:rPr>
                <w:rFonts w:ascii="黑体" w:hAnsi="黑体" w:eastAsia="黑体"/>
                <w:szCs w:val="21"/>
              </w:rPr>
              <w:t>0.004%</w:t>
            </w:r>
          </w:p>
        </w:tc>
      </w:tr>
    </w:tbl>
    <w:p>
      <w:pPr>
        <w:pStyle w:val="68"/>
        <w:numPr>
          <w:ilvl w:val="0"/>
          <w:numId w:val="83"/>
        </w:numPr>
        <w:tabs>
          <w:tab w:val="left" w:pos="644"/>
        </w:tabs>
        <w:autoSpaceDE w:val="0"/>
        <w:autoSpaceDN w:val="0"/>
        <w:spacing w:line="360" w:lineRule="auto"/>
        <w:ind w:left="567" w:hanging="567" w:firstLineChars="0"/>
        <w:jc w:val="left"/>
        <w:rPr>
          <w:rFonts w:ascii="黑体" w:hAnsi="黑体" w:eastAsia="黑体" w:cs="宋体"/>
          <w:szCs w:val="21"/>
        </w:rPr>
      </w:pPr>
      <w:r>
        <w:rPr>
          <w:rFonts w:ascii="黑体" w:hAnsi="黑体" w:eastAsia="黑体"/>
          <w:bCs/>
          <w:szCs w:val="21"/>
        </w:rPr>
        <w:t>采购代理服务费按差额定率累进法计算</w:t>
      </w:r>
      <w:r>
        <w:rPr>
          <w:rFonts w:hint="eastAsia" w:ascii="黑体" w:hAnsi="黑体" w:eastAsia="黑体"/>
          <w:bCs/>
          <w:szCs w:val="21"/>
        </w:rPr>
        <w:t>。</w:t>
      </w:r>
    </w:p>
    <w:p>
      <w:pPr>
        <w:pStyle w:val="68"/>
        <w:numPr>
          <w:ilvl w:val="0"/>
          <w:numId w:val="83"/>
        </w:numPr>
        <w:tabs>
          <w:tab w:val="left" w:pos="644"/>
        </w:tabs>
        <w:autoSpaceDE w:val="0"/>
        <w:autoSpaceDN w:val="0"/>
        <w:spacing w:line="360" w:lineRule="auto"/>
        <w:ind w:left="567" w:hanging="567" w:firstLineChars="0"/>
        <w:jc w:val="left"/>
        <w:rPr>
          <w:rFonts w:ascii="黑体" w:hAnsi="黑体" w:eastAsia="黑体" w:cs="宋体"/>
          <w:szCs w:val="21"/>
        </w:rPr>
      </w:pPr>
      <w:r>
        <w:rPr>
          <w:rFonts w:ascii="黑体" w:hAnsi="黑体" w:eastAsia="黑体"/>
          <w:bCs/>
          <w:szCs w:val="21"/>
        </w:rPr>
        <w:t>采购代理服务费币种为人民币</w:t>
      </w:r>
      <w:r>
        <w:rPr>
          <w:rFonts w:hint="eastAsia" w:ascii="黑体" w:hAnsi="黑体" w:eastAsia="黑体"/>
          <w:bCs/>
          <w:szCs w:val="21"/>
        </w:rPr>
        <w:t>。</w:t>
      </w:r>
    </w:p>
    <w:p>
      <w:pPr>
        <w:pStyle w:val="68"/>
        <w:numPr>
          <w:ilvl w:val="0"/>
          <w:numId w:val="83"/>
        </w:numPr>
        <w:tabs>
          <w:tab w:val="left" w:pos="644"/>
        </w:tabs>
        <w:autoSpaceDE w:val="0"/>
        <w:autoSpaceDN w:val="0"/>
        <w:spacing w:line="360" w:lineRule="auto"/>
        <w:ind w:left="567" w:hanging="567" w:firstLineChars="0"/>
        <w:jc w:val="left"/>
        <w:rPr>
          <w:rFonts w:ascii="黑体" w:hAnsi="黑体" w:eastAsia="黑体" w:cs="宋体"/>
          <w:szCs w:val="21"/>
        </w:rPr>
      </w:pPr>
      <w:r>
        <w:rPr>
          <w:rFonts w:hint="eastAsia" w:ascii="黑体" w:hAnsi="黑体" w:eastAsia="黑体"/>
          <w:bCs/>
          <w:szCs w:val="21"/>
        </w:rPr>
        <w:t>采购代理服务费只收现金、银行转帐或电汇。</w:t>
      </w:r>
    </w:p>
    <w:p>
      <w:pPr>
        <w:pStyle w:val="68"/>
        <w:numPr>
          <w:ilvl w:val="0"/>
          <w:numId w:val="83"/>
        </w:numPr>
        <w:tabs>
          <w:tab w:val="left" w:pos="644"/>
        </w:tabs>
        <w:autoSpaceDE w:val="0"/>
        <w:autoSpaceDN w:val="0"/>
        <w:spacing w:line="360" w:lineRule="auto"/>
        <w:ind w:left="567" w:hanging="567" w:firstLineChars="0"/>
        <w:jc w:val="left"/>
        <w:rPr>
          <w:rFonts w:ascii="黑体" w:hAnsi="黑体" w:eastAsia="黑体" w:cs="宋体"/>
          <w:szCs w:val="21"/>
        </w:rPr>
      </w:pPr>
      <w:r>
        <w:rPr>
          <w:rFonts w:ascii="黑体" w:hAnsi="黑体" w:eastAsia="黑体"/>
          <w:bCs/>
          <w:szCs w:val="21"/>
        </w:rPr>
        <w:t>采购代理服务费收取</w:t>
      </w:r>
      <w:r>
        <w:rPr>
          <w:rFonts w:hint="eastAsia" w:ascii="黑体" w:hAnsi="黑体" w:eastAsia="黑体"/>
          <w:bCs/>
          <w:szCs w:val="21"/>
        </w:rPr>
        <w:t>账户：</w:t>
      </w:r>
    </w:p>
    <w:p>
      <w:pPr>
        <w:autoSpaceDE w:val="0"/>
        <w:autoSpaceDN w:val="0"/>
        <w:spacing w:line="360" w:lineRule="auto"/>
        <w:ind w:left="709"/>
        <w:jc w:val="left"/>
        <w:rPr>
          <w:rFonts w:ascii="黑体" w:hAnsi="黑体" w:eastAsia="黑体" w:cs="宋体"/>
          <w:szCs w:val="21"/>
        </w:rPr>
      </w:pPr>
      <w:r>
        <w:rPr>
          <w:rFonts w:hint="eastAsia" w:ascii="黑体" w:hAnsi="黑体" w:eastAsia="黑体" w:cs="宋体"/>
          <w:szCs w:val="21"/>
        </w:rPr>
        <w:t>收款单位名称：广东有德招标采购有限公司东莞分公司</w:t>
      </w:r>
    </w:p>
    <w:p>
      <w:pPr>
        <w:autoSpaceDE w:val="0"/>
        <w:autoSpaceDN w:val="0"/>
        <w:spacing w:line="360" w:lineRule="auto"/>
        <w:ind w:left="709"/>
        <w:jc w:val="left"/>
        <w:rPr>
          <w:rFonts w:ascii="黑体" w:hAnsi="黑体" w:eastAsia="黑体" w:cs="宋体"/>
          <w:szCs w:val="21"/>
        </w:rPr>
      </w:pPr>
      <w:r>
        <w:rPr>
          <w:rFonts w:hint="eastAsia" w:ascii="黑体" w:hAnsi="黑体" w:eastAsia="黑体" w:cs="宋体"/>
          <w:szCs w:val="21"/>
        </w:rPr>
        <w:t>开户银行：中国建设银行股份有限公司东莞南城支行</w:t>
      </w:r>
    </w:p>
    <w:p>
      <w:pPr>
        <w:autoSpaceDE w:val="0"/>
        <w:autoSpaceDN w:val="0"/>
        <w:spacing w:line="360" w:lineRule="auto"/>
        <w:ind w:left="709"/>
        <w:jc w:val="left"/>
        <w:rPr>
          <w:rFonts w:ascii="黑体" w:hAnsi="黑体" w:eastAsia="黑体" w:cs="宋体"/>
          <w:szCs w:val="21"/>
        </w:rPr>
      </w:pPr>
      <w:r>
        <w:rPr>
          <w:rFonts w:hint="eastAsia" w:ascii="黑体" w:hAnsi="黑体" w:eastAsia="黑体" w:cs="宋体"/>
          <w:szCs w:val="21"/>
        </w:rPr>
        <w:t>收款账号：44001776040053011261</w:t>
      </w:r>
    </w:p>
    <w:p>
      <w:pPr>
        <w:numPr>
          <w:ilvl w:val="0"/>
          <w:numId w:val="33"/>
        </w:numPr>
        <w:autoSpaceDE w:val="0"/>
        <w:autoSpaceDN w:val="0"/>
        <w:spacing w:before="156" w:beforeLines="50" w:line="360" w:lineRule="auto"/>
        <w:ind w:left="357" w:hanging="357"/>
        <w:rPr>
          <w:rFonts w:ascii="黑体" w:hAnsi="黑体" w:eastAsia="黑体"/>
          <w:b/>
          <w:bCs/>
          <w:szCs w:val="21"/>
        </w:rPr>
      </w:pPr>
      <w:r>
        <w:rPr>
          <w:rFonts w:hint="eastAsia" w:ascii="黑体" w:hAnsi="黑体" w:eastAsia="黑体"/>
          <w:b/>
          <w:bCs/>
          <w:szCs w:val="21"/>
        </w:rPr>
        <w:t>磋商文件符号说明</w:t>
      </w:r>
    </w:p>
    <w:p>
      <w:pPr>
        <w:pStyle w:val="68"/>
        <w:numPr>
          <w:ilvl w:val="0"/>
          <w:numId w:val="84"/>
        </w:numPr>
        <w:tabs>
          <w:tab w:val="left" w:pos="644"/>
          <w:tab w:val="left" w:pos="709"/>
        </w:tabs>
        <w:autoSpaceDE w:val="0"/>
        <w:autoSpaceDN w:val="0"/>
        <w:spacing w:line="360" w:lineRule="auto"/>
        <w:ind w:left="567" w:hanging="567" w:firstLineChars="0"/>
        <w:jc w:val="left"/>
        <w:rPr>
          <w:rFonts w:ascii="黑体" w:hAnsi="黑体" w:eastAsia="黑体"/>
          <w:szCs w:val="21"/>
        </w:rPr>
      </w:pPr>
      <w:r>
        <w:rPr>
          <w:rFonts w:hint="eastAsia" w:ascii="黑体" w:hAnsi="黑体" w:eastAsia="黑体"/>
          <w:bCs/>
          <w:szCs w:val="21"/>
        </w:rPr>
        <w:t>磋商文件中，带“★”符号的内容为必须响应条款，偏离将导致废标；带“▲”符号的内容为</w:t>
      </w:r>
      <w:r>
        <w:rPr>
          <w:rFonts w:hint="eastAsia" w:ascii="黑体" w:hAnsi="黑体" w:eastAsia="黑体"/>
          <w:b/>
          <w:bCs/>
          <w:szCs w:val="21"/>
        </w:rPr>
        <w:t>采购需求</w:t>
      </w:r>
      <w:r>
        <w:rPr>
          <w:rFonts w:hint="eastAsia" w:ascii="黑体" w:hAnsi="黑体" w:eastAsia="黑体"/>
          <w:bCs/>
          <w:szCs w:val="21"/>
        </w:rPr>
        <w:t>重点技术参数，若未能响应，则在评审过程中根据评审内容作扣分处理。带“◆</w:t>
      </w:r>
      <w:r>
        <w:rPr>
          <w:rFonts w:ascii="黑体" w:hAnsi="黑体" w:eastAsia="黑体"/>
          <w:bCs/>
          <w:szCs w:val="21"/>
        </w:rPr>
        <w:t>”</w:t>
      </w:r>
      <w:r>
        <w:rPr>
          <w:rFonts w:hint="eastAsia" w:ascii="黑体" w:hAnsi="黑体" w:eastAsia="黑体"/>
          <w:bCs/>
          <w:szCs w:val="21"/>
        </w:rPr>
        <w:t>号的内容为核心产品。</w:t>
      </w:r>
    </w:p>
    <w:p>
      <w:pPr>
        <w:widowControl/>
        <w:jc w:val="left"/>
        <w:rPr>
          <w:rFonts w:ascii="黑体" w:hAnsi="黑体" w:eastAsia="黑体"/>
          <w:kern w:val="0"/>
          <w:szCs w:val="21"/>
        </w:rPr>
      </w:pPr>
      <w:r>
        <w:rPr>
          <w:rFonts w:ascii="黑体" w:hAnsi="黑体" w:eastAsia="黑体"/>
          <w:szCs w:val="21"/>
        </w:rPr>
        <w:br w:type="page"/>
      </w:r>
    </w:p>
    <w:p>
      <w:pPr>
        <w:pStyle w:val="4"/>
        <w:keepNext w:val="0"/>
        <w:keepLines w:val="0"/>
        <w:pageBreakBefore/>
        <w:spacing w:line="415" w:lineRule="auto"/>
        <w:jc w:val="left"/>
        <w:rPr>
          <w:rStyle w:val="25"/>
          <w:rFonts w:ascii="黑体" w:hAnsi="黑体" w:eastAsia="黑体"/>
          <w:b/>
          <w:bCs w:val="0"/>
          <w:spacing w:val="12"/>
          <w:sz w:val="21"/>
          <w:szCs w:val="21"/>
        </w:rPr>
      </w:pPr>
      <w:bookmarkStart w:id="149" w:name="_Toc515040753"/>
      <w:bookmarkStart w:id="150" w:name="_Toc521951133"/>
      <w:bookmarkStart w:id="151" w:name="_Toc515363625"/>
      <w:bookmarkStart w:id="152" w:name="_Toc31726"/>
      <w:r>
        <w:rPr>
          <w:rStyle w:val="25"/>
          <w:rFonts w:hint="eastAsia" w:ascii="黑体" w:hAnsi="黑体" w:eastAsia="黑体"/>
          <w:b/>
          <w:bCs w:val="0"/>
          <w:spacing w:val="12"/>
          <w:sz w:val="21"/>
          <w:szCs w:val="21"/>
        </w:rPr>
        <w:t>附件1  询问函格式</w:t>
      </w:r>
      <w:bookmarkEnd w:id="149"/>
      <w:bookmarkEnd w:id="150"/>
      <w:bookmarkEnd w:id="151"/>
      <w:bookmarkEnd w:id="152"/>
    </w:p>
    <w:p>
      <w:pPr>
        <w:spacing w:before="312" w:beforeLines="100" w:after="312" w:afterLines="100"/>
        <w:jc w:val="center"/>
        <w:rPr>
          <w:rFonts w:ascii="黑体" w:hAnsi="黑体" w:eastAsia="黑体"/>
          <w:b/>
          <w:bCs/>
          <w:spacing w:val="20"/>
          <w:sz w:val="28"/>
          <w:szCs w:val="28"/>
        </w:rPr>
      </w:pPr>
      <w:r>
        <w:rPr>
          <w:rFonts w:hint="eastAsia" w:ascii="黑体" w:hAnsi="黑体" w:eastAsia="黑体"/>
          <w:b/>
          <w:bCs/>
          <w:spacing w:val="20"/>
          <w:sz w:val="28"/>
          <w:szCs w:val="28"/>
        </w:rPr>
        <w:t>询问函</w:t>
      </w:r>
    </w:p>
    <w:p>
      <w:pPr>
        <w:widowControl/>
        <w:adjustRightInd w:val="0"/>
        <w:spacing w:after="156" w:afterLines="50" w:line="360" w:lineRule="auto"/>
        <w:rPr>
          <w:rFonts w:ascii="黑体" w:hAnsi="黑体" w:eastAsia="黑体"/>
          <w:szCs w:val="21"/>
        </w:rPr>
      </w:pPr>
      <w:r>
        <w:rPr>
          <w:rFonts w:ascii="黑体" w:hAnsi="黑体" w:eastAsia="黑体"/>
          <w:szCs w:val="21"/>
          <w:u w:val="single"/>
        </w:rPr>
        <w:t>广东有德招标采购有限公司</w:t>
      </w:r>
      <w:r>
        <w:rPr>
          <w:rFonts w:hint="eastAsia" w:ascii="黑体" w:hAnsi="黑体" w:eastAsia="黑体"/>
          <w:szCs w:val="21"/>
        </w:rPr>
        <w:t>：</w:t>
      </w:r>
    </w:p>
    <w:p>
      <w:pPr>
        <w:widowControl/>
        <w:tabs>
          <w:tab w:val="left" w:pos="6300"/>
        </w:tabs>
        <w:adjustRightInd w:val="0"/>
        <w:spacing w:line="360" w:lineRule="auto"/>
        <w:ind w:firstLine="420" w:firstLineChars="200"/>
        <w:rPr>
          <w:rFonts w:ascii="黑体" w:hAnsi="黑体" w:eastAsia="黑体"/>
          <w:szCs w:val="21"/>
        </w:rPr>
      </w:pPr>
      <w:r>
        <w:rPr>
          <w:rFonts w:hint="eastAsia" w:ascii="黑体" w:hAnsi="黑体" w:eastAsia="黑体"/>
          <w:szCs w:val="21"/>
        </w:rPr>
        <w:t>我单位已获取磋商文件并准备参与</w:t>
      </w:r>
      <w:r>
        <w:rPr>
          <w:rFonts w:ascii="黑体" w:hAnsi="黑体" w:eastAsia="黑体"/>
          <w:i/>
          <w:szCs w:val="21"/>
          <w:u w:val="single"/>
        </w:rPr>
        <w:t xml:space="preserve">           </w:t>
      </w:r>
      <w:r>
        <w:rPr>
          <w:rFonts w:hint="eastAsia" w:ascii="黑体" w:hAnsi="黑体" w:eastAsia="黑体"/>
          <w:szCs w:val="21"/>
        </w:rPr>
        <w:t>项目（项目编号：</w:t>
      </w:r>
      <w:r>
        <w:rPr>
          <w:rFonts w:ascii="黑体" w:hAnsi="黑体" w:eastAsia="黑体"/>
          <w:szCs w:val="21"/>
          <w:u w:val="single"/>
        </w:rPr>
        <w:t xml:space="preserve">        </w:t>
      </w:r>
      <w:r>
        <w:rPr>
          <w:rFonts w:hint="eastAsia" w:ascii="黑体" w:hAnsi="黑体" w:eastAsia="黑体"/>
          <w:szCs w:val="21"/>
        </w:rPr>
        <w:t>）的</w:t>
      </w:r>
      <w:r>
        <w:rPr>
          <w:rFonts w:hint="eastAsia" w:ascii="黑体" w:hAnsi="黑体" w:eastAsia="黑体"/>
        </w:rPr>
        <w:t>响应</w:t>
      </w:r>
      <w:r>
        <w:rPr>
          <w:rFonts w:hint="eastAsia" w:ascii="黑体" w:hAnsi="黑体" w:eastAsia="黑体"/>
          <w:szCs w:val="21"/>
        </w:rPr>
        <w:t>（或报价）活动，现有以下几个内容（或条款）存在疑问（或无法理解），特提出询问。</w:t>
      </w:r>
    </w:p>
    <w:p>
      <w:pPr>
        <w:widowControl/>
        <w:tabs>
          <w:tab w:val="center" w:pos="5019"/>
        </w:tabs>
        <w:adjustRightInd w:val="0"/>
        <w:spacing w:line="360" w:lineRule="auto"/>
        <w:ind w:firstLine="420" w:firstLineChars="200"/>
        <w:rPr>
          <w:rFonts w:ascii="黑体" w:hAnsi="黑体" w:eastAsia="黑体"/>
          <w:szCs w:val="21"/>
        </w:rPr>
      </w:pPr>
      <w:r>
        <w:rPr>
          <w:rFonts w:hint="eastAsia" w:ascii="黑体" w:hAnsi="黑体" w:eastAsia="黑体"/>
          <w:szCs w:val="21"/>
        </w:rPr>
        <w:t>一、</w:t>
      </w:r>
      <w:r>
        <w:rPr>
          <w:rFonts w:hint="eastAsia" w:ascii="黑体" w:hAnsi="黑体" w:eastAsia="黑体"/>
          <w:szCs w:val="21"/>
          <w:u w:val="single"/>
        </w:rPr>
        <w:t xml:space="preserve">                            </w:t>
      </w:r>
      <w:r>
        <w:rPr>
          <w:rFonts w:ascii="黑体" w:hAnsi="黑体" w:eastAsia="黑体"/>
          <w:szCs w:val="21"/>
        </w:rPr>
        <w:t>（事项一）</w:t>
      </w:r>
      <w:r>
        <w:rPr>
          <w:rFonts w:ascii="黑体" w:hAnsi="黑体" w:eastAsia="黑体"/>
          <w:szCs w:val="21"/>
        </w:rPr>
        <w:tab/>
      </w:r>
    </w:p>
    <w:p>
      <w:pPr>
        <w:widowControl/>
        <w:tabs>
          <w:tab w:val="left" w:pos="6300"/>
        </w:tabs>
        <w:adjustRightInd w:val="0"/>
        <w:spacing w:line="360" w:lineRule="auto"/>
        <w:ind w:firstLine="420" w:firstLineChars="200"/>
        <w:rPr>
          <w:rFonts w:ascii="黑体" w:hAnsi="黑体" w:eastAsia="黑体"/>
          <w:szCs w:val="21"/>
        </w:rPr>
      </w:pPr>
      <w:r>
        <w:rPr>
          <w:rFonts w:hint="eastAsia" w:ascii="黑体" w:hAnsi="黑体" w:eastAsia="黑体"/>
          <w:szCs w:val="21"/>
        </w:rPr>
        <w:t>（</w:t>
      </w:r>
      <w:r>
        <w:rPr>
          <w:rFonts w:ascii="黑体" w:hAnsi="黑体" w:eastAsia="黑体"/>
          <w:szCs w:val="21"/>
        </w:rPr>
        <w:t>1）</w:t>
      </w:r>
      <w:r>
        <w:rPr>
          <w:rFonts w:hint="eastAsia" w:ascii="黑体" w:hAnsi="黑体" w:eastAsia="黑体"/>
          <w:szCs w:val="21"/>
          <w:u w:val="single"/>
        </w:rPr>
        <w:t xml:space="preserve">                            </w:t>
      </w:r>
      <w:r>
        <w:rPr>
          <w:rFonts w:ascii="黑体" w:hAnsi="黑体" w:eastAsia="黑体"/>
          <w:szCs w:val="21"/>
        </w:rPr>
        <w:t>（问题或条款内容）</w:t>
      </w:r>
    </w:p>
    <w:p>
      <w:pPr>
        <w:widowControl/>
        <w:tabs>
          <w:tab w:val="left" w:pos="6300"/>
        </w:tabs>
        <w:adjustRightInd w:val="0"/>
        <w:spacing w:line="360" w:lineRule="auto"/>
        <w:ind w:firstLine="420" w:firstLineChars="200"/>
        <w:rPr>
          <w:rFonts w:ascii="黑体" w:hAnsi="黑体" w:eastAsia="黑体"/>
          <w:szCs w:val="21"/>
        </w:rPr>
      </w:pPr>
      <w:r>
        <w:rPr>
          <w:rFonts w:hint="eastAsia" w:ascii="黑体" w:hAnsi="黑体" w:eastAsia="黑体"/>
          <w:szCs w:val="21"/>
        </w:rPr>
        <w:t>（</w:t>
      </w:r>
      <w:r>
        <w:rPr>
          <w:rFonts w:ascii="黑体" w:hAnsi="黑体" w:eastAsia="黑体"/>
          <w:szCs w:val="21"/>
        </w:rPr>
        <w:t>2）</w:t>
      </w:r>
      <w:r>
        <w:rPr>
          <w:rFonts w:hint="eastAsia" w:ascii="黑体" w:hAnsi="黑体" w:eastAsia="黑体"/>
          <w:szCs w:val="21"/>
          <w:u w:val="single"/>
        </w:rPr>
        <w:t xml:space="preserve">                            </w:t>
      </w:r>
      <w:r>
        <w:rPr>
          <w:rFonts w:ascii="黑体" w:hAnsi="黑体" w:eastAsia="黑体"/>
          <w:szCs w:val="21"/>
        </w:rPr>
        <w:t>（说明疑问或无法理解原因）</w:t>
      </w:r>
    </w:p>
    <w:p>
      <w:pPr>
        <w:widowControl/>
        <w:tabs>
          <w:tab w:val="left" w:pos="6300"/>
        </w:tabs>
        <w:adjustRightInd w:val="0"/>
        <w:spacing w:line="360" w:lineRule="auto"/>
        <w:ind w:firstLine="420" w:firstLineChars="200"/>
        <w:rPr>
          <w:rFonts w:ascii="黑体" w:hAnsi="黑体" w:eastAsia="黑体"/>
          <w:szCs w:val="21"/>
        </w:rPr>
      </w:pPr>
      <w:r>
        <w:rPr>
          <w:rFonts w:hint="eastAsia" w:ascii="黑体" w:hAnsi="黑体" w:eastAsia="黑体"/>
          <w:szCs w:val="21"/>
        </w:rPr>
        <w:t>（</w:t>
      </w:r>
      <w:r>
        <w:rPr>
          <w:rFonts w:ascii="黑体" w:hAnsi="黑体" w:eastAsia="黑体"/>
          <w:szCs w:val="21"/>
        </w:rPr>
        <w:t>3）</w:t>
      </w:r>
      <w:r>
        <w:rPr>
          <w:rFonts w:hint="eastAsia" w:ascii="黑体" w:hAnsi="黑体" w:eastAsia="黑体"/>
          <w:szCs w:val="21"/>
          <w:u w:val="single"/>
        </w:rPr>
        <w:t xml:space="preserve">                            </w:t>
      </w:r>
      <w:r>
        <w:rPr>
          <w:rFonts w:ascii="黑体" w:hAnsi="黑体" w:eastAsia="黑体"/>
          <w:szCs w:val="21"/>
        </w:rPr>
        <w:t>（建议）</w:t>
      </w:r>
    </w:p>
    <w:p>
      <w:pPr>
        <w:widowControl/>
        <w:tabs>
          <w:tab w:val="left" w:pos="6300"/>
        </w:tabs>
        <w:adjustRightInd w:val="0"/>
        <w:spacing w:line="360" w:lineRule="auto"/>
        <w:ind w:firstLine="420" w:firstLineChars="200"/>
        <w:rPr>
          <w:rFonts w:ascii="黑体" w:hAnsi="黑体" w:eastAsia="黑体"/>
          <w:szCs w:val="21"/>
        </w:rPr>
      </w:pPr>
      <w:r>
        <w:rPr>
          <w:rFonts w:hint="eastAsia" w:ascii="黑体" w:hAnsi="黑体" w:eastAsia="黑体"/>
          <w:szCs w:val="21"/>
        </w:rPr>
        <w:t>二、</w:t>
      </w:r>
      <w:r>
        <w:rPr>
          <w:rFonts w:ascii="黑体" w:hAnsi="黑体" w:eastAsia="黑体"/>
          <w:szCs w:val="21"/>
        </w:rPr>
        <w:t>_</w:t>
      </w:r>
      <w:r>
        <w:rPr>
          <w:rFonts w:hint="eastAsia" w:ascii="黑体" w:hAnsi="黑体" w:eastAsia="黑体"/>
          <w:szCs w:val="21"/>
          <w:u w:val="single"/>
        </w:rPr>
        <w:t xml:space="preserve">                            </w:t>
      </w:r>
      <w:r>
        <w:rPr>
          <w:rFonts w:ascii="黑体" w:hAnsi="黑体" w:eastAsia="黑体"/>
          <w:szCs w:val="21"/>
        </w:rPr>
        <w:t>（事项二）</w:t>
      </w:r>
    </w:p>
    <w:p>
      <w:pPr>
        <w:widowControl/>
        <w:tabs>
          <w:tab w:val="left" w:pos="6300"/>
        </w:tabs>
        <w:adjustRightInd w:val="0"/>
        <w:spacing w:line="360" w:lineRule="auto"/>
        <w:ind w:firstLine="420" w:firstLineChars="200"/>
        <w:rPr>
          <w:rFonts w:ascii="黑体" w:hAnsi="黑体" w:eastAsia="黑体"/>
          <w:szCs w:val="21"/>
        </w:rPr>
      </w:pPr>
      <w:r>
        <w:rPr>
          <w:rFonts w:hint="eastAsia" w:ascii="黑体" w:hAnsi="黑体" w:eastAsia="黑体"/>
          <w:szCs w:val="21"/>
        </w:rPr>
        <w:t>……</w:t>
      </w:r>
    </w:p>
    <w:p>
      <w:pPr>
        <w:widowControl/>
        <w:tabs>
          <w:tab w:val="left" w:pos="6300"/>
        </w:tabs>
        <w:adjustRightInd w:val="0"/>
        <w:spacing w:line="360" w:lineRule="auto"/>
        <w:ind w:firstLine="420" w:firstLineChars="200"/>
        <w:rPr>
          <w:rFonts w:ascii="黑体" w:hAnsi="黑体" w:eastAsia="黑体"/>
          <w:szCs w:val="21"/>
        </w:rPr>
      </w:pPr>
      <w:r>
        <w:rPr>
          <w:rFonts w:hint="eastAsia" w:ascii="黑体" w:hAnsi="黑体" w:eastAsia="黑体"/>
          <w:szCs w:val="21"/>
        </w:rPr>
        <w:t>随附相关证明材料如下：（目录）。</w:t>
      </w:r>
    </w:p>
    <w:p>
      <w:pPr>
        <w:widowControl/>
        <w:tabs>
          <w:tab w:val="left" w:pos="6300"/>
        </w:tabs>
        <w:adjustRightInd w:val="0"/>
        <w:spacing w:line="360" w:lineRule="auto"/>
        <w:ind w:firstLine="1260" w:firstLineChars="600"/>
        <w:rPr>
          <w:rFonts w:ascii="黑体" w:hAnsi="黑体" w:eastAsia="黑体"/>
          <w:szCs w:val="21"/>
        </w:rPr>
      </w:pPr>
      <w:r>
        <w:rPr>
          <w:rFonts w:hint="eastAsia" w:ascii="黑体" w:hAnsi="黑体" w:eastAsia="黑体"/>
          <w:szCs w:val="21"/>
        </w:rPr>
        <w:t>询问人：（公章）</w:t>
      </w:r>
    </w:p>
    <w:p>
      <w:pPr>
        <w:widowControl/>
        <w:tabs>
          <w:tab w:val="left" w:pos="6300"/>
        </w:tabs>
        <w:adjustRightInd w:val="0"/>
        <w:spacing w:line="360" w:lineRule="auto"/>
        <w:ind w:firstLine="1260" w:firstLineChars="600"/>
        <w:rPr>
          <w:rFonts w:ascii="黑体" w:hAnsi="黑体" w:eastAsia="黑体"/>
          <w:szCs w:val="21"/>
        </w:rPr>
      </w:pPr>
      <w:r>
        <w:rPr>
          <w:rFonts w:hint="eastAsia" w:ascii="黑体" w:hAnsi="黑体" w:eastAsia="黑体"/>
          <w:szCs w:val="21"/>
        </w:rPr>
        <w:t>法定代表人（授权代表）：</w:t>
      </w:r>
    </w:p>
    <w:p>
      <w:pPr>
        <w:tabs>
          <w:tab w:val="left" w:pos="6300"/>
        </w:tabs>
        <w:adjustRightInd w:val="0"/>
        <w:spacing w:line="360" w:lineRule="auto"/>
        <w:ind w:firstLine="1260" w:firstLineChars="600"/>
        <w:rPr>
          <w:rFonts w:ascii="黑体" w:hAnsi="黑体" w:eastAsia="黑体"/>
          <w:szCs w:val="21"/>
        </w:rPr>
      </w:pPr>
      <w:r>
        <w:rPr>
          <w:rFonts w:hint="eastAsia" w:ascii="黑体" w:hAnsi="黑体" w:eastAsia="黑体"/>
          <w:szCs w:val="21"/>
        </w:rPr>
        <w:t>地址</w:t>
      </w:r>
      <w:r>
        <w:rPr>
          <w:rFonts w:ascii="黑体" w:hAnsi="黑体" w:eastAsia="黑体"/>
          <w:szCs w:val="21"/>
        </w:rPr>
        <w:t>/邮编：</w:t>
      </w:r>
    </w:p>
    <w:p>
      <w:pPr>
        <w:tabs>
          <w:tab w:val="left" w:pos="6300"/>
        </w:tabs>
        <w:adjustRightInd w:val="0"/>
        <w:spacing w:line="360" w:lineRule="auto"/>
        <w:ind w:firstLine="1260" w:firstLineChars="600"/>
        <w:rPr>
          <w:rFonts w:ascii="黑体" w:hAnsi="黑体" w:eastAsia="黑体"/>
          <w:szCs w:val="21"/>
        </w:rPr>
      </w:pPr>
      <w:r>
        <w:rPr>
          <w:rFonts w:hint="eastAsia" w:ascii="黑体" w:hAnsi="黑体" w:eastAsia="黑体"/>
          <w:szCs w:val="21"/>
        </w:rPr>
        <w:t>电话</w:t>
      </w:r>
      <w:r>
        <w:rPr>
          <w:rFonts w:ascii="黑体" w:hAnsi="黑体" w:eastAsia="黑体"/>
          <w:szCs w:val="21"/>
        </w:rPr>
        <w:t>/传真：</w:t>
      </w:r>
    </w:p>
    <w:p>
      <w:pPr>
        <w:adjustRightInd w:val="0"/>
        <w:spacing w:line="360" w:lineRule="auto"/>
        <w:jc w:val="right"/>
        <w:rPr>
          <w:rFonts w:ascii="黑体" w:hAnsi="黑体" w:eastAsia="黑体"/>
          <w:szCs w:val="21"/>
        </w:rPr>
      </w:pPr>
      <w:r>
        <w:rPr>
          <w:rFonts w:hint="eastAsia" w:ascii="黑体" w:hAnsi="黑体" w:eastAsia="黑体"/>
          <w:szCs w:val="21"/>
        </w:rPr>
        <w:t>年</w:t>
      </w:r>
      <w:r>
        <w:rPr>
          <w:rFonts w:ascii="黑体" w:hAnsi="黑体" w:eastAsia="黑体"/>
          <w:szCs w:val="21"/>
        </w:rPr>
        <w:t xml:space="preserve">     </w:t>
      </w:r>
      <w:r>
        <w:rPr>
          <w:rFonts w:hint="eastAsia" w:ascii="黑体" w:hAnsi="黑体" w:eastAsia="黑体"/>
          <w:szCs w:val="21"/>
        </w:rPr>
        <w:t>月</w:t>
      </w:r>
      <w:r>
        <w:rPr>
          <w:rFonts w:ascii="黑体" w:hAnsi="黑体" w:eastAsia="黑体"/>
          <w:szCs w:val="21"/>
        </w:rPr>
        <w:t xml:space="preserve">     </w:t>
      </w:r>
      <w:r>
        <w:rPr>
          <w:rFonts w:hint="eastAsia" w:ascii="黑体" w:hAnsi="黑体" w:eastAsia="黑体"/>
          <w:szCs w:val="21"/>
        </w:rPr>
        <w:t>日</w:t>
      </w:r>
    </w:p>
    <w:p>
      <w:pPr>
        <w:snapToGrid w:val="0"/>
        <w:spacing w:line="360" w:lineRule="auto"/>
        <w:ind w:firstLine="422" w:firstLineChars="201"/>
        <w:rPr>
          <w:rFonts w:ascii="黑体" w:hAnsi="黑体" w:eastAsia="黑体"/>
          <w:szCs w:val="21"/>
        </w:rPr>
      </w:pPr>
    </w:p>
    <w:p>
      <w:pPr>
        <w:pStyle w:val="4"/>
        <w:keepNext w:val="0"/>
        <w:keepLines w:val="0"/>
        <w:pageBreakBefore/>
        <w:spacing w:line="415" w:lineRule="auto"/>
        <w:jc w:val="left"/>
        <w:rPr>
          <w:rFonts w:ascii="黑体" w:hAnsi="黑体" w:eastAsia="黑体"/>
          <w:b w:val="0"/>
          <w:sz w:val="21"/>
          <w:szCs w:val="21"/>
        </w:rPr>
      </w:pPr>
      <w:bookmarkStart w:id="153" w:name="_Toc515363626"/>
      <w:bookmarkStart w:id="154" w:name="_Toc515040754"/>
      <w:bookmarkStart w:id="155" w:name="_Toc521951134"/>
      <w:bookmarkStart w:id="156" w:name="_Toc14729"/>
      <w:r>
        <w:rPr>
          <w:rStyle w:val="25"/>
          <w:rFonts w:hint="eastAsia" w:ascii="黑体" w:hAnsi="黑体" w:eastAsia="黑体"/>
          <w:b/>
          <w:bCs w:val="0"/>
          <w:spacing w:val="12"/>
          <w:sz w:val="21"/>
          <w:szCs w:val="21"/>
        </w:rPr>
        <w:t>附件2  质疑函格式</w:t>
      </w:r>
      <w:bookmarkEnd w:id="153"/>
      <w:bookmarkEnd w:id="154"/>
      <w:bookmarkEnd w:id="155"/>
      <w:bookmarkEnd w:id="156"/>
    </w:p>
    <w:p>
      <w:pPr>
        <w:spacing w:before="312" w:beforeLines="100" w:after="312" w:afterLines="100"/>
        <w:jc w:val="center"/>
        <w:rPr>
          <w:rFonts w:ascii="黑体" w:hAnsi="黑体" w:eastAsia="黑体"/>
          <w:b/>
          <w:spacing w:val="20"/>
          <w:sz w:val="28"/>
          <w:szCs w:val="28"/>
        </w:rPr>
      </w:pPr>
      <w:r>
        <w:rPr>
          <w:rFonts w:hint="eastAsia" w:ascii="黑体" w:hAnsi="黑体" w:eastAsia="黑体"/>
          <w:b/>
          <w:spacing w:val="20"/>
          <w:sz w:val="28"/>
          <w:szCs w:val="28"/>
        </w:rPr>
        <w:t>质疑函</w:t>
      </w:r>
    </w:p>
    <w:p>
      <w:pPr>
        <w:adjustRightInd w:val="0"/>
        <w:snapToGrid w:val="0"/>
        <w:spacing w:line="360" w:lineRule="auto"/>
        <w:rPr>
          <w:rFonts w:ascii="黑体" w:hAnsi="黑体" w:eastAsia="黑体" w:cs="仿宋"/>
          <w:bCs/>
          <w:szCs w:val="21"/>
        </w:rPr>
      </w:pPr>
      <w:r>
        <w:rPr>
          <w:rFonts w:hint="eastAsia" w:ascii="黑体" w:hAnsi="黑体" w:eastAsia="黑体" w:cs="仿宋"/>
          <w:bCs/>
          <w:szCs w:val="21"/>
        </w:rPr>
        <w:t>一、质疑供应商基本信息</w:t>
      </w:r>
    </w:p>
    <w:p>
      <w:pPr>
        <w:adjustRightInd w:val="0"/>
        <w:snapToGrid w:val="0"/>
        <w:spacing w:line="360" w:lineRule="auto"/>
        <w:rPr>
          <w:rFonts w:ascii="黑体" w:hAnsi="黑体" w:eastAsia="黑体" w:cs="仿宋"/>
          <w:szCs w:val="21"/>
          <w:u w:val="dotted"/>
        </w:rPr>
      </w:pPr>
      <w:r>
        <w:rPr>
          <w:rFonts w:hint="eastAsia" w:ascii="黑体" w:hAnsi="黑体" w:eastAsia="黑体" w:cs="仿宋"/>
          <w:szCs w:val="21"/>
        </w:rPr>
        <w:t>质疑供应商：</w:t>
      </w:r>
      <w:r>
        <w:rPr>
          <w:rFonts w:ascii="黑体" w:hAnsi="黑体" w:eastAsia="黑体" w:cs="仿宋"/>
          <w:szCs w:val="21"/>
          <w:u w:val="single"/>
        </w:rPr>
        <w:t xml:space="preserve">                                        </w:t>
      </w:r>
      <w:r>
        <w:rPr>
          <w:rFonts w:hint="eastAsia" w:ascii="黑体" w:hAnsi="黑体" w:eastAsia="黑体" w:cs="仿宋"/>
          <w:szCs w:val="21"/>
          <w:u w:val="single"/>
        </w:rPr>
        <w:t xml:space="preserve">                          </w:t>
      </w:r>
    </w:p>
    <w:p>
      <w:pPr>
        <w:adjustRightInd w:val="0"/>
        <w:snapToGrid w:val="0"/>
        <w:spacing w:line="360" w:lineRule="auto"/>
        <w:rPr>
          <w:rFonts w:ascii="黑体" w:hAnsi="黑体" w:eastAsia="黑体" w:cs="仿宋"/>
          <w:szCs w:val="21"/>
        </w:rPr>
      </w:pPr>
      <w:r>
        <w:rPr>
          <w:rFonts w:hint="eastAsia" w:ascii="黑体" w:hAnsi="黑体" w:eastAsia="黑体" w:cs="仿宋"/>
          <w:szCs w:val="21"/>
        </w:rPr>
        <w:t>地址：</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rPr>
        <w:t>邮编：</w:t>
      </w:r>
      <w:r>
        <w:rPr>
          <w:rFonts w:ascii="黑体" w:hAnsi="黑体" w:eastAsia="黑体" w:cs="仿宋"/>
          <w:szCs w:val="21"/>
          <w:u w:val="single"/>
        </w:rPr>
        <w:t xml:space="preserve">             </w:t>
      </w:r>
      <w:r>
        <w:rPr>
          <w:rFonts w:hint="eastAsia" w:ascii="黑体" w:hAnsi="黑体" w:eastAsia="黑体" w:cs="仿宋"/>
          <w:szCs w:val="21"/>
          <w:u w:val="single"/>
        </w:rPr>
        <w:t xml:space="preserve">                     </w:t>
      </w:r>
    </w:p>
    <w:p>
      <w:pPr>
        <w:adjustRightInd w:val="0"/>
        <w:snapToGrid w:val="0"/>
        <w:spacing w:line="360" w:lineRule="auto"/>
        <w:rPr>
          <w:rFonts w:ascii="黑体" w:hAnsi="黑体" w:eastAsia="黑体" w:cs="仿宋"/>
          <w:szCs w:val="21"/>
        </w:rPr>
      </w:pPr>
      <w:r>
        <w:rPr>
          <w:rFonts w:hint="eastAsia" w:ascii="黑体" w:hAnsi="黑体" w:eastAsia="黑体" w:cs="仿宋"/>
          <w:szCs w:val="21"/>
        </w:rPr>
        <w:t>联系人：</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hint="eastAsia" w:ascii="黑体" w:hAnsi="黑体" w:eastAsia="黑体" w:cs="仿宋"/>
          <w:szCs w:val="21"/>
        </w:rPr>
        <w:t>联系电话：</w:t>
      </w:r>
      <w:r>
        <w:rPr>
          <w:rFonts w:ascii="黑体" w:hAnsi="黑体" w:eastAsia="黑体" w:cs="仿宋"/>
          <w:szCs w:val="21"/>
          <w:u w:val="single"/>
        </w:rPr>
        <w:t xml:space="preserve">           </w:t>
      </w:r>
      <w:r>
        <w:rPr>
          <w:rFonts w:hint="eastAsia" w:ascii="黑体" w:hAnsi="黑体" w:eastAsia="黑体" w:cs="仿宋"/>
          <w:szCs w:val="21"/>
          <w:u w:val="single"/>
        </w:rPr>
        <w:t xml:space="preserve">                   </w:t>
      </w:r>
    </w:p>
    <w:p>
      <w:pPr>
        <w:adjustRightInd w:val="0"/>
        <w:snapToGrid w:val="0"/>
        <w:spacing w:line="360" w:lineRule="auto"/>
        <w:rPr>
          <w:rFonts w:ascii="黑体" w:hAnsi="黑体" w:eastAsia="黑体" w:cs="仿宋"/>
          <w:szCs w:val="21"/>
          <w:u w:val="dotted"/>
        </w:rPr>
      </w:pPr>
      <w:r>
        <w:rPr>
          <w:rFonts w:hint="eastAsia" w:ascii="黑体" w:hAnsi="黑体" w:eastAsia="黑体" w:cs="仿宋"/>
          <w:szCs w:val="21"/>
        </w:rPr>
        <w:t>授权代表：</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p>
    <w:p>
      <w:pPr>
        <w:adjustRightInd w:val="0"/>
        <w:snapToGrid w:val="0"/>
        <w:spacing w:line="360" w:lineRule="auto"/>
        <w:rPr>
          <w:rFonts w:ascii="黑体" w:hAnsi="黑体" w:eastAsia="黑体" w:cs="仿宋"/>
          <w:b/>
          <w:szCs w:val="21"/>
        </w:rPr>
      </w:pPr>
      <w:r>
        <w:rPr>
          <w:rFonts w:hint="eastAsia" w:ascii="黑体" w:hAnsi="黑体" w:eastAsia="黑体" w:cs="仿宋"/>
          <w:szCs w:val="21"/>
        </w:rPr>
        <w:t>联系电话：</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p>
    <w:p>
      <w:pPr>
        <w:adjustRightInd w:val="0"/>
        <w:snapToGrid w:val="0"/>
        <w:spacing w:line="360" w:lineRule="auto"/>
        <w:rPr>
          <w:rFonts w:ascii="黑体" w:hAnsi="黑体" w:eastAsia="黑体" w:cs="仿宋"/>
          <w:b/>
          <w:szCs w:val="21"/>
        </w:rPr>
      </w:pPr>
      <w:r>
        <w:rPr>
          <w:rFonts w:hint="eastAsia" w:ascii="黑体" w:hAnsi="黑体" w:eastAsia="黑体" w:cs="仿宋"/>
          <w:szCs w:val="21"/>
        </w:rPr>
        <w:t>地   址：</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rPr>
        <w:t>邮编：</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p>
    <w:p>
      <w:pPr>
        <w:adjustRightInd w:val="0"/>
        <w:snapToGrid w:val="0"/>
        <w:spacing w:before="156" w:beforeLines="50" w:line="360" w:lineRule="auto"/>
        <w:rPr>
          <w:rFonts w:ascii="黑体" w:hAnsi="黑体" w:eastAsia="黑体" w:cs="仿宋"/>
          <w:bCs/>
          <w:szCs w:val="21"/>
        </w:rPr>
      </w:pPr>
      <w:r>
        <w:rPr>
          <w:rFonts w:hint="eastAsia" w:ascii="黑体" w:hAnsi="黑体" w:eastAsia="黑体" w:cs="仿宋"/>
          <w:bCs/>
          <w:szCs w:val="21"/>
        </w:rPr>
        <w:t xml:space="preserve">二、质疑项目基本情况 </w:t>
      </w:r>
    </w:p>
    <w:p>
      <w:pPr>
        <w:adjustRightInd w:val="0"/>
        <w:snapToGrid w:val="0"/>
        <w:spacing w:line="360" w:lineRule="auto"/>
        <w:rPr>
          <w:rFonts w:ascii="黑体" w:hAnsi="黑体" w:eastAsia="黑体" w:cs="仿宋"/>
          <w:szCs w:val="21"/>
        </w:rPr>
      </w:pPr>
      <w:r>
        <w:rPr>
          <w:rFonts w:hint="eastAsia" w:ascii="黑体" w:hAnsi="黑体" w:eastAsia="黑体" w:cs="仿宋"/>
          <w:szCs w:val="21"/>
        </w:rPr>
        <w:t>质疑项目的名称：</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p>
    <w:p>
      <w:pPr>
        <w:adjustRightInd w:val="0"/>
        <w:snapToGrid w:val="0"/>
        <w:spacing w:line="360" w:lineRule="auto"/>
        <w:rPr>
          <w:rFonts w:ascii="黑体" w:hAnsi="黑体" w:eastAsia="黑体" w:cs="仿宋"/>
          <w:szCs w:val="21"/>
        </w:rPr>
      </w:pPr>
      <w:r>
        <w:rPr>
          <w:rFonts w:hint="eastAsia" w:ascii="黑体" w:hAnsi="黑体" w:eastAsia="黑体" w:cs="仿宋"/>
          <w:szCs w:val="21"/>
        </w:rPr>
        <w:t>质疑项目的编号：</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rPr>
        <w:t>包号：</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p>
    <w:p>
      <w:pPr>
        <w:adjustRightInd w:val="0"/>
        <w:snapToGrid w:val="0"/>
        <w:spacing w:line="360" w:lineRule="auto"/>
        <w:rPr>
          <w:rFonts w:ascii="黑体" w:hAnsi="黑体" w:eastAsia="黑体" w:cs="仿宋"/>
          <w:szCs w:val="21"/>
          <w:u w:val="single"/>
        </w:rPr>
      </w:pPr>
      <w:r>
        <w:rPr>
          <w:rFonts w:hint="eastAsia" w:ascii="黑体" w:hAnsi="黑体" w:eastAsia="黑体" w:cs="仿宋"/>
          <w:szCs w:val="21"/>
        </w:rPr>
        <w:t>采购人名称：</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p>
    <w:p>
      <w:pPr>
        <w:adjustRightInd w:val="0"/>
        <w:snapToGrid w:val="0"/>
        <w:spacing w:line="360" w:lineRule="auto"/>
        <w:rPr>
          <w:rFonts w:ascii="黑体" w:hAnsi="黑体" w:eastAsia="黑体" w:cs="仿宋"/>
          <w:szCs w:val="21"/>
          <w:u w:val="single"/>
        </w:rPr>
      </w:pPr>
      <w:r>
        <w:rPr>
          <w:rFonts w:hint="eastAsia" w:ascii="黑体" w:hAnsi="黑体" w:eastAsia="黑体" w:cs="仿宋"/>
          <w:szCs w:val="21"/>
        </w:rPr>
        <w:t>采购文件获取日期：</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p>
    <w:p>
      <w:pPr>
        <w:adjustRightInd w:val="0"/>
        <w:snapToGrid w:val="0"/>
        <w:spacing w:before="156" w:beforeLines="50" w:line="360" w:lineRule="auto"/>
        <w:rPr>
          <w:rFonts w:ascii="黑体" w:hAnsi="黑体" w:eastAsia="黑体" w:cs="仿宋"/>
          <w:bCs/>
          <w:szCs w:val="21"/>
        </w:rPr>
      </w:pPr>
      <w:r>
        <w:rPr>
          <w:rFonts w:hint="eastAsia" w:ascii="黑体" w:hAnsi="黑体" w:eastAsia="黑体" w:cs="仿宋"/>
          <w:bCs/>
          <w:szCs w:val="21"/>
        </w:rPr>
        <w:t>三、质疑事项具体内容</w:t>
      </w:r>
    </w:p>
    <w:p>
      <w:pPr>
        <w:adjustRightInd w:val="0"/>
        <w:snapToGrid w:val="0"/>
        <w:spacing w:line="360" w:lineRule="auto"/>
        <w:rPr>
          <w:rFonts w:ascii="黑体" w:hAnsi="黑体" w:eastAsia="黑体" w:cs="仿宋"/>
          <w:szCs w:val="21"/>
          <w:u w:val="single"/>
        </w:rPr>
      </w:pPr>
      <w:r>
        <w:rPr>
          <w:rFonts w:hint="eastAsia" w:ascii="黑体" w:hAnsi="黑体" w:eastAsia="黑体" w:cs="仿宋"/>
          <w:szCs w:val="21"/>
        </w:rPr>
        <w:t>质疑事项</w:t>
      </w:r>
      <w:r>
        <w:rPr>
          <w:rFonts w:ascii="黑体" w:hAnsi="黑体" w:eastAsia="黑体" w:cs="仿宋"/>
          <w:szCs w:val="21"/>
        </w:rPr>
        <w:t>1：</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p>
    <w:p>
      <w:pPr>
        <w:adjustRightInd w:val="0"/>
        <w:snapToGrid w:val="0"/>
        <w:spacing w:line="360" w:lineRule="auto"/>
        <w:rPr>
          <w:rFonts w:ascii="黑体" w:hAnsi="黑体" w:eastAsia="黑体" w:cs="仿宋"/>
          <w:szCs w:val="21"/>
          <w:u w:val="single"/>
        </w:rPr>
      </w:pPr>
      <w:r>
        <w:rPr>
          <w:rFonts w:hint="eastAsia" w:ascii="黑体" w:hAnsi="黑体" w:eastAsia="黑体" w:cs="仿宋"/>
          <w:szCs w:val="21"/>
        </w:rPr>
        <w:t>事实依据：</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p>
    <w:p>
      <w:pPr>
        <w:adjustRightInd w:val="0"/>
        <w:snapToGrid w:val="0"/>
        <w:spacing w:line="360" w:lineRule="auto"/>
        <w:rPr>
          <w:rFonts w:ascii="黑体" w:hAnsi="黑体" w:eastAsia="黑体" w:cs="仿宋"/>
          <w:szCs w:val="21"/>
          <w:u w:val="single"/>
        </w:rPr>
      </w:pPr>
      <w:r>
        <w:rPr>
          <w:rFonts w:hint="eastAsia" w:ascii="黑体" w:hAnsi="黑体" w:eastAsia="黑体" w:cs="仿宋"/>
          <w:szCs w:val="21"/>
        </w:rPr>
        <w:t>法律依据：</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p>
    <w:p>
      <w:pPr>
        <w:adjustRightInd w:val="0"/>
        <w:snapToGrid w:val="0"/>
        <w:spacing w:line="360" w:lineRule="auto"/>
        <w:rPr>
          <w:rFonts w:ascii="黑体" w:hAnsi="黑体" w:eastAsia="黑体" w:cs="仿宋"/>
          <w:szCs w:val="21"/>
          <w:u w:val="dotted"/>
        </w:rPr>
      </w:pPr>
      <w:r>
        <w:rPr>
          <w:rFonts w:hint="eastAsia" w:ascii="黑体" w:hAnsi="黑体" w:eastAsia="黑体" w:cs="仿宋"/>
          <w:szCs w:val="21"/>
        </w:rPr>
        <w:t>质疑事项</w:t>
      </w:r>
      <w:r>
        <w:rPr>
          <w:rFonts w:ascii="黑体" w:hAnsi="黑体" w:eastAsia="黑体" w:cs="仿宋"/>
          <w:szCs w:val="21"/>
        </w:rPr>
        <w:t>2</w:t>
      </w:r>
    </w:p>
    <w:p>
      <w:pPr>
        <w:adjustRightInd w:val="0"/>
        <w:snapToGrid w:val="0"/>
        <w:spacing w:line="360" w:lineRule="auto"/>
        <w:rPr>
          <w:rFonts w:ascii="黑体" w:hAnsi="黑体" w:eastAsia="黑体" w:cs="仿宋"/>
          <w:szCs w:val="21"/>
        </w:rPr>
      </w:pPr>
      <w:r>
        <w:rPr>
          <w:rFonts w:hint="eastAsia" w:ascii="黑体" w:hAnsi="黑体" w:eastAsia="黑体" w:cs="仿宋"/>
          <w:szCs w:val="21"/>
        </w:rPr>
        <w:t>……</w:t>
      </w:r>
    </w:p>
    <w:p>
      <w:pPr>
        <w:adjustRightInd w:val="0"/>
        <w:snapToGrid w:val="0"/>
        <w:spacing w:line="360" w:lineRule="auto"/>
        <w:rPr>
          <w:rFonts w:ascii="黑体" w:hAnsi="黑体" w:eastAsia="黑体" w:cs="仿宋"/>
          <w:bCs/>
          <w:szCs w:val="21"/>
        </w:rPr>
      </w:pPr>
      <w:r>
        <w:rPr>
          <w:rFonts w:hint="eastAsia" w:ascii="黑体" w:hAnsi="黑体" w:eastAsia="黑体" w:cs="仿宋"/>
          <w:bCs/>
          <w:szCs w:val="21"/>
        </w:rPr>
        <w:t>四、与质疑事项相关的质疑请求</w:t>
      </w:r>
    </w:p>
    <w:p>
      <w:pPr>
        <w:adjustRightInd w:val="0"/>
        <w:snapToGrid w:val="0"/>
        <w:spacing w:line="360" w:lineRule="auto"/>
        <w:rPr>
          <w:rFonts w:ascii="黑体" w:hAnsi="黑体" w:eastAsia="黑体" w:cs="仿宋"/>
          <w:szCs w:val="21"/>
          <w:u w:val="dotted"/>
        </w:rPr>
      </w:pPr>
      <w:r>
        <w:rPr>
          <w:rFonts w:hint="eastAsia" w:ascii="黑体" w:hAnsi="黑体" w:eastAsia="黑体" w:cs="仿宋"/>
          <w:szCs w:val="21"/>
        </w:rPr>
        <w:t>请求：</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r>
        <w:rPr>
          <w:rFonts w:ascii="黑体" w:hAnsi="黑体" w:eastAsia="黑体" w:cs="仿宋"/>
          <w:szCs w:val="21"/>
          <w:u w:val="single"/>
        </w:rPr>
        <w:t xml:space="preserve">  </w:t>
      </w:r>
      <w:r>
        <w:rPr>
          <w:rFonts w:hint="eastAsia" w:ascii="黑体" w:hAnsi="黑体" w:eastAsia="黑体" w:cs="仿宋"/>
          <w:szCs w:val="21"/>
          <w:u w:val="single"/>
        </w:rPr>
        <w:t xml:space="preserve">             </w:t>
      </w:r>
    </w:p>
    <w:p>
      <w:pPr>
        <w:adjustRightInd w:val="0"/>
        <w:snapToGrid w:val="0"/>
        <w:spacing w:line="360" w:lineRule="auto"/>
        <w:rPr>
          <w:rFonts w:ascii="黑体" w:hAnsi="黑体" w:eastAsia="黑体"/>
          <w:szCs w:val="21"/>
        </w:rPr>
      </w:pPr>
      <w:r>
        <w:rPr>
          <w:rFonts w:hint="eastAsia" w:ascii="黑体" w:hAnsi="黑体" w:eastAsia="黑体"/>
          <w:szCs w:val="21"/>
        </w:rPr>
        <w:t>签字</w:t>
      </w:r>
      <w:r>
        <w:rPr>
          <w:rFonts w:ascii="黑体" w:hAnsi="黑体" w:eastAsia="黑体"/>
          <w:szCs w:val="21"/>
        </w:rPr>
        <w:t xml:space="preserve">(签章)：                   公章：                      </w:t>
      </w:r>
    </w:p>
    <w:p>
      <w:pPr>
        <w:adjustRightInd w:val="0"/>
        <w:snapToGrid w:val="0"/>
        <w:spacing w:line="360" w:lineRule="auto"/>
        <w:rPr>
          <w:rFonts w:ascii="黑体" w:hAnsi="黑体" w:eastAsia="黑体"/>
          <w:szCs w:val="21"/>
        </w:rPr>
      </w:pPr>
      <w:r>
        <w:rPr>
          <w:rFonts w:hint="eastAsia" w:ascii="黑体" w:hAnsi="黑体" w:eastAsia="黑体"/>
          <w:szCs w:val="21"/>
        </w:rPr>
        <w:t>日    期：</w:t>
      </w:r>
      <w:r>
        <w:rPr>
          <w:rFonts w:ascii="黑体" w:hAnsi="黑体" w:eastAsia="黑体"/>
          <w:szCs w:val="21"/>
        </w:rPr>
        <w:t xml:space="preserve">    </w:t>
      </w:r>
    </w:p>
    <w:p>
      <w:pPr>
        <w:adjustRightInd w:val="0"/>
        <w:snapToGrid w:val="0"/>
        <w:spacing w:line="360" w:lineRule="auto"/>
        <w:rPr>
          <w:rFonts w:ascii="黑体" w:hAnsi="黑体" w:eastAsia="黑体" w:cs="仿宋"/>
          <w:szCs w:val="21"/>
        </w:rPr>
      </w:pPr>
    </w:p>
    <w:p>
      <w:pPr>
        <w:adjustRightInd w:val="0"/>
        <w:snapToGrid w:val="0"/>
        <w:spacing w:line="360" w:lineRule="auto"/>
        <w:rPr>
          <w:rFonts w:ascii="黑体" w:hAnsi="黑体" w:eastAsia="黑体"/>
          <w:b/>
          <w:szCs w:val="21"/>
        </w:rPr>
      </w:pPr>
      <w:r>
        <w:rPr>
          <w:rFonts w:hint="eastAsia" w:ascii="黑体" w:hAnsi="黑体" w:eastAsia="黑体"/>
          <w:b/>
          <w:szCs w:val="21"/>
        </w:rPr>
        <w:t>质疑函制作说明：</w:t>
      </w:r>
    </w:p>
    <w:p>
      <w:pPr>
        <w:pStyle w:val="30"/>
        <w:widowControl/>
        <w:numPr>
          <w:ilvl w:val="0"/>
          <w:numId w:val="85"/>
        </w:numPr>
        <w:adjustRightInd w:val="0"/>
        <w:snapToGrid w:val="0"/>
        <w:spacing w:line="360" w:lineRule="auto"/>
        <w:ind w:firstLineChars="0"/>
        <w:jc w:val="left"/>
        <w:rPr>
          <w:rFonts w:ascii="黑体" w:hAnsi="黑体" w:eastAsia="黑体"/>
          <w:b/>
          <w:szCs w:val="21"/>
        </w:rPr>
      </w:pPr>
      <w:r>
        <w:rPr>
          <w:rFonts w:ascii="黑体" w:hAnsi="黑体" w:eastAsia="黑体"/>
          <w:szCs w:val="21"/>
        </w:rPr>
        <w:t>供应商提出质疑时，应提交质疑函和必要的证明材料。</w:t>
      </w:r>
    </w:p>
    <w:p>
      <w:pPr>
        <w:pStyle w:val="30"/>
        <w:widowControl/>
        <w:numPr>
          <w:ilvl w:val="0"/>
          <w:numId w:val="85"/>
        </w:numPr>
        <w:adjustRightInd w:val="0"/>
        <w:snapToGrid w:val="0"/>
        <w:spacing w:line="360" w:lineRule="auto"/>
        <w:ind w:firstLineChars="0"/>
        <w:jc w:val="left"/>
        <w:rPr>
          <w:rFonts w:ascii="黑体" w:hAnsi="黑体" w:eastAsia="黑体"/>
          <w:b/>
          <w:szCs w:val="21"/>
        </w:rPr>
      </w:pPr>
      <w:r>
        <w:rPr>
          <w:rFonts w:hint="eastAsia" w:ascii="黑体" w:hAnsi="黑体" w:eastAsia="黑体"/>
          <w:szCs w:val="21"/>
        </w:rPr>
        <w:t>质疑供应商若委托代理人进行质疑的，质疑函应按要求列明“授权代表”的有关内容，并在附件中提交由质疑</w:t>
      </w:r>
      <w:r>
        <w:rPr>
          <w:rFonts w:hint="eastAsia" w:ascii="黑体" w:hAnsi="黑体" w:eastAsia="黑体" w:cs="宋体"/>
          <w:szCs w:val="21"/>
        </w:rPr>
        <w:t>供应商签署的授权委托书。授权委托书应载明代理人的姓名或者名称、代理事项、具体权限、期限和相关事项。</w:t>
      </w:r>
    </w:p>
    <w:p>
      <w:pPr>
        <w:pStyle w:val="30"/>
        <w:widowControl/>
        <w:numPr>
          <w:ilvl w:val="0"/>
          <w:numId w:val="85"/>
        </w:numPr>
        <w:adjustRightInd w:val="0"/>
        <w:snapToGrid w:val="0"/>
        <w:spacing w:line="360" w:lineRule="auto"/>
        <w:ind w:firstLineChars="0"/>
        <w:jc w:val="left"/>
        <w:rPr>
          <w:rFonts w:ascii="黑体" w:hAnsi="黑体" w:eastAsia="黑体"/>
          <w:b/>
          <w:szCs w:val="21"/>
        </w:rPr>
      </w:pPr>
      <w:r>
        <w:rPr>
          <w:rFonts w:hint="eastAsia" w:ascii="黑体" w:hAnsi="黑体" w:eastAsia="黑体"/>
          <w:szCs w:val="21"/>
        </w:rPr>
        <w:t>质疑供应商若对项目的某一分包进行质疑，质疑函中应列明具体分包号。</w:t>
      </w:r>
    </w:p>
    <w:p>
      <w:pPr>
        <w:pStyle w:val="30"/>
        <w:widowControl/>
        <w:numPr>
          <w:ilvl w:val="0"/>
          <w:numId w:val="85"/>
        </w:numPr>
        <w:adjustRightInd w:val="0"/>
        <w:snapToGrid w:val="0"/>
        <w:spacing w:line="360" w:lineRule="auto"/>
        <w:ind w:firstLineChars="0"/>
        <w:jc w:val="left"/>
        <w:rPr>
          <w:rFonts w:ascii="黑体" w:hAnsi="黑体" w:eastAsia="黑体"/>
          <w:b/>
          <w:szCs w:val="21"/>
        </w:rPr>
      </w:pPr>
      <w:r>
        <w:rPr>
          <w:rFonts w:hint="eastAsia" w:ascii="黑体" w:hAnsi="黑体" w:eastAsia="黑体"/>
          <w:szCs w:val="21"/>
        </w:rPr>
        <w:t>质疑函的质疑事项应具体、明确，并有必要的事实依据和法律依据。</w:t>
      </w:r>
    </w:p>
    <w:p>
      <w:pPr>
        <w:pStyle w:val="30"/>
        <w:widowControl/>
        <w:numPr>
          <w:ilvl w:val="0"/>
          <w:numId w:val="85"/>
        </w:numPr>
        <w:adjustRightInd w:val="0"/>
        <w:snapToGrid w:val="0"/>
        <w:spacing w:line="360" w:lineRule="auto"/>
        <w:ind w:firstLineChars="0"/>
        <w:jc w:val="left"/>
        <w:rPr>
          <w:rFonts w:ascii="黑体" w:hAnsi="黑体" w:eastAsia="黑体"/>
          <w:b/>
          <w:szCs w:val="21"/>
        </w:rPr>
      </w:pPr>
      <w:r>
        <w:rPr>
          <w:rFonts w:hint="eastAsia" w:ascii="黑体" w:hAnsi="黑体" w:eastAsia="黑体"/>
          <w:szCs w:val="21"/>
        </w:rPr>
        <w:t>质疑函的质疑请求应与质疑事项相关。</w:t>
      </w:r>
    </w:p>
    <w:p>
      <w:pPr>
        <w:pStyle w:val="30"/>
        <w:widowControl/>
        <w:numPr>
          <w:ilvl w:val="0"/>
          <w:numId w:val="85"/>
        </w:numPr>
        <w:adjustRightInd w:val="0"/>
        <w:snapToGrid w:val="0"/>
        <w:spacing w:line="360" w:lineRule="auto"/>
        <w:ind w:firstLineChars="0"/>
        <w:jc w:val="left"/>
        <w:rPr>
          <w:rFonts w:ascii="黑体" w:hAnsi="黑体" w:eastAsia="黑体"/>
          <w:b/>
          <w:szCs w:val="21"/>
        </w:rPr>
      </w:pPr>
      <w:r>
        <w:rPr>
          <w:rFonts w:hint="eastAsia" w:ascii="黑体" w:hAnsi="黑体" w:eastAsia="黑体"/>
          <w:szCs w:val="21"/>
        </w:rPr>
        <w:t>质疑供应商为自然人的，质疑函应由本人签字；质疑供应商为法人或者其他组织的，质疑函应由法定代表人、主要负责人，或者其授权代表签字或者盖章，并加盖公章。</w:t>
      </w:r>
    </w:p>
    <w:p>
      <w:pPr>
        <w:widowControl/>
        <w:jc w:val="left"/>
        <w:rPr>
          <w:rFonts w:ascii="黑体" w:hAnsi="黑体" w:eastAsia="黑体"/>
          <w:b/>
          <w:kern w:val="0"/>
          <w:sz w:val="24"/>
          <w:szCs w:val="24"/>
        </w:rPr>
      </w:pPr>
      <w:r>
        <w:rPr>
          <w:rFonts w:ascii="黑体" w:hAnsi="黑体" w:eastAsia="黑体"/>
          <w:b/>
        </w:rPr>
        <w:br w:type="page"/>
      </w:r>
    </w:p>
    <w:p>
      <w:pPr>
        <w:pStyle w:val="3"/>
        <w:keepNext w:val="0"/>
        <w:keepLines w:val="0"/>
        <w:pageBreakBefore/>
        <w:spacing w:line="360" w:lineRule="auto"/>
        <w:jc w:val="center"/>
        <w:rPr>
          <w:rFonts w:ascii="黑体" w:hAnsi="黑体" w:eastAsia="黑体"/>
          <w:spacing w:val="20"/>
          <w:sz w:val="32"/>
          <w:szCs w:val="32"/>
        </w:rPr>
      </w:pPr>
      <w:bookmarkStart w:id="157" w:name="_Toc391627751"/>
      <w:bookmarkStart w:id="158" w:name="_Toc405313955"/>
      <w:bookmarkStart w:id="159" w:name="_Toc521951135"/>
      <w:bookmarkStart w:id="160" w:name="_Toc25528"/>
      <w:r>
        <w:rPr>
          <w:rFonts w:hint="eastAsia" w:ascii="黑体" w:hAnsi="黑体" w:eastAsia="黑体"/>
          <w:spacing w:val="20"/>
          <w:sz w:val="32"/>
          <w:szCs w:val="32"/>
        </w:rPr>
        <w:t>第五部分</w:t>
      </w:r>
      <w:r>
        <w:rPr>
          <w:rFonts w:ascii="黑体" w:hAnsi="黑体" w:eastAsia="黑体"/>
          <w:spacing w:val="20"/>
          <w:sz w:val="32"/>
          <w:szCs w:val="32"/>
        </w:rPr>
        <w:t xml:space="preserve"> </w:t>
      </w:r>
      <w:bookmarkStart w:id="161" w:name="_Hlk46687785"/>
      <w:r>
        <w:rPr>
          <w:rFonts w:hint="eastAsia" w:ascii="黑体" w:hAnsi="黑体" w:eastAsia="黑体"/>
          <w:spacing w:val="20"/>
          <w:sz w:val="32"/>
          <w:szCs w:val="32"/>
        </w:rPr>
        <w:t>评审方法、步骤、标准</w:t>
      </w:r>
      <w:bookmarkEnd w:id="157"/>
      <w:bookmarkEnd w:id="158"/>
      <w:bookmarkEnd w:id="159"/>
      <w:bookmarkEnd w:id="160"/>
    </w:p>
    <w:bookmarkEnd w:id="161"/>
    <w:p>
      <w:pPr>
        <w:spacing w:line="360" w:lineRule="auto"/>
        <w:ind w:firstLine="420" w:firstLineChars="200"/>
        <w:rPr>
          <w:rFonts w:ascii="黑体" w:hAnsi="黑体" w:eastAsia="黑体"/>
          <w:bCs/>
          <w:szCs w:val="21"/>
        </w:rPr>
      </w:pPr>
      <w:bookmarkStart w:id="162" w:name="_Hlk6492271"/>
      <w:r>
        <w:rPr>
          <w:rFonts w:hint="eastAsia" w:ascii="黑体" w:hAnsi="黑体" w:eastAsia="黑体"/>
          <w:bCs/>
          <w:szCs w:val="21"/>
        </w:rPr>
        <w:t>参考</w:t>
      </w:r>
      <w:r>
        <w:rPr>
          <w:rFonts w:hint="eastAsia" w:ascii="黑体" w:hAnsi="黑体" w:eastAsia="黑体"/>
          <w:szCs w:val="21"/>
        </w:rPr>
        <w:t>《中华人民共和国政府采购法》、《中华人民共和国政府采购法实施条例》、《政府采购竞争性磋商采购方式管理暂行办法》</w:t>
      </w:r>
      <w:r>
        <w:rPr>
          <w:rFonts w:hint="eastAsia" w:ascii="黑体" w:hAnsi="黑体" w:eastAsia="黑体"/>
          <w:bCs/>
          <w:szCs w:val="21"/>
        </w:rPr>
        <w:t>及相关法律、法规的规定</w:t>
      </w:r>
      <w:bookmarkEnd w:id="162"/>
      <w:r>
        <w:rPr>
          <w:rFonts w:hint="eastAsia" w:ascii="黑体" w:hAnsi="黑体" w:eastAsia="黑体"/>
          <w:bCs/>
          <w:szCs w:val="21"/>
        </w:rPr>
        <w:t>确定以下评审方法、步骤及标准：</w:t>
      </w:r>
    </w:p>
    <w:p>
      <w:pPr>
        <w:pStyle w:val="30"/>
        <w:numPr>
          <w:ilvl w:val="0"/>
          <w:numId w:val="86"/>
        </w:numPr>
        <w:spacing w:before="312" w:beforeLines="100" w:line="360" w:lineRule="auto"/>
        <w:ind w:firstLineChars="0"/>
        <w:rPr>
          <w:rFonts w:ascii="黑体" w:hAnsi="黑体" w:eastAsia="黑体"/>
          <w:b/>
          <w:bCs/>
          <w:sz w:val="24"/>
          <w:szCs w:val="24"/>
        </w:rPr>
      </w:pPr>
      <w:r>
        <w:rPr>
          <w:rFonts w:hint="eastAsia" w:ascii="黑体" w:hAnsi="黑体" w:eastAsia="黑体"/>
          <w:b/>
          <w:bCs/>
          <w:sz w:val="24"/>
          <w:szCs w:val="24"/>
        </w:rPr>
        <w:t>总则</w:t>
      </w:r>
    </w:p>
    <w:p>
      <w:pPr>
        <w:pStyle w:val="30"/>
        <w:numPr>
          <w:ilvl w:val="0"/>
          <w:numId w:val="87"/>
        </w:numPr>
        <w:spacing w:line="360" w:lineRule="auto"/>
        <w:ind w:firstLineChars="0"/>
        <w:rPr>
          <w:rFonts w:ascii="黑体" w:hAnsi="黑体" w:eastAsia="黑体"/>
          <w:b/>
          <w:bCs/>
          <w:szCs w:val="21"/>
        </w:rPr>
      </w:pPr>
      <w:r>
        <w:rPr>
          <w:rFonts w:hint="eastAsia" w:ascii="黑体" w:hAnsi="黑体" w:eastAsia="黑体"/>
          <w:b/>
          <w:bCs/>
          <w:szCs w:val="21"/>
        </w:rPr>
        <w:t>磋商小组</w:t>
      </w:r>
    </w:p>
    <w:p>
      <w:pPr>
        <w:pStyle w:val="30"/>
        <w:numPr>
          <w:ilvl w:val="1"/>
          <w:numId w:val="88"/>
        </w:numPr>
        <w:spacing w:line="360" w:lineRule="auto"/>
        <w:ind w:firstLineChars="0"/>
        <w:rPr>
          <w:rFonts w:ascii="黑体" w:hAnsi="黑体" w:eastAsia="黑体"/>
          <w:bCs/>
          <w:szCs w:val="21"/>
        </w:rPr>
      </w:pPr>
      <w:r>
        <w:rPr>
          <w:rFonts w:hint="eastAsia" w:ascii="黑体" w:hAnsi="黑体" w:eastAsia="黑体"/>
          <w:bCs/>
          <w:szCs w:val="21"/>
        </w:rPr>
        <w:t>本次磋商依法组建磋商小组。</w:t>
      </w:r>
    </w:p>
    <w:p>
      <w:pPr>
        <w:pStyle w:val="30"/>
        <w:numPr>
          <w:ilvl w:val="1"/>
          <w:numId w:val="88"/>
        </w:numPr>
        <w:spacing w:line="360" w:lineRule="auto"/>
        <w:ind w:firstLineChars="0"/>
        <w:rPr>
          <w:rFonts w:ascii="黑体" w:hAnsi="黑体" w:eastAsia="黑体"/>
          <w:bCs/>
          <w:szCs w:val="21"/>
        </w:rPr>
      </w:pPr>
      <w:r>
        <w:rPr>
          <w:rFonts w:hint="eastAsia" w:ascii="黑体" w:hAnsi="黑体" w:eastAsia="黑体" w:cs="宋体"/>
          <w:szCs w:val="21"/>
          <w:lang w:eastAsia="zh-TW"/>
        </w:rPr>
        <w:t>磋商小组成员名单在</w:t>
      </w:r>
      <w:r>
        <w:rPr>
          <w:rFonts w:hint="eastAsia" w:ascii="黑体" w:hAnsi="黑体" w:eastAsia="黑体" w:cs="宋体"/>
          <w:szCs w:val="21"/>
        </w:rPr>
        <w:t>成交结果</w:t>
      </w:r>
      <w:r>
        <w:rPr>
          <w:rFonts w:hint="eastAsia" w:ascii="黑体" w:hAnsi="黑体" w:eastAsia="黑体" w:cs="宋体"/>
          <w:szCs w:val="21"/>
          <w:lang w:eastAsia="zh-TW"/>
        </w:rPr>
        <w:t>公告前应当保密。</w:t>
      </w:r>
      <w:r>
        <w:rPr>
          <w:rFonts w:hint="eastAsia" w:ascii="黑体" w:hAnsi="黑体" w:eastAsia="黑体"/>
          <w:bCs/>
          <w:szCs w:val="21"/>
        </w:rPr>
        <w:t>评审专家有下列情形之一的，受到邀请应主动提出回避，采购当事人也可以要求该评审专家回避：</w:t>
      </w:r>
    </w:p>
    <w:p>
      <w:pPr>
        <w:pStyle w:val="30"/>
        <w:numPr>
          <w:ilvl w:val="2"/>
          <w:numId w:val="89"/>
        </w:numPr>
        <w:spacing w:line="360" w:lineRule="auto"/>
        <w:ind w:firstLineChars="0"/>
        <w:rPr>
          <w:rFonts w:ascii="黑体" w:hAnsi="黑体" w:eastAsia="黑体"/>
          <w:bCs/>
          <w:szCs w:val="21"/>
        </w:rPr>
      </w:pPr>
      <w:r>
        <w:rPr>
          <w:rFonts w:hint="eastAsia" w:ascii="黑体" w:hAnsi="黑体" w:eastAsia="黑体" w:cs="宋体"/>
          <w:szCs w:val="21"/>
          <w:lang w:eastAsia="zh-TW"/>
        </w:rPr>
        <w:t>参加采购活动前</w:t>
      </w:r>
      <w:r>
        <w:rPr>
          <w:rFonts w:ascii="黑体" w:hAnsi="黑体" w:eastAsia="黑体" w:cs="宋体"/>
          <w:szCs w:val="21"/>
          <w:lang w:eastAsia="zh-TW"/>
        </w:rPr>
        <w:t>3年内与供应商存在劳动关系</w:t>
      </w:r>
      <w:r>
        <w:rPr>
          <w:rFonts w:hint="eastAsia" w:ascii="黑体" w:hAnsi="黑体" w:eastAsia="黑体" w:cs="宋体"/>
          <w:szCs w:val="21"/>
          <w:lang w:eastAsia="zh-TW"/>
        </w:rPr>
        <w:t>；</w:t>
      </w:r>
    </w:p>
    <w:p>
      <w:pPr>
        <w:pStyle w:val="30"/>
        <w:numPr>
          <w:ilvl w:val="2"/>
          <w:numId w:val="89"/>
        </w:numPr>
        <w:spacing w:line="360" w:lineRule="auto"/>
        <w:ind w:firstLineChars="0"/>
        <w:rPr>
          <w:rFonts w:ascii="黑体" w:hAnsi="黑体" w:eastAsia="黑体"/>
          <w:bCs/>
          <w:szCs w:val="21"/>
        </w:rPr>
      </w:pPr>
      <w:r>
        <w:rPr>
          <w:rFonts w:hint="eastAsia" w:ascii="黑体" w:hAnsi="黑体" w:eastAsia="黑体" w:cs="宋体"/>
          <w:szCs w:val="21"/>
          <w:lang w:eastAsia="zh-TW"/>
        </w:rPr>
        <w:t>参加采购活动前</w:t>
      </w:r>
      <w:r>
        <w:rPr>
          <w:rFonts w:ascii="黑体" w:hAnsi="黑体" w:eastAsia="黑体" w:cs="宋体"/>
          <w:szCs w:val="21"/>
          <w:lang w:eastAsia="zh-TW"/>
        </w:rPr>
        <w:t>3年内担任供应商的董事、监事；</w:t>
      </w:r>
    </w:p>
    <w:p>
      <w:pPr>
        <w:pStyle w:val="30"/>
        <w:numPr>
          <w:ilvl w:val="2"/>
          <w:numId w:val="89"/>
        </w:numPr>
        <w:spacing w:line="360" w:lineRule="auto"/>
        <w:ind w:firstLineChars="0"/>
        <w:rPr>
          <w:rFonts w:ascii="黑体" w:hAnsi="黑体" w:eastAsia="黑体"/>
          <w:bCs/>
          <w:szCs w:val="21"/>
        </w:rPr>
      </w:pPr>
      <w:r>
        <w:rPr>
          <w:rFonts w:hint="eastAsia" w:ascii="黑体" w:hAnsi="黑体" w:eastAsia="黑体"/>
          <w:bCs/>
          <w:szCs w:val="21"/>
        </w:rPr>
        <w:t>参加采购活动前</w:t>
      </w:r>
      <w:r>
        <w:rPr>
          <w:rFonts w:ascii="黑体" w:hAnsi="黑体" w:eastAsia="黑体"/>
          <w:bCs/>
          <w:szCs w:val="21"/>
        </w:rPr>
        <w:t>3年内是供应商的控股股东或者实际控制人</w:t>
      </w:r>
      <w:r>
        <w:rPr>
          <w:rFonts w:hint="eastAsia" w:ascii="黑体" w:hAnsi="黑体" w:eastAsia="黑体"/>
          <w:bCs/>
          <w:szCs w:val="21"/>
        </w:rPr>
        <w:t>；</w:t>
      </w:r>
    </w:p>
    <w:p>
      <w:pPr>
        <w:pStyle w:val="30"/>
        <w:numPr>
          <w:ilvl w:val="2"/>
          <w:numId w:val="89"/>
        </w:numPr>
        <w:spacing w:line="360" w:lineRule="auto"/>
        <w:ind w:firstLineChars="0"/>
        <w:rPr>
          <w:rFonts w:ascii="黑体" w:hAnsi="黑体" w:eastAsia="黑体"/>
          <w:bCs/>
          <w:szCs w:val="21"/>
        </w:rPr>
      </w:pPr>
      <w:r>
        <w:rPr>
          <w:rFonts w:hint="eastAsia" w:ascii="黑体" w:hAnsi="黑体" w:eastAsia="黑体"/>
          <w:bCs/>
          <w:szCs w:val="21"/>
        </w:rPr>
        <w:t>与供应商的法定代表人或者负责人有夫妻、直系血亲、三代以内旁系血亲或者近姻亲关系</w:t>
      </w:r>
      <w:r>
        <w:rPr>
          <w:rFonts w:hint="eastAsia" w:ascii="黑体" w:hAnsi="黑体" w:eastAsia="黑体"/>
          <w:bCs/>
          <w:spacing w:val="-4"/>
          <w:szCs w:val="21"/>
        </w:rPr>
        <w:t>；</w:t>
      </w:r>
    </w:p>
    <w:p>
      <w:pPr>
        <w:pStyle w:val="30"/>
        <w:numPr>
          <w:ilvl w:val="2"/>
          <w:numId w:val="89"/>
        </w:numPr>
        <w:spacing w:line="360" w:lineRule="auto"/>
        <w:ind w:firstLineChars="0"/>
        <w:rPr>
          <w:rFonts w:ascii="黑体" w:hAnsi="黑体" w:eastAsia="黑体"/>
          <w:bCs/>
          <w:szCs w:val="21"/>
        </w:rPr>
      </w:pPr>
      <w:r>
        <w:rPr>
          <w:rFonts w:hint="eastAsia" w:ascii="黑体" w:hAnsi="黑体" w:eastAsia="黑体" w:cs="宋体"/>
          <w:szCs w:val="21"/>
          <w:lang w:eastAsia="zh-TW"/>
        </w:rPr>
        <w:t>与供应商有其他可能影响政府采购活动公平、公正进行的关系。</w:t>
      </w:r>
    </w:p>
    <w:p>
      <w:pPr>
        <w:pStyle w:val="30"/>
        <w:numPr>
          <w:ilvl w:val="1"/>
          <w:numId w:val="88"/>
        </w:numPr>
        <w:spacing w:line="360" w:lineRule="auto"/>
        <w:ind w:firstLineChars="0"/>
        <w:rPr>
          <w:rFonts w:ascii="黑体" w:hAnsi="黑体" w:eastAsia="黑体"/>
          <w:bCs/>
          <w:szCs w:val="21"/>
        </w:rPr>
      </w:pPr>
      <w:r>
        <w:rPr>
          <w:rFonts w:hint="eastAsia" w:ascii="黑体" w:hAnsi="黑体" w:eastAsia="黑体"/>
          <w:bCs/>
          <w:szCs w:val="21"/>
        </w:rPr>
        <w:t>磋商小组成员和参与评审的有关工作人员不得透露对响应文件的评审和比较、成交候选人的推荐情况以及与评审有关的其他情况。</w:t>
      </w:r>
    </w:p>
    <w:p>
      <w:pPr>
        <w:pStyle w:val="30"/>
        <w:numPr>
          <w:ilvl w:val="1"/>
          <w:numId w:val="88"/>
        </w:numPr>
        <w:spacing w:line="360" w:lineRule="auto"/>
        <w:ind w:firstLineChars="0"/>
        <w:rPr>
          <w:rFonts w:ascii="黑体" w:hAnsi="黑体" w:eastAsia="黑体"/>
          <w:bCs/>
          <w:szCs w:val="21"/>
        </w:rPr>
      </w:pPr>
      <w:r>
        <w:rPr>
          <w:rFonts w:hint="eastAsia" w:ascii="黑体" w:hAnsi="黑体" w:eastAsia="黑体"/>
          <w:bCs/>
          <w:szCs w:val="21"/>
        </w:rPr>
        <w:t>磋商小组负责具体评审事务，并独立履行下列职责：</w:t>
      </w:r>
    </w:p>
    <w:p>
      <w:pPr>
        <w:pStyle w:val="30"/>
        <w:widowControl/>
        <w:numPr>
          <w:ilvl w:val="2"/>
          <w:numId w:val="88"/>
        </w:numPr>
        <w:spacing w:line="360" w:lineRule="auto"/>
        <w:ind w:firstLineChars="0"/>
        <w:jc w:val="left"/>
        <w:rPr>
          <w:rFonts w:ascii="黑体" w:hAnsi="黑体" w:eastAsia="黑体" w:cs="宋体"/>
          <w:szCs w:val="21"/>
          <w:lang w:eastAsia="zh-TW"/>
        </w:rPr>
      </w:pPr>
      <w:r>
        <w:rPr>
          <w:rFonts w:hint="eastAsia" w:ascii="黑体" w:hAnsi="黑体" w:eastAsia="黑体" w:cs="宋体"/>
          <w:szCs w:val="21"/>
          <w:lang w:eastAsia="zh-TW"/>
        </w:rPr>
        <w:t>审查、评价响应文件是否符合磋商文件的商务、技术等实质性要求；</w:t>
      </w:r>
    </w:p>
    <w:p>
      <w:pPr>
        <w:pStyle w:val="30"/>
        <w:widowControl/>
        <w:numPr>
          <w:ilvl w:val="2"/>
          <w:numId w:val="88"/>
        </w:numPr>
        <w:spacing w:line="360" w:lineRule="auto"/>
        <w:ind w:firstLineChars="0"/>
        <w:jc w:val="left"/>
        <w:rPr>
          <w:rFonts w:ascii="黑体" w:hAnsi="黑体" w:eastAsia="黑体" w:cs="宋体"/>
          <w:szCs w:val="21"/>
          <w:lang w:eastAsia="zh-TW"/>
        </w:rPr>
      </w:pPr>
      <w:r>
        <w:rPr>
          <w:rFonts w:hint="eastAsia" w:ascii="黑体" w:hAnsi="黑体" w:eastAsia="黑体" w:cs="宋体"/>
          <w:szCs w:val="21"/>
          <w:lang w:eastAsia="zh-TW"/>
        </w:rPr>
        <w:t>要求供应商对响应文件有关事项作出澄清或者说明；</w:t>
      </w:r>
    </w:p>
    <w:p>
      <w:pPr>
        <w:pStyle w:val="30"/>
        <w:widowControl/>
        <w:numPr>
          <w:ilvl w:val="2"/>
          <w:numId w:val="88"/>
        </w:numPr>
        <w:spacing w:line="360" w:lineRule="auto"/>
        <w:ind w:firstLineChars="0"/>
        <w:jc w:val="left"/>
        <w:rPr>
          <w:rFonts w:ascii="黑体" w:hAnsi="黑体" w:eastAsia="黑体" w:cs="宋体"/>
          <w:szCs w:val="21"/>
          <w:lang w:eastAsia="zh-TW"/>
        </w:rPr>
      </w:pPr>
      <w:r>
        <w:rPr>
          <w:rFonts w:hint="eastAsia" w:ascii="黑体" w:hAnsi="黑体" w:eastAsia="黑体" w:cs="宋体"/>
          <w:szCs w:val="21"/>
          <w:lang w:eastAsia="zh-TW"/>
        </w:rPr>
        <w:t>对响应文件进行比较和评价；</w:t>
      </w:r>
    </w:p>
    <w:p>
      <w:pPr>
        <w:pStyle w:val="30"/>
        <w:widowControl/>
        <w:numPr>
          <w:ilvl w:val="2"/>
          <w:numId w:val="88"/>
        </w:numPr>
        <w:spacing w:line="360" w:lineRule="auto"/>
        <w:ind w:firstLineChars="0"/>
        <w:jc w:val="left"/>
        <w:rPr>
          <w:rFonts w:ascii="黑体" w:hAnsi="黑体" w:eastAsia="黑体" w:cs="宋体"/>
          <w:szCs w:val="21"/>
          <w:lang w:eastAsia="zh-TW"/>
        </w:rPr>
      </w:pPr>
      <w:r>
        <w:rPr>
          <w:rFonts w:hint="eastAsia" w:ascii="黑体" w:hAnsi="黑体" w:eastAsia="黑体" w:cs="宋体"/>
          <w:szCs w:val="21"/>
          <w:lang w:eastAsia="zh-TW"/>
        </w:rPr>
        <w:t>确定</w:t>
      </w:r>
      <w:r>
        <w:rPr>
          <w:rFonts w:hint="eastAsia" w:ascii="黑体" w:hAnsi="黑体" w:eastAsia="黑体" w:cs="宋体"/>
          <w:szCs w:val="21"/>
        </w:rPr>
        <w:t>成交</w:t>
      </w:r>
      <w:r>
        <w:rPr>
          <w:rFonts w:hint="eastAsia" w:ascii="黑体" w:hAnsi="黑体" w:eastAsia="黑体" w:cs="宋体"/>
          <w:szCs w:val="21"/>
          <w:lang w:eastAsia="zh-TW"/>
        </w:rPr>
        <w:t>候选人名单，以及根据采购人委托直接确定成交人；</w:t>
      </w:r>
    </w:p>
    <w:p>
      <w:pPr>
        <w:pStyle w:val="30"/>
        <w:widowControl/>
        <w:numPr>
          <w:ilvl w:val="2"/>
          <w:numId w:val="88"/>
        </w:numPr>
        <w:spacing w:line="360" w:lineRule="auto"/>
        <w:ind w:firstLineChars="0"/>
        <w:jc w:val="left"/>
        <w:rPr>
          <w:rFonts w:ascii="黑体" w:hAnsi="黑体" w:eastAsia="黑体" w:cs="宋体"/>
          <w:szCs w:val="21"/>
          <w:lang w:eastAsia="zh-TW"/>
        </w:rPr>
      </w:pPr>
      <w:r>
        <w:rPr>
          <w:rFonts w:hint="eastAsia" w:ascii="黑体" w:hAnsi="黑体" w:eastAsia="黑体" w:cs="宋体"/>
          <w:szCs w:val="21"/>
          <w:lang w:eastAsia="zh-TW"/>
        </w:rPr>
        <w:t>向采购人、采购代理机构或者有关部门报告</w:t>
      </w:r>
      <w:r>
        <w:rPr>
          <w:rFonts w:hint="eastAsia" w:ascii="黑体" w:hAnsi="黑体" w:eastAsia="黑体" w:cs="宋体"/>
          <w:szCs w:val="21"/>
        </w:rPr>
        <w:t>评审</w:t>
      </w:r>
      <w:r>
        <w:rPr>
          <w:rFonts w:hint="eastAsia" w:ascii="黑体" w:hAnsi="黑体" w:eastAsia="黑体" w:cs="宋体"/>
          <w:szCs w:val="21"/>
          <w:lang w:eastAsia="zh-TW"/>
        </w:rPr>
        <w:t>中发现的违法行为。</w:t>
      </w:r>
    </w:p>
    <w:p>
      <w:pPr>
        <w:pStyle w:val="30"/>
        <w:widowControl/>
        <w:numPr>
          <w:ilvl w:val="1"/>
          <w:numId w:val="88"/>
        </w:numPr>
        <w:spacing w:line="360" w:lineRule="auto"/>
        <w:ind w:firstLineChars="0"/>
        <w:jc w:val="left"/>
        <w:rPr>
          <w:rFonts w:ascii="黑体" w:hAnsi="黑体" w:eastAsia="黑体" w:cs="宋体"/>
          <w:szCs w:val="21"/>
          <w:lang w:eastAsia="zh-TW"/>
        </w:rPr>
      </w:pPr>
      <w:r>
        <w:rPr>
          <w:rFonts w:hint="eastAsia" w:ascii="黑体" w:hAnsi="黑体" w:eastAsia="黑体" w:cs="宋体"/>
          <w:szCs w:val="21"/>
          <w:lang w:eastAsia="zh-TW"/>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30"/>
        <w:widowControl/>
        <w:numPr>
          <w:ilvl w:val="1"/>
          <w:numId w:val="88"/>
        </w:numPr>
        <w:spacing w:line="360" w:lineRule="auto"/>
        <w:ind w:firstLineChars="0"/>
        <w:jc w:val="left"/>
        <w:rPr>
          <w:rFonts w:ascii="黑体" w:hAnsi="黑体" w:eastAsia="黑体" w:cs="宋体"/>
          <w:szCs w:val="21"/>
          <w:lang w:eastAsia="zh-TW"/>
        </w:rPr>
      </w:pPr>
      <w:r>
        <w:rPr>
          <w:rFonts w:hint="eastAsia" w:ascii="黑体" w:hAnsi="黑体" w:eastAsia="黑体" w:cs="宋体"/>
          <w:szCs w:val="21"/>
          <w:lang w:eastAsia="zh-TW"/>
        </w:rPr>
        <w:t>磋商小组要求供应商澄清、说明或者更正响应文件应当以书面形式作出。供应商的澄清、说明或者更正应当由法定代表人或其授权代表签字或者加盖公章。由授权代表签字的，应当附法定代表人授权书</w:t>
      </w:r>
      <w:r>
        <w:rPr>
          <w:rFonts w:hint="eastAsia" w:ascii="黑体" w:hAnsi="黑体" w:eastAsia="黑体" w:cs="宋体"/>
          <w:szCs w:val="21"/>
        </w:rPr>
        <w:t>。</w:t>
      </w:r>
      <w:r>
        <w:rPr>
          <w:rFonts w:hint="eastAsia" w:ascii="黑体" w:hAnsi="黑体" w:eastAsia="黑体" w:cs="宋体"/>
          <w:szCs w:val="21"/>
          <w:lang w:eastAsia="zh-TW"/>
        </w:rPr>
        <w:t>供应商为自然人的，应当由本人签字并附身份证明。</w:t>
      </w:r>
    </w:p>
    <w:p>
      <w:pPr>
        <w:pStyle w:val="30"/>
        <w:numPr>
          <w:ilvl w:val="1"/>
          <w:numId w:val="88"/>
        </w:numPr>
        <w:spacing w:line="360" w:lineRule="auto"/>
        <w:ind w:firstLineChars="0"/>
        <w:rPr>
          <w:rFonts w:ascii="黑体" w:hAnsi="黑体" w:eastAsia="黑体"/>
          <w:bCs/>
          <w:szCs w:val="21"/>
        </w:rPr>
      </w:pPr>
      <w:r>
        <w:rPr>
          <w:rFonts w:hint="eastAsia" w:ascii="黑体" w:hAnsi="黑体" w:eastAsia="黑体"/>
          <w:bCs/>
          <w:szCs w:val="21"/>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pStyle w:val="30"/>
        <w:numPr>
          <w:ilvl w:val="1"/>
          <w:numId w:val="88"/>
        </w:numPr>
        <w:spacing w:line="360" w:lineRule="auto"/>
        <w:ind w:firstLineChars="0"/>
        <w:rPr>
          <w:rFonts w:ascii="黑体" w:hAnsi="黑体" w:eastAsia="黑体"/>
          <w:bCs/>
          <w:spacing w:val="-4"/>
          <w:szCs w:val="21"/>
        </w:rPr>
      </w:pPr>
      <w:r>
        <w:rPr>
          <w:rFonts w:hint="eastAsia" w:ascii="黑体" w:hAnsi="黑体" w:eastAsia="黑体"/>
          <w:bCs/>
          <w:spacing w:val="-4"/>
          <w:szCs w:val="21"/>
        </w:rPr>
        <w:t>参与评审工作的所有人员必须遵守</w:t>
      </w:r>
      <w:r>
        <w:rPr>
          <w:rFonts w:hint="eastAsia" w:ascii="黑体" w:hAnsi="黑体" w:eastAsia="黑体"/>
          <w:spacing w:val="-4"/>
          <w:szCs w:val="21"/>
        </w:rPr>
        <w:t>《中华人民共和国政府采购法》、《中华人民共和国政府采购法实施条例》、《政府采购竞争性磋商采购方式管理暂行办法》、广东省实施《中华人民共和国政府采购法》办法及相关法律、法规的规定</w:t>
      </w:r>
      <w:r>
        <w:rPr>
          <w:rFonts w:hint="eastAsia" w:ascii="黑体" w:hAnsi="黑体" w:eastAsia="黑体"/>
          <w:bCs/>
          <w:spacing w:val="-4"/>
          <w:szCs w:val="21"/>
        </w:rPr>
        <w:t>，以确保评标的公平、公正。</w:t>
      </w:r>
    </w:p>
    <w:p>
      <w:pPr>
        <w:pStyle w:val="30"/>
        <w:numPr>
          <w:ilvl w:val="0"/>
          <w:numId w:val="87"/>
        </w:numPr>
        <w:spacing w:before="312" w:beforeLines="100" w:line="360" w:lineRule="auto"/>
        <w:ind w:firstLineChars="0"/>
        <w:rPr>
          <w:rFonts w:ascii="黑体" w:hAnsi="黑体" w:eastAsia="黑体"/>
          <w:b/>
          <w:bCs/>
          <w:szCs w:val="21"/>
        </w:rPr>
      </w:pPr>
      <w:r>
        <w:rPr>
          <w:rFonts w:hint="eastAsia" w:ascii="黑体" w:hAnsi="黑体" w:eastAsia="黑体"/>
          <w:b/>
          <w:bCs/>
          <w:szCs w:val="21"/>
        </w:rPr>
        <w:t>评审方法</w:t>
      </w:r>
    </w:p>
    <w:p>
      <w:pPr>
        <w:pStyle w:val="30"/>
        <w:numPr>
          <w:ilvl w:val="1"/>
          <w:numId w:val="90"/>
        </w:numPr>
        <w:spacing w:line="360" w:lineRule="auto"/>
        <w:ind w:firstLineChars="0"/>
        <w:rPr>
          <w:rFonts w:ascii="黑体" w:hAnsi="黑体" w:eastAsia="黑体"/>
          <w:bCs/>
          <w:szCs w:val="21"/>
        </w:rPr>
      </w:pPr>
      <w:r>
        <w:rPr>
          <w:rFonts w:hint="eastAsia" w:ascii="黑体" w:hAnsi="黑体" w:eastAsia="黑体"/>
          <w:bCs/>
          <w:szCs w:val="21"/>
        </w:rPr>
        <w:t>本次评标采用</w:t>
      </w:r>
      <w:r>
        <w:rPr>
          <w:rFonts w:hint="eastAsia" w:ascii="黑体" w:hAnsi="黑体" w:eastAsia="黑体"/>
          <w:b/>
          <w:bCs/>
          <w:szCs w:val="21"/>
        </w:rPr>
        <w:t>综合评分法</w:t>
      </w:r>
      <w:r>
        <w:rPr>
          <w:rFonts w:hint="eastAsia" w:ascii="黑体" w:hAnsi="黑体" w:eastAsia="黑体"/>
          <w:bCs/>
          <w:szCs w:val="21"/>
        </w:rPr>
        <w:t>；综合评分法，是指响应文件满足磋商文件全部实质性要求且按评审因素的量化指标评审得分最高的供应商为成交候选供应商的评审方法。</w:t>
      </w:r>
    </w:p>
    <w:p>
      <w:pPr>
        <w:pStyle w:val="30"/>
        <w:numPr>
          <w:ilvl w:val="1"/>
          <w:numId w:val="90"/>
        </w:numPr>
        <w:spacing w:line="360" w:lineRule="auto"/>
        <w:ind w:firstLineChars="0"/>
        <w:rPr>
          <w:rFonts w:ascii="黑体" w:hAnsi="黑体" w:eastAsia="黑体"/>
          <w:bCs/>
          <w:szCs w:val="21"/>
        </w:rPr>
      </w:pPr>
      <w:r>
        <w:rPr>
          <w:rFonts w:hint="eastAsia" w:ascii="黑体" w:hAnsi="黑体" w:eastAsia="黑体"/>
          <w:bCs/>
          <w:szCs w:val="21"/>
        </w:rPr>
        <w:t>评审时，磋商小组各成员应当独立对每个有效响应的文件进行评价、打分，然后汇总每个供应商每项评分因素的得分。</w:t>
      </w:r>
    </w:p>
    <w:p>
      <w:pPr>
        <w:pStyle w:val="30"/>
        <w:numPr>
          <w:ilvl w:val="1"/>
          <w:numId w:val="90"/>
        </w:numPr>
        <w:spacing w:line="360" w:lineRule="auto"/>
        <w:ind w:firstLineChars="0"/>
        <w:rPr>
          <w:rFonts w:ascii="黑体" w:hAnsi="黑体" w:eastAsia="黑体"/>
          <w:bCs/>
          <w:szCs w:val="21"/>
        </w:rPr>
      </w:pPr>
      <w:r>
        <w:rPr>
          <w:rFonts w:hint="eastAsia" w:ascii="黑体" w:hAnsi="黑体" w:eastAsia="黑体"/>
          <w:bCs/>
          <w:szCs w:val="21"/>
        </w:rPr>
        <w:t>各项得分按四舍五入原则精确到小数点后两位。</w:t>
      </w:r>
    </w:p>
    <w:p>
      <w:pPr>
        <w:pStyle w:val="30"/>
        <w:numPr>
          <w:ilvl w:val="0"/>
          <w:numId w:val="87"/>
        </w:numPr>
        <w:spacing w:before="312" w:beforeLines="100" w:line="360" w:lineRule="auto"/>
        <w:ind w:firstLineChars="0"/>
        <w:rPr>
          <w:rFonts w:ascii="黑体" w:hAnsi="黑体" w:eastAsia="黑体"/>
          <w:bCs/>
          <w:szCs w:val="21"/>
        </w:rPr>
      </w:pPr>
      <w:r>
        <w:rPr>
          <w:rFonts w:hint="eastAsia" w:ascii="黑体" w:hAnsi="黑体" w:eastAsia="黑体"/>
          <w:b/>
          <w:bCs/>
          <w:szCs w:val="21"/>
        </w:rPr>
        <w:t>评审步骤</w:t>
      </w:r>
    </w:p>
    <w:p>
      <w:pPr>
        <w:pStyle w:val="30"/>
        <w:numPr>
          <w:ilvl w:val="1"/>
          <w:numId w:val="91"/>
        </w:numPr>
        <w:spacing w:line="360" w:lineRule="auto"/>
        <w:ind w:firstLineChars="0"/>
        <w:rPr>
          <w:rFonts w:ascii="黑体" w:hAnsi="黑体" w:eastAsia="黑体"/>
        </w:rPr>
      </w:pPr>
      <w:r>
        <w:rPr>
          <w:rFonts w:hint="eastAsia" w:ascii="黑体" w:hAnsi="黑体" w:eastAsia="黑体"/>
        </w:rPr>
        <w:t>磋商小组先对响应文件进行资格性、符合性审查（附表一），未能通过资格、符合性审查被认定为无效响应。只有全部满足《资格、符合性审查表》所列各项要求的响应才是有效响应，只要不满足资格性和符合性条款中所列各项要求之一的，将被认定为无效响应。对响应有效性认定意见不一致的，磋商小组按照少数服从多数的原则确定。</w:t>
      </w:r>
    </w:p>
    <w:p>
      <w:pPr>
        <w:pStyle w:val="30"/>
        <w:numPr>
          <w:ilvl w:val="1"/>
          <w:numId w:val="91"/>
        </w:numPr>
        <w:spacing w:line="360" w:lineRule="auto"/>
        <w:ind w:firstLineChars="0"/>
        <w:rPr>
          <w:rFonts w:ascii="黑体" w:hAnsi="黑体" w:eastAsia="黑体"/>
        </w:rPr>
      </w:pPr>
      <w:r>
        <w:rPr>
          <w:rFonts w:hint="eastAsia" w:ascii="黑体" w:hAnsi="黑体" w:eastAsia="黑体"/>
        </w:rPr>
        <w:t>磋商小组所有成员应当集中与单一供应商（以供应商签到顺序为准）分别进行磋商，并给予所有参加磋商的供应商平等的磋商机会。</w:t>
      </w:r>
    </w:p>
    <w:p>
      <w:pPr>
        <w:pStyle w:val="30"/>
        <w:numPr>
          <w:ilvl w:val="1"/>
          <w:numId w:val="91"/>
        </w:numPr>
        <w:spacing w:line="360" w:lineRule="auto"/>
        <w:ind w:firstLineChars="0"/>
        <w:rPr>
          <w:rFonts w:ascii="黑体" w:hAnsi="黑体" w:eastAsia="黑体"/>
        </w:rPr>
      </w:pPr>
      <w:r>
        <w:rPr>
          <w:rFonts w:hint="eastAsia" w:ascii="黑体" w:hAnsi="黑体" w:eastAsia="黑体"/>
        </w:rPr>
        <w:t>在磋商过程中，磋商小组可以根据磋商文件和磋商情况实质性变动采购需求中的技术、服务要求以及合同草案条款，但不得变动磋商文件中的其他内容。实质性变动的内容，须经采购人代表确认。对磋商文件作出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w:t>
      </w:r>
    </w:p>
    <w:p>
      <w:pPr>
        <w:pStyle w:val="30"/>
        <w:numPr>
          <w:ilvl w:val="1"/>
          <w:numId w:val="91"/>
        </w:numPr>
        <w:spacing w:line="360" w:lineRule="auto"/>
        <w:ind w:firstLineChars="0"/>
        <w:rPr>
          <w:rFonts w:ascii="黑体" w:hAnsi="黑体" w:eastAsia="黑体"/>
        </w:rPr>
      </w:pPr>
      <w:r>
        <w:rPr>
          <w:rFonts w:hint="eastAsia" w:ascii="黑体" w:hAnsi="黑体" w:eastAsia="黑体"/>
        </w:rPr>
        <w:t>在磋商过程中，磋商小组及有关当事人应当严格遵守保密原则，任何人不得透露与磋商有关的其他供应商的技术资料、价格和其他信息。</w:t>
      </w:r>
    </w:p>
    <w:p>
      <w:pPr>
        <w:pStyle w:val="30"/>
        <w:numPr>
          <w:ilvl w:val="1"/>
          <w:numId w:val="91"/>
        </w:numPr>
        <w:spacing w:line="360" w:lineRule="auto"/>
        <w:ind w:firstLineChars="0"/>
        <w:rPr>
          <w:rFonts w:ascii="黑体" w:hAnsi="黑体" w:eastAsia="黑体"/>
        </w:rPr>
      </w:pPr>
      <w:r>
        <w:rPr>
          <w:rFonts w:hint="eastAsia" w:ascii="黑体" w:hAnsi="黑体" w:eastAsia="黑体" w:cs="宋体"/>
        </w:rPr>
        <w:t>磋商文件能够详细列明采购标的的技术、服务要求的，</w:t>
      </w:r>
      <w:r>
        <w:rPr>
          <w:rFonts w:hint="eastAsia" w:ascii="黑体" w:hAnsi="黑体" w:eastAsia="黑体" w:cs="宋体"/>
          <w:lang w:eastAsia="zh-TW"/>
        </w:rPr>
        <w:t>磋商结束后，</w:t>
      </w:r>
      <w:r>
        <w:rPr>
          <w:rFonts w:hint="eastAsia" w:ascii="黑体" w:hAnsi="黑体" w:eastAsia="黑体" w:cs="宋体"/>
        </w:rPr>
        <w:t>磋商小组要求</w:t>
      </w:r>
      <w:r>
        <w:rPr>
          <w:rFonts w:hint="eastAsia" w:ascii="黑体" w:hAnsi="黑体" w:eastAsia="黑体" w:cs="宋体"/>
          <w:lang w:eastAsia="zh-TW"/>
        </w:rPr>
        <w:t>所有作出实质性响应的有效供应商应在规定的时间内提交最后磋商报价</w:t>
      </w:r>
      <w:r>
        <w:rPr>
          <w:rFonts w:hint="eastAsia" w:ascii="黑体" w:hAnsi="黑体" w:eastAsia="黑体" w:cs="宋体"/>
        </w:rPr>
        <w:t>。</w:t>
      </w:r>
    </w:p>
    <w:p>
      <w:pPr>
        <w:pStyle w:val="30"/>
        <w:numPr>
          <w:ilvl w:val="1"/>
          <w:numId w:val="91"/>
        </w:numPr>
        <w:spacing w:line="360" w:lineRule="auto"/>
        <w:ind w:firstLineChars="0"/>
        <w:rPr>
          <w:rFonts w:ascii="黑体" w:hAnsi="黑体" w:eastAsia="黑体"/>
        </w:rPr>
      </w:pPr>
      <w:r>
        <w:rPr>
          <w:rFonts w:hint="eastAsia" w:ascii="黑体" w:hAnsi="黑体" w:eastAsia="黑体" w:cs="宋体"/>
        </w:rPr>
        <w:t>如出现磋商文件不能详细列明采购标的的技术、服务要求，需经磋商由供应商最终设计方案或解决方案的，</w:t>
      </w:r>
      <w:r>
        <w:rPr>
          <w:rFonts w:hint="eastAsia" w:ascii="黑体" w:hAnsi="黑体" w:eastAsia="黑体" w:cs="宋体"/>
          <w:lang w:eastAsia="zh-TW"/>
        </w:rPr>
        <w:t>磋商结束后，</w:t>
      </w:r>
      <w:r>
        <w:rPr>
          <w:rFonts w:hint="eastAsia" w:ascii="黑体" w:hAnsi="黑体" w:eastAsia="黑体" w:cs="宋体"/>
        </w:rPr>
        <w:t>磋商小组按照少数服从多数的原则，投票推荐3家以上供应商的设计方案或者解决方案</w:t>
      </w:r>
      <w:r>
        <w:rPr>
          <w:rFonts w:hint="eastAsia" w:ascii="黑体" w:hAnsi="黑体" w:eastAsia="黑体" w:cs="宋体"/>
          <w:lang w:eastAsia="zh-TW"/>
        </w:rPr>
        <w:t>在规定的时间内提交最后磋商报价（最后磋商报价时间由磋商小组视磋商进程决定）</w:t>
      </w:r>
      <w:r>
        <w:rPr>
          <w:rFonts w:hint="eastAsia" w:ascii="黑体" w:hAnsi="黑体" w:eastAsia="黑体" w:cs="宋体"/>
        </w:rPr>
        <w:t>。</w:t>
      </w:r>
    </w:p>
    <w:p>
      <w:pPr>
        <w:pStyle w:val="30"/>
        <w:numPr>
          <w:ilvl w:val="1"/>
          <w:numId w:val="91"/>
        </w:numPr>
        <w:spacing w:line="360" w:lineRule="auto"/>
        <w:ind w:firstLineChars="0"/>
        <w:rPr>
          <w:rFonts w:ascii="黑体" w:hAnsi="黑体" w:eastAsia="黑体"/>
        </w:rPr>
      </w:pPr>
      <w:r>
        <w:rPr>
          <w:rFonts w:hint="eastAsia" w:ascii="黑体" w:hAnsi="黑体" w:eastAsia="黑体"/>
        </w:rPr>
        <w:t>磋商结束后，所有作出实质性响应的有效供应商应在规定的时间内集中密封提交最后磋商报价（最后磋商报价时间视磋商进程由磋商小组决定）</w:t>
      </w:r>
      <w:r>
        <w:rPr>
          <w:rFonts w:hint="eastAsia" w:ascii="黑体" w:hAnsi="黑体" w:eastAsia="黑体" w:cs="宋体"/>
        </w:rPr>
        <w:t>，</w:t>
      </w:r>
      <w:r>
        <w:rPr>
          <w:rFonts w:hint="eastAsia" w:ascii="黑体" w:hAnsi="黑体" w:eastAsia="黑体"/>
        </w:rPr>
        <w:t>最后磋商报价是供应商响应文件的有效组成部分。</w:t>
      </w:r>
    </w:p>
    <w:p>
      <w:pPr>
        <w:pStyle w:val="30"/>
        <w:numPr>
          <w:ilvl w:val="1"/>
          <w:numId w:val="91"/>
        </w:numPr>
        <w:spacing w:line="360" w:lineRule="auto"/>
        <w:ind w:firstLineChars="0"/>
        <w:rPr>
          <w:rFonts w:ascii="黑体" w:hAnsi="黑体" w:eastAsia="黑体"/>
        </w:rPr>
      </w:pPr>
      <w:r>
        <w:rPr>
          <w:rFonts w:hint="eastAsia" w:ascii="黑体" w:hAnsi="黑体" w:eastAsia="黑体"/>
        </w:rPr>
        <w:t>经磋商确定最终采购需求和提交最后磋商报价的供应商后，由磋商小组采用综合评分法对提交最后磋商报价的供应商的响应文件和最后磋商报价进行综合评分。</w:t>
      </w:r>
    </w:p>
    <w:p>
      <w:pPr>
        <w:pStyle w:val="30"/>
        <w:numPr>
          <w:ilvl w:val="0"/>
          <w:numId w:val="87"/>
        </w:numPr>
        <w:spacing w:before="312" w:beforeLines="100" w:line="360" w:lineRule="auto"/>
        <w:ind w:firstLineChars="0"/>
        <w:rPr>
          <w:rFonts w:ascii="黑体" w:hAnsi="黑体" w:eastAsia="黑体"/>
          <w:b/>
          <w:bCs/>
          <w:szCs w:val="21"/>
        </w:rPr>
      </w:pPr>
      <w:r>
        <w:rPr>
          <w:rFonts w:hint="eastAsia" w:ascii="黑体" w:hAnsi="黑体" w:eastAsia="黑体"/>
          <w:b/>
          <w:bCs/>
          <w:szCs w:val="21"/>
        </w:rPr>
        <w:t>评分及其统计</w:t>
      </w:r>
    </w:p>
    <w:p>
      <w:pPr>
        <w:pStyle w:val="30"/>
        <w:numPr>
          <w:ilvl w:val="1"/>
          <w:numId w:val="92"/>
        </w:numPr>
        <w:spacing w:line="360" w:lineRule="auto"/>
        <w:ind w:firstLineChars="0"/>
        <w:rPr>
          <w:rFonts w:ascii="黑体" w:hAnsi="黑体" w:eastAsia="黑体"/>
        </w:rPr>
      </w:pPr>
      <w:r>
        <w:rPr>
          <w:rFonts w:hint="eastAsia" w:ascii="黑体" w:hAnsi="黑体" w:eastAsia="黑体"/>
        </w:rPr>
        <w:t>磋商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pPr>
        <w:pStyle w:val="30"/>
        <w:numPr>
          <w:ilvl w:val="0"/>
          <w:numId w:val="87"/>
        </w:numPr>
        <w:spacing w:before="312" w:beforeLines="100" w:line="360" w:lineRule="auto"/>
        <w:ind w:firstLineChars="0"/>
        <w:rPr>
          <w:rFonts w:ascii="黑体" w:hAnsi="黑体" w:eastAsia="黑体"/>
          <w:b/>
          <w:bCs/>
          <w:szCs w:val="21"/>
        </w:rPr>
      </w:pPr>
      <w:r>
        <w:rPr>
          <w:rFonts w:hint="eastAsia" w:ascii="黑体" w:hAnsi="黑体" w:eastAsia="黑体"/>
          <w:b/>
          <w:bCs/>
          <w:szCs w:val="21"/>
        </w:rPr>
        <w:t>无效响应的认定</w:t>
      </w:r>
    </w:p>
    <w:p>
      <w:pPr>
        <w:spacing w:line="360" w:lineRule="auto"/>
        <w:ind w:left="525" w:hanging="525" w:hangingChars="250"/>
        <w:rPr>
          <w:rFonts w:ascii="黑体" w:hAnsi="黑体" w:eastAsia="黑体"/>
        </w:rPr>
      </w:pPr>
      <w:r>
        <w:rPr>
          <w:rFonts w:hint="eastAsia" w:ascii="黑体" w:hAnsi="黑体" w:eastAsia="黑体"/>
        </w:rPr>
        <w:t>5</w:t>
      </w:r>
      <w:r>
        <w:rPr>
          <w:rFonts w:ascii="黑体" w:hAnsi="黑体" w:eastAsia="黑体"/>
        </w:rPr>
        <w:t xml:space="preserve">.1  </w:t>
      </w:r>
      <w:r>
        <w:rPr>
          <w:rFonts w:hint="eastAsia" w:ascii="黑体" w:hAnsi="黑体" w:eastAsia="黑体"/>
          <w:b/>
          <w:bCs/>
        </w:rPr>
        <w:t>按《资格性、符合性审查表》（附表一）所列各项，响应文件不满足磋商文件要求的，将被认定为无效响应。</w:t>
      </w:r>
    </w:p>
    <w:p>
      <w:pPr>
        <w:pStyle w:val="30"/>
        <w:numPr>
          <w:ilvl w:val="0"/>
          <w:numId w:val="86"/>
        </w:numPr>
        <w:spacing w:before="312" w:beforeLines="100" w:line="360" w:lineRule="auto"/>
        <w:ind w:firstLineChars="0"/>
        <w:rPr>
          <w:rFonts w:ascii="黑体" w:hAnsi="黑体" w:eastAsia="黑体"/>
          <w:b/>
          <w:bCs/>
          <w:sz w:val="24"/>
          <w:szCs w:val="24"/>
        </w:rPr>
      </w:pPr>
      <w:r>
        <w:rPr>
          <w:rFonts w:hint="eastAsia" w:ascii="黑体" w:hAnsi="黑体" w:eastAsia="黑体"/>
          <w:b/>
          <w:bCs/>
          <w:sz w:val="24"/>
          <w:szCs w:val="24"/>
        </w:rPr>
        <w:t>详细评审</w:t>
      </w:r>
    </w:p>
    <w:p>
      <w:pPr>
        <w:pStyle w:val="68"/>
        <w:numPr>
          <w:ilvl w:val="0"/>
          <w:numId w:val="87"/>
        </w:numPr>
        <w:tabs>
          <w:tab w:val="left" w:pos="426"/>
        </w:tabs>
        <w:spacing w:line="360" w:lineRule="auto"/>
        <w:ind w:firstLineChars="0"/>
        <w:rPr>
          <w:rFonts w:ascii="黑体" w:hAnsi="黑体" w:eastAsia="黑体"/>
          <w:color w:val="00B050"/>
        </w:rPr>
      </w:pPr>
      <w:r>
        <w:rPr>
          <w:rFonts w:hint="eastAsia" w:ascii="黑体" w:hAnsi="黑体" w:eastAsia="黑体"/>
          <w:bCs/>
          <w:szCs w:val="21"/>
        </w:rPr>
        <w:t>磋商小组对资格性符合性审查合格的响应文件进行商务和技术评估，综合比较与评价。具体商务、技术部分的评审因素详见</w:t>
      </w:r>
      <w:r>
        <w:rPr>
          <w:rFonts w:hint="eastAsia" w:ascii="黑体" w:hAnsi="黑体" w:eastAsia="黑体"/>
        </w:rPr>
        <w:t>《商务、技术评审细则》（附表二）。</w:t>
      </w:r>
    </w:p>
    <w:p>
      <w:pPr>
        <w:pStyle w:val="30"/>
        <w:numPr>
          <w:ilvl w:val="0"/>
          <w:numId w:val="86"/>
        </w:numPr>
        <w:spacing w:before="312" w:beforeLines="100" w:line="360" w:lineRule="auto"/>
        <w:ind w:firstLineChars="0"/>
        <w:rPr>
          <w:rFonts w:ascii="黑体" w:hAnsi="黑体" w:eastAsia="黑体"/>
          <w:b/>
          <w:bCs/>
          <w:sz w:val="24"/>
          <w:szCs w:val="24"/>
        </w:rPr>
      </w:pPr>
      <w:r>
        <w:rPr>
          <w:rFonts w:hint="eastAsia" w:ascii="黑体" w:hAnsi="黑体" w:eastAsia="黑体"/>
          <w:b/>
          <w:bCs/>
          <w:sz w:val="24"/>
          <w:szCs w:val="24"/>
        </w:rPr>
        <w:t>价格评审</w:t>
      </w:r>
    </w:p>
    <w:p>
      <w:pPr>
        <w:pStyle w:val="30"/>
        <w:numPr>
          <w:ilvl w:val="0"/>
          <w:numId w:val="87"/>
        </w:numPr>
        <w:tabs>
          <w:tab w:val="left" w:pos="426"/>
        </w:tabs>
        <w:spacing w:line="360" w:lineRule="auto"/>
        <w:ind w:firstLineChars="0"/>
        <w:rPr>
          <w:rFonts w:ascii="黑体" w:hAnsi="黑体" w:eastAsia="黑体"/>
          <w:bCs/>
          <w:szCs w:val="21"/>
        </w:rPr>
      </w:pPr>
      <w:r>
        <w:rPr>
          <w:rFonts w:hint="eastAsia" w:ascii="黑体" w:hAnsi="黑体" w:eastAsia="黑体"/>
          <w:bCs/>
          <w:szCs w:val="21"/>
        </w:rPr>
        <w:t>响应文件报价出现前后不一致的，除磋商文件另有规定外，按照下列规定修正：</w:t>
      </w:r>
    </w:p>
    <w:p>
      <w:pPr>
        <w:spacing w:line="360" w:lineRule="auto"/>
        <w:ind w:left="315" w:hanging="315" w:hangingChars="150"/>
        <w:rPr>
          <w:rFonts w:ascii="黑体" w:hAnsi="黑体" w:eastAsia="黑体"/>
          <w:bCs/>
          <w:szCs w:val="21"/>
        </w:rPr>
      </w:pPr>
      <w:r>
        <w:rPr>
          <w:rFonts w:ascii="黑体" w:hAnsi="黑体" w:eastAsia="黑体"/>
        </w:rPr>
        <w:t xml:space="preserve">7.1 </w:t>
      </w:r>
      <w:r>
        <w:rPr>
          <w:rFonts w:hint="eastAsia" w:ascii="黑体" w:hAnsi="黑体" w:eastAsia="黑体"/>
        </w:rPr>
        <w:t>响应文件中开标一览表（报价表）内容与响应文件中相应内容不一致的，以开标一览表（报价表）为准；</w:t>
      </w:r>
    </w:p>
    <w:p>
      <w:pPr>
        <w:spacing w:line="360" w:lineRule="auto"/>
        <w:rPr>
          <w:rFonts w:ascii="黑体" w:hAnsi="黑体" w:eastAsia="黑体"/>
          <w:bCs/>
          <w:szCs w:val="21"/>
        </w:rPr>
      </w:pPr>
      <w:r>
        <w:rPr>
          <w:rFonts w:hint="eastAsia" w:ascii="黑体" w:hAnsi="黑体" w:eastAsia="黑体"/>
          <w:bCs/>
          <w:szCs w:val="21"/>
        </w:rPr>
        <w:t>7</w:t>
      </w:r>
      <w:r>
        <w:rPr>
          <w:rFonts w:ascii="黑体" w:hAnsi="黑体" w:eastAsia="黑体"/>
          <w:bCs/>
          <w:szCs w:val="21"/>
        </w:rPr>
        <w:t xml:space="preserve">.2 </w:t>
      </w:r>
      <w:r>
        <w:rPr>
          <w:rFonts w:hint="eastAsia" w:ascii="黑体" w:hAnsi="黑体" w:eastAsia="黑体"/>
          <w:bCs/>
          <w:szCs w:val="21"/>
        </w:rPr>
        <w:t>大写金额和小写金额不一致的，以大写金额为准；</w:t>
      </w:r>
    </w:p>
    <w:p>
      <w:pPr>
        <w:spacing w:line="360" w:lineRule="auto"/>
        <w:rPr>
          <w:rFonts w:ascii="黑体" w:hAnsi="黑体" w:eastAsia="黑体"/>
          <w:bCs/>
          <w:szCs w:val="21"/>
        </w:rPr>
      </w:pPr>
      <w:r>
        <w:rPr>
          <w:rFonts w:hint="eastAsia" w:ascii="黑体" w:hAnsi="黑体" w:eastAsia="黑体"/>
          <w:bCs/>
          <w:szCs w:val="21"/>
        </w:rPr>
        <w:t>7</w:t>
      </w:r>
      <w:r>
        <w:rPr>
          <w:rFonts w:ascii="黑体" w:hAnsi="黑体" w:eastAsia="黑体"/>
          <w:bCs/>
          <w:szCs w:val="21"/>
        </w:rPr>
        <w:t xml:space="preserve">.3 </w:t>
      </w:r>
      <w:r>
        <w:rPr>
          <w:rFonts w:hint="eastAsia" w:ascii="黑体" w:hAnsi="黑体" w:eastAsia="黑体"/>
          <w:bCs/>
          <w:szCs w:val="21"/>
        </w:rPr>
        <w:t>单价金额小数点或者百分比有明显错位的，以开标一览表的总价为准，并修改单价；</w:t>
      </w:r>
    </w:p>
    <w:p>
      <w:pPr>
        <w:spacing w:line="360" w:lineRule="auto"/>
        <w:rPr>
          <w:rFonts w:ascii="黑体" w:hAnsi="黑体" w:eastAsia="黑体"/>
          <w:bCs/>
          <w:szCs w:val="21"/>
        </w:rPr>
      </w:pPr>
      <w:r>
        <w:rPr>
          <w:rFonts w:hint="eastAsia" w:ascii="黑体" w:hAnsi="黑体" w:eastAsia="黑体"/>
          <w:bCs/>
          <w:szCs w:val="21"/>
        </w:rPr>
        <w:t>7</w:t>
      </w:r>
      <w:r>
        <w:rPr>
          <w:rFonts w:ascii="黑体" w:hAnsi="黑体" w:eastAsia="黑体"/>
          <w:bCs/>
          <w:szCs w:val="21"/>
        </w:rPr>
        <w:t xml:space="preserve">.4 </w:t>
      </w:r>
      <w:r>
        <w:rPr>
          <w:rFonts w:hint="eastAsia" w:ascii="黑体" w:hAnsi="黑体" w:eastAsia="黑体"/>
          <w:bCs/>
          <w:szCs w:val="21"/>
        </w:rPr>
        <w:t>总价金额与按单价汇总金额不一致的，以单价金额计算结果为准。</w:t>
      </w:r>
    </w:p>
    <w:p>
      <w:pPr>
        <w:pStyle w:val="30"/>
        <w:tabs>
          <w:tab w:val="left" w:pos="567"/>
        </w:tabs>
        <w:spacing w:line="360" w:lineRule="auto"/>
        <w:ind w:left="426" w:firstLine="0" w:firstLineChars="0"/>
        <w:rPr>
          <w:rFonts w:ascii="黑体" w:hAnsi="黑体" w:eastAsia="黑体"/>
          <w:bCs/>
          <w:szCs w:val="21"/>
        </w:rPr>
      </w:pPr>
      <w:r>
        <w:rPr>
          <w:rFonts w:hint="eastAsia" w:ascii="黑体" w:hAnsi="黑体" w:eastAsia="黑体"/>
          <w:bCs/>
          <w:szCs w:val="21"/>
        </w:rPr>
        <w:t>同时出现两种以上不一致的，按照前款规定的顺序修正。修正后的报价</w:t>
      </w:r>
      <w:r>
        <w:rPr>
          <w:rFonts w:hint="eastAsia" w:ascii="黑体" w:hAnsi="黑体" w:eastAsia="黑体" w:cs="宋体"/>
          <w:szCs w:val="21"/>
          <w:lang w:eastAsia="zh-TW"/>
        </w:rPr>
        <w:t>修按照《政府采购货物和服务招标投标管理办法》第五十一条第二款的规定</w:t>
      </w:r>
      <w:r>
        <w:rPr>
          <w:rFonts w:hint="eastAsia" w:ascii="黑体" w:hAnsi="黑体" w:eastAsia="黑体"/>
          <w:bCs/>
          <w:szCs w:val="21"/>
        </w:rPr>
        <w:t>经供应商确认后产生约束力，供应商不确认的，其</w:t>
      </w:r>
      <w:r>
        <w:rPr>
          <w:rFonts w:hint="eastAsia" w:ascii="黑体" w:hAnsi="黑体" w:eastAsia="黑体"/>
        </w:rPr>
        <w:t>响应</w:t>
      </w:r>
      <w:r>
        <w:rPr>
          <w:rFonts w:hint="eastAsia" w:ascii="黑体" w:hAnsi="黑体" w:eastAsia="黑体"/>
          <w:bCs/>
          <w:szCs w:val="21"/>
        </w:rPr>
        <w:t>无效。</w:t>
      </w:r>
    </w:p>
    <w:p>
      <w:pPr>
        <w:pStyle w:val="30"/>
        <w:numPr>
          <w:ilvl w:val="0"/>
          <w:numId w:val="87"/>
        </w:numPr>
        <w:tabs>
          <w:tab w:val="left" w:pos="426"/>
        </w:tabs>
        <w:spacing w:line="360" w:lineRule="auto"/>
        <w:ind w:firstLineChars="0"/>
        <w:rPr>
          <w:rFonts w:ascii="黑体" w:hAnsi="黑体" w:eastAsia="黑体"/>
          <w:bCs/>
          <w:szCs w:val="21"/>
        </w:rPr>
      </w:pPr>
      <w:r>
        <w:rPr>
          <w:rFonts w:hint="eastAsia" w:ascii="黑体" w:hAnsi="黑体" w:eastAsia="黑体"/>
          <w:bCs/>
          <w:szCs w:val="21"/>
        </w:rPr>
        <w:t>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w:t>
      </w:r>
      <w:r>
        <w:rPr>
          <w:rFonts w:hint="eastAsia" w:ascii="黑体" w:hAnsi="黑体" w:eastAsia="黑体"/>
        </w:rPr>
        <w:t>响应</w:t>
      </w:r>
      <w:r>
        <w:rPr>
          <w:rFonts w:hint="eastAsia" w:ascii="黑体" w:hAnsi="黑体" w:eastAsia="黑体"/>
          <w:bCs/>
          <w:szCs w:val="21"/>
        </w:rPr>
        <w:t>处理。</w:t>
      </w:r>
    </w:p>
    <w:p>
      <w:pPr>
        <w:pStyle w:val="68"/>
        <w:numPr>
          <w:ilvl w:val="0"/>
          <w:numId w:val="87"/>
        </w:numPr>
        <w:tabs>
          <w:tab w:val="left" w:pos="426"/>
        </w:tabs>
        <w:spacing w:before="312" w:beforeLines="100" w:line="360" w:lineRule="auto"/>
        <w:ind w:firstLineChars="0"/>
        <w:rPr>
          <w:rFonts w:ascii="黑体" w:hAnsi="黑体" w:eastAsia="黑体"/>
          <w:b/>
          <w:bCs/>
          <w:szCs w:val="21"/>
        </w:rPr>
      </w:pPr>
      <w:r>
        <w:rPr>
          <w:rFonts w:hint="eastAsia" w:ascii="黑体" w:hAnsi="黑体" w:eastAsia="黑体"/>
          <w:b/>
          <w:bCs/>
          <w:szCs w:val="21"/>
        </w:rPr>
        <w:t>政府采购政策</w:t>
      </w:r>
    </w:p>
    <w:p>
      <w:pPr>
        <w:numPr>
          <w:ilvl w:val="1"/>
          <w:numId w:val="93"/>
        </w:numPr>
        <w:spacing w:line="360" w:lineRule="auto"/>
        <w:rPr>
          <w:rFonts w:ascii="黑体" w:hAnsi="黑体" w:eastAsia="黑体" w:cstheme="minorBidi"/>
          <w:b/>
          <w:bCs/>
          <w:szCs w:val="21"/>
        </w:rPr>
      </w:pPr>
      <w:bookmarkStart w:id="163" w:name="_Hlk91060293"/>
      <w:r>
        <w:rPr>
          <w:rFonts w:hint="eastAsia" w:ascii="黑体" w:hAnsi="黑体" w:eastAsia="黑体" w:cstheme="minorBidi"/>
          <w:b/>
          <w:bCs/>
          <w:szCs w:val="21"/>
        </w:rPr>
        <w:t>对监狱企业投标的扶持</w:t>
      </w:r>
    </w:p>
    <w:p>
      <w:pPr>
        <w:pStyle w:val="68"/>
        <w:numPr>
          <w:ilvl w:val="255"/>
          <w:numId w:val="0"/>
        </w:numPr>
        <w:spacing w:line="360" w:lineRule="auto"/>
        <w:ind w:left="638" w:hanging="638" w:hangingChars="304"/>
        <w:rPr>
          <w:rFonts w:ascii="黑体" w:hAnsi="黑体" w:eastAsia="黑体" w:cstheme="minorBidi"/>
          <w:bCs/>
          <w:szCs w:val="21"/>
        </w:rPr>
      </w:pPr>
      <w:r>
        <w:rPr>
          <w:rFonts w:hint="eastAsia" w:ascii="黑体" w:hAnsi="黑体" w:eastAsia="黑体" w:cstheme="minorBidi"/>
          <w:bCs/>
          <w:szCs w:val="21"/>
        </w:rPr>
        <w:t>9.1.1 为发挥政府采购支持监狱企业发展的作用，根据《关于政府采购支持监狱企业发展有关问题的通知》（财库</w:t>
      </w:r>
      <w:r>
        <w:rPr>
          <w:rFonts w:ascii="黑体" w:hAnsi="黑体" w:eastAsia="黑体" w:cstheme="minorBidi"/>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黑体" w:hAnsi="黑体" w:eastAsia="黑体" w:cstheme="minorBidi"/>
          <w:bCs/>
          <w:szCs w:val="21"/>
        </w:rPr>
        <w:t>格式详见磋商文件第七部分响应文件格式）；</w:t>
      </w:r>
    </w:p>
    <w:p>
      <w:pPr>
        <w:numPr>
          <w:ilvl w:val="1"/>
          <w:numId w:val="93"/>
        </w:numPr>
        <w:spacing w:line="360" w:lineRule="auto"/>
        <w:rPr>
          <w:rFonts w:ascii="黑体" w:hAnsi="黑体" w:eastAsia="黑体" w:cstheme="minorBidi"/>
          <w:b/>
          <w:bCs/>
          <w:szCs w:val="21"/>
        </w:rPr>
      </w:pPr>
      <w:r>
        <w:rPr>
          <w:rFonts w:hint="eastAsia" w:ascii="黑体" w:hAnsi="黑体" w:eastAsia="黑体" w:cstheme="minorBidi"/>
          <w:b/>
          <w:bCs/>
          <w:szCs w:val="21"/>
        </w:rPr>
        <w:t>对残疾人福利性单位投标的扶持</w:t>
      </w:r>
    </w:p>
    <w:p>
      <w:pPr>
        <w:pStyle w:val="68"/>
        <w:numPr>
          <w:ilvl w:val="255"/>
          <w:numId w:val="0"/>
        </w:numPr>
        <w:spacing w:line="360" w:lineRule="auto"/>
        <w:ind w:left="638" w:hanging="638" w:hangingChars="304"/>
        <w:rPr>
          <w:rFonts w:ascii="黑体" w:hAnsi="黑体" w:eastAsia="黑体" w:cstheme="minorBidi"/>
          <w:bCs/>
          <w:szCs w:val="21"/>
        </w:rPr>
      </w:pPr>
      <w:r>
        <w:rPr>
          <w:rFonts w:hint="eastAsia" w:ascii="黑体" w:hAnsi="黑体" w:eastAsia="黑体" w:cstheme="minorBidi"/>
          <w:bCs/>
          <w:szCs w:val="21"/>
        </w:rPr>
        <w:t>9.2.1 为了发挥政府采购促进残疾人就业的作用，根据财政部</w:t>
      </w:r>
      <w:r>
        <w:rPr>
          <w:rFonts w:ascii="黑体" w:hAnsi="黑体" w:eastAsia="黑体" w:cstheme="minorBidi"/>
          <w:bCs/>
          <w:szCs w:val="21"/>
        </w:rPr>
        <w:t xml:space="preserve"> </w:t>
      </w:r>
      <w:r>
        <w:rPr>
          <w:rFonts w:hint="eastAsia" w:ascii="黑体" w:hAnsi="黑体" w:eastAsia="黑体" w:cstheme="minorBidi"/>
          <w:bCs/>
          <w:szCs w:val="21"/>
        </w:rPr>
        <w:t>民政部</w:t>
      </w:r>
      <w:r>
        <w:rPr>
          <w:rFonts w:ascii="黑体" w:hAnsi="黑体" w:eastAsia="黑体" w:cstheme="minorBidi"/>
          <w:bCs/>
          <w:szCs w:val="21"/>
        </w:rPr>
        <w:t xml:space="preserve"> </w:t>
      </w:r>
      <w:r>
        <w:rPr>
          <w:rFonts w:hint="eastAsia" w:ascii="黑体" w:hAnsi="黑体" w:eastAsia="黑体" w:cstheme="minorBidi"/>
          <w:bCs/>
          <w:szCs w:val="21"/>
        </w:rPr>
        <w:t>中国残疾人联合会《关于促进残疾人就业政府采购政策的通知》（财库</w:t>
      </w:r>
      <w:r>
        <w:rPr>
          <w:rFonts w:ascii="黑体" w:hAnsi="黑体" w:eastAsia="黑体" w:cstheme="minorBidi"/>
          <w:bCs/>
          <w:szCs w:val="21"/>
        </w:rPr>
        <w:t>[2017]</w:t>
      </w:r>
      <w:r>
        <w:rPr>
          <w:rFonts w:hint="eastAsia" w:ascii="黑体" w:hAnsi="黑体" w:eastAsia="黑体" w:cstheme="minorBidi"/>
          <w:bCs/>
          <w:szCs w:val="21"/>
        </w:rPr>
        <w:t>1</w:t>
      </w:r>
      <w:r>
        <w:rPr>
          <w:rFonts w:ascii="黑体" w:hAnsi="黑体" w:eastAsia="黑体" w:cstheme="minorBidi"/>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黑体" w:hAnsi="黑体" w:eastAsia="黑体" w:cstheme="minorBidi"/>
          <w:bCs/>
          <w:szCs w:val="21"/>
        </w:rPr>
        <w:t>格式详见磋商文件第七部分响应文件格式）；</w:t>
      </w:r>
    </w:p>
    <w:p>
      <w:pPr>
        <w:numPr>
          <w:ilvl w:val="1"/>
          <w:numId w:val="93"/>
        </w:numPr>
        <w:spacing w:line="360" w:lineRule="auto"/>
        <w:rPr>
          <w:rFonts w:ascii="黑体" w:hAnsi="黑体" w:eastAsia="黑体"/>
          <w:bCs/>
          <w:szCs w:val="21"/>
        </w:rPr>
      </w:pPr>
      <w:r>
        <w:rPr>
          <w:rFonts w:hint="eastAsia" w:ascii="黑体" w:hAnsi="黑体" w:eastAsia="黑体"/>
          <w:bCs/>
          <w:szCs w:val="21"/>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黑体" w:hAnsi="黑体" w:eastAsia="黑体"/>
          <w:bCs/>
          <w:szCs w:val="21"/>
        </w:rPr>
        <w:t>4</w:t>
      </w:r>
      <w:r>
        <w:rPr>
          <w:rFonts w:hint="eastAsia" w:ascii="黑体" w:hAnsi="黑体" w:eastAsia="黑体"/>
          <w:bCs/>
          <w:szCs w:val="21"/>
        </w:rPr>
        <w:t>%的扣除</w:t>
      </w:r>
      <w:r>
        <w:rPr>
          <w:rFonts w:ascii="黑体" w:hAnsi="黑体" w:eastAsia="黑体"/>
          <w:bCs/>
          <w:szCs w:val="21"/>
        </w:rPr>
        <w:t>。</w:t>
      </w:r>
    </w:p>
    <w:p>
      <w:pPr>
        <w:numPr>
          <w:ilvl w:val="1"/>
          <w:numId w:val="93"/>
        </w:numPr>
        <w:spacing w:line="360" w:lineRule="auto"/>
        <w:rPr>
          <w:rFonts w:ascii="黑体" w:hAnsi="黑体" w:eastAsia="黑体"/>
          <w:b/>
          <w:bCs/>
          <w:szCs w:val="21"/>
        </w:rPr>
      </w:pPr>
      <w:bookmarkStart w:id="164" w:name="_Hlk86745708"/>
      <w:r>
        <w:rPr>
          <w:rFonts w:hint="eastAsia" w:ascii="黑体" w:hAnsi="黑体" w:eastAsia="黑体"/>
          <w:b/>
          <w:bCs/>
          <w:szCs w:val="21"/>
        </w:rPr>
        <w:t>监狱企业产品、残疾人福利性单位产品价格扣除</w:t>
      </w:r>
    </w:p>
    <w:p>
      <w:pPr>
        <w:spacing w:line="360" w:lineRule="auto"/>
        <w:ind w:left="567" w:leftChars="270"/>
        <w:rPr>
          <w:rFonts w:ascii="黑体" w:hAnsi="黑体" w:eastAsia="黑体"/>
          <w:bCs/>
          <w:szCs w:val="21"/>
        </w:rPr>
      </w:pPr>
      <w:r>
        <w:rPr>
          <w:rFonts w:hint="eastAsia" w:ascii="黑体" w:hAnsi="黑体" w:eastAsia="黑体"/>
          <w:bCs/>
          <w:szCs w:val="21"/>
        </w:rPr>
        <w:t>监狱企业、</w:t>
      </w:r>
      <w:r>
        <w:rPr>
          <w:rFonts w:ascii="黑体" w:hAnsi="黑体" w:eastAsia="黑体"/>
          <w:bCs/>
          <w:szCs w:val="21"/>
        </w:rPr>
        <w:t>残疾人福利性单位视同小微企业</w:t>
      </w:r>
      <w:r>
        <w:rPr>
          <w:rFonts w:hint="eastAsia" w:ascii="黑体" w:hAnsi="黑体" w:eastAsia="黑体"/>
          <w:bCs/>
          <w:szCs w:val="21"/>
        </w:rPr>
        <w:t>，按上述第</w:t>
      </w:r>
      <w:r>
        <w:rPr>
          <w:rFonts w:ascii="黑体" w:hAnsi="黑体" w:eastAsia="黑体"/>
          <w:bCs/>
          <w:szCs w:val="21"/>
        </w:rPr>
        <w:t>9.1.1</w:t>
      </w:r>
      <w:r>
        <w:rPr>
          <w:rFonts w:hint="eastAsia" w:ascii="黑体" w:hAnsi="黑体" w:eastAsia="黑体"/>
          <w:bCs/>
          <w:szCs w:val="21"/>
        </w:rPr>
        <w:t>、</w:t>
      </w:r>
      <w:r>
        <w:rPr>
          <w:rFonts w:ascii="黑体" w:hAnsi="黑体" w:eastAsia="黑体"/>
          <w:bCs/>
          <w:szCs w:val="21"/>
        </w:rPr>
        <w:t>9.4</w:t>
      </w:r>
      <w:r>
        <w:rPr>
          <w:rFonts w:hint="eastAsia" w:ascii="黑体" w:hAnsi="黑体" w:eastAsia="黑体"/>
          <w:bCs/>
          <w:szCs w:val="21"/>
        </w:rPr>
        <w:t>条款享受评审中价格扣除。</w:t>
      </w:r>
    </w:p>
    <w:bookmarkEnd w:id="164"/>
    <w:p>
      <w:pPr>
        <w:numPr>
          <w:ilvl w:val="1"/>
          <w:numId w:val="93"/>
        </w:numPr>
        <w:spacing w:line="360" w:lineRule="auto"/>
        <w:rPr>
          <w:rFonts w:ascii="黑体" w:hAnsi="黑体" w:eastAsia="黑体"/>
          <w:b/>
          <w:bCs/>
          <w:szCs w:val="21"/>
        </w:rPr>
      </w:pPr>
      <w:r>
        <w:rPr>
          <w:rFonts w:hint="eastAsia" w:ascii="黑体" w:hAnsi="黑体" w:eastAsia="黑体"/>
          <w:b/>
          <w:bCs/>
          <w:szCs w:val="21"/>
        </w:rPr>
        <w:t>供应商同时为监狱企业、残疾人福利性单位任两种或以上情况的，评审中只享受一次价格扣除，不重复进行价格扣除。</w:t>
      </w:r>
    </w:p>
    <w:p>
      <w:pPr>
        <w:numPr>
          <w:ilvl w:val="1"/>
          <w:numId w:val="93"/>
        </w:numPr>
        <w:spacing w:line="360" w:lineRule="auto"/>
        <w:rPr>
          <w:rFonts w:ascii="黑体" w:hAnsi="黑体" w:eastAsia="黑体" w:cstheme="minorBidi"/>
        </w:rPr>
      </w:pPr>
      <w:r>
        <w:rPr>
          <w:rFonts w:hint="eastAsia" w:ascii="黑体" w:hAnsi="黑体" w:eastAsia="黑体" w:cstheme="minorBidi"/>
        </w:rPr>
        <w:t>节能产品、环境标志产品价格扣除：</w:t>
      </w:r>
    </w:p>
    <w:p>
      <w:pPr>
        <w:numPr>
          <w:ilvl w:val="255"/>
          <w:numId w:val="0"/>
        </w:numPr>
        <w:spacing w:line="360" w:lineRule="auto"/>
        <w:ind w:left="638" w:hanging="638" w:hangingChars="304"/>
        <w:rPr>
          <w:rFonts w:ascii="黑体" w:hAnsi="黑体" w:eastAsia="黑体" w:cstheme="minorBidi"/>
          <w:szCs w:val="21"/>
        </w:rPr>
      </w:pPr>
      <w:r>
        <w:rPr>
          <w:rFonts w:hint="eastAsia" w:ascii="黑体" w:hAnsi="黑体" w:eastAsia="黑体" w:cstheme="minorBidi"/>
          <w:szCs w:val="21"/>
        </w:rPr>
        <w:t>9.6.1 产品(针对非政府强制采购产品)纳入财政部发展改革委颁发最新节能产品政府采购品目清单的，</w:t>
      </w:r>
      <w:r>
        <w:rPr>
          <w:rFonts w:hint="eastAsia" w:ascii="黑体" w:hAnsi="黑体" w:eastAsia="黑体" w:cstheme="minorBidi"/>
          <w:bCs/>
        </w:rPr>
        <w:t>对</w:t>
      </w:r>
      <w:r>
        <w:rPr>
          <w:rFonts w:hint="eastAsia" w:ascii="黑体" w:hAnsi="黑体" w:eastAsia="黑体" w:cstheme="minorBidi"/>
          <w:szCs w:val="21"/>
        </w:rPr>
        <w:t>节能</w:t>
      </w:r>
      <w:r>
        <w:rPr>
          <w:rFonts w:hint="eastAsia" w:ascii="黑体" w:hAnsi="黑体" w:eastAsia="黑体" w:cstheme="minorBidi"/>
          <w:bCs/>
        </w:rPr>
        <w:t>产品的价格给予1%的扣除，用扣除后的价格参与评审。（</w:t>
      </w:r>
      <w:r>
        <w:rPr>
          <w:rFonts w:hint="eastAsia" w:ascii="黑体" w:hAnsi="黑体" w:eastAsia="黑体" w:cstheme="minorBidi"/>
          <w:szCs w:val="21"/>
        </w:rPr>
        <w:t>提供产品有效期内的节能产品认证证书复印件加盖供应商公章）。</w:t>
      </w:r>
    </w:p>
    <w:p>
      <w:pPr>
        <w:numPr>
          <w:ilvl w:val="255"/>
          <w:numId w:val="0"/>
        </w:numPr>
        <w:spacing w:line="360" w:lineRule="auto"/>
        <w:ind w:left="638" w:hanging="638" w:hangingChars="304"/>
        <w:rPr>
          <w:rFonts w:ascii="黑体" w:hAnsi="黑体" w:eastAsia="黑体" w:cstheme="minorBidi"/>
          <w:szCs w:val="21"/>
        </w:rPr>
      </w:pPr>
      <w:r>
        <w:rPr>
          <w:rFonts w:hint="eastAsia" w:ascii="黑体" w:hAnsi="黑体" w:eastAsia="黑体" w:cstheme="minorBidi"/>
          <w:szCs w:val="21"/>
        </w:rPr>
        <w:t>9.6.2 产品纳入财政部环境保护部颁布最新环境标志产品政府采购品目清单的，</w:t>
      </w:r>
      <w:r>
        <w:rPr>
          <w:rFonts w:hint="eastAsia" w:ascii="黑体" w:hAnsi="黑体" w:eastAsia="黑体" w:cstheme="minorBidi"/>
          <w:bCs/>
        </w:rPr>
        <w:t>对</w:t>
      </w:r>
      <w:r>
        <w:rPr>
          <w:rFonts w:hint="eastAsia" w:ascii="黑体" w:hAnsi="黑体" w:eastAsia="黑体" w:cstheme="minorBidi"/>
          <w:szCs w:val="21"/>
        </w:rPr>
        <w:t>环境标志产品</w:t>
      </w:r>
      <w:r>
        <w:rPr>
          <w:rFonts w:hint="eastAsia" w:ascii="黑体" w:hAnsi="黑体" w:eastAsia="黑体" w:cstheme="minorBidi"/>
          <w:bCs/>
        </w:rPr>
        <w:t>的价格给予1%的扣除，用扣除后的价格参与评审。（</w:t>
      </w:r>
      <w:r>
        <w:rPr>
          <w:rFonts w:hint="eastAsia" w:ascii="黑体" w:hAnsi="黑体" w:eastAsia="黑体" w:cstheme="minorBidi"/>
          <w:szCs w:val="21"/>
        </w:rPr>
        <w:t>提供产品有效期内的环境标志产品认证证书复印件加盖供应商公章）。</w:t>
      </w:r>
    </w:p>
    <w:bookmarkEnd w:id="163"/>
    <w:p>
      <w:pPr>
        <w:numPr>
          <w:ilvl w:val="1"/>
          <w:numId w:val="93"/>
        </w:numPr>
        <w:spacing w:line="360" w:lineRule="auto"/>
        <w:rPr>
          <w:rFonts w:ascii="黑体" w:hAnsi="黑体" w:eastAsia="黑体"/>
          <w:bCs/>
          <w:szCs w:val="21"/>
        </w:rPr>
      </w:pPr>
      <w:r>
        <w:rPr>
          <w:rFonts w:hint="eastAsia" w:ascii="黑体" w:hAnsi="黑体" w:eastAsia="黑体"/>
          <w:bCs/>
          <w:szCs w:val="21"/>
        </w:rPr>
        <w:t>价格分应当采用低价优先法计算，即满足磋商文件要求且最后报价最低的供应商的价格为磋商基准价，其价格分为满分。其他供应商的价格分统一按照下列公式计算：</w:t>
      </w:r>
    </w:p>
    <w:p>
      <w:pPr>
        <w:pStyle w:val="30"/>
        <w:spacing w:line="360" w:lineRule="auto"/>
        <w:ind w:left="567" w:firstLine="0" w:firstLineChars="0"/>
        <w:jc w:val="left"/>
        <w:rPr>
          <w:rFonts w:ascii="黑体" w:hAnsi="黑体" w:eastAsia="黑体"/>
        </w:rPr>
      </w:pPr>
      <w:r>
        <w:rPr>
          <w:rFonts w:hint="eastAsia" w:ascii="黑体" w:hAnsi="黑体" w:eastAsia="黑体"/>
          <w:bCs/>
          <w:szCs w:val="21"/>
        </w:rPr>
        <w:t>磋商报价得分</w:t>
      </w:r>
      <w:r>
        <w:rPr>
          <w:rFonts w:ascii="黑体" w:hAnsi="黑体" w:eastAsia="黑体"/>
          <w:bCs/>
          <w:szCs w:val="21"/>
        </w:rPr>
        <w:t>=(</w:t>
      </w:r>
      <w:r>
        <w:rPr>
          <w:rFonts w:hint="eastAsia" w:ascii="黑体" w:hAnsi="黑体" w:eastAsia="黑体"/>
          <w:bCs/>
          <w:szCs w:val="21"/>
        </w:rPr>
        <w:t>磋商</w:t>
      </w:r>
      <w:r>
        <w:rPr>
          <w:rFonts w:ascii="黑体" w:hAnsi="黑体" w:eastAsia="黑体"/>
          <w:bCs/>
          <w:szCs w:val="21"/>
        </w:rPr>
        <w:t>基准价／</w:t>
      </w:r>
      <w:r>
        <w:rPr>
          <w:rFonts w:hint="eastAsia" w:ascii="黑体" w:hAnsi="黑体" w:eastAsia="黑体"/>
          <w:bCs/>
          <w:szCs w:val="21"/>
        </w:rPr>
        <w:t>最后磋商报价</w:t>
      </w:r>
      <w:r>
        <w:rPr>
          <w:rFonts w:ascii="黑体" w:hAnsi="黑体" w:eastAsia="黑体"/>
          <w:bCs/>
          <w:szCs w:val="21"/>
        </w:rPr>
        <w:t>)×</w:t>
      </w:r>
      <w:r>
        <w:rPr>
          <w:rFonts w:hint="eastAsia" w:ascii="黑体" w:hAnsi="黑体" w:eastAsia="黑体"/>
          <w:bCs/>
          <w:szCs w:val="21"/>
        </w:rPr>
        <w:t>价格权值×</w:t>
      </w:r>
      <w:r>
        <w:rPr>
          <w:rFonts w:hint="eastAsia" w:ascii="黑体" w:hAnsi="黑体" w:eastAsia="黑体"/>
        </w:rPr>
        <w:t>100</w:t>
      </w:r>
    </w:p>
    <w:p>
      <w:pPr>
        <w:pStyle w:val="30"/>
        <w:spacing w:line="360" w:lineRule="auto"/>
        <w:ind w:left="-2" w:leftChars="-1" w:firstLine="0" w:firstLineChars="0"/>
        <w:jc w:val="left"/>
        <w:rPr>
          <w:rFonts w:ascii="黑体" w:hAnsi="黑体" w:eastAsia="黑体"/>
          <w:bCs/>
          <w:szCs w:val="21"/>
        </w:rPr>
      </w:pPr>
      <w:r>
        <w:rPr>
          <w:rFonts w:hint="eastAsia" w:ascii="黑体" w:hAnsi="黑体" w:eastAsia="黑体"/>
          <w:bCs/>
          <w:szCs w:val="21"/>
        </w:rPr>
        <w:t>注：因落实政府采购政策进行价格调整的，以调整后的价格计算磋商</w:t>
      </w:r>
      <w:r>
        <w:rPr>
          <w:rFonts w:ascii="黑体" w:hAnsi="黑体" w:eastAsia="黑体"/>
          <w:bCs/>
          <w:szCs w:val="21"/>
        </w:rPr>
        <w:t>基准价</w:t>
      </w:r>
      <w:r>
        <w:rPr>
          <w:rFonts w:hint="eastAsia" w:ascii="黑体" w:hAnsi="黑体" w:eastAsia="黑体"/>
          <w:bCs/>
          <w:szCs w:val="21"/>
        </w:rPr>
        <w:t>和最后磋商报价。</w:t>
      </w:r>
    </w:p>
    <w:p>
      <w:pPr>
        <w:pStyle w:val="30"/>
        <w:numPr>
          <w:ilvl w:val="0"/>
          <w:numId w:val="87"/>
        </w:numPr>
        <w:tabs>
          <w:tab w:val="left" w:pos="426"/>
        </w:tabs>
        <w:spacing w:before="156" w:beforeLines="50" w:after="156" w:afterLines="50" w:line="360" w:lineRule="auto"/>
        <w:ind w:firstLineChars="0"/>
        <w:rPr>
          <w:rFonts w:ascii="黑体" w:hAnsi="黑体" w:eastAsia="黑体"/>
          <w:b/>
          <w:bCs/>
          <w:szCs w:val="21"/>
        </w:rPr>
      </w:pPr>
      <w:r>
        <w:rPr>
          <w:rFonts w:hint="eastAsia" w:ascii="黑体" w:hAnsi="黑体" w:eastAsia="黑体"/>
          <w:b/>
          <w:bCs/>
          <w:szCs w:val="21"/>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766"/>
        <w:gridCol w:w="1960"/>
        <w:gridCol w:w="1958"/>
        <w:gridCol w:w="1958"/>
        <w:gridCol w:w="141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pPr>
              <w:jc w:val="center"/>
              <w:rPr>
                <w:rFonts w:ascii="黑体" w:hAnsi="黑体" w:eastAsia="黑体"/>
              </w:rPr>
            </w:pPr>
            <w:r>
              <w:rPr>
                <w:rFonts w:hint="eastAsia" w:ascii="黑体" w:hAnsi="黑体" w:eastAsia="黑体"/>
              </w:rPr>
              <w:t>评分项目</w:t>
            </w:r>
          </w:p>
        </w:tc>
        <w:tc>
          <w:tcPr>
            <w:tcW w:w="1082" w:type="pct"/>
            <w:vAlign w:val="center"/>
          </w:tcPr>
          <w:p>
            <w:pPr>
              <w:jc w:val="center"/>
              <w:rPr>
                <w:rFonts w:ascii="黑体" w:hAnsi="黑体" w:eastAsia="黑体"/>
              </w:rPr>
            </w:pPr>
            <w:r>
              <w:rPr>
                <w:rFonts w:hint="eastAsia" w:ascii="黑体" w:hAnsi="黑体" w:eastAsia="黑体"/>
              </w:rPr>
              <w:t>价格部分</w:t>
            </w:r>
          </w:p>
        </w:tc>
        <w:tc>
          <w:tcPr>
            <w:tcW w:w="1081" w:type="pct"/>
            <w:vAlign w:val="center"/>
          </w:tcPr>
          <w:p>
            <w:pPr>
              <w:jc w:val="center"/>
              <w:rPr>
                <w:rFonts w:ascii="黑体" w:hAnsi="黑体" w:eastAsia="黑体"/>
              </w:rPr>
            </w:pPr>
            <w:r>
              <w:rPr>
                <w:rFonts w:hint="eastAsia" w:ascii="黑体" w:hAnsi="黑体" w:eastAsia="黑体"/>
              </w:rPr>
              <w:t>商务部分</w:t>
            </w:r>
          </w:p>
        </w:tc>
        <w:tc>
          <w:tcPr>
            <w:tcW w:w="1081" w:type="pct"/>
            <w:vAlign w:val="center"/>
          </w:tcPr>
          <w:p>
            <w:pPr>
              <w:jc w:val="center"/>
              <w:rPr>
                <w:rFonts w:ascii="黑体" w:hAnsi="黑体" w:eastAsia="黑体"/>
              </w:rPr>
            </w:pPr>
            <w:r>
              <w:rPr>
                <w:rFonts w:hint="eastAsia" w:ascii="黑体" w:hAnsi="黑体" w:eastAsia="黑体"/>
              </w:rPr>
              <w:t>技术部分</w:t>
            </w:r>
          </w:p>
        </w:tc>
        <w:tc>
          <w:tcPr>
            <w:tcW w:w="780" w:type="pct"/>
            <w:vAlign w:val="center"/>
          </w:tcPr>
          <w:p>
            <w:pPr>
              <w:jc w:val="center"/>
              <w:rPr>
                <w:rFonts w:ascii="黑体" w:hAnsi="黑体" w:eastAsia="黑体"/>
              </w:rPr>
            </w:pPr>
            <w:r>
              <w:rPr>
                <w:rFonts w:hint="eastAsia" w:ascii="黑体" w:hAnsi="黑体" w:eastAsia="黑体"/>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pPr>
              <w:jc w:val="center"/>
              <w:rPr>
                <w:rFonts w:ascii="黑体" w:hAnsi="黑体" w:eastAsia="黑体"/>
              </w:rPr>
            </w:pPr>
            <w:r>
              <w:rPr>
                <w:rFonts w:hint="eastAsia" w:ascii="黑体" w:hAnsi="黑体" w:eastAsia="黑体"/>
              </w:rPr>
              <w:t>权值（%）</w:t>
            </w:r>
          </w:p>
        </w:tc>
        <w:tc>
          <w:tcPr>
            <w:tcW w:w="1082" w:type="pct"/>
            <w:vAlign w:val="center"/>
          </w:tcPr>
          <w:p>
            <w:pPr>
              <w:jc w:val="center"/>
              <w:rPr>
                <w:rFonts w:ascii="黑体" w:hAnsi="黑体" w:eastAsia="黑体"/>
              </w:rPr>
            </w:pPr>
            <w:r>
              <w:rPr>
                <w:rFonts w:hint="eastAsia" w:ascii="黑体" w:hAnsi="黑体" w:eastAsia="黑体"/>
                <w:lang w:val="en-US" w:eastAsia="zh-CN"/>
              </w:rPr>
              <w:t>1</w:t>
            </w:r>
            <w:r>
              <w:rPr>
                <w:rFonts w:hint="eastAsia" w:ascii="黑体" w:hAnsi="黑体" w:eastAsia="黑体"/>
              </w:rPr>
              <w:t>0%</w:t>
            </w:r>
          </w:p>
        </w:tc>
        <w:tc>
          <w:tcPr>
            <w:tcW w:w="1081" w:type="pct"/>
            <w:vAlign w:val="center"/>
          </w:tcPr>
          <w:p>
            <w:pPr>
              <w:jc w:val="center"/>
              <w:rPr>
                <w:rFonts w:ascii="黑体" w:hAnsi="黑体" w:eastAsia="黑体"/>
                <w:highlight w:val="red"/>
              </w:rPr>
            </w:pPr>
            <w:r>
              <w:rPr>
                <w:rFonts w:hint="eastAsia" w:ascii="黑体" w:hAnsi="黑体" w:eastAsia="黑体"/>
              </w:rPr>
              <w:t>35%</w:t>
            </w:r>
          </w:p>
        </w:tc>
        <w:tc>
          <w:tcPr>
            <w:tcW w:w="1081" w:type="pct"/>
            <w:vAlign w:val="center"/>
          </w:tcPr>
          <w:p>
            <w:pPr>
              <w:jc w:val="center"/>
              <w:rPr>
                <w:rFonts w:ascii="黑体" w:hAnsi="黑体" w:eastAsia="黑体"/>
                <w:i/>
                <w:highlight w:val="red"/>
              </w:rPr>
            </w:pPr>
            <w:r>
              <w:rPr>
                <w:rFonts w:hint="eastAsia" w:ascii="黑体" w:hAnsi="黑体" w:eastAsia="黑体"/>
              </w:rPr>
              <w:t>55%</w:t>
            </w:r>
          </w:p>
        </w:tc>
        <w:tc>
          <w:tcPr>
            <w:tcW w:w="780" w:type="pct"/>
          </w:tcPr>
          <w:p>
            <w:pPr>
              <w:jc w:val="center"/>
              <w:rPr>
                <w:rFonts w:ascii="黑体" w:hAnsi="黑体" w:eastAsia="黑体"/>
                <w:highlight w:val="red"/>
              </w:rPr>
            </w:pPr>
            <w:r>
              <w:rPr>
                <w:rFonts w:hint="eastAsia" w:ascii="黑体" w:hAnsi="黑体" w:eastAsia="黑体"/>
              </w:rPr>
              <w:t>100%</w:t>
            </w:r>
          </w:p>
        </w:tc>
      </w:tr>
    </w:tbl>
    <w:p>
      <w:pPr>
        <w:pStyle w:val="30"/>
        <w:numPr>
          <w:ilvl w:val="0"/>
          <w:numId w:val="94"/>
        </w:numPr>
        <w:spacing w:before="156" w:beforeLines="50" w:line="360" w:lineRule="auto"/>
        <w:ind w:firstLineChars="0"/>
        <w:rPr>
          <w:rFonts w:ascii="黑体" w:hAnsi="黑体" w:eastAsia="黑体"/>
          <w:bCs/>
          <w:szCs w:val="21"/>
        </w:rPr>
      </w:pPr>
      <w:r>
        <w:rPr>
          <w:rFonts w:hint="eastAsia" w:ascii="黑体" w:hAnsi="黑体" w:eastAsia="黑体"/>
          <w:bCs/>
          <w:szCs w:val="21"/>
        </w:rPr>
        <w:t>综合得分＝商务得分＋技术得分＋价格得分</w:t>
      </w:r>
    </w:p>
    <w:p>
      <w:pPr>
        <w:pStyle w:val="30"/>
        <w:numPr>
          <w:ilvl w:val="0"/>
          <w:numId w:val="87"/>
        </w:numPr>
        <w:tabs>
          <w:tab w:val="left" w:pos="426"/>
        </w:tabs>
        <w:spacing w:before="156" w:beforeLines="50" w:line="360" w:lineRule="auto"/>
        <w:ind w:firstLineChars="0"/>
        <w:rPr>
          <w:rFonts w:ascii="黑体" w:hAnsi="黑体" w:eastAsia="黑体"/>
          <w:b/>
          <w:bCs/>
          <w:szCs w:val="21"/>
        </w:rPr>
      </w:pPr>
      <w:r>
        <w:rPr>
          <w:rFonts w:hint="eastAsia" w:ascii="黑体" w:hAnsi="黑体" w:eastAsia="黑体"/>
          <w:b/>
          <w:bCs/>
          <w:szCs w:val="21"/>
        </w:rPr>
        <w:t>成交候选人</w:t>
      </w:r>
    </w:p>
    <w:p>
      <w:pPr>
        <w:pStyle w:val="30"/>
        <w:numPr>
          <w:ilvl w:val="1"/>
          <w:numId w:val="95"/>
        </w:numPr>
        <w:tabs>
          <w:tab w:val="left" w:pos="709"/>
        </w:tabs>
        <w:spacing w:line="360" w:lineRule="auto"/>
        <w:ind w:left="0" w:firstLine="0" w:firstLineChars="0"/>
        <w:rPr>
          <w:rFonts w:ascii="黑体" w:hAnsi="黑体" w:eastAsia="黑体"/>
        </w:rPr>
      </w:pPr>
      <w:r>
        <w:rPr>
          <w:rFonts w:hint="eastAsia" w:ascii="黑体" w:hAnsi="黑体" w:eastAsia="黑体"/>
        </w:rPr>
        <w:t>磋商小组出具评审报告，并排序推荐三名成交候选人。</w:t>
      </w:r>
    </w:p>
    <w:p>
      <w:pPr>
        <w:pStyle w:val="30"/>
        <w:numPr>
          <w:ilvl w:val="2"/>
          <w:numId w:val="96"/>
        </w:numPr>
        <w:tabs>
          <w:tab w:val="left" w:pos="851"/>
          <w:tab w:val="left" w:pos="1276"/>
        </w:tabs>
        <w:spacing w:line="360" w:lineRule="auto"/>
        <w:ind w:left="851" w:hanging="851" w:firstLineChars="0"/>
        <w:rPr>
          <w:rFonts w:ascii="黑体" w:hAnsi="黑体" w:eastAsia="黑体"/>
        </w:rPr>
      </w:pPr>
      <w:r>
        <w:rPr>
          <w:rFonts w:hint="eastAsia" w:ascii="黑体" w:hAnsi="黑体" w:eastAsia="黑体"/>
          <w:bCs/>
          <w:spacing w:val="-2"/>
          <w:szCs w:val="21"/>
        </w:rPr>
        <w:t>推荐成交候选人名单：本项目推荐三名成交候选人。将各有效供应商的综合得分由高到低顺序排列。评审得分且最后报价相同的，按照技术指标优劣顺序推荐。排名第一的供应商为第一成交候选人，排名第二的供应商为第二成交候选人，以此类推。</w:t>
      </w:r>
    </w:p>
    <w:p>
      <w:pPr>
        <w:pStyle w:val="30"/>
        <w:numPr>
          <w:ilvl w:val="2"/>
          <w:numId w:val="96"/>
        </w:numPr>
        <w:tabs>
          <w:tab w:val="left" w:pos="851"/>
          <w:tab w:val="left" w:pos="1276"/>
        </w:tabs>
        <w:spacing w:line="360" w:lineRule="auto"/>
        <w:ind w:left="851" w:hanging="851" w:firstLineChars="0"/>
        <w:rPr>
          <w:rFonts w:ascii="黑体" w:hAnsi="黑体" w:eastAsia="黑体"/>
          <w:bCs/>
          <w:szCs w:val="21"/>
        </w:rPr>
      </w:pPr>
      <w:r>
        <w:rPr>
          <w:rFonts w:hint="eastAsia" w:ascii="黑体" w:hAnsi="黑体" w:eastAsia="黑体"/>
          <w:bCs/>
          <w:szCs w:val="21"/>
        </w:rPr>
        <w:t>如果推荐的第一成交候选人放弃成交资格，或因不可抗力无法签订合同，则采购人可按推荐的成交候选人排名顺序依次确定成交人，亦可决定组织重新采购。</w:t>
      </w:r>
    </w:p>
    <w:p>
      <w:pPr>
        <w:pStyle w:val="30"/>
        <w:numPr>
          <w:ilvl w:val="2"/>
          <w:numId w:val="96"/>
        </w:numPr>
        <w:tabs>
          <w:tab w:val="left" w:pos="851"/>
          <w:tab w:val="left" w:pos="1276"/>
        </w:tabs>
        <w:spacing w:line="360" w:lineRule="auto"/>
        <w:ind w:left="851" w:hanging="851" w:firstLineChars="0"/>
        <w:rPr>
          <w:rFonts w:ascii="黑体" w:hAnsi="黑体" w:eastAsia="黑体"/>
          <w:bCs/>
          <w:szCs w:val="21"/>
        </w:rPr>
      </w:pPr>
      <w:r>
        <w:rPr>
          <w:rFonts w:hint="eastAsia" w:ascii="黑体" w:hAnsi="黑体" w:eastAsia="黑体"/>
          <w:bCs/>
          <w:szCs w:val="21"/>
        </w:rPr>
        <w:t>如果推荐的第一成交候选人在合同签订前经采购人查证、或以其他方式取证证实其响应资料造假而被取消成交资格的，则采购人可按推荐的成交候选人排名顺序依次确定成交人，亦可决定组织重新采购。</w:t>
      </w:r>
    </w:p>
    <w:p>
      <w:pPr>
        <w:pStyle w:val="30"/>
        <w:numPr>
          <w:ilvl w:val="2"/>
          <w:numId w:val="96"/>
        </w:numPr>
        <w:tabs>
          <w:tab w:val="left" w:pos="851"/>
          <w:tab w:val="left" w:pos="1276"/>
        </w:tabs>
        <w:spacing w:line="360" w:lineRule="auto"/>
        <w:ind w:left="851" w:hanging="851" w:firstLineChars="0"/>
        <w:rPr>
          <w:rFonts w:ascii="黑体" w:hAnsi="黑体" w:eastAsia="黑体"/>
          <w:bCs/>
          <w:szCs w:val="21"/>
        </w:rPr>
      </w:pPr>
      <w:r>
        <w:rPr>
          <w:rFonts w:hint="eastAsia" w:ascii="黑体" w:hAnsi="黑体" w:eastAsia="黑体"/>
          <w:bCs/>
          <w:spacing w:val="-6"/>
          <w:szCs w:val="21"/>
        </w:rPr>
        <w:t>成交价的确定：成交价以最后磋商报价为准；如有缺项、漏项，视为已包含在成交价中。</w:t>
      </w:r>
    </w:p>
    <w:p>
      <w:pPr>
        <w:pStyle w:val="30"/>
        <w:numPr>
          <w:ilvl w:val="2"/>
          <w:numId w:val="96"/>
        </w:numPr>
        <w:tabs>
          <w:tab w:val="left" w:pos="851"/>
          <w:tab w:val="left" w:pos="1276"/>
        </w:tabs>
        <w:spacing w:line="360" w:lineRule="auto"/>
        <w:ind w:left="851" w:hanging="851" w:firstLineChars="0"/>
        <w:rPr>
          <w:rFonts w:ascii="黑体" w:hAnsi="黑体" w:eastAsia="黑体"/>
          <w:bCs/>
          <w:szCs w:val="21"/>
        </w:rPr>
      </w:pPr>
      <w:r>
        <w:rPr>
          <w:rFonts w:hint="eastAsia" w:ascii="黑体" w:hAnsi="黑体" w:eastAsia="黑体"/>
          <w:bCs/>
          <w:szCs w:val="21"/>
        </w:rPr>
        <w:t>根据磋商小组的评审结果，采购人依法确定成交人，也可以事先授权磋商小组直接确定成交人。</w:t>
      </w:r>
    </w:p>
    <w:p>
      <w:pPr>
        <w:pStyle w:val="30"/>
        <w:pageBreakBefore/>
        <w:numPr>
          <w:ilvl w:val="0"/>
          <w:numId w:val="97"/>
        </w:numPr>
        <w:spacing w:before="156" w:beforeLines="50" w:line="360" w:lineRule="auto"/>
        <w:ind w:left="422" w:hanging="422" w:hangingChars="200"/>
        <w:rPr>
          <w:rFonts w:ascii="黑体" w:hAnsi="黑体" w:eastAsia="黑体"/>
          <w:b/>
          <w:bCs/>
          <w:szCs w:val="21"/>
        </w:rPr>
      </w:pPr>
      <w:r>
        <w:rPr>
          <w:rFonts w:hint="eastAsia" w:ascii="黑体" w:hAnsi="黑体" w:eastAsia="黑体"/>
          <w:b/>
          <w:bCs/>
          <w:szCs w:val="21"/>
        </w:rPr>
        <w:t>附表一</w:t>
      </w:r>
      <w:r>
        <w:rPr>
          <w:rFonts w:ascii="黑体" w:hAnsi="黑体" w:eastAsia="黑体"/>
          <w:b/>
          <w:bCs/>
          <w:szCs w:val="21"/>
        </w:rPr>
        <w:t xml:space="preserve"> </w:t>
      </w:r>
      <w:r>
        <w:rPr>
          <w:rFonts w:hint="eastAsia" w:ascii="黑体" w:hAnsi="黑体" w:eastAsia="黑体"/>
          <w:b/>
          <w:bCs/>
          <w:szCs w:val="21"/>
        </w:rPr>
        <w:t>资格性、符合性审查表（注：本表无需供应商填写）</w:t>
      </w:r>
    </w:p>
    <w:tbl>
      <w:tblPr>
        <w:tblStyle w:val="2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4327"/>
        <w:gridCol w:w="1134"/>
        <w:gridCol w:w="1134"/>
        <w:gridCol w:w="1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913" w:type="dxa"/>
            <w:vAlign w:val="center"/>
          </w:tcPr>
          <w:p>
            <w:pPr>
              <w:spacing w:line="360" w:lineRule="auto"/>
              <w:jc w:val="center"/>
              <w:rPr>
                <w:rFonts w:ascii="黑体" w:hAnsi="黑体" w:eastAsia="黑体"/>
                <w:bCs/>
                <w:szCs w:val="21"/>
              </w:rPr>
            </w:pPr>
            <w:r>
              <w:rPr>
                <w:rFonts w:hint="eastAsia" w:ascii="黑体" w:hAnsi="黑体" w:eastAsia="黑体"/>
                <w:bCs/>
                <w:szCs w:val="21"/>
              </w:rPr>
              <w:t>序号</w:t>
            </w:r>
          </w:p>
        </w:tc>
        <w:tc>
          <w:tcPr>
            <w:tcW w:w="4327" w:type="dxa"/>
            <w:tcBorders>
              <w:bottom w:val="single" w:color="auto" w:sz="4" w:space="0"/>
              <w:tl2br w:val="single" w:color="auto" w:sz="4" w:space="0"/>
            </w:tcBorders>
          </w:tcPr>
          <w:p>
            <w:pPr>
              <w:spacing w:line="360" w:lineRule="auto"/>
              <w:ind w:left="210" w:hanging="210" w:hangingChars="100"/>
              <w:rPr>
                <w:rFonts w:ascii="黑体" w:hAnsi="黑体" w:eastAsia="黑体"/>
                <w:bCs/>
                <w:szCs w:val="21"/>
              </w:rPr>
            </w:pPr>
            <w:r>
              <w:rPr>
                <w:rFonts w:ascii="黑体" w:hAnsi="黑体" w:eastAsia="黑体"/>
                <w:bCs/>
                <w:szCs w:val="21"/>
              </w:rPr>
              <w:t xml:space="preserve">                                供应商</w:t>
            </w:r>
          </w:p>
          <w:p>
            <w:pPr>
              <w:spacing w:line="360" w:lineRule="auto"/>
              <w:ind w:firstLine="105" w:firstLineChars="50"/>
              <w:rPr>
                <w:rFonts w:ascii="黑体" w:hAnsi="黑体" w:eastAsia="黑体"/>
                <w:bCs/>
                <w:szCs w:val="21"/>
              </w:rPr>
            </w:pPr>
            <w:r>
              <w:rPr>
                <w:rFonts w:hint="eastAsia" w:ascii="黑体" w:hAnsi="黑体" w:eastAsia="黑体"/>
                <w:bCs/>
                <w:szCs w:val="21"/>
              </w:rPr>
              <w:t>审查内容</w:t>
            </w:r>
          </w:p>
        </w:tc>
        <w:tc>
          <w:tcPr>
            <w:tcW w:w="1134" w:type="dxa"/>
            <w:vAlign w:val="center"/>
          </w:tcPr>
          <w:p>
            <w:pPr>
              <w:spacing w:line="360" w:lineRule="auto"/>
              <w:jc w:val="center"/>
              <w:rPr>
                <w:rFonts w:ascii="黑体" w:hAnsi="黑体" w:eastAsia="黑体"/>
                <w:bCs/>
                <w:szCs w:val="21"/>
              </w:rPr>
            </w:pPr>
            <w:r>
              <w:rPr>
                <w:rFonts w:hint="eastAsia" w:ascii="黑体" w:hAnsi="黑体" w:eastAsia="黑体"/>
                <w:bCs/>
                <w:szCs w:val="21"/>
              </w:rPr>
              <w:t>供应商</w:t>
            </w:r>
            <w:r>
              <w:rPr>
                <w:rFonts w:ascii="黑体" w:hAnsi="黑体" w:eastAsia="黑体"/>
                <w:bCs/>
                <w:szCs w:val="21"/>
              </w:rPr>
              <w:t>A</w:t>
            </w:r>
          </w:p>
        </w:tc>
        <w:tc>
          <w:tcPr>
            <w:tcW w:w="1134" w:type="dxa"/>
            <w:vAlign w:val="center"/>
          </w:tcPr>
          <w:p>
            <w:pPr>
              <w:spacing w:line="360" w:lineRule="auto"/>
              <w:jc w:val="center"/>
              <w:rPr>
                <w:rFonts w:ascii="黑体" w:hAnsi="黑体" w:eastAsia="黑体"/>
                <w:bCs/>
                <w:szCs w:val="21"/>
              </w:rPr>
            </w:pPr>
            <w:r>
              <w:rPr>
                <w:rFonts w:hint="eastAsia" w:ascii="黑体" w:hAnsi="黑体" w:eastAsia="黑体"/>
                <w:bCs/>
                <w:szCs w:val="21"/>
              </w:rPr>
              <w:t>供应商</w:t>
            </w:r>
            <w:r>
              <w:rPr>
                <w:rFonts w:ascii="黑体" w:hAnsi="黑体" w:eastAsia="黑体"/>
                <w:bCs/>
                <w:szCs w:val="21"/>
              </w:rPr>
              <w:t>B</w:t>
            </w:r>
          </w:p>
        </w:tc>
        <w:tc>
          <w:tcPr>
            <w:tcW w:w="1014" w:type="dxa"/>
            <w:vAlign w:val="center"/>
          </w:tcPr>
          <w:p>
            <w:pPr>
              <w:spacing w:line="360" w:lineRule="auto"/>
              <w:jc w:val="center"/>
              <w:rPr>
                <w:rFonts w:ascii="黑体" w:hAnsi="黑体" w:eastAsia="黑体"/>
                <w:bCs/>
                <w:szCs w:val="21"/>
              </w:rPr>
            </w:pPr>
            <w:r>
              <w:rPr>
                <w:rFonts w:hint="eastAsia" w:ascii="黑体" w:hAnsi="黑体" w:eastAsia="黑体"/>
                <w:bCs/>
                <w:szCs w:val="21"/>
              </w:rPr>
              <w:t>供应商</w:t>
            </w:r>
            <w:r>
              <w:rPr>
                <w:rFonts w:ascii="黑体" w:hAnsi="黑体" w:eastAsia="黑体"/>
                <w:bCs/>
                <w:szCs w:val="21"/>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spacing w:line="360" w:lineRule="auto"/>
              <w:rPr>
                <w:rFonts w:ascii="黑体" w:hAnsi="黑体" w:eastAsia="黑体"/>
                <w:bCs/>
                <w:szCs w:val="21"/>
              </w:rPr>
            </w:pPr>
            <w:r>
              <w:rPr>
                <w:rFonts w:hint="eastAsia" w:ascii="黑体" w:hAnsi="黑体" w:eastAsia="黑体"/>
                <w:bCs/>
                <w:szCs w:val="21"/>
              </w:rPr>
              <w:t xml:space="preserve"> </w:t>
            </w:r>
            <w:r>
              <w:rPr>
                <w:rFonts w:ascii="黑体" w:hAnsi="黑体" w:eastAsia="黑体"/>
                <w:bCs/>
                <w:szCs w:val="21"/>
              </w:rPr>
              <w:t xml:space="preserve">  1</w:t>
            </w:r>
          </w:p>
        </w:tc>
        <w:tc>
          <w:tcPr>
            <w:tcW w:w="4327" w:type="dxa"/>
            <w:tcBorders>
              <w:tl2br w:val="nil"/>
            </w:tcBorders>
            <w:vAlign w:val="center"/>
          </w:tcPr>
          <w:p>
            <w:pPr>
              <w:spacing w:line="360" w:lineRule="auto"/>
              <w:rPr>
                <w:rFonts w:ascii="黑体" w:hAnsi="黑体" w:eastAsia="黑体"/>
                <w:szCs w:val="21"/>
              </w:rPr>
            </w:pPr>
            <w:r>
              <w:rPr>
                <w:rFonts w:hint="eastAsia" w:ascii="黑体" w:hAnsi="黑体" w:eastAsia="黑体" w:cs="黑体"/>
                <w:szCs w:val="21"/>
              </w:rPr>
              <w:t>具备磋商文件中规定资格要求的及资格证明文件齐全；</w:t>
            </w:r>
          </w:p>
        </w:tc>
        <w:tc>
          <w:tcPr>
            <w:tcW w:w="1134" w:type="dxa"/>
            <w:vAlign w:val="center"/>
          </w:tcPr>
          <w:p>
            <w:pPr>
              <w:spacing w:line="360" w:lineRule="auto"/>
              <w:jc w:val="center"/>
              <w:rPr>
                <w:rFonts w:ascii="黑体" w:hAnsi="黑体" w:eastAsia="黑体"/>
                <w:bCs/>
                <w:szCs w:val="21"/>
              </w:rPr>
            </w:pPr>
          </w:p>
        </w:tc>
        <w:tc>
          <w:tcPr>
            <w:tcW w:w="1134" w:type="dxa"/>
            <w:vAlign w:val="center"/>
          </w:tcPr>
          <w:p>
            <w:pPr>
              <w:spacing w:line="360" w:lineRule="auto"/>
              <w:jc w:val="center"/>
              <w:rPr>
                <w:rFonts w:ascii="黑体" w:hAnsi="黑体" w:eastAsia="黑体"/>
                <w:bCs/>
                <w:szCs w:val="21"/>
              </w:rPr>
            </w:pPr>
          </w:p>
        </w:tc>
        <w:tc>
          <w:tcPr>
            <w:tcW w:w="1014" w:type="dxa"/>
            <w:vAlign w:val="center"/>
          </w:tcPr>
          <w:p>
            <w:pPr>
              <w:spacing w:line="360" w:lineRule="auto"/>
              <w:jc w:val="center"/>
              <w:rPr>
                <w:rFonts w:ascii="黑体" w:hAnsi="黑体" w:eastAsia="黑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spacing w:line="360" w:lineRule="auto"/>
              <w:jc w:val="center"/>
              <w:rPr>
                <w:rFonts w:ascii="黑体" w:hAnsi="黑体" w:eastAsia="黑体"/>
                <w:bCs/>
                <w:szCs w:val="21"/>
              </w:rPr>
            </w:pPr>
            <w:r>
              <w:rPr>
                <w:rFonts w:hint="eastAsia" w:ascii="黑体" w:hAnsi="黑体" w:eastAsia="黑体"/>
                <w:bCs/>
                <w:szCs w:val="21"/>
              </w:rPr>
              <w:t>2</w:t>
            </w:r>
          </w:p>
        </w:tc>
        <w:tc>
          <w:tcPr>
            <w:tcW w:w="4327" w:type="dxa"/>
            <w:tcBorders>
              <w:tl2br w:val="nil"/>
            </w:tcBorders>
            <w:vAlign w:val="center"/>
          </w:tcPr>
          <w:p>
            <w:pPr>
              <w:spacing w:line="360" w:lineRule="auto"/>
              <w:rPr>
                <w:rFonts w:ascii="黑体" w:hAnsi="黑体" w:eastAsia="黑体"/>
                <w:szCs w:val="21"/>
              </w:rPr>
            </w:pPr>
            <w:r>
              <w:rPr>
                <w:rFonts w:hint="eastAsia" w:ascii="黑体" w:hAnsi="黑体" w:eastAsia="黑体" w:cs="黑体"/>
                <w:szCs w:val="21"/>
              </w:rPr>
              <w:t>首次报价未超过本项目的采购预算；</w:t>
            </w:r>
          </w:p>
        </w:tc>
        <w:tc>
          <w:tcPr>
            <w:tcW w:w="1134" w:type="dxa"/>
            <w:vAlign w:val="center"/>
          </w:tcPr>
          <w:p>
            <w:pPr>
              <w:spacing w:line="360" w:lineRule="auto"/>
              <w:jc w:val="center"/>
              <w:rPr>
                <w:rFonts w:ascii="黑体" w:hAnsi="黑体" w:eastAsia="黑体"/>
                <w:bCs/>
                <w:szCs w:val="21"/>
              </w:rPr>
            </w:pPr>
          </w:p>
        </w:tc>
        <w:tc>
          <w:tcPr>
            <w:tcW w:w="1134" w:type="dxa"/>
            <w:vAlign w:val="center"/>
          </w:tcPr>
          <w:p>
            <w:pPr>
              <w:spacing w:line="360" w:lineRule="auto"/>
              <w:jc w:val="center"/>
              <w:rPr>
                <w:rFonts w:ascii="黑体" w:hAnsi="黑体" w:eastAsia="黑体"/>
                <w:bCs/>
                <w:szCs w:val="21"/>
              </w:rPr>
            </w:pPr>
          </w:p>
        </w:tc>
        <w:tc>
          <w:tcPr>
            <w:tcW w:w="1014" w:type="dxa"/>
            <w:vAlign w:val="center"/>
          </w:tcPr>
          <w:p>
            <w:pPr>
              <w:spacing w:line="360" w:lineRule="auto"/>
              <w:jc w:val="center"/>
              <w:rPr>
                <w:rFonts w:ascii="黑体" w:hAnsi="黑体" w:eastAsia="黑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spacing w:line="360" w:lineRule="auto"/>
              <w:jc w:val="center"/>
              <w:rPr>
                <w:rFonts w:ascii="黑体" w:hAnsi="黑体" w:eastAsia="黑体"/>
                <w:bCs/>
                <w:szCs w:val="21"/>
              </w:rPr>
            </w:pPr>
            <w:r>
              <w:rPr>
                <w:rFonts w:ascii="黑体" w:hAnsi="黑体" w:eastAsia="黑体"/>
                <w:bCs/>
                <w:szCs w:val="21"/>
              </w:rPr>
              <w:t>3</w:t>
            </w:r>
          </w:p>
        </w:tc>
        <w:tc>
          <w:tcPr>
            <w:tcW w:w="4327" w:type="dxa"/>
            <w:tcBorders>
              <w:tl2br w:val="nil"/>
            </w:tcBorders>
            <w:vAlign w:val="center"/>
          </w:tcPr>
          <w:p>
            <w:pPr>
              <w:tabs>
                <w:tab w:val="left" w:pos="426"/>
                <w:tab w:val="left" w:pos="993"/>
              </w:tabs>
              <w:spacing w:line="360" w:lineRule="auto"/>
              <w:rPr>
                <w:rFonts w:ascii="黑体" w:hAnsi="黑体" w:eastAsia="黑体"/>
                <w:szCs w:val="21"/>
              </w:rPr>
            </w:pPr>
            <w:r>
              <w:rPr>
                <w:rFonts w:hint="eastAsia" w:ascii="黑体" w:hAnsi="黑体" w:eastAsia="黑体" w:cs="黑体"/>
                <w:szCs w:val="21"/>
              </w:rPr>
              <w:t>磋商函已提交并符合磋商文件要求的（磋商有效期）；</w:t>
            </w:r>
          </w:p>
        </w:tc>
        <w:tc>
          <w:tcPr>
            <w:tcW w:w="1134" w:type="dxa"/>
            <w:vAlign w:val="center"/>
          </w:tcPr>
          <w:p>
            <w:pPr>
              <w:spacing w:line="360" w:lineRule="auto"/>
              <w:jc w:val="center"/>
              <w:rPr>
                <w:rFonts w:ascii="黑体" w:hAnsi="黑体" w:eastAsia="黑体"/>
                <w:bCs/>
                <w:szCs w:val="21"/>
              </w:rPr>
            </w:pPr>
          </w:p>
        </w:tc>
        <w:tc>
          <w:tcPr>
            <w:tcW w:w="1134" w:type="dxa"/>
            <w:vAlign w:val="center"/>
          </w:tcPr>
          <w:p>
            <w:pPr>
              <w:spacing w:line="360" w:lineRule="auto"/>
              <w:jc w:val="center"/>
              <w:rPr>
                <w:rFonts w:ascii="黑体" w:hAnsi="黑体" w:eastAsia="黑体"/>
                <w:bCs/>
                <w:szCs w:val="21"/>
              </w:rPr>
            </w:pPr>
          </w:p>
        </w:tc>
        <w:tc>
          <w:tcPr>
            <w:tcW w:w="1014" w:type="dxa"/>
            <w:vAlign w:val="center"/>
          </w:tcPr>
          <w:p>
            <w:pPr>
              <w:spacing w:line="360" w:lineRule="auto"/>
              <w:jc w:val="center"/>
              <w:rPr>
                <w:rFonts w:ascii="黑体" w:hAnsi="黑体" w:eastAsia="黑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tabs>
                <w:tab w:val="left" w:pos="567"/>
                <w:tab w:val="left" w:pos="709"/>
              </w:tabs>
              <w:spacing w:line="360" w:lineRule="auto"/>
              <w:ind w:right="552" w:firstLine="315" w:firstLineChars="150"/>
              <w:rPr>
                <w:rFonts w:ascii="黑体" w:hAnsi="黑体" w:eastAsia="黑体"/>
                <w:bCs/>
                <w:szCs w:val="21"/>
              </w:rPr>
            </w:pPr>
            <w:r>
              <w:rPr>
                <w:rFonts w:ascii="黑体" w:hAnsi="黑体" w:eastAsia="黑体"/>
                <w:bCs/>
                <w:szCs w:val="21"/>
              </w:rPr>
              <w:t>4</w:t>
            </w:r>
          </w:p>
        </w:tc>
        <w:tc>
          <w:tcPr>
            <w:tcW w:w="4327" w:type="dxa"/>
            <w:tcBorders>
              <w:tl2br w:val="nil"/>
            </w:tcBorders>
            <w:vAlign w:val="center"/>
          </w:tcPr>
          <w:p>
            <w:pPr>
              <w:tabs>
                <w:tab w:val="left" w:pos="426"/>
                <w:tab w:val="left" w:pos="993"/>
              </w:tabs>
              <w:spacing w:line="360" w:lineRule="auto"/>
              <w:rPr>
                <w:rFonts w:ascii="黑体" w:hAnsi="黑体" w:eastAsia="黑体" w:cs="黑体"/>
                <w:szCs w:val="21"/>
              </w:rPr>
            </w:pPr>
            <w:r>
              <w:rPr>
                <w:rFonts w:hint="eastAsia" w:ascii="黑体" w:hAnsi="黑体" w:eastAsia="黑体" w:cs="黑体"/>
                <w:szCs w:val="21"/>
              </w:rPr>
              <w:t>法人授权委托证明；</w:t>
            </w:r>
          </w:p>
          <w:p>
            <w:pPr>
              <w:tabs>
                <w:tab w:val="left" w:pos="426"/>
                <w:tab w:val="left" w:pos="993"/>
              </w:tabs>
              <w:spacing w:line="360" w:lineRule="auto"/>
              <w:rPr>
                <w:rFonts w:ascii="黑体" w:hAnsi="黑体" w:eastAsia="黑体"/>
                <w:szCs w:val="21"/>
              </w:rPr>
            </w:pPr>
            <w:r>
              <w:rPr>
                <w:rFonts w:hint="eastAsia" w:ascii="黑体" w:hAnsi="黑体" w:eastAsia="黑体" w:cs="黑体"/>
                <w:szCs w:val="21"/>
              </w:rPr>
              <w:t>(供应商代表为法定代表人的除外)</w:t>
            </w:r>
          </w:p>
        </w:tc>
        <w:tc>
          <w:tcPr>
            <w:tcW w:w="1134" w:type="dxa"/>
            <w:vAlign w:val="center"/>
          </w:tcPr>
          <w:p>
            <w:pPr>
              <w:spacing w:line="360" w:lineRule="auto"/>
              <w:jc w:val="center"/>
              <w:rPr>
                <w:rFonts w:ascii="黑体" w:hAnsi="黑体" w:eastAsia="黑体"/>
                <w:bCs/>
                <w:szCs w:val="21"/>
              </w:rPr>
            </w:pPr>
          </w:p>
        </w:tc>
        <w:tc>
          <w:tcPr>
            <w:tcW w:w="1134" w:type="dxa"/>
            <w:vAlign w:val="center"/>
          </w:tcPr>
          <w:p>
            <w:pPr>
              <w:spacing w:line="360" w:lineRule="auto"/>
              <w:jc w:val="center"/>
              <w:rPr>
                <w:rFonts w:ascii="黑体" w:hAnsi="黑体" w:eastAsia="黑体"/>
                <w:bCs/>
                <w:szCs w:val="21"/>
              </w:rPr>
            </w:pPr>
          </w:p>
        </w:tc>
        <w:tc>
          <w:tcPr>
            <w:tcW w:w="1014" w:type="dxa"/>
            <w:vAlign w:val="center"/>
          </w:tcPr>
          <w:p>
            <w:pPr>
              <w:spacing w:line="360" w:lineRule="auto"/>
              <w:jc w:val="center"/>
              <w:rPr>
                <w:rFonts w:ascii="黑体" w:hAnsi="黑体" w:eastAsia="黑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tabs>
                <w:tab w:val="left" w:pos="567"/>
                <w:tab w:val="left" w:pos="709"/>
              </w:tabs>
              <w:spacing w:line="360" w:lineRule="auto"/>
              <w:ind w:right="552" w:firstLine="315" w:firstLineChars="150"/>
              <w:rPr>
                <w:rFonts w:ascii="黑体" w:hAnsi="黑体" w:eastAsia="黑体"/>
                <w:bCs/>
                <w:szCs w:val="21"/>
              </w:rPr>
            </w:pPr>
            <w:r>
              <w:rPr>
                <w:rFonts w:ascii="黑体" w:hAnsi="黑体" w:eastAsia="黑体"/>
                <w:bCs/>
                <w:szCs w:val="21"/>
              </w:rPr>
              <w:t>5</w:t>
            </w:r>
          </w:p>
        </w:tc>
        <w:tc>
          <w:tcPr>
            <w:tcW w:w="4327" w:type="dxa"/>
            <w:tcBorders>
              <w:tl2br w:val="nil"/>
            </w:tcBorders>
            <w:vAlign w:val="center"/>
          </w:tcPr>
          <w:p>
            <w:pPr>
              <w:spacing w:line="360" w:lineRule="auto"/>
              <w:jc w:val="left"/>
              <w:rPr>
                <w:rFonts w:ascii="黑体" w:hAnsi="黑体" w:eastAsia="黑体" w:cs="宋体"/>
              </w:rPr>
            </w:pPr>
            <w:r>
              <w:rPr>
                <w:rFonts w:hint="eastAsia" w:ascii="黑体" w:hAnsi="黑体" w:eastAsia="黑体" w:cs="黑体"/>
                <w:szCs w:val="21"/>
              </w:rPr>
              <w:t xml:space="preserve">响应文件的签署、盖章符合磋商文件要求； </w:t>
            </w:r>
          </w:p>
        </w:tc>
        <w:tc>
          <w:tcPr>
            <w:tcW w:w="1134" w:type="dxa"/>
            <w:vAlign w:val="center"/>
          </w:tcPr>
          <w:p>
            <w:pPr>
              <w:spacing w:line="360" w:lineRule="auto"/>
              <w:jc w:val="center"/>
              <w:rPr>
                <w:rFonts w:ascii="黑体" w:hAnsi="黑体" w:eastAsia="黑体"/>
                <w:bCs/>
                <w:szCs w:val="21"/>
              </w:rPr>
            </w:pPr>
          </w:p>
        </w:tc>
        <w:tc>
          <w:tcPr>
            <w:tcW w:w="1134" w:type="dxa"/>
            <w:vAlign w:val="center"/>
          </w:tcPr>
          <w:p>
            <w:pPr>
              <w:spacing w:line="360" w:lineRule="auto"/>
              <w:jc w:val="center"/>
              <w:rPr>
                <w:rFonts w:ascii="黑体" w:hAnsi="黑体" w:eastAsia="黑体"/>
                <w:bCs/>
                <w:szCs w:val="21"/>
              </w:rPr>
            </w:pPr>
          </w:p>
        </w:tc>
        <w:tc>
          <w:tcPr>
            <w:tcW w:w="1014" w:type="dxa"/>
            <w:vAlign w:val="center"/>
          </w:tcPr>
          <w:p>
            <w:pPr>
              <w:spacing w:line="360" w:lineRule="auto"/>
              <w:jc w:val="center"/>
              <w:rPr>
                <w:rFonts w:ascii="黑体" w:hAnsi="黑体" w:eastAsia="黑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tabs>
                <w:tab w:val="left" w:pos="567"/>
                <w:tab w:val="left" w:pos="699"/>
              </w:tabs>
              <w:spacing w:line="360" w:lineRule="auto"/>
              <w:ind w:right="552" w:firstLine="315" w:firstLineChars="150"/>
              <w:rPr>
                <w:rFonts w:ascii="黑体" w:hAnsi="黑体" w:eastAsia="黑体"/>
                <w:bCs/>
                <w:szCs w:val="21"/>
              </w:rPr>
            </w:pPr>
            <w:r>
              <w:rPr>
                <w:rFonts w:ascii="黑体" w:hAnsi="黑体" w:eastAsia="黑体"/>
                <w:bCs/>
                <w:szCs w:val="21"/>
              </w:rPr>
              <w:t>6</w:t>
            </w:r>
          </w:p>
        </w:tc>
        <w:tc>
          <w:tcPr>
            <w:tcW w:w="4327" w:type="dxa"/>
            <w:tcBorders>
              <w:tl2br w:val="nil"/>
            </w:tcBorders>
            <w:vAlign w:val="center"/>
          </w:tcPr>
          <w:p>
            <w:pPr>
              <w:spacing w:line="360" w:lineRule="auto"/>
              <w:jc w:val="left"/>
              <w:rPr>
                <w:rFonts w:ascii="黑体" w:hAnsi="黑体" w:eastAsia="黑体" w:cs="黑体"/>
                <w:bCs/>
                <w:szCs w:val="21"/>
              </w:rPr>
            </w:pPr>
            <w:r>
              <w:rPr>
                <w:rFonts w:hint="eastAsia" w:ascii="黑体" w:hAnsi="黑体" w:eastAsia="黑体" w:cs="黑体"/>
                <w:szCs w:val="21"/>
              </w:rPr>
              <w:t>采购需求</w:t>
            </w:r>
            <w:r>
              <w:rPr>
                <w:rFonts w:hint="eastAsia" w:ascii="黑体" w:hAnsi="黑体" w:eastAsia="黑体" w:cs="黑体"/>
                <w:bCs/>
                <w:szCs w:val="21"/>
              </w:rPr>
              <w:t>当中的★条款满足要求；</w:t>
            </w:r>
          </w:p>
          <w:p>
            <w:pPr>
              <w:spacing w:line="360" w:lineRule="auto"/>
              <w:jc w:val="left"/>
              <w:rPr>
                <w:rFonts w:ascii="黑体" w:hAnsi="黑体" w:eastAsia="黑体"/>
                <w:szCs w:val="21"/>
              </w:rPr>
            </w:pPr>
            <w:r>
              <w:rPr>
                <w:rFonts w:hint="eastAsia" w:ascii="黑体" w:hAnsi="黑体" w:eastAsia="黑体" w:cs="黑体"/>
                <w:bCs/>
                <w:szCs w:val="21"/>
              </w:rPr>
              <w:t>(若本项目无★条款，此项通过)</w:t>
            </w:r>
          </w:p>
        </w:tc>
        <w:tc>
          <w:tcPr>
            <w:tcW w:w="1134" w:type="dxa"/>
            <w:vAlign w:val="center"/>
          </w:tcPr>
          <w:p>
            <w:pPr>
              <w:spacing w:line="360" w:lineRule="auto"/>
              <w:jc w:val="center"/>
              <w:rPr>
                <w:rFonts w:ascii="黑体" w:hAnsi="黑体" w:eastAsia="黑体"/>
                <w:bCs/>
                <w:szCs w:val="21"/>
              </w:rPr>
            </w:pPr>
          </w:p>
        </w:tc>
        <w:tc>
          <w:tcPr>
            <w:tcW w:w="1134" w:type="dxa"/>
            <w:vAlign w:val="center"/>
          </w:tcPr>
          <w:p>
            <w:pPr>
              <w:spacing w:line="360" w:lineRule="auto"/>
              <w:jc w:val="center"/>
              <w:rPr>
                <w:rFonts w:ascii="黑体" w:hAnsi="黑体" w:eastAsia="黑体"/>
                <w:bCs/>
                <w:szCs w:val="21"/>
              </w:rPr>
            </w:pPr>
          </w:p>
        </w:tc>
        <w:tc>
          <w:tcPr>
            <w:tcW w:w="1014" w:type="dxa"/>
            <w:vAlign w:val="center"/>
          </w:tcPr>
          <w:p>
            <w:pPr>
              <w:spacing w:line="360" w:lineRule="auto"/>
              <w:jc w:val="center"/>
              <w:rPr>
                <w:rFonts w:ascii="黑体" w:hAnsi="黑体" w:eastAsia="黑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tabs>
                <w:tab w:val="left" w:pos="567"/>
                <w:tab w:val="left" w:pos="699"/>
              </w:tabs>
              <w:spacing w:line="360" w:lineRule="auto"/>
              <w:ind w:right="552" w:firstLine="315" w:firstLineChars="150"/>
              <w:rPr>
                <w:rFonts w:ascii="黑体" w:hAnsi="黑体" w:eastAsia="黑体"/>
                <w:bCs/>
                <w:szCs w:val="21"/>
              </w:rPr>
            </w:pPr>
            <w:r>
              <w:rPr>
                <w:rFonts w:ascii="黑体" w:hAnsi="黑体" w:eastAsia="黑体"/>
                <w:bCs/>
                <w:szCs w:val="21"/>
              </w:rPr>
              <w:t>7</w:t>
            </w:r>
          </w:p>
        </w:tc>
        <w:tc>
          <w:tcPr>
            <w:tcW w:w="4327" w:type="dxa"/>
            <w:tcBorders>
              <w:tl2br w:val="nil"/>
            </w:tcBorders>
            <w:vAlign w:val="center"/>
          </w:tcPr>
          <w:p>
            <w:pPr>
              <w:spacing w:line="360" w:lineRule="auto"/>
              <w:jc w:val="left"/>
              <w:rPr>
                <w:rFonts w:ascii="黑体" w:hAnsi="黑体" w:eastAsia="黑体" w:cs="宋体"/>
              </w:rPr>
            </w:pPr>
            <w:r>
              <w:rPr>
                <w:rFonts w:hint="eastAsia" w:ascii="黑体" w:hAnsi="黑体" w:eastAsia="黑体" w:cs="黑体"/>
                <w:szCs w:val="21"/>
              </w:rPr>
              <w:t>响应文件没有磋商文件中规定的其它无效响应条款的；</w:t>
            </w:r>
          </w:p>
        </w:tc>
        <w:tc>
          <w:tcPr>
            <w:tcW w:w="1134" w:type="dxa"/>
            <w:vAlign w:val="center"/>
          </w:tcPr>
          <w:p>
            <w:pPr>
              <w:spacing w:line="360" w:lineRule="auto"/>
              <w:jc w:val="center"/>
              <w:rPr>
                <w:rFonts w:ascii="黑体" w:hAnsi="黑体" w:eastAsia="黑体"/>
                <w:bCs/>
                <w:szCs w:val="21"/>
              </w:rPr>
            </w:pPr>
          </w:p>
        </w:tc>
        <w:tc>
          <w:tcPr>
            <w:tcW w:w="1134" w:type="dxa"/>
            <w:vAlign w:val="center"/>
          </w:tcPr>
          <w:p>
            <w:pPr>
              <w:spacing w:line="360" w:lineRule="auto"/>
              <w:jc w:val="center"/>
              <w:rPr>
                <w:rFonts w:ascii="黑体" w:hAnsi="黑体" w:eastAsia="黑体"/>
                <w:bCs/>
                <w:szCs w:val="21"/>
              </w:rPr>
            </w:pPr>
          </w:p>
        </w:tc>
        <w:tc>
          <w:tcPr>
            <w:tcW w:w="1014" w:type="dxa"/>
            <w:vAlign w:val="center"/>
          </w:tcPr>
          <w:p>
            <w:pPr>
              <w:spacing w:line="360" w:lineRule="auto"/>
              <w:jc w:val="center"/>
              <w:rPr>
                <w:rFonts w:ascii="黑体" w:hAnsi="黑体" w:eastAsia="黑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tabs>
                <w:tab w:val="left" w:pos="567"/>
                <w:tab w:val="left" w:pos="699"/>
              </w:tabs>
              <w:spacing w:line="360" w:lineRule="auto"/>
              <w:ind w:right="552" w:firstLine="315" w:firstLineChars="150"/>
              <w:rPr>
                <w:rFonts w:ascii="黑体" w:hAnsi="黑体" w:eastAsia="黑体"/>
                <w:bCs/>
                <w:szCs w:val="21"/>
              </w:rPr>
            </w:pPr>
            <w:r>
              <w:rPr>
                <w:rFonts w:ascii="黑体" w:hAnsi="黑体" w:eastAsia="黑体"/>
                <w:bCs/>
                <w:szCs w:val="21"/>
              </w:rPr>
              <w:t>8</w:t>
            </w:r>
          </w:p>
        </w:tc>
        <w:tc>
          <w:tcPr>
            <w:tcW w:w="4327" w:type="dxa"/>
            <w:tcBorders>
              <w:tl2br w:val="nil"/>
            </w:tcBorders>
            <w:vAlign w:val="center"/>
          </w:tcPr>
          <w:p>
            <w:pPr>
              <w:spacing w:line="360" w:lineRule="auto"/>
              <w:jc w:val="left"/>
              <w:rPr>
                <w:rFonts w:ascii="黑体" w:hAnsi="黑体" w:eastAsia="黑体" w:cs="宋体"/>
              </w:rPr>
            </w:pPr>
            <w:r>
              <w:rPr>
                <w:rFonts w:hint="eastAsia" w:ascii="黑体" w:hAnsi="黑体" w:eastAsia="黑体" w:cs="黑体"/>
                <w:szCs w:val="21"/>
              </w:rPr>
              <w:t>按有关法律、法规、规章不属于响应无效的。</w:t>
            </w:r>
          </w:p>
        </w:tc>
        <w:tc>
          <w:tcPr>
            <w:tcW w:w="1134" w:type="dxa"/>
            <w:vAlign w:val="center"/>
          </w:tcPr>
          <w:p>
            <w:pPr>
              <w:spacing w:line="360" w:lineRule="auto"/>
              <w:jc w:val="center"/>
              <w:rPr>
                <w:rFonts w:ascii="黑体" w:hAnsi="黑体" w:eastAsia="黑体"/>
                <w:bCs/>
                <w:szCs w:val="21"/>
              </w:rPr>
            </w:pPr>
          </w:p>
        </w:tc>
        <w:tc>
          <w:tcPr>
            <w:tcW w:w="1134" w:type="dxa"/>
            <w:vAlign w:val="center"/>
          </w:tcPr>
          <w:p>
            <w:pPr>
              <w:spacing w:line="360" w:lineRule="auto"/>
              <w:jc w:val="center"/>
              <w:rPr>
                <w:rFonts w:ascii="黑体" w:hAnsi="黑体" w:eastAsia="黑体"/>
                <w:bCs/>
                <w:szCs w:val="21"/>
              </w:rPr>
            </w:pPr>
          </w:p>
        </w:tc>
        <w:tc>
          <w:tcPr>
            <w:tcW w:w="1014" w:type="dxa"/>
            <w:vAlign w:val="center"/>
          </w:tcPr>
          <w:p>
            <w:pPr>
              <w:spacing w:line="360" w:lineRule="auto"/>
              <w:jc w:val="center"/>
              <w:rPr>
                <w:rFonts w:ascii="黑体" w:hAnsi="黑体" w:eastAsia="黑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5240" w:type="dxa"/>
            <w:gridSpan w:val="2"/>
            <w:vAlign w:val="center"/>
          </w:tcPr>
          <w:p>
            <w:pPr>
              <w:spacing w:line="360" w:lineRule="auto"/>
              <w:jc w:val="center"/>
              <w:rPr>
                <w:rFonts w:ascii="黑体" w:hAnsi="黑体" w:eastAsia="黑体"/>
                <w:szCs w:val="21"/>
              </w:rPr>
            </w:pPr>
            <w:r>
              <w:rPr>
                <w:rFonts w:hint="eastAsia" w:ascii="黑体" w:hAnsi="黑体" w:eastAsia="黑体"/>
                <w:szCs w:val="21"/>
              </w:rPr>
              <w:t>结论</w:t>
            </w:r>
          </w:p>
        </w:tc>
        <w:tc>
          <w:tcPr>
            <w:tcW w:w="1134" w:type="dxa"/>
            <w:vAlign w:val="center"/>
          </w:tcPr>
          <w:p>
            <w:pPr>
              <w:spacing w:line="360" w:lineRule="auto"/>
              <w:jc w:val="center"/>
              <w:rPr>
                <w:rFonts w:ascii="黑体" w:hAnsi="黑体" w:eastAsia="黑体"/>
                <w:b/>
                <w:bCs/>
                <w:szCs w:val="21"/>
              </w:rPr>
            </w:pPr>
          </w:p>
        </w:tc>
        <w:tc>
          <w:tcPr>
            <w:tcW w:w="1134" w:type="dxa"/>
            <w:vAlign w:val="center"/>
          </w:tcPr>
          <w:p>
            <w:pPr>
              <w:spacing w:line="360" w:lineRule="auto"/>
              <w:jc w:val="center"/>
              <w:rPr>
                <w:rFonts w:ascii="黑体" w:hAnsi="黑体" w:eastAsia="黑体"/>
                <w:b/>
                <w:bCs/>
                <w:szCs w:val="21"/>
              </w:rPr>
            </w:pPr>
          </w:p>
        </w:tc>
        <w:tc>
          <w:tcPr>
            <w:tcW w:w="1014" w:type="dxa"/>
            <w:vAlign w:val="center"/>
          </w:tcPr>
          <w:p>
            <w:pPr>
              <w:spacing w:line="360" w:lineRule="auto"/>
              <w:jc w:val="center"/>
              <w:rPr>
                <w:rFonts w:ascii="黑体" w:hAnsi="黑体" w:eastAsia="黑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522" w:type="dxa"/>
            <w:gridSpan w:val="5"/>
            <w:vAlign w:val="center"/>
          </w:tcPr>
          <w:p>
            <w:pPr>
              <w:spacing w:line="360" w:lineRule="auto"/>
              <w:jc w:val="left"/>
              <w:rPr>
                <w:rFonts w:ascii="黑体" w:hAnsi="黑体" w:eastAsia="黑体"/>
                <w:bCs/>
                <w:szCs w:val="21"/>
              </w:rPr>
            </w:pPr>
            <w:r>
              <w:rPr>
                <w:rFonts w:hint="eastAsia" w:ascii="黑体" w:hAnsi="黑体" w:eastAsia="黑体"/>
                <w:bCs/>
                <w:szCs w:val="21"/>
              </w:rPr>
              <w:t>不通过原因说明：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522" w:type="dxa"/>
            <w:gridSpan w:val="5"/>
            <w:vAlign w:val="center"/>
          </w:tcPr>
          <w:p>
            <w:pPr>
              <w:spacing w:line="360" w:lineRule="auto"/>
              <w:jc w:val="left"/>
              <w:rPr>
                <w:rFonts w:ascii="黑体" w:hAnsi="黑体" w:eastAsia="黑体"/>
                <w:bCs/>
                <w:szCs w:val="21"/>
              </w:rPr>
            </w:pPr>
            <w:r>
              <w:rPr>
                <w:rFonts w:hint="eastAsia" w:ascii="黑体" w:hAnsi="黑体" w:eastAsia="黑体"/>
                <w:bCs/>
                <w:szCs w:val="21"/>
              </w:rPr>
              <w:t>评委签署：</w:t>
            </w:r>
          </w:p>
        </w:tc>
      </w:tr>
    </w:tbl>
    <w:p>
      <w:pPr>
        <w:pStyle w:val="30"/>
        <w:numPr>
          <w:ilvl w:val="0"/>
          <w:numId w:val="98"/>
        </w:numPr>
        <w:spacing w:before="156" w:beforeLines="50" w:line="360" w:lineRule="auto"/>
        <w:ind w:firstLineChars="0"/>
        <w:rPr>
          <w:rFonts w:ascii="黑体" w:hAnsi="黑体" w:eastAsia="黑体"/>
          <w:b/>
          <w:bCs/>
          <w:szCs w:val="21"/>
        </w:rPr>
      </w:pPr>
      <w:r>
        <w:rPr>
          <w:rFonts w:hint="eastAsia" w:ascii="黑体" w:hAnsi="黑体" w:eastAsia="黑体"/>
          <w:b/>
          <w:bCs/>
          <w:szCs w:val="21"/>
        </w:rPr>
        <w:t>注明：</w:t>
      </w:r>
    </w:p>
    <w:p>
      <w:pPr>
        <w:pStyle w:val="30"/>
        <w:numPr>
          <w:ilvl w:val="0"/>
          <w:numId w:val="99"/>
        </w:numPr>
        <w:spacing w:line="360" w:lineRule="auto"/>
        <w:ind w:firstLineChars="0"/>
        <w:rPr>
          <w:rFonts w:ascii="黑体" w:hAnsi="黑体" w:eastAsia="黑体"/>
          <w:bCs/>
          <w:szCs w:val="21"/>
        </w:rPr>
      </w:pPr>
      <w:r>
        <w:rPr>
          <w:rFonts w:hint="eastAsia" w:ascii="黑体" w:hAnsi="黑体" w:eastAsia="黑体"/>
          <w:bCs/>
          <w:szCs w:val="21"/>
        </w:rPr>
        <w:t>磋商小组对供应商是否满足要求逐条标注评审意见，“是”标记为“○”，“否”标记为“×”；</w:t>
      </w:r>
    </w:p>
    <w:p>
      <w:pPr>
        <w:pStyle w:val="30"/>
        <w:numPr>
          <w:ilvl w:val="0"/>
          <w:numId w:val="99"/>
        </w:numPr>
        <w:spacing w:line="360" w:lineRule="auto"/>
        <w:ind w:firstLineChars="0"/>
        <w:rPr>
          <w:rFonts w:ascii="黑体" w:hAnsi="黑体" w:eastAsia="黑体"/>
          <w:bCs/>
          <w:szCs w:val="21"/>
        </w:rPr>
      </w:pPr>
      <w:r>
        <w:rPr>
          <w:rFonts w:hint="eastAsia" w:ascii="黑体" w:hAnsi="黑体" w:eastAsia="黑体"/>
          <w:bCs/>
          <w:szCs w:val="21"/>
        </w:rPr>
        <w:t>评审结论栏统一填写为“通过”或“不通过”</w:t>
      </w:r>
      <w:r>
        <w:rPr>
          <w:rFonts w:ascii="黑体" w:hAnsi="黑体" w:eastAsia="黑体"/>
          <w:bCs/>
          <w:szCs w:val="21"/>
        </w:rPr>
        <w:t xml:space="preserve"> </w:t>
      </w:r>
      <w:r>
        <w:rPr>
          <w:rFonts w:hint="eastAsia" w:ascii="黑体" w:hAnsi="黑体" w:eastAsia="黑体"/>
          <w:bCs/>
          <w:szCs w:val="21"/>
        </w:rPr>
        <w:t>，出现一个“×”为“不通过”；</w:t>
      </w:r>
    </w:p>
    <w:p>
      <w:pPr>
        <w:pStyle w:val="30"/>
        <w:numPr>
          <w:ilvl w:val="0"/>
          <w:numId w:val="99"/>
        </w:numPr>
        <w:spacing w:line="360" w:lineRule="auto"/>
        <w:ind w:firstLineChars="0"/>
        <w:rPr>
          <w:rFonts w:ascii="黑体" w:hAnsi="黑体" w:eastAsia="黑体"/>
          <w:bCs/>
          <w:szCs w:val="21"/>
        </w:rPr>
      </w:pPr>
      <w:r>
        <w:rPr>
          <w:rFonts w:hint="eastAsia" w:ascii="黑体" w:hAnsi="黑体" w:eastAsia="黑体"/>
          <w:bCs/>
          <w:szCs w:val="21"/>
        </w:rPr>
        <w:t>对结论为“不通过”的磋商响应，要说明原因。</w:t>
      </w:r>
    </w:p>
    <w:p>
      <w:pPr>
        <w:pStyle w:val="30"/>
        <w:pageBreakBefore/>
        <w:numPr>
          <w:ilvl w:val="0"/>
          <w:numId w:val="97"/>
        </w:numPr>
        <w:spacing w:before="312" w:beforeLines="100" w:after="312" w:afterLines="100" w:line="360" w:lineRule="auto"/>
        <w:ind w:left="422" w:hanging="422" w:hangingChars="200"/>
        <w:rPr>
          <w:rFonts w:ascii="黑体" w:hAnsi="黑体" w:eastAsia="黑体"/>
          <w:b/>
          <w:bCs/>
          <w:szCs w:val="21"/>
        </w:rPr>
      </w:pPr>
      <w:r>
        <w:rPr>
          <w:rFonts w:hint="eastAsia" w:ascii="黑体" w:hAnsi="黑体" w:eastAsia="黑体"/>
          <w:b/>
          <w:bCs/>
          <w:szCs w:val="21"/>
        </w:rPr>
        <w:t>附表二</w:t>
      </w:r>
      <w:r>
        <w:rPr>
          <w:rFonts w:ascii="黑体" w:hAnsi="黑体" w:eastAsia="黑体"/>
          <w:b/>
          <w:bCs/>
          <w:szCs w:val="21"/>
        </w:rPr>
        <w:t xml:space="preserve">  详细评审表</w:t>
      </w:r>
      <w:r>
        <w:rPr>
          <w:rFonts w:hint="eastAsia" w:ascii="黑体" w:hAnsi="黑体" w:eastAsia="黑体"/>
          <w:b/>
          <w:bCs/>
          <w:szCs w:val="21"/>
        </w:rPr>
        <w:t>（含商务、技术评审细则）</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1131"/>
        <w:gridCol w:w="885"/>
        <w:gridCol w:w="6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09" w:type="pct"/>
            <w:vAlign w:val="center"/>
          </w:tcPr>
          <w:p>
            <w:pPr>
              <w:pStyle w:val="47"/>
              <w:spacing w:after="62" w:afterLines="20" w:line="360" w:lineRule="auto"/>
              <w:ind w:firstLine="0" w:firstLineChars="0"/>
              <w:jc w:val="center"/>
              <w:rPr>
                <w:rFonts w:ascii="黑体" w:hAnsi="黑体" w:eastAsia="黑体" w:cs="黑体"/>
                <w:b/>
                <w:sz w:val="21"/>
                <w:szCs w:val="21"/>
              </w:rPr>
            </w:pPr>
            <w:r>
              <w:rPr>
                <w:rFonts w:hint="eastAsia" w:ascii="黑体" w:hAnsi="黑体" w:eastAsia="黑体" w:cs="黑体"/>
                <w:b/>
                <w:sz w:val="21"/>
                <w:szCs w:val="21"/>
              </w:rPr>
              <w:t>序号</w:t>
            </w:r>
          </w:p>
        </w:tc>
        <w:tc>
          <w:tcPr>
            <w:tcW w:w="625" w:type="pct"/>
            <w:vAlign w:val="center"/>
          </w:tcPr>
          <w:p>
            <w:pPr>
              <w:pStyle w:val="47"/>
              <w:spacing w:after="62" w:afterLines="20" w:line="360" w:lineRule="auto"/>
              <w:ind w:firstLine="0" w:firstLineChars="0"/>
              <w:jc w:val="center"/>
              <w:rPr>
                <w:rFonts w:ascii="黑体" w:hAnsi="黑体" w:eastAsia="黑体" w:cs="黑体"/>
                <w:b/>
                <w:sz w:val="21"/>
                <w:szCs w:val="21"/>
              </w:rPr>
            </w:pPr>
            <w:r>
              <w:rPr>
                <w:rFonts w:hint="eastAsia" w:ascii="黑体" w:hAnsi="黑体" w:eastAsia="黑体" w:cs="黑体"/>
                <w:b/>
                <w:sz w:val="21"/>
                <w:szCs w:val="21"/>
              </w:rPr>
              <w:t>评分内容</w:t>
            </w:r>
          </w:p>
        </w:tc>
        <w:tc>
          <w:tcPr>
            <w:tcW w:w="489" w:type="pct"/>
            <w:vAlign w:val="center"/>
          </w:tcPr>
          <w:p>
            <w:pPr>
              <w:pStyle w:val="47"/>
              <w:spacing w:after="62" w:afterLines="20" w:line="360" w:lineRule="auto"/>
              <w:ind w:firstLine="0" w:firstLineChars="0"/>
              <w:jc w:val="center"/>
              <w:rPr>
                <w:rFonts w:ascii="黑体" w:hAnsi="黑体" w:eastAsia="黑体" w:cs="黑体"/>
                <w:b/>
                <w:sz w:val="21"/>
                <w:szCs w:val="21"/>
              </w:rPr>
            </w:pPr>
            <w:r>
              <w:rPr>
                <w:rFonts w:hint="eastAsia" w:ascii="黑体" w:hAnsi="黑体" w:eastAsia="黑体" w:cs="黑体"/>
                <w:b/>
                <w:sz w:val="21"/>
                <w:szCs w:val="21"/>
              </w:rPr>
              <w:t>分值</w:t>
            </w:r>
          </w:p>
        </w:tc>
        <w:tc>
          <w:tcPr>
            <w:tcW w:w="3476" w:type="pct"/>
            <w:vAlign w:val="center"/>
          </w:tcPr>
          <w:p>
            <w:pPr>
              <w:pStyle w:val="47"/>
              <w:spacing w:after="62" w:afterLines="20" w:line="360" w:lineRule="auto"/>
              <w:ind w:firstLine="0" w:firstLineChars="0"/>
              <w:jc w:val="center"/>
              <w:rPr>
                <w:rFonts w:ascii="黑体" w:hAnsi="黑体" w:eastAsia="黑体" w:cs="黑体"/>
                <w:b/>
                <w:sz w:val="21"/>
                <w:szCs w:val="21"/>
              </w:rPr>
            </w:pPr>
            <w:r>
              <w:rPr>
                <w:rFonts w:hint="eastAsia" w:ascii="黑体" w:hAnsi="黑体" w:eastAsia="黑体" w:cs="黑体"/>
                <w:b/>
                <w:sz w:val="21"/>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pPr>
              <w:pStyle w:val="47"/>
              <w:spacing w:after="62" w:afterLines="20" w:line="360" w:lineRule="auto"/>
              <w:ind w:firstLine="0" w:firstLineChars="0"/>
              <w:jc w:val="center"/>
              <w:rPr>
                <w:rFonts w:ascii="黑体" w:hAnsi="黑体" w:eastAsia="黑体" w:cs="黑体"/>
                <w:b/>
                <w:sz w:val="21"/>
                <w:szCs w:val="21"/>
              </w:rPr>
            </w:pPr>
            <w:r>
              <w:rPr>
                <w:rFonts w:hint="eastAsia" w:ascii="黑体" w:hAnsi="黑体" w:eastAsia="黑体" w:cs="黑体"/>
                <w:b/>
                <w:sz w:val="21"/>
                <w:szCs w:val="21"/>
              </w:rPr>
              <w:t>商务评审细则（35分）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09" w:type="pct"/>
            <w:vAlign w:val="center"/>
          </w:tcPr>
          <w:p>
            <w:pPr>
              <w:spacing w:before="31" w:beforeLines="10" w:line="360" w:lineRule="auto"/>
              <w:jc w:val="center"/>
              <w:rPr>
                <w:rFonts w:ascii="黑体" w:hAnsi="黑体" w:eastAsia="黑体" w:cs="黑体"/>
                <w:szCs w:val="21"/>
              </w:rPr>
            </w:pPr>
            <w:r>
              <w:rPr>
                <w:rFonts w:hint="eastAsia" w:ascii="黑体" w:hAnsi="黑体" w:eastAsia="黑体" w:cs="黑体"/>
                <w:szCs w:val="21"/>
              </w:rPr>
              <w:t>1</w:t>
            </w:r>
          </w:p>
        </w:tc>
        <w:tc>
          <w:tcPr>
            <w:tcW w:w="625" w:type="pct"/>
            <w:vAlign w:val="center"/>
          </w:tcPr>
          <w:p>
            <w:pPr>
              <w:spacing w:before="31" w:beforeLines="10" w:line="360" w:lineRule="auto"/>
              <w:jc w:val="center"/>
              <w:rPr>
                <w:rFonts w:ascii="黑体" w:hAnsi="黑体" w:eastAsia="黑体" w:cs="黑体"/>
                <w:bCs/>
                <w:szCs w:val="21"/>
              </w:rPr>
            </w:pPr>
            <w:r>
              <w:rPr>
                <w:rFonts w:hint="eastAsia" w:ascii="黑体" w:hAnsi="黑体" w:eastAsia="黑体" w:cs="黑体"/>
                <w:szCs w:val="21"/>
              </w:rPr>
              <w:t>业绩情况</w:t>
            </w:r>
          </w:p>
        </w:tc>
        <w:tc>
          <w:tcPr>
            <w:tcW w:w="489" w:type="pct"/>
            <w:vAlign w:val="center"/>
          </w:tcPr>
          <w:p>
            <w:pPr>
              <w:widowControl/>
              <w:spacing w:before="31" w:beforeLines="10" w:line="360" w:lineRule="auto"/>
              <w:jc w:val="center"/>
              <w:rPr>
                <w:rFonts w:ascii="黑体" w:hAnsi="黑体" w:eastAsia="黑体" w:cs="黑体"/>
                <w:bCs/>
                <w:szCs w:val="21"/>
              </w:rPr>
            </w:pPr>
            <w:r>
              <w:rPr>
                <w:rFonts w:hint="eastAsia" w:ascii="黑体" w:hAnsi="黑体" w:eastAsia="黑体" w:cs="黑体"/>
                <w:szCs w:val="21"/>
              </w:rPr>
              <w:t>30分</w:t>
            </w:r>
          </w:p>
        </w:tc>
        <w:tc>
          <w:tcPr>
            <w:tcW w:w="3476" w:type="pct"/>
            <w:vAlign w:val="center"/>
          </w:tcPr>
          <w:p>
            <w:pPr>
              <w:spacing w:before="31" w:beforeLines="10" w:line="360" w:lineRule="auto"/>
              <w:rPr>
                <w:rFonts w:ascii="黑体" w:hAnsi="黑体" w:eastAsia="黑体" w:cs="黑体"/>
                <w:szCs w:val="21"/>
              </w:rPr>
            </w:pPr>
            <w:r>
              <w:rPr>
                <w:rFonts w:hint="eastAsia" w:ascii="黑体" w:hAnsi="黑体" w:eastAsia="黑体" w:cs="黑体"/>
                <w:szCs w:val="21"/>
              </w:rPr>
              <w:t>根据2020年1月1日（以签订合同时间为准）以来供应商来具有</w:t>
            </w:r>
            <w:r>
              <w:rPr>
                <w:rFonts w:hint="eastAsia" w:ascii="黑体" w:hAnsi="黑体" w:eastAsia="黑体" w:cs="黑体"/>
                <w:szCs w:val="21"/>
                <w:lang w:eastAsia="zh-CN"/>
              </w:rPr>
              <w:t>（</w:t>
            </w:r>
            <w:r>
              <w:rPr>
                <w:rFonts w:hint="eastAsia" w:ascii="黑体" w:hAnsi="黑体" w:eastAsia="黑体" w:cs="黑体"/>
                <w:szCs w:val="21"/>
              </w:rPr>
              <w:t>公共卫生项目巡诊箱采购/租赁</w:t>
            </w:r>
            <w:r>
              <w:rPr>
                <w:rFonts w:hint="eastAsia" w:ascii="黑体" w:hAnsi="黑体" w:eastAsia="黑体" w:cs="黑体"/>
                <w:szCs w:val="21"/>
                <w:lang w:eastAsia="zh-CN"/>
              </w:rPr>
              <w:t>）</w:t>
            </w:r>
            <w:r>
              <w:rPr>
                <w:rFonts w:hint="eastAsia" w:ascii="黑体" w:hAnsi="黑体" w:eastAsia="黑体" w:cs="黑体"/>
                <w:szCs w:val="21"/>
              </w:rPr>
              <w:t xml:space="preserve">或医疗设备租赁项目业绩进行评审，每提供一项得3分，本项最高得30分。 </w:t>
            </w:r>
          </w:p>
          <w:p>
            <w:pPr>
              <w:spacing w:before="31" w:beforeLines="10" w:line="360" w:lineRule="auto"/>
              <w:rPr>
                <w:rFonts w:ascii="黑体" w:hAnsi="黑体" w:eastAsia="黑体" w:cs="黑体"/>
                <w:b/>
                <w:bCs/>
                <w:szCs w:val="21"/>
                <w:u w:val="single"/>
              </w:rPr>
            </w:pPr>
            <w:r>
              <w:rPr>
                <w:rFonts w:hint="eastAsia" w:ascii="黑体" w:hAnsi="黑体" w:eastAsia="黑体" w:cs="黑体"/>
                <w:b/>
                <w:szCs w:val="21"/>
                <w:u w:val="single"/>
              </w:rPr>
              <w:t>注：须提供合同复印件加盖供应商公章。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09" w:type="pct"/>
            <w:vAlign w:val="center"/>
          </w:tcPr>
          <w:p>
            <w:pPr>
              <w:spacing w:before="31" w:beforeLines="10" w:line="360" w:lineRule="auto"/>
              <w:jc w:val="center"/>
              <w:rPr>
                <w:rFonts w:ascii="黑体" w:hAnsi="黑体" w:eastAsia="黑体" w:cs="黑体"/>
                <w:szCs w:val="21"/>
              </w:rPr>
            </w:pPr>
            <w:r>
              <w:rPr>
                <w:rFonts w:hint="eastAsia" w:ascii="黑体" w:hAnsi="黑体" w:eastAsia="黑体" w:cs="黑体"/>
                <w:szCs w:val="21"/>
              </w:rPr>
              <w:t>2</w:t>
            </w:r>
          </w:p>
        </w:tc>
        <w:tc>
          <w:tcPr>
            <w:tcW w:w="625" w:type="pct"/>
            <w:vAlign w:val="center"/>
          </w:tcPr>
          <w:p>
            <w:pPr>
              <w:spacing w:before="31" w:beforeLines="10" w:line="360" w:lineRule="auto"/>
              <w:jc w:val="center"/>
              <w:rPr>
                <w:rFonts w:ascii="黑体" w:hAnsi="黑体" w:eastAsia="黑体" w:cs="黑体"/>
                <w:bCs/>
                <w:szCs w:val="21"/>
              </w:rPr>
            </w:pPr>
            <w:r>
              <w:rPr>
                <w:rFonts w:hint="eastAsia" w:ascii="黑体" w:hAnsi="黑体" w:eastAsia="黑体" w:cs="黑体"/>
                <w:bCs/>
                <w:szCs w:val="21"/>
              </w:rPr>
              <w:t>服务响应时间</w:t>
            </w:r>
          </w:p>
        </w:tc>
        <w:tc>
          <w:tcPr>
            <w:tcW w:w="489" w:type="pct"/>
            <w:vAlign w:val="center"/>
          </w:tcPr>
          <w:p>
            <w:pPr>
              <w:widowControl/>
              <w:spacing w:before="31" w:beforeLines="10" w:line="360" w:lineRule="auto"/>
              <w:jc w:val="center"/>
              <w:rPr>
                <w:rFonts w:ascii="黑体" w:hAnsi="黑体" w:eastAsia="黑体" w:cs="黑体"/>
                <w:bCs/>
                <w:szCs w:val="21"/>
              </w:rPr>
            </w:pPr>
            <w:r>
              <w:rPr>
                <w:rFonts w:hint="eastAsia" w:ascii="黑体" w:hAnsi="黑体" w:eastAsia="黑体" w:cs="黑体"/>
                <w:szCs w:val="21"/>
              </w:rPr>
              <w:t>5分</w:t>
            </w:r>
          </w:p>
        </w:tc>
        <w:tc>
          <w:tcPr>
            <w:tcW w:w="3476" w:type="pct"/>
            <w:vAlign w:val="center"/>
          </w:tcPr>
          <w:p>
            <w:pPr>
              <w:spacing w:line="360" w:lineRule="auto"/>
              <w:rPr>
                <w:rFonts w:ascii="黑体" w:hAnsi="黑体" w:eastAsia="黑体" w:cs="黑体"/>
                <w:bCs/>
                <w:szCs w:val="21"/>
              </w:rPr>
            </w:pPr>
            <w:r>
              <w:rPr>
                <w:rFonts w:hint="eastAsia" w:ascii="黑体" w:hAnsi="黑体" w:eastAsia="黑体" w:cs="黑体"/>
                <w:bCs/>
                <w:szCs w:val="21"/>
              </w:rPr>
              <w:t>根据供应商提供的服务响应时间承诺进行评审：</w:t>
            </w:r>
          </w:p>
          <w:p>
            <w:pPr>
              <w:numPr>
                <w:ilvl w:val="0"/>
                <w:numId w:val="100"/>
              </w:numPr>
              <w:spacing w:line="360" w:lineRule="auto"/>
              <w:rPr>
                <w:rFonts w:ascii="黑体" w:hAnsi="黑体" w:eastAsia="黑体" w:cs="黑体"/>
                <w:bCs/>
                <w:szCs w:val="21"/>
              </w:rPr>
            </w:pPr>
            <w:r>
              <w:rPr>
                <w:rFonts w:hint="eastAsia" w:ascii="黑体" w:hAnsi="黑体" w:eastAsia="黑体" w:cs="黑体"/>
                <w:bCs/>
                <w:szCs w:val="21"/>
              </w:rPr>
              <w:t>供应商承诺在接到采购人通知后1小时内到现场，得5分；</w:t>
            </w:r>
          </w:p>
          <w:p>
            <w:pPr>
              <w:numPr>
                <w:ilvl w:val="0"/>
                <w:numId w:val="100"/>
              </w:numPr>
              <w:spacing w:line="360" w:lineRule="auto"/>
              <w:rPr>
                <w:rFonts w:ascii="黑体" w:hAnsi="黑体" w:eastAsia="黑体" w:cs="黑体"/>
                <w:bCs/>
                <w:szCs w:val="21"/>
              </w:rPr>
            </w:pPr>
            <w:r>
              <w:rPr>
                <w:rFonts w:hint="eastAsia" w:ascii="黑体" w:hAnsi="黑体" w:eastAsia="黑体" w:cs="黑体"/>
                <w:bCs/>
                <w:szCs w:val="21"/>
              </w:rPr>
              <w:t>供应商承诺在接到采购人通知后2小时内到现场，得3分；</w:t>
            </w:r>
          </w:p>
          <w:p>
            <w:pPr>
              <w:numPr>
                <w:ilvl w:val="0"/>
                <w:numId w:val="100"/>
              </w:numPr>
              <w:spacing w:line="360" w:lineRule="auto"/>
              <w:rPr>
                <w:rFonts w:ascii="黑体" w:hAnsi="黑体" w:eastAsia="黑体" w:cs="黑体"/>
                <w:bCs/>
                <w:szCs w:val="21"/>
              </w:rPr>
            </w:pPr>
            <w:r>
              <w:rPr>
                <w:rFonts w:hint="eastAsia" w:ascii="黑体" w:hAnsi="黑体" w:eastAsia="黑体" w:cs="黑体"/>
                <w:bCs/>
                <w:szCs w:val="21"/>
              </w:rPr>
              <w:t>供应商承诺在接到采购人通知后3小时内到现场，得1分；</w:t>
            </w:r>
          </w:p>
          <w:p>
            <w:pPr>
              <w:numPr>
                <w:ilvl w:val="0"/>
                <w:numId w:val="100"/>
              </w:numPr>
              <w:spacing w:line="360" w:lineRule="auto"/>
              <w:rPr>
                <w:rFonts w:ascii="黑体" w:hAnsi="黑体" w:eastAsia="黑体" w:cs="黑体"/>
                <w:bCs/>
                <w:szCs w:val="21"/>
              </w:rPr>
            </w:pPr>
            <w:r>
              <w:rPr>
                <w:rFonts w:hint="eastAsia" w:ascii="黑体" w:hAnsi="黑体" w:eastAsia="黑体" w:cs="黑体"/>
                <w:bCs/>
                <w:szCs w:val="21"/>
              </w:rPr>
              <w:t>其他情况的不得分。</w:t>
            </w:r>
          </w:p>
          <w:p>
            <w:pPr>
              <w:spacing w:before="31" w:beforeLines="10" w:line="360" w:lineRule="auto"/>
              <w:rPr>
                <w:rFonts w:ascii="黑体" w:hAnsi="黑体" w:eastAsia="黑体" w:cs="黑体"/>
                <w:b/>
                <w:bCs/>
                <w:szCs w:val="21"/>
                <w:u w:val="single"/>
              </w:rPr>
            </w:pPr>
            <w:r>
              <w:rPr>
                <w:rFonts w:hint="eastAsia" w:ascii="黑体" w:hAnsi="黑体" w:eastAsia="黑体" w:cs="黑体"/>
                <w:b/>
                <w:bCs/>
                <w:szCs w:val="21"/>
                <w:u w:val="single"/>
              </w:rPr>
              <w:t>注：须提供单独的服务承诺书（格式自拟）加盖供应商公章。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pPr>
              <w:pStyle w:val="47"/>
              <w:spacing w:after="62" w:afterLines="20" w:line="360" w:lineRule="auto"/>
              <w:ind w:firstLine="0" w:firstLineChars="0"/>
              <w:jc w:val="center"/>
              <w:rPr>
                <w:rFonts w:ascii="黑体" w:hAnsi="黑体" w:eastAsia="黑体" w:cs="黑体"/>
              </w:rPr>
            </w:pPr>
            <w:r>
              <w:rPr>
                <w:rFonts w:hint="eastAsia" w:ascii="黑体" w:hAnsi="黑体" w:eastAsia="黑体" w:cs="黑体"/>
                <w:b/>
                <w:sz w:val="21"/>
                <w:szCs w:val="21"/>
              </w:rPr>
              <w:t>技术评审细则（55分）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409" w:type="pct"/>
            <w:vAlign w:val="center"/>
          </w:tcPr>
          <w:p>
            <w:pPr>
              <w:spacing w:before="31" w:beforeLines="10" w:line="360" w:lineRule="auto"/>
              <w:jc w:val="center"/>
              <w:rPr>
                <w:rFonts w:ascii="黑体" w:hAnsi="黑体" w:eastAsia="黑体" w:cs="黑体"/>
                <w:szCs w:val="21"/>
              </w:rPr>
            </w:pPr>
            <w:r>
              <w:rPr>
                <w:rFonts w:hint="eastAsia" w:ascii="黑体" w:hAnsi="黑体" w:eastAsia="黑体" w:cs="黑体"/>
                <w:szCs w:val="21"/>
              </w:rPr>
              <w:t>1</w:t>
            </w:r>
          </w:p>
        </w:tc>
        <w:tc>
          <w:tcPr>
            <w:tcW w:w="625" w:type="pct"/>
            <w:vAlign w:val="center"/>
          </w:tcPr>
          <w:p>
            <w:pPr>
              <w:spacing w:before="31" w:beforeLines="10" w:line="360" w:lineRule="auto"/>
              <w:jc w:val="center"/>
              <w:rPr>
                <w:rFonts w:ascii="黑体" w:hAnsi="黑体" w:eastAsia="黑体" w:cs="黑体"/>
                <w:szCs w:val="21"/>
              </w:rPr>
            </w:pPr>
            <w:r>
              <w:rPr>
                <w:rFonts w:hint="eastAsia" w:ascii="黑体" w:hAnsi="黑体" w:eastAsia="黑体" w:cs="黑体"/>
                <w:szCs w:val="21"/>
              </w:rPr>
              <w:t>采购需求响应情况</w:t>
            </w:r>
          </w:p>
        </w:tc>
        <w:tc>
          <w:tcPr>
            <w:tcW w:w="489" w:type="pct"/>
            <w:vAlign w:val="center"/>
          </w:tcPr>
          <w:p>
            <w:pPr>
              <w:widowControl/>
              <w:spacing w:before="31" w:beforeLines="10" w:line="360" w:lineRule="auto"/>
              <w:jc w:val="center"/>
              <w:rPr>
                <w:rFonts w:ascii="黑体" w:hAnsi="黑体" w:eastAsia="黑体" w:cs="黑体"/>
                <w:szCs w:val="21"/>
              </w:rPr>
            </w:pPr>
            <w:r>
              <w:rPr>
                <w:rFonts w:hint="eastAsia" w:ascii="黑体" w:hAnsi="黑体" w:eastAsia="黑体" w:cs="黑体"/>
                <w:szCs w:val="21"/>
              </w:rPr>
              <w:t>6分</w:t>
            </w:r>
          </w:p>
        </w:tc>
        <w:tc>
          <w:tcPr>
            <w:tcW w:w="3476" w:type="pct"/>
            <w:vAlign w:val="center"/>
          </w:tcPr>
          <w:p>
            <w:pPr>
              <w:pStyle w:val="47"/>
              <w:spacing w:line="360" w:lineRule="auto"/>
              <w:ind w:firstLine="0" w:firstLineChars="0"/>
              <w:jc w:val="left"/>
              <w:rPr>
                <w:rFonts w:ascii="黑体" w:hAnsi="黑体" w:eastAsia="黑体" w:cs="黑体"/>
                <w:sz w:val="21"/>
                <w:szCs w:val="21"/>
              </w:rPr>
            </w:pPr>
            <w:r>
              <w:rPr>
                <w:rFonts w:hint="eastAsia" w:ascii="黑体" w:hAnsi="黑体" w:eastAsia="黑体" w:cs="黑体"/>
                <w:sz w:val="21"/>
                <w:szCs w:val="21"/>
              </w:rPr>
              <w:t>根据供应商对采购需求书中带“▲”技术要求条款的技术指标全部满足的得6分，其中“▲”采购需求参数指标不满足或者不响应的每一个扣</w:t>
            </w:r>
            <w:r>
              <w:rPr>
                <w:rFonts w:hint="eastAsia" w:ascii="黑体" w:hAnsi="黑体" w:eastAsia="黑体" w:cs="黑体"/>
                <w:sz w:val="21"/>
                <w:szCs w:val="21"/>
                <w:lang w:val="en-US" w:eastAsia="zh-CN"/>
              </w:rPr>
              <w:t>2</w:t>
            </w:r>
            <w:r>
              <w:rPr>
                <w:rFonts w:hint="eastAsia" w:ascii="黑体" w:hAnsi="黑体" w:eastAsia="黑体" w:cs="黑体"/>
                <w:sz w:val="21"/>
                <w:szCs w:val="21"/>
              </w:rPr>
              <w:t>分，扣完</w:t>
            </w:r>
            <w:bookmarkStart w:id="249" w:name="_GoBack"/>
            <w:bookmarkEnd w:id="249"/>
            <w:r>
              <w:rPr>
                <w:rFonts w:hint="eastAsia" w:ascii="黑体" w:hAnsi="黑体" w:eastAsia="黑体" w:cs="黑体"/>
                <w:sz w:val="21"/>
                <w:szCs w:val="21"/>
              </w:rPr>
              <w:t>为止。</w:t>
            </w:r>
          </w:p>
          <w:p>
            <w:pPr>
              <w:spacing w:before="31" w:beforeLines="10" w:line="360" w:lineRule="auto"/>
              <w:jc w:val="left"/>
              <w:rPr>
                <w:rFonts w:ascii="黑体" w:hAnsi="黑体" w:eastAsia="黑体" w:cs="黑体"/>
                <w:szCs w:val="21"/>
              </w:rPr>
            </w:pPr>
            <w:r>
              <w:rPr>
                <w:rFonts w:hint="eastAsia" w:ascii="黑体" w:hAnsi="黑体" w:eastAsia="黑体" w:cs="黑体"/>
                <w:b/>
                <w:szCs w:val="21"/>
                <w:u w:val="single"/>
              </w:rPr>
              <w:t>注：采购需求要求提供证明资料的，则响应文件中须提供对应要求的证明资料；采购需求未要求提供证明资料的，则响应文件中须提供所投产品彩页或原厂商的官方技术白皮书或原厂商所作的技术参数说明等详细技术资料加盖供应商公章，未提供证明材料的视为不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409" w:type="pct"/>
            <w:vAlign w:val="center"/>
          </w:tcPr>
          <w:p>
            <w:pPr>
              <w:spacing w:before="31" w:beforeLines="10" w:line="360" w:lineRule="auto"/>
              <w:jc w:val="center"/>
              <w:rPr>
                <w:rFonts w:ascii="黑体" w:hAnsi="黑体" w:eastAsia="黑体" w:cs="黑体"/>
                <w:szCs w:val="21"/>
              </w:rPr>
            </w:pPr>
            <w:r>
              <w:rPr>
                <w:rFonts w:hint="eastAsia" w:ascii="黑体" w:hAnsi="黑体" w:eastAsia="黑体" w:cs="黑体"/>
                <w:szCs w:val="21"/>
              </w:rPr>
              <w:t>2</w:t>
            </w:r>
          </w:p>
        </w:tc>
        <w:tc>
          <w:tcPr>
            <w:tcW w:w="625" w:type="pct"/>
            <w:vAlign w:val="center"/>
          </w:tcPr>
          <w:p>
            <w:pPr>
              <w:spacing w:before="31" w:beforeLines="10" w:after="30" w:line="360" w:lineRule="auto"/>
              <w:jc w:val="center"/>
              <w:rPr>
                <w:rFonts w:ascii="黑体" w:hAnsi="黑体" w:eastAsia="黑体" w:cs="黑体"/>
                <w:szCs w:val="21"/>
              </w:rPr>
            </w:pPr>
            <w:r>
              <w:rPr>
                <w:rFonts w:hint="eastAsia" w:ascii="黑体" w:hAnsi="黑体" w:eastAsia="黑体" w:cs="黑体"/>
                <w:szCs w:val="21"/>
              </w:rPr>
              <w:t>对本项目采购需求理解程度</w:t>
            </w:r>
          </w:p>
        </w:tc>
        <w:tc>
          <w:tcPr>
            <w:tcW w:w="489" w:type="pct"/>
            <w:vAlign w:val="center"/>
          </w:tcPr>
          <w:p>
            <w:pPr>
              <w:widowControl/>
              <w:spacing w:before="31" w:beforeLines="10" w:after="30" w:line="360" w:lineRule="auto"/>
              <w:jc w:val="center"/>
              <w:rPr>
                <w:rFonts w:ascii="黑体" w:hAnsi="黑体" w:eastAsia="黑体" w:cs="黑体"/>
                <w:szCs w:val="21"/>
              </w:rPr>
            </w:pPr>
            <w:r>
              <w:rPr>
                <w:rFonts w:hint="eastAsia" w:ascii="黑体" w:hAnsi="黑体" w:eastAsia="黑体" w:cs="黑体"/>
                <w:szCs w:val="21"/>
              </w:rPr>
              <w:t>12分</w:t>
            </w:r>
          </w:p>
        </w:tc>
        <w:tc>
          <w:tcPr>
            <w:tcW w:w="3476" w:type="pct"/>
            <w:vAlign w:val="center"/>
          </w:tcPr>
          <w:p>
            <w:pPr>
              <w:spacing w:before="31" w:beforeLines="10" w:after="30" w:line="360" w:lineRule="auto"/>
              <w:jc w:val="left"/>
              <w:rPr>
                <w:rFonts w:ascii="黑体" w:hAnsi="黑体" w:eastAsia="黑体" w:cs="黑体"/>
                <w:szCs w:val="21"/>
              </w:rPr>
            </w:pPr>
            <w:r>
              <w:rPr>
                <w:rFonts w:hint="eastAsia" w:ascii="黑体" w:hAnsi="黑体" w:eastAsia="黑体" w:cs="黑体"/>
                <w:szCs w:val="21"/>
              </w:rPr>
              <w:t>根据供应商对本项目采购需求的理解程度，重点难点的分析进行评审：</w:t>
            </w:r>
          </w:p>
          <w:p>
            <w:pPr>
              <w:numPr>
                <w:ilvl w:val="0"/>
                <w:numId w:val="101"/>
              </w:numPr>
              <w:spacing w:before="31" w:beforeLines="10" w:after="30" w:line="360" w:lineRule="auto"/>
              <w:jc w:val="left"/>
              <w:rPr>
                <w:rFonts w:ascii="黑体" w:hAnsi="黑体" w:eastAsia="黑体" w:cs="黑体"/>
                <w:szCs w:val="21"/>
              </w:rPr>
            </w:pPr>
            <w:r>
              <w:rPr>
                <w:rFonts w:hint="eastAsia" w:ascii="黑体" w:hAnsi="黑体" w:eastAsia="黑体" w:cs="黑体"/>
                <w:szCs w:val="21"/>
              </w:rPr>
              <w:t>对磋商文件采购需求理解非常透彻；对项目重点难点的理解十分到位，提出的重点难点有利于项目实施，十分满足采购需求的，得12分；</w:t>
            </w:r>
          </w:p>
          <w:p>
            <w:pPr>
              <w:numPr>
                <w:ilvl w:val="0"/>
                <w:numId w:val="101"/>
              </w:numPr>
              <w:spacing w:before="31" w:beforeLines="10" w:after="30" w:line="360" w:lineRule="auto"/>
              <w:jc w:val="left"/>
              <w:rPr>
                <w:rFonts w:ascii="黑体" w:hAnsi="黑体" w:eastAsia="黑体" w:cs="黑体"/>
                <w:szCs w:val="21"/>
              </w:rPr>
            </w:pPr>
            <w:r>
              <w:rPr>
                <w:rFonts w:hint="eastAsia" w:ascii="黑体" w:hAnsi="黑体" w:eastAsia="黑体" w:cs="黑体"/>
                <w:szCs w:val="21"/>
              </w:rPr>
              <w:t>对磋商文件采购需求理解比较透彻，符合项目实际情况，对项目重点难点的理解分析比较到位，提出的重点难点利于项目实施，基本满足采购需求的，得9分；</w:t>
            </w:r>
          </w:p>
          <w:p>
            <w:pPr>
              <w:numPr>
                <w:ilvl w:val="0"/>
                <w:numId w:val="101"/>
              </w:numPr>
              <w:spacing w:before="31" w:beforeLines="10" w:after="30" w:line="360" w:lineRule="auto"/>
              <w:jc w:val="left"/>
              <w:rPr>
                <w:rFonts w:ascii="黑体" w:hAnsi="黑体" w:eastAsia="黑体" w:cs="黑体"/>
                <w:szCs w:val="21"/>
              </w:rPr>
            </w:pPr>
            <w:r>
              <w:rPr>
                <w:rFonts w:hint="eastAsia" w:ascii="黑体" w:hAnsi="黑体" w:eastAsia="黑体" w:cs="黑体"/>
                <w:szCs w:val="21"/>
              </w:rPr>
              <w:t>对磋商文件采购需求理解基本符合项目实际情况，对项目重点难点的理解分析基本到位，基本符合采购需求的，得6分；</w:t>
            </w:r>
          </w:p>
          <w:p>
            <w:pPr>
              <w:numPr>
                <w:ilvl w:val="0"/>
                <w:numId w:val="101"/>
              </w:numPr>
              <w:spacing w:before="31" w:beforeLines="10" w:after="30" w:line="360" w:lineRule="auto"/>
              <w:jc w:val="left"/>
              <w:rPr>
                <w:rFonts w:ascii="黑体" w:hAnsi="黑体" w:eastAsia="黑体" w:cs="黑体"/>
                <w:szCs w:val="21"/>
              </w:rPr>
            </w:pPr>
            <w:r>
              <w:rPr>
                <w:rFonts w:hint="eastAsia" w:ascii="黑体" w:hAnsi="黑体" w:eastAsia="黑体" w:cs="黑体"/>
                <w:szCs w:val="21"/>
              </w:rPr>
              <w:t>对磋商文件采购需求理解基本符合项目实际情况，对项目重点难点的理解分析不够到位，比较不符合采购需求的，得3分；</w:t>
            </w:r>
          </w:p>
          <w:p>
            <w:pPr>
              <w:numPr>
                <w:ilvl w:val="0"/>
                <w:numId w:val="101"/>
              </w:numPr>
              <w:spacing w:before="31" w:beforeLines="10" w:after="30" w:line="360" w:lineRule="auto"/>
              <w:jc w:val="left"/>
              <w:rPr>
                <w:rFonts w:ascii="黑体" w:hAnsi="黑体" w:eastAsia="黑体" w:cs="黑体"/>
                <w:szCs w:val="21"/>
                <w:u w:val="single"/>
              </w:rPr>
            </w:pPr>
            <w:r>
              <w:rPr>
                <w:rFonts w:hint="eastAsia" w:ascii="黑体" w:hAnsi="黑体" w:eastAsia="黑体" w:cs="黑体"/>
                <w:szCs w:val="21"/>
              </w:rPr>
              <w:t>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09" w:type="pct"/>
            <w:vAlign w:val="center"/>
          </w:tcPr>
          <w:p>
            <w:pPr>
              <w:spacing w:before="31" w:beforeLines="10" w:after="93" w:afterLines="30" w:line="360" w:lineRule="auto"/>
              <w:jc w:val="center"/>
              <w:rPr>
                <w:rFonts w:ascii="黑体" w:hAnsi="黑体" w:eastAsia="黑体" w:cs="黑体"/>
                <w:szCs w:val="21"/>
              </w:rPr>
            </w:pPr>
            <w:r>
              <w:rPr>
                <w:rFonts w:hint="eastAsia" w:ascii="黑体" w:hAnsi="黑体" w:eastAsia="黑体" w:cs="黑体"/>
                <w:szCs w:val="21"/>
              </w:rPr>
              <w:t>3</w:t>
            </w:r>
          </w:p>
        </w:tc>
        <w:tc>
          <w:tcPr>
            <w:tcW w:w="625" w:type="pct"/>
            <w:vAlign w:val="center"/>
          </w:tcPr>
          <w:p>
            <w:pPr>
              <w:spacing w:before="31" w:beforeLines="10" w:line="360" w:lineRule="auto"/>
              <w:jc w:val="center"/>
              <w:rPr>
                <w:rFonts w:ascii="黑体" w:hAnsi="黑体" w:eastAsia="黑体" w:cs="黑体"/>
                <w:szCs w:val="21"/>
              </w:rPr>
            </w:pPr>
            <w:r>
              <w:rPr>
                <w:rFonts w:hint="eastAsia" w:ascii="黑体" w:hAnsi="黑体" w:eastAsia="黑体" w:cs="黑体"/>
                <w:szCs w:val="21"/>
              </w:rPr>
              <w:t>项目实施方案</w:t>
            </w:r>
          </w:p>
        </w:tc>
        <w:tc>
          <w:tcPr>
            <w:tcW w:w="489" w:type="pct"/>
            <w:vAlign w:val="center"/>
          </w:tcPr>
          <w:p>
            <w:pPr>
              <w:widowControl/>
              <w:spacing w:before="31" w:beforeLines="10" w:line="360" w:lineRule="auto"/>
              <w:jc w:val="center"/>
              <w:rPr>
                <w:rFonts w:ascii="黑体" w:hAnsi="黑体" w:eastAsia="黑体" w:cs="黑体"/>
                <w:szCs w:val="21"/>
              </w:rPr>
            </w:pPr>
            <w:r>
              <w:rPr>
                <w:rFonts w:hint="eastAsia" w:ascii="黑体" w:hAnsi="黑体" w:eastAsia="黑体" w:cs="黑体"/>
                <w:szCs w:val="21"/>
              </w:rPr>
              <w:t>13分</w:t>
            </w:r>
          </w:p>
        </w:tc>
        <w:tc>
          <w:tcPr>
            <w:tcW w:w="3476" w:type="pct"/>
            <w:vAlign w:val="center"/>
          </w:tcPr>
          <w:p>
            <w:pPr>
              <w:spacing w:before="31" w:beforeLines="10" w:line="360" w:lineRule="auto"/>
              <w:rPr>
                <w:rFonts w:ascii="黑体" w:hAnsi="黑体" w:eastAsia="黑体" w:cs="黑体"/>
                <w:szCs w:val="21"/>
              </w:rPr>
            </w:pPr>
            <w:r>
              <w:rPr>
                <w:rFonts w:hint="eastAsia" w:ascii="黑体" w:hAnsi="黑体" w:eastAsia="黑体" w:cs="黑体"/>
                <w:szCs w:val="21"/>
              </w:rPr>
              <w:t>根据供应商所提供的项目实施方案</w:t>
            </w:r>
            <w:r>
              <w:rPr>
                <w:rFonts w:hint="eastAsia" w:ascii="黑体" w:hAnsi="黑体" w:eastAsia="黑体" w:cs="黑体"/>
                <w:kern w:val="0"/>
                <w:szCs w:val="21"/>
              </w:rPr>
              <w:t>(包括不限于</w:t>
            </w:r>
            <w:r>
              <w:rPr>
                <w:rFonts w:hint="eastAsia" w:ascii="黑体" w:hAnsi="黑体" w:eastAsia="黑体" w:cs="黑体"/>
                <w:szCs w:val="21"/>
              </w:rPr>
              <w:t>供货进度、安装调试方案</w:t>
            </w:r>
            <w:r>
              <w:rPr>
                <w:rFonts w:hint="eastAsia" w:ascii="黑体" w:hAnsi="黑体" w:eastAsia="黑体" w:cs="黑体"/>
                <w:kern w:val="0"/>
                <w:szCs w:val="21"/>
              </w:rPr>
              <w:t>)</w:t>
            </w:r>
            <w:r>
              <w:rPr>
                <w:rFonts w:hint="eastAsia" w:ascii="黑体" w:hAnsi="黑体" w:eastAsia="黑体" w:cs="黑体"/>
                <w:szCs w:val="21"/>
              </w:rPr>
              <w:t>进行评审：</w:t>
            </w:r>
          </w:p>
          <w:p>
            <w:pPr>
              <w:numPr>
                <w:ilvl w:val="0"/>
                <w:numId w:val="102"/>
              </w:numPr>
              <w:spacing w:before="31" w:beforeLines="10" w:line="360" w:lineRule="auto"/>
              <w:rPr>
                <w:rFonts w:ascii="黑体" w:hAnsi="黑体" w:eastAsia="黑体" w:cs="黑体"/>
                <w:szCs w:val="21"/>
              </w:rPr>
            </w:pPr>
            <w:r>
              <w:rPr>
                <w:rFonts w:hint="eastAsia" w:ascii="黑体" w:hAnsi="黑体" w:eastAsia="黑体" w:cs="黑体"/>
                <w:szCs w:val="21"/>
              </w:rPr>
              <w:t>实施方案非常明确、详尽、合理、规范，能贴合本项目实施要求建立各个实施流程的工作规范，内容详细、具体、切实可行，优于或完全满足采购需求的，得13分；</w:t>
            </w:r>
          </w:p>
          <w:p>
            <w:pPr>
              <w:numPr>
                <w:ilvl w:val="0"/>
                <w:numId w:val="102"/>
              </w:numPr>
              <w:spacing w:before="31" w:beforeLines="10" w:line="360" w:lineRule="auto"/>
              <w:rPr>
                <w:rFonts w:ascii="黑体" w:hAnsi="黑体" w:eastAsia="黑体" w:cs="黑体"/>
                <w:szCs w:val="21"/>
              </w:rPr>
            </w:pPr>
            <w:r>
              <w:rPr>
                <w:rFonts w:hint="eastAsia" w:ascii="黑体" w:hAnsi="黑体" w:eastAsia="黑体" w:cs="黑体"/>
                <w:szCs w:val="21"/>
              </w:rPr>
              <w:t>项目实施方案总体思路基本清晰，能贴合本项目实施要求建立各个实施流程的工作规范，内容具体可行，符合本项目实际采购需求的，得10分；</w:t>
            </w:r>
          </w:p>
          <w:p>
            <w:pPr>
              <w:numPr>
                <w:ilvl w:val="0"/>
                <w:numId w:val="102"/>
              </w:numPr>
              <w:spacing w:before="31" w:beforeLines="10" w:line="360" w:lineRule="auto"/>
              <w:rPr>
                <w:rFonts w:ascii="黑体" w:hAnsi="黑体" w:eastAsia="黑体" w:cs="黑体"/>
                <w:szCs w:val="21"/>
              </w:rPr>
            </w:pPr>
            <w:r>
              <w:rPr>
                <w:rFonts w:hint="eastAsia" w:ascii="黑体" w:hAnsi="黑体" w:eastAsia="黑体" w:cs="黑体"/>
                <w:szCs w:val="21"/>
              </w:rPr>
              <w:t>项目实施方案总体思路含糊，基本符合项目的实际需求，具备基础流程的实施步骤，实施方案基本可行的，得6分；</w:t>
            </w:r>
          </w:p>
          <w:p>
            <w:pPr>
              <w:numPr>
                <w:ilvl w:val="0"/>
                <w:numId w:val="102"/>
              </w:numPr>
              <w:spacing w:before="31" w:beforeLines="10" w:line="360" w:lineRule="auto"/>
              <w:rPr>
                <w:rFonts w:ascii="黑体" w:hAnsi="黑体" w:eastAsia="黑体" w:cs="黑体"/>
                <w:szCs w:val="21"/>
              </w:rPr>
            </w:pPr>
            <w:r>
              <w:rPr>
                <w:rFonts w:hint="eastAsia" w:ascii="黑体" w:hAnsi="黑体" w:eastAsia="黑体" w:cs="黑体"/>
                <w:szCs w:val="21"/>
              </w:rPr>
              <w:t>方案非专门针对本项目或内容存在不能满足本项目实际需求，具备基础流程的实施步骤，但可行性较低的，得2分；</w:t>
            </w:r>
          </w:p>
          <w:p>
            <w:pPr>
              <w:numPr>
                <w:ilvl w:val="0"/>
                <w:numId w:val="102"/>
              </w:numPr>
              <w:spacing w:before="31" w:beforeLines="10" w:line="360" w:lineRule="auto"/>
              <w:rPr>
                <w:rFonts w:ascii="黑体" w:hAnsi="黑体" w:eastAsia="黑体" w:cs="黑体"/>
                <w:szCs w:val="21"/>
              </w:rPr>
            </w:pPr>
            <w:r>
              <w:rPr>
                <w:rFonts w:hint="eastAsia" w:ascii="黑体" w:hAnsi="黑体" w:eastAsia="黑体" w:cs="黑体"/>
                <w:szCs w:val="21"/>
              </w:rPr>
              <w:t>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09" w:type="pct"/>
            <w:vAlign w:val="center"/>
          </w:tcPr>
          <w:p>
            <w:pPr>
              <w:spacing w:before="31" w:beforeLines="10" w:after="93" w:afterLines="30" w:line="360" w:lineRule="auto"/>
              <w:jc w:val="center"/>
              <w:rPr>
                <w:rFonts w:ascii="黑体" w:hAnsi="黑体" w:eastAsia="黑体" w:cs="黑体"/>
                <w:szCs w:val="21"/>
              </w:rPr>
            </w:pPr>
            <w:r>
              <w:rPr>
                <w:rFonts w:hint="eastAsia" w:ascii="黑体" w:hAnsi="黑体" w:eastAsia="黑体" w:cs="黑体"/>
                <w:szCs w:val="21"/>
              </w:rPr>
              <w:t>4</w:t>
            </w:r>
          </w:p>
        </w:tc>
        <w:tc>
          <w:tcPr>
            <w:tcW w:w="625" w:type="pct"/>
            <w:vAlign w:val="center"/>
          </w:tcPr>
          <w:p>
            <w:pPr>
              <w:spacing w:before="31" w:beforeLines="10" w:after="30" w:line="360" w:lineRule="auto"/>
              <w:jc w:val="center"/>
              <w:rPr>
                <w:rFonts w:ascii="黑体" w:hAnsi="黑体" w:eastAsia="黑体" w:cs="黑体"/>
                <w:bCs/>
                <w:szCs w:val="21"/>
              </w:rPr>
            </w:pPr>
            <w:r>
              <w:rPr>
                <w:rFonts w:hint="eastAsia" w:ascii="黑体" w:hAnsi="黑体" w:eastAsia="黑体" w:cs="黑体"/>
                <w:bCs/>
                <w:szCs w:val="21"/>
              </w:rPr>
              <w:t>技术培训方案</w:t>
            </w:r>
          </w:p>
        </w:tc>
        <w:tc>
          <w:tcPr>
            <w:tcW w:w="489" w:type="pct"/>
            <w:vAlign w:val="center"/>
          </w:tcPr>
          <w:p>
            <w:pPr>
              <w:widowControl/>
              <w:spacing w:before="31" w:beforeLines="10" w:after="30" w:line="360" w:lineRule="auto"/>
              <w:jc w:val="center"/>
              <w:rPr>
                <w:rFonts w:ascii="黑体" w:hAnsi="黑体" w:eastAsia="黑体" w:cs="黑体"/>
                <w:bCs/>
                <w:szCs w:val="21"/>
              </w:rPr>
            </w:pPr>
            <w:r>
              <w:rPr>
                <w:rFonts w:hint="eastAsia" w:ascii="黑体" w:hAnsi="黑体" w:eastAsia="黑体" w:cs="黑体"/>
                <w:szCs w:val="21"/>
              </w:rPr>
              <w:t>12分</w:t>
            </w:r>
          </w:p>
        </w:tc>
        <w:tc>
          <w:tcPr>
            <w:tcW w:w="3476" w:type="pct"/>
            <w:vAlign w:val="center"/>
          </w:tcPr>
          <w:p>
            <w:pPr>
              <w:spacing w:before="31" w:beforeLines="10" w:after="30" w:line="360" w:lineRule="auto"/>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根据</w:t>
            </w:r>
            <w:r>
              <w:rPr>
                <w:rFonts w:hint="eastAsia" w:ascii="黑体" w:hAnsi="黑体" w:eastAsia="黑体" w:cs="黑体"/>
                <w:szCs w:val="21"/>
              </w:rPr>
              <w:t>供应商</w:t>
            </w:r>
            <w:r>
              <w:rPr>
                <w:rFonts w:hint="eastAsia" w:ascii="黑体" w:hAnsi="黑体" w:eastAsia="黑体" w:cs="黑体"/>
                <w:color w:val="000000" w:themeColor="text1"/>
                <w:szCs w:val="21"/>
                <w14:textFill>
                  <w14:solidFill>
                    <w14:schemeClr w14:val="tx1"/>
                  </w14:solidFill>
                </w14:textFill>
              </w:rPr>
              <w:t>所提供的培训方案（包括培训内容、培训形式、培训人员配置情况、培训实施计划等）进行评审：</w:t>
            </w:r>
          </w:p>
          <w:p>
            <w:pPr>
              <w:numPr>
                <w:ilvl w:val="0"/>
                <w:numId w:val="103"/>
              </w:numPr>
              <w:spacing w:before="31" w:beforeLines="10" w:line="360" w:lineRule="auto"/>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培训方案非常明确、详尽、合理、规范，清晰，培训形式种类丰富、具有多样性，培训人员配置情况完全满足采购需求要求，实施计划非常合理、可行的，得12分；</w:t>
            </w:r>
          </w:p>
          <w:p>
            <w:pPr>
              <w:numPr>
                <w:ilvl w:val="0"/>
                <w:numId w:val="103"/>
              </w:numPr>
              <w:spacing w:before="31" w:beforeLines="10" w:line="360" w:lineRule="auto"/>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培训方案明确、合理、规范，培训形式种类较多，培训人员配置情况基本满足采购需求要求，实施计划合理、可行的，得9分；</w:t>
            </w:r>
          </w:p>
          <w:p>
            <w:pPr>
              <w:numPr>
                <w:ilvl w:val="0"/>
                <w:numId w:val="103"/>
              </w:numPr>
              <w:spacing w:before="31" w:beforeLines="10" w:line="360" w:lineRule="auto"/>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培训方案基本明确、合理、规范，培训形式单一，培训人员配置情况一般，实施计划基本合理、可行的，得6分；</w:t>
            </w:r>
          </w:p>
          <w:p>
            <w:pPr>
              <w:numPr>
                <w:ilvl w:val="0"/>
                <w:numId w:val="103"/>
              </w:numPr>
              <w:spacing w:before="31" w:beforeLines="10" w:line="360" w:lineRule="auto"/>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培训方案一般，培训形式单一、缺乏针对性，培训人员配置情况不满足采购需求要求，实施计划一般的，得3分；</w:t>
            </w:r>
          </w:p>
          <w:p>
            <w:pPr>
              <w:numPr>
                <w:ilvl w:val="0"/>
                <w:numId w:val="103"/>
              </w:numPr>
              <w:spacing w:before="31" w:beforeLines="10" w:line="360" w:lineRule="auto"/>
              <w:rPr>
                <w:rFonts w:ascii="黑体" w:hAnsi="黑体" w:eastAsia="黑体" w:cs="黑体"/>
                <w:szCs w:val="21"/>
              </w:rPr>
            </w:pPr>
            <w:r>
              <w:rPr>
                <w:rFonts w:hint="eastAsia" w:ascii="黑体" w:hAnsi="黑体" w:eastAsia="黑体" w:cs="黑体"/>
                <w:szCs w:val="21"/>
              </w:rPr>
              <w:t>未提供对应方案不得分</w:t>
            </w:r>
            <w:r>
              <w:rPr>
                <w:rFonts w:hint="eastAsia" w:ascii="黑体" w:hAnsi="黑体" w:eastAsia="黑体" w:cs="黑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09" w:type="pct"/>
            <w:vAlign w:val="center"/>
          </w:tcPr>
          <w:p>
            <w:pPr>
              <w:spacing w:before="31" w:beforeLines="10" w:after="93" w:afterLines="30" w:line="360" w:lineRule="auto"/>
              <w:jc w:val="center"/>
              <w:rPr>
                <w:rFonts w:ascii="黑体" w:hAnsi="黑体" w:eastAsia="黑体" w:cs="黑体"/>
                <w:szCs w:val="21"/>
              </w:rPr>
            </w:pPr>
            <w:r>
              <w:rPr>
                <w:rFonts w:hint="eastAsia" w:ascii="黑体" w:hAnsi="黑体" w:eastAsia="黑体" w:cs="黑体"/>
                <w:szCs w:val="21"/>
              </w:rPr>
              <w:t>5</w:t>
            </w:r>
          </w:p>
        </w:tc>
        <w:tc>
          <w:tcPr>
            <w:tcW w:w="625" w:type="pct"/>
            <w:vAlign w:val="center"/>
          </w:tcPr>
          <w:p>
            <w:pPr>
              <w:spacing w:before="31" w:beforeLines="10" w:after="30" w:line="440" w:lineRule="exact"/>
              <w:jc w:val="center"/>
              <w:rPr>
                <w:rFonts w:ascii="黑体" w:hAnsi="黑体" w:eastAsia="黑体" w:cs="黑体"/>
                <w:bCs/>
                <w:szCs w:val="21"/>
              </w:rPr>
            </w:pPr>
            <w:r>
              <w:rPr>
                <w:rFonts w:hint="eastAsia" w:ascii="黑体" w:hAnsi="黑体" w:eastAsia="黑体" w:cs="黑体"/>
                <w:szCs w:val="21"/>
              </w:rPr>
              <w:t>质量保障方案</w:t>
            </w:r>
          </w:p>
        </w:tc>
        <w:tc>
          <w:tcPr>
            <w:tcW w:w="489" w:type="pct"/>
            <w:vAlign w:val="center"/>
          </w:tcPr>
          <w:p>
            <w:pPr>
              <w:widowControl/>
              <w:spacing w:before="31" w:beforeLines="10" w:after="30" w:line="440" w:lineRule="exact"/>
              <w:jc w:val="center"/>
              <w:rPr>
                <w:rFonts w:ascii="黑体" w:hAnsi="黑体" w:eastAsia="黑体" w:cs="黑体"/>
                <w:szCs w:val="21"/>
              </w:rPr>
            </w:pPr>
            <w:r>
              <w:rPr>
                <w:rFonts w:hint="eastAsia" w:ascii="黑体" w:hAnsi="黑体" w:eastAsia="黑体" w:cs="黑体"/>
                <w:szCs w:val="21"/>
              </w:rPr>
              <w:t>12分</w:t>
            </w:r>
          </w:p>
        </w:tc>
        <w:tc>
          <w:tcPr>
            <w:tcW w:w="3476" w:type="pct"/>
            <w:vAlign w:val="center"/>
          </w:tcPr>
          <w:p>
            <w:pPr>
              <w:spacing w:line="360" w:lineRule="auto"/>
              <w:rPr>
                <w:rFonts w:ascii="黑体" w:hAnsi="黑体" w:eastAsia="黑体" w:cs="黑体"/>
                <w:szCs w:val="21"/>
              </w:rPr>
            </w:pPr>
            <w:r>
              <w:rPr>
                <w:rFonts w:hint="eastAsia" w:ascii="黑体" w:hAnsi="黑体" w:eastAsia="黑体" w:cs="黑体"/>
                <w:szCs w:val="21"/>
              </w:rPr>
              <w:t>根据供应商提供质量保障方案（包括但不限于质量目标、项目质量的控制措施）进行评审：</w:t>
            </w:r>
          </w:p>
          <w:p>
            <w:pPr>
              <w:numPr>
                <w:ilvl w:val="0"/>
                <w:numId w:val="104"/>
              </w:numPr>
              <w:spacing w:before="31" w:beforeLines="10" w:line="360" w:lineRule="auto"/>
              <w:rPr>
                <w:rFonts w:ascii="黑体" w:hAnsi="黑体" w:eastAsia="黑体" w:cs="黑体"/>
                <w:szCs w:val="21"/>
              </w:rPr>
            </w:pPr>
            <w:r>
              <w:rPr>
                <w:rFonts w:hint="eastAsia" w:ascii="黑体" w:hAnsi="黑体" w:eastAsia="黑体" w:cs="黑体"/>
                <w:szCs w:val="21"/>
              </w:rPr>
              <w:t>质量目标非常明确、项目质量的控制非常详细、检验手段非常科学的，得12分；</w:t>
            </w:r>
          </w:p>
          <w:p>
            <w:pPr>
              <w:numPr>
                <w:ilvl w:val="0"/>
                <w:numId w:val="104"/>
              </w:numPr>
              <w:spacing w:before="31" w:beforeLines="10" w:line="360" w:lineRule="auto"/>
              <w:rPr>
                <w:rFonts w:ascii="黑体" w:hAnsi="黑体" w:eastAsia="黑体" w:cs="黑体"/>
                <w:szCs w:val="21"/>
              </w:rPr>
            </w:pPr>
            <w:r>
              <w:rPr>
                <w:rFonts w:hint="eastAsia" w:ascii="黑体" w:hAnsi="黑体" w:eastAsia="黑体" w:cs="黑体"/>
                <w:szCs w:val="21"/>
              </w:rPr>
              <w:t>质量目标比较明确、项目质量的控制较为详细、检验手段比较科学的，得9分；</w:t>
            </w:r>
          </w:p>
          <w:p>
            <w:pPr>
              <w:numPr>
                <w:ilvl w:val="0"/>
                <w:numId w:val="104"/>
              </w:numPr>
              <w:spacing w:before="31" w:beforeLines="10" w:line="360" w:lineRule="auto"/>
              <w:rPr>
                <w:rFonts w:ascii="黑体" w:hAnsi="黑体" w:eastAsia="黑体" w:cs="黑体"/>
                <w:szCs w:val="21"/>
              </w:rPr>
            </w:pPr>
            <w:r>
              <w:rPr>
                <w:rFonts w:hint="eastAsia" w:ascii="黑体" w:hAnsi="黑体" w:eastAsia="黑体" w:cs="黑体"/>
                <w:szCs w:val="21"/>
              </w:rPr>
              <w:t>质量目标基本明确、项目质量的控制一般、检验手段一般的，得6分；</w:t>
            </w:r>
          </w:p>
          <w:p>
            <w:pPr>
              <w:numPr>
                <w:ilvl w:val="0"/>
                <w:numId w:val="104"/>
              </w:numPr>
              <w:spacing w:before="31" w:beforeLines="10" w:line="360" w:lineRule="auto"/>
              <w:rPr>
                <w:rFonts w:ascii="黑体" w:hAnsi="黑体" w:eastAsia="黑体" w:cs="黑体"/>
                <w:szCs w:val="21"/>
              </w:rPr>
            </w:pPr>
            <w:r>
              <w:rPr>
                <w:rFonts w:hint="eastAsia" w:ascii="黑体" w:hAnsi="黑体" w:eastAsia="黑体" w:cs="黑体"/>
                <w:szCs w:val="21"/>
              </w:rPr>
              <w:t>质量目标不够明确、项目质量的控制不够可行、检验手段一般的，得3分；</w:t>
            </w:r>
          </w:p>
          <w:p>
            <w:pPr>
              <w:numPr>
                <w:ilvl w:val="0"/>
                <w:numId w:val="104"/>
              </w:numPr>
              <w:spacing w:before="31" w:beforeLines="10" w:line="360" w:lineRule="auto"/>
              <w:rPr>
                <w:rFonts w:ascii="黑体" w:hAnsi="黑体" w:eastAsia="黑体" w:cs="黑体"/>
                <w:szCs w:val="21"/>
              </w:rPr>
            </w:pPr>
            <w:r>
              <w:rPr>
                <w:rFonts w:hint="eastAsia" w:ascii="黑体" w:hAnsi="黑体" w:eastAsia="黑体" w:cs="黑体"/>
                <w:szCs w:val="21"/>
              </w:rPr>
              <w:t>未提供对应方案不得分。</w:t>
            </w:r>
          </w:p>
        </w:tc>
      </w:tr>
    </w:tbl>
    <w:p/>
    <w:p>
      <w:pPr>
        <w:pStyle w:val="3"/>
        <w:keepNext w:val="0"/>
        <w:keepLines w:val="0"/>
        <w:pageBreakBefore/>
        <w:spacing w:line="360" w:lineRule="auto"/>
        <w:jc w:val="center"/>
        <w:rPr>
          <w:rFonts w:ascii="黑体" w:hAnsi="黑体" w:eastAsia="黑体"/>
          <w:spacing w:val="20"/>
          <w:sz w:val="32"/>
          <w:szCs w:val="32"/>
        </w:rPr>
      </w:pPr>
      <w:bookmarkStart w:id="165" w:name="_Toc405313956"/>
      <w:bookmarkStart w:id="166" w:name="_Toc391627752"/>
      <w:bookmarkStart w:id="167" w:name="_Toc521951136"/>
      <w:bookmarkStart w:id="168" w:name="_Toc16731"/>
      <w:r>
        <w:rPr>
          <w:rFonts w:hint="eastAsia" w:ascii="黑体" w:hAnsi="黑体" w:eastAsia="黑体"/>
          <w:spacing w:val="20"/>
          <w:sz w:val="32"/>
          <w:szCs w:val="32"/>
        </w:rPr>
        <w:t>第六部分</w:t>
      </w:r>
      <w:r>
        <w:rPr>
          <w:rFonts w:ascii="黑体" w:hAnsi="黑体" w:eastAsia="黑体"/>
          <w:spacing w:val="20"/>
          <w:sz w:val="32"/>
          <w:szCs w:val="32"/>
        </w:rPr>
        <w:t xml:space="preserve"> </w:t>
      </w:r>
      <w:bookmarkStart w:id="169" w:name="_Hlk46687823"/>
      <w:r>
        <w:rPr>
          <w:rFonts w:hint="eastAsia" w:ascii="黑体" w:hAnsi="黑体" w:eastAsia="黑体"/>
          <w:spacing w:val="20"/>
          <w:sz w:val="32"/>
          <w:szCs w:val="32"/>
        </w:rPr>
        <w:t>合同书格式</w:t>
      </w:r>
      <w:bookmarkEnd w:id="165"/>
      <w:bookmarkEnd w:id="166"/>
      <w:bookmarkEnd w:id="167"/>
      <w:bookmarkEnd w:id="168"/>
    </w:p>
    <w:bookmarkEnd w:id="169"/>
    <w:p>
      <w:pPr>
        <w:spacing w:line="360" w:lineRule="auto"/>
        <w:jc w:val="center"/>
        <w:rPr>
          <w:rFonts w:ascii="黑体" w:hAnsi="黑体" w:eastAsia="黑体" w:cs="黑体"/>
        </w:rPr>
      </w:pPr>
      <w:r>
        <w:rPr>
          <w:rFonts w:hint="eastAsia" w:ascii="黑体" w:hAnsi="黑体" w:eastAsia="黑体" w:cs="黑体"/>
        </w:rPr>
        <w:t>（本格式编排在磋商文件中，供供应商参考，响应文件不需填写）</w:t>
      </w:r>
    </w:p>
    <w:p>
      <w:pPr>
        <w:spacing w:line="360" w:lineRule="auto"/>
        <w:jc w:val="center"/>
        <w:rPr>
          <w:rFonts w:ascii="黑体" w:hAnsi="黑体" w:eastAsia="黑体" w:cs="黑体"/>
          <w:bCs/>
          <w:szCs w:val="21"/>
        </w:rPr>
      </w:pPr>
    </w:p>
    <w:p>
      <w:pPr>
        <w:spacing w:line="360" w:lineRule="auto"/>
        <w:jc w:val="center"/>
        <w:rPr>
          <w:rFonts w:ascii="黑体" w:hAnsi="黑体" w:eastAsia="黑体" w:cs="黑体"/>
          <w:b/>
          <w:color w:val="000000" w:themeColor="text1"/>
          <w:sz w:val="52"/>
          <w:szCs w:val="52"/>
          <w14:textFill>
            <w14:solidFill>
              <w14:schemeClr w14:val="tx1"/>
            </w14:solidFill>
          </w14:textFill>
        </w:rPr>
      </w:pPr>
      <w:r>
        <w:rPr>
          <w:rFonts w:hint="eastAsia" w:ascii="黑体" w:hAnsi="黑体" w:eastAsia="黑体" w:cs="黑体"/>
          <w:b/>
          <w:color w:val="000000" w:themeColor="text1"/>
          <w:sz w:val="52"/>
          <w:szCs w:val="52"/>
          <w14:textFill>
            <w14:solidFill>
              <w14:schemeClr w14:val="tx1"/>
            </w14:solidFill>
          </w14:textFill>
        </w:rPr>
        <w:t>东莞市虎门中医院虎门镇老年人、儿童健康体检信息服务项目</w:t>
      </w:r>
    </w:p>
    <w:p>
      <w:pPr>
        <w:spacing w:line="360" w:lineRule="auto"/>
        <w:ind w:firstLine="6000" w:firstLineChars="2500"/>
        <w:rPr>
          <w:rFonts w:ascii="黑体" w:hAnsi="黑体" w:eastAsia="黑体" w:cs="黑体"/>
          <w:color w:val="000000" w:themeColor="text1"/>
          <w:sz w:val="24"/>
          <w14:textFill>
            <w14:solidFill>
              <w14:schemeClr w14:val="tx1"/>
            </w14:solidFill>
          </w14:textFill>
        </w:rPr>
      </w:pPr>
    </w:p>
    <w:p>
      <w:pPr>
        <w:spacing w:line="360" w:lineRule="auto"/>
        <w:ind w:left="479" w:leftChars="228"/>
        <w:rPr>
          <w:rFonts w:ascii="黑体" w:hAnsi="黑体" w:eastAsia="黑体" w:cs="黑体"/>
          <w:color w:val="000000" w:themeColor="text1"/>
          <w:szCs w:val="21"/>
          <w:u w:val="single"/>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采购人（下称甲方）：</w:t>
      </w:r>
      <w:r>
        <w:rPr>
          <w:rFonts w:hint="eastAsia" w:ascii="黑体" w:hAnsi="黑体" w:eastAsia="黑体" w:cs="黑体"/>
          <w:color w:val="000000" w:themeColor="text1"/>
          <w:szCs w:val="21"/>
          <w:u w:val="single"/>
          <w14:textFill>
            <w14:solidFill>
              <w14:schemeClr w14:val="tx1"/>
            </w14:solidFill>
          </w14:textFill>
        </w:rPr>
        <w:t>东莞市虎门中医院</w:t>
      </w:r>
    </w:p>
    <w:p>
      <w:pPr>
        <w:spacing w:line="360" w:lineRule="auto"/>
        <w:ind w:left="479" w:leftChars="228"/>
        <w:rPr>
          <w:rFonts w:ascii="黑体" w:hAnsi="黑体" w:eastAsia="黑体" w:cs="黑体"/>
          <w:color w:val="000000" w:themeColor="text1"/>
          <w:szCs w:val="21"/>
          <w:u w:val="single"/>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供应商（下称乙方）：</w:t>
      </w:r>
      <w:r>
        <w:rPr>
          <w:rFonts w:hint="eastAsia" w:ascii="黑体" w:hAnsi="黑体" w:eastAsia="黑体" w:cs="黑体"/>
          <w:color w:val="000000" w:themeColor="text1"/>
          <w:szCs w:val="21"/>
          <w:u w:val="single"/>
          <w14:textFill>
            <w14:solidFill>
              <w14:schemeClr w14:val="tx1"/>
            </w14:solidFill>
          </w14:textFill>
        </w:rPr>
        <w:t xml:space="preserve">                 </w:t>
      </w:r>
    </w:p>
    <w:p>
      <w:pPr>
        <w:spacing w:line="360" w:lineRule="auto"/>
        <w:ind w:firstLine="420" w:firstLineChars="200"/>
        <w:rPr>
          <w:rFonts w:ascii="黑体" w:hAnsi="黑体" w:eastAsia="黑体" w:cs="黑体"/>
          <w:color w:val="000000" w:themeColor="text1"/>
          <w:szCs w:val="21"/>
          <w:u w:val="single" w:color="000000"/>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签订地点：</w:t>
      </w:r>
      <w:r>
        <w:rPr>
          <w:rFonts w:hint="eastAsia" w:ascii="黑体" w:hAnsi="黑体" w:eastAsia="黑体" w:cs="黑体"/>
          <w:color w:val="000000" w:themeColor="text1"/>
          <w:szCs w:val="21"/>
          <w:u w:val="single"/>
          <w14:textFill>
            <w14:solidFill>
              <w14:schemeClr w14:val="tx1"/>
            </w14:solidFill>
          </w14:textFill>
        </w:rPr>
        <w:t>东莞市虎门中医院</w:t>
      </w:r>
    </w:p>
    <w:p>
      <w:pPr>
        <w:spacing w:line="360" w:lineRule="auto"/>
        <w:rPr>
          <w:rFonts w:ascii="黑体" w:hAnsi="黑体" w:eastAsia="黑体" w:cs="黑体"/>
          <w:color w:val="000000" w:themeColor="text1"/>
          <w:szCs w:val="21"/>
          <w:u w:val="single" w:color="000000"/>
          <w14:textFill>
            <w14:solidFill>
              <w14:schemeClr w14:val="tx1"/>
            </w14:solidFill>
          </w14:textFill>
        </w:rPr>
      </w:pPr>
    </w:p>
    <w:p>
      <w:pPr>
        <w:spacing w:line="360" w:lineRule="auto"/>
        <w:ind w:firstLine="420" w:firstLineChars="200"/>
        <w:rPr>
          <w:rFonts w:ascii="黑体" w:hAnsi="黑体" w:eastAsia="黑体" w:cs="黑体"/>
          <w:szCs w:val="21"/>
        </w:rPr>
      </w:pPr>
      <w:r>
        <w:rPr>
          <w:rFonts w:hint="eastAsia" w:ascii="黑体" w:hAnsi="黑体" w:eastAsia="黑体" w:cs="黑体"/>
          <w:color w:val="000000" w:themeColor="text1"/>
          <w:szCs w:val="21"/>
          <w14:textFill>
            <w14:solidFill>
              <w14:schemeClr w14:val="tx1"/>
            </w14:solidFill>
          </w14:textFill>
        </w:rPr>
        <w:t>根据《中华人民共和国民法典》及相关法律法规的规定，依照平等互利的原则，为明确甲乙双方的权利和义务，经双方协商一致，订立本合同。</w:t>
      </w:r>
    </w:p>
    <w:p>
      <w:pPr>
        <w:spacing w:before="156" w:beforeLines="50" w:line="360" w:lineRule="auto"/>
        <w:ind w:firstLine="422" w:firstLineChars="200"/>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szCs w:val="21"/>
          <w14:textFill>
            <w14:solidFill>
              <w14:schemeClr w14:val="tx1"/>
            </w14:solidFill>
          </w14:textFill>
        </w:rPr>
        <w:t>第一条　服务项目配备硬件、软件清单</w:t>
      </w:r>
    </w:p>
    <w:tbl>
      <w:tblPr>
        <w:tblStyle w:val="22"/>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0"/>
        <w:gridCol w:w="2627"/>
        <w:gridCol w:w="2662"/>
        <w:gridCol w:w="802"/>
        <w:gridCol w:w="1325"/>
        <w:gridCol w:w="78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0" w:type="pct"/>
            <w:tcBorders>
              <w:bottom w:val="single" w:color="000000" w:sz="8" w:space="0"/>
              <w:right w:val="single" w:color="000000" w:sz="8" w:space="0"/>
            </w:tcBorders>
            <w:shd w:val="clear" w:color="auto" w:fill="FFFFFF"/>
            <w:vAlign w:val="center"/>
          </w:tcPr>
          <w:p>
            <w:pPr>
              <w:widowControl/>
              <w:spacing w:line="360" w:lineRule="auto"/>
              <w:jc w:val="center"/>
              <w:textAlignment w:val="center"/>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kern w:val="0"/>
                <w:szCs w:val="21"/>
                <w:lang w:bidi="ar"/>
                <w14:textFill>
                  <w14:solidFill>
                    <w14:schemeClr w14:val="tx1"/>
                  </w14:solidFill>
                </w14:textFill>
              </w:rPr>
              <w:t>序号</w:t>
            </w:r>
          </w:p>
        </w:tc>
        <w:tc>
          <w:tcPr>
            <w:tcW w:w="1452" w:type="pct"/>
            <w:tcBorders>
              <w:left w:val="nil"/>
              <w:bottom w:val="single" w:color="000000" w:sz="8" w:space="0"/>
              <w:right w:val="single" w:color="000000" w:sz="8" w:space="0"/>
            </w:tcBorders>
            <w:shd w:val="clear" w:color="auto" w:fill="FFFFFF"/>
            <w:vAlign w:val="center"/>
          </w:tcPr>
          <w:p>
            <w:pPr>
              <w:widowControl/>
              <w:spacing w:line="360" w:lineRule="auto"/>
              <w:jc w:val="center"/>
              <w:textAlignment w:val="center"/>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kern w:val="0"/>
                <w:szCs w:val="21"/>
                <w:lang w:bidi="ar"/>
                <w14:textFill>
                  <w14:solidFill>
                    <w14:schemeClr w14:val="tx1"/>
                  </w14:solidFill>
                </w14:textFill>
              </w:rPr>
              <w:t>名称</w:t>
            </w:r>
          </w:p>
        </w:tc>
        <w:tc>
          <w:tcPr>
            <w:tcW w:w="1471" w:type="pct"/>
            <w:tcBorders>
              <w:left w:val="nil"/>
              <w:bottom w:val="single" w:color="000000" w:sz="8" w:space="0"/>
              <w:right w:val="single" w:color="000000" w:sz="8" w:space="0"/>
            </w:tcBorders>
            <w:shd w:val="clear" w:color="auto" w:fill="FFFFFF"/>
            <w:vAlign w:val="center"/>
          </w:tcPr>
          <w:p>
            <w:pPr>
              <w:widowControl/>
              <w:spacing w:line="360" w:lineRule="auto"/>
              <w:jc w:val="center"/>
              <w:textAlignment w:val="center"/>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kern w:val="0"/>
                <w:szCs w:val="21"/>
                <w:lang w:bidi="ar"/>
                <w14:textFill>
                  <w14:solidFill>
                    <w14:schemeClr w14:val="tx1"/>
                  </w14:solidFill>
                </w14:textFill>
              </w:rPr>
              <w:t>规格型号</w:t>
            </w:r>
          </w:p>
        </w:tc>
        <w:tc>
          <w:tcPr>
            <w:tcW w:w="443" w:type="pct"/>
            <w:tcBorders>
              <w:left w:val="nil"/>
              <w:bottom w:val="single" w:color="000000" w:sz="8" w:space="0"/>
              <w:right w:val="single" w:color="000000" w:sz="8" w:space="0"/>
            </w:tcBorders>
            <w:shd w:val="clear" w:color="auto" w:fill="FFFFFF"/>
            <w:vAlign w:val="center"/>
          </w:tcPr>
          <w:p>
            <w:pPr>
              <w:widowControl/>
              <w:spacing w:line="360" w:lineRule="auto"/>
              <w:jc w:val="center"/>
              <w:textAlignment w:val="center"/>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kern w:val="0"/>
                <w:szCs w:val="21"/>
                <w:lang w:bidi="ar"/>
                <w14:textFill>
                  <w14:solidFill>
                    <w14:schemeClr w14:val="tx1"/>
                  </w14:solidFill>
                </w14:textFill>
              </w:rPr>
              <w:t>数量</w:t>
            </w:r>
          </w:p>
        </w:tc>
        <w:tc>
          <w:tcPr>
            <w:tcW w:w="732" w:type="pct"/>
            <w:tcBorders>
              <w:left w:val="nil"/>
              <w:bottom w:val="single" w:color="000000" w:sz="8" w:space="0"/>
              <w:right w:val="single" w:color="000000" w:sz="8" w:space="0"/>
            </w:tcBorders>
            <w:shd w:val="clear" w:color="auto" w:fill="FFFFFF"/>
            <w:vAlign w:val="center"/>
          </w:tcPr>
          <w:p>
            <w:pPr>
              <w:widowControl/>
              <w:spacing w:line="360" w:lineRule="auto"/>
              <w:jc w:val="center"/>
              <w:textAlignment w:val="center"/>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kern w:val="0"/>
                <w:szCs w:val="21"/>
                <w:lang w:bidi="ar"/>
                <w14:textFill>
                  <w14:solidFill>
                    <w14:schemeClr w14:val="tx1"/>
                  </w14:solidFill>
                </w14:textFill>
              </w:rPr>
              <w:t>服务总价</w:t>
            </w:r>
          </w:p>
        </w:tc>
        <w:tc>
          <w:tcPr>
            <w:tcW w:w="431" w:type="pct"/>
            <w:tcBorders>
              <w:left w:val="nil"/>
              <w:bottom w:val="single" w:color="000000" w:sz="8" w:space="0"/>
            </w:tcBorders>
            <w:shd w:val="clear" w:color="auto" w:fill="FFFFFF"/>
            <w:vAlign w:val="center"/>
          </w:tcPr>
          <w:p>
            <w:pPr>
              <w:widowControl/>
              <w:spacing w:line="360" w:lineRule="auto"/>
              <w:jc w:val="center"/>
              <w:textAlignment w:val="center"/>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kern w:val="0"/>
                <w:szCs w:val="21"/>
                <w:lang w:bidi="ar"/>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000" w:type="pct"/>
            <w:gridSpan w:val="6"/>
            <w:tcBorders>
              <w:top w:val="nil"/>
              <w:bottom w:val="single" w:color="000000" w:sz="8" w:space="0"/>
            </w:tcBorders>
            <w:shd w:val="clear" w:color="auto" w:fill="FFFFFF"/>
            <w:vAlign w:val="center"/>
          </w:tcPr>
          <w:p>
            <w:pPr>
              <w:widowControl/>
              <w:spacing w:line="360" w:lineRule="auto"/>
              <w:jc w:val="center"/>
              <w:textAlignment w:val="center"/>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szCs w:val="21"/>
                <w14:textFill>
                  <w14:solidFill>
                    <w14:schemeClr w14:val="tx1"/>
                  </w14:solidFill>
                </w14:textFill>
              </w:rPr>
              <w:t>公共卫生项目巡诊箱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0" w:type="pct"/>
            <w:tcBorders>
              <w:top w:val="nil"/>
              <w:bottom w:val="single" w:color="000000" w:sz="8" w:space="0"/>
              <w:right w:val="single" w:color="000000" w:sz="8" w:space="0"/>
            </w:tcBorders>
            <w:shd w:val="clear" w:color="auto" w:fill="FFFFFF"/>
            <w:vAlign w:val="center"/>
          </w:tcPr>
          <w:p>
            <w:pPr>
              <w:widowControl/>
              <w:spacing w:line="360" w:lineRule="auto"/>
              <w:jc w:val="center"/>
              <w:textAlignment w:val="center"/>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kern w:val="0"/>
                <w:szCs w:val="21"/>
                <w:lang w:bidi="ar"/>
                <w14:textFill>
                  <w14:solidFill>
                    <w14:schemeClr w14:val="tx1"/>
                  </w14:solidFill>
                </w14:textFill>
              </w:rPr>
              <w:t>1</w:t>
            </w:r>
          </w:p>
        </w:tc>
        <w:tc>
          <w:tcPr>
            <w:tcW w:w="1452" w:type="pct"/>
            <w:tcBorders>
              <w:top w:val="nil"/>
              <w:left w:val="single" w:color="000000" w:sz="8" w:space="0"/>
              <w:bottom w:val="single" w:color="000000" w:sz="8" w:space="0"/>
              <w:right w:val="single" w:color="000000" w:sz="8" w:space="0"/>
            </w:tcBorders>
            <w:shd w:val="clear" w:color="auto" w:fill="auto"/>
            <w:vAlign w:val="center"/>
          </w:tcPr>
          <w:p>
            <w:pPr>
              <w:widowControl/>
              <w:spacing w:line="360" w:lineRule="auto"/>
              <w:jc w:val="left"/>
              <w:textAlignment w:val="center"/>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kern w:val="0"/>
                <w:szCs w:val="21"/>
                <w:lang w:bidi="ar"/>
                <w14:textFill>
                  <w14:solidFill>
                    <w14:schemeClr w14:val="tx1"/>
                  </w14:solidFill>
                </w14:textFill>
              </w:rPr>
              <w:t>健康检测平板</w:t>
            </w:r>
          </w:p>
        </w:tc>
        <w:tc>
          <w:tcPr>
            <w:tcW w:w="1471" w:type="pct"/>
            <w:tcBorders>
              <w:top w:val="nil"/>
              <w:left w:val="nil"/>
              <w:bottom w:val="single" w:color="000000" w:sz="8" w:space="0"/>
              <w:right w:val="single" w:color="000000" w:sz="8" w:space="0"/>
            </w:tcBorders>
            <w:shd w:val="clear" w:color="auto" w:fill="FFFFFF"/>
            <w:vAlign w:val="center"/>
          </w:tcPr>
          <w:p>
            <w:pPr>
              <w:widowControl/>
              <w:spacing w:line="360" w:lineRule="auto"/>
              <w:jc w:val="center"/>
              <w:textAlignment w:val="center"/>
              <w:rPr>
                <w:rFonts w:ascii="黑体" w:hAnsi="黑体" w:eastAsia="黑体" w:cs="黑体"/>
                <w:color w:val="000000" w:themeColor="text1"/>
                <w:szCs w:val="21"/>
                <w14:textFill>
                  <w14:solidFill>
                    <w14:schemeClr w14:val="tx1"/>
                  </w14:solidFill>
                </w14:textFill>
              </w:rPr>
            </w:pPr>
          </w:p>
        </w:tc>
        <w:tc>
          <w:tcPr>
            <w:tcW w:w="443" w:type="pct"/>
            <w:tcBorders>
              <w:top w:val="single" w:color="000000" w:sz="8" w:space="0"/>
              <w:left w:val="nil"/>
              <w:bottom w:val="single" w:color="000000" w:sz="8" w:space="0"/>
              <w:right w:val="single" w:color="000000" w:sz="8" w:space="0"/>
            </w:tcBorders>
            <w:shd w:val="clear" w:color="auto" w:fill="FFFFFF"/>
            <w:vAlign w:val="center"/>
          </w:tcPr>
          <w:p>
            <w:pPr>
              <w:spacing w:line="360" w:lineRule="auto"/>
              <w:jc w:val="center"/>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16</w:t>
            </w:r>
          </w:p>
        </w:tc>
        <w:tc>
          <w:tcPr>
            <w:tcW w:w="732" w:type="pct"/>
            <w:vMerge w:val="restart"/>
            <w:tcBorders>
              <w:top w:val="single" w:color="000000" w:sz="8" w:space="0"/>
              <w:left w:val="nil"/>
              <w:right w:val="single" w:color="000000" w:sz="8" w:space="0"/>
            </w:tcBorders>
            <w:shd w:val="clear" w:color="auto" w:fill="FFFFFF"/>
            <w:vAlign w:val="center"/>
          </w:tcPr>
          <w:p>
            <w:pPr>
              <w:spacing w:line="360" w:lineRule="auto"/>
              <w:jc w:val="center"/>
              <w:rPr>
                <w:rFonts w:ascii="黑体" w:hAnsi="黑体" w:eastAsia="黑体" w:cs="黑体"/>
                <w:color w:val="000000" w:themeColor="text1"/>
                <w:szCs w:val="21"/>
                <w14:textFill>
                  <w14:solidFill>
                    <w14:schemeClr w14:val="tx1"/>
                  </w14:solidFill>
                </w14:textFill>
              </w:rPr>
            </w:pPr>
          </w:p>
        </w:tc>
        <w:tc>
          <w:tcPr>
            <w:tcW w:w="431" w:type="pct"/>
            <w:vMerge w:val="restart"/>
            <w:tcBorders>
              <w:left w:val="nil"/>
            </w:tcBorders>
            <w:shd w:val="clear" w:color="auto" w:fill="FFFFFF"/>
            <w:vAlign w:val="center"/>
          </w:tcPr>
          <w:p>
            <w:pPr>
              <w:spacing w:line="360" w:lineRule="auto"/>
              <w:jc w:val="center"/>
              <w:rPr>
                <w:rFonts w:ascii="黑体" w:hAnsi="黑体" w:eastAsia="黑体" w:cs="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0" w:type="pct"/>
            <w:tcBorders>
              <w:top w:val="nil"/>
              <w:bottom w:val="single" w:color="000000" w:sz="8" w:space="0"/>
              <w:right w:val="single" w:color="000000" w:sz="8" w:space="0"/>
            </w:tcBorders>
            <w:shd w:val="clear" w:color="auto" w:fill="FFFFFF"/>
            <w:vAlign w:val="center"/>
          </w:tcPr>
          <w:p>
            <w:pPr>
              <w:widowControl/>
              <w:spacing w:line="360" w:lineRule="auto"/>
              <w:jc w:val="center"/>
              <w:textAlignment w:val="center"/>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kern w:val="0"/>
                <w:szCs w:val="21"/>
                <w:lang w:bidi="ar"/>
                <w14:textFill>
                  <w14:solidFill>
                    <w14:schemeClr w14:val="tx1"/>
                  </w14:solidFill>
                </w14:textFill>
              </w:rPr>
              <w:t>2</w:t>
            </w:r>
          </w:p>
        </w:tc>
        <w:tc>
          <w:tcPr>
            <w:tcW w:w="1452" w:type="pct"/>
            <w:tcBorders>
              <w:top w:val="nil"/>
              <w:left w:val="single" w:color="000000" w:sz="8" w:space="0"/>
              <w:bottom w:val="single" w:color="000000" w:sz="8" w:space="0"/>
              <w:right w:val="single" w:color="000000" w:sz="8" w:space="0"/>
            </w:tcBorders>
            <w:shd w:val="clear" w:color="auto" w:fill="auto"/>
            <w:vAlign w:val="center"/>
          </w:tcPr>
          <w:p>
            <w:pPr>
              <w:widowControl/>
              <w:spacing w:line="360" w:lineRule="auto"/>
              <w:jc w:val="left"/>
              <w:textAlignment w:val="center"/>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rPr>
              <w:t>电子APP软件</w:t>
            </w:r>
          </w:p>
        </w:tc>
        <w:tc>
          <w:tcPr>
            <w:tcW w:w="1471" w:type="pct"/>
            <w:tcBorders>
              <w:top w:val="nil"/>
              <w:left w:val="nil"/>
              <w:bottom w:val="single" w:color="000000" w:sz="8" w:space="0"/>
              <w:right w:val="single" w:color="000000" w:sz="8" w:space="0"/>
            </w:tcBorders>
            <w:shd w:val="clear" w:color="auto" w:fill="FFFFFF"/>
            <w:vAlign w:val="center"/>
          </w:tcPr>
          <w:p>
            <w:pPr>
              <w:widowControl/>
              <w:spacing w:line="360" w:lineRule="auto"/>
              <w:jc w:val="center"/>
              <w:textAlignment w:val="center"/>
              <w:rPr>
                <w:rFonts w:ascii="黑体" w:hAnsi="黑体" w:eastAsia="黑体" w:cs="黑体"/>
                <w:color w:val="000000" w:themeColor="text1"/>
                <w:szCs w:val="21"/>
                <w14:textFill>
                  <w14:solidFill>
                    <w14:schemeClr w14:val="tx1"/>
                  </w14:solidFill>
                </w14:textFill>
              </w:rPr>
            </w:pPr>
          </w:p>
        </w:tc>
        <w:tc>
          <w:tcPr>
            <w:tcW w:w="443" w:type="pct"/>
            <w:tcBorders>
              <w:top w:val="single" w:color="000000" w:sz="8" w:space="0"/>
              <w:left w:val="nil"/>
              <w:bottom w:val="single" w:color="000000" w:sz="8" w:space="0"/>
              <w:right w:val="single" w:color="000000" w:sz="8" w:space="0"/>
            </w:tcBorders>
            <w:shd w:val="clear" w:color="auto" w:fill="FFFFFF"/>
            <w:vAlign w:val="center"/>
          </w:tcPr>
          <w:p>
            <w:pPr>
              <w:widowControl/>
              <w:spacing w:line="360" w:lineRule="auto"/>
              <w:jc w:val="center"/>
              <w:textAlignment w:val="center"/>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16</w:t>
            </w:r>
          </w:p>
        </w:tc>
        <w:tc>
          <w:tcPr>
            <w:tcW w:w="732" w:type="pct"/>
            <w:vMerge w:val="continue"/>
            <w:tcBorders>
              <w:top w:val="single" w:color="000000" w:sz="8" w:space="0"/>
              <w:left w:val="nil"/>
              <w:bottom w:val="single" w:color="000000" w:sz="8" w:space="0"/>
              <w:right w:val="single" w:color="000000" w:sz="8" w:space="0"/>
            </w:tcBorders>
            <w:shd w:val="clear" w:color="auto" w:fill="FFFFFF"/>
            <w:vAlign w:val="center"/>
          </w:tcPr>
          <w:p>
            <w:pPr>
              <w:spacing w:line="360" w:lineRule="auto"/>
              <w:jc w:val="center"/>
              <w:rPr>
                <w:rFonts w:ascii="黑体" w:hAnsi="黑体" w:eastAsia="黑体" w:cs="黑体"/>
                <w:color w:val="000000" w:themeColor="text1"/>
                <w:szCs w:val="21"/>
                <w14:textFill>
                  <w14:solidFill>
                    <w14:schemeClr w14:val="tx1"/>
                  </w14:solidFill>
                </w14:textFill>
              </w:rPr>
            </w:pPr>
          </w:p>
        </w:tc>
        <w:tc>
          <w:tcPr>
            <w:tcW w:w="431" w:type="pct"/>
            <w:vMerge w:val="continue"/>
            <w:tcBorders>
              <w:left w:val="nil"/>
              <w:bottom w:val="single" w:color="000000" w:sz="8" w:space="0"/>
            </w:tcBorders>
            <w:shd w:val="clear" w:color="auto" w:fill="FFFFFF"/>
            <w:vAlign w:val="center"/>
          </w:tcPr>
          <w:p>
            <w:pPr>
              <w:widowControl/>
              <w:spacing w:line="360" w:lineRule="auto"/>
              <w:jc w:val="center"/>
              <w:textAlignment w:val="center"/>
              <w:rPr>
                <w:rFonts w:ascii="黑体" w:hAnsi="黑体" w:eastAsia="黑体" w:cs="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922" w:type="pct"/>
            <w:gridSpan w:val="2"/>
            <w:tcBorders>
              <w:top w:val="nil"/>
              <w:right w:val="single" w:color="000000" w:sz="8" w:space="0"/>
            </w:tcBorders>
            <w:shd w:val="clear" w:color="auto" w:fill="FFFFFF"/>
            <w:vAlign w:val="center"/>
          </w:tcPr>
          <w:p>
            <w:pPr>
              <w:widowControl/>
              <w:spacing w:line="360" w:lineRule="auto"/>
              <w:jc w:val="center"/>
              <w:textAlignment w:val="center"/>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kern w:val="0"/>
                <w:szCs w:val="21"/>
                <w:lang w:bidi="ar"/>
                <w14:textFill>
                  <w14:solidFill>
                    <w14:schemeClr w14:val="tx1"/>
                  </w14:solidFill>
                </w14:textFill>
              </w:rPr>
              <w:t>合计</w:t>
            </w:r>
          </w:p>
        </w:tc>
        <w:tc>
          <w:tcPr>
            <w:tcW w:w="3077" w:type="pct"/>
            <w:gridSpan w:val="4"/>
            <w:tcBorders>
              <w:top w:val="nil"/>
              <w:left w:val="nil"/>
            </w:tcBorders>
            <w:shd w:val="clear" w:color="auto" w:fill="FFFFFF"/>
            <w:vAlign w:val="center"/>
          </w:tcPr>
          <w:p>
            <w:pPr>
              <w:widowControl/>
              <w:spacing w:line="360" w:lineRule="auto"/>
              <w:jc w:val="left"/>
              <w:textAlignment w:val="center"/>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kern w:val="0"/>
                <w:szCs w:val="21"/>
                <w:lang w:bidi="ar"/>
                <w14:textFill>
                  <w14:solidFill>
                    <w14:schemeClr w14:val="tx1"/>
                  </w14:solidFill>
                </w14:textFill>
              </w:rPr>
              <w:t>小写：</w:t>
            </w:r>
            <w:r>
              <w:rPr>
                <w:rStyle w:val="71"/>
                <w:rFonts w:hint="default" w:ascii="黑体" w:hAnsi="黑体" w:eastAsia="黑体" w:cs="黑体"/>
                <w:b w:val="0"/>
                <w:bCs w:val="0"/>
                <w:color w:val="000000" w:themeColor="text1"/>
                <w:lang w:bidi="ar"/>
                <w14:textFill>
                  <w14:solidFill>
                    <w14:schemeClr w14:val="tx1"/>
                  </w14:solidFill>
                </w14:textFill>
              </w:rPr>
              <w:t xml:space="preserve">                 </w:t>
            </w:r>
            <w:r>
              <w:rPr>
                <w:rStyle w:val="71"/>
                <w:rFonts w:hint="default" w:ascii="黑体" w:hAnsi="黑体" w:eastAsia="黑体" w:cs="黑体"/>
                <w:color w:val="000000" w:themeColor="text1"/>
                <w:lang w:bidi="ar"/>
                <w14:textFill>
                  <w14:solidFill>
                    <w14:schemeClr w14:val="tx1"/>
                  </w14:solidFill>
                </w14:textFill>
              </w:rPr>
              <w:t>大写：</w:t>
            </w:r>
            <w:r>
              <w:rPr>
                <w:rFonts w:hint="eastAsia" w:ascii="黑体" w:hAnsi="黑体" w:eastAsia="黑体" w:cs="黑体"/>
                <w:b/>
                <w:bCs/>
                <w:color w:val="000000" w:themeColor="text1"/>
                <w:szCs w:val="21"/>
                <w14:textFill>
                  <w14:solidFill>
                    <w14:schemeClr w14:val="tx1"/>
                  </w14:solidFill>
                </w14:textFill>
              </w:rPr>
              <w:t xml:space="preserve"> </w:t>
            </w:r>
          </w:p>
        </w:tc>
      </w:tr>
    </w:tbl>
    <w:p>
      <w:pPr>
        <w:spacing w:before="156" w:beforeLines="50" w:line="360" w:lineRule="auto"/>
        <w:ind w:firstLine="422" w:firstLineChars="200"/>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szCs w:val="21"/>
          <w14:textFill>
            <w14:solidFill>
              <w14:schemeClr w14:val="tx1"/>
            </w14:solidFill>
          </w14:textFill>
        </w:rPr>
        <w:t>第二条　服务内容</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2.1 由乙方为甲方提供信息系统服务，处理国家规定的基本公共卫生服务、医患沟通交流、工作统计、健康档案管理。</w:t>
      </w:r>
    </w:p>
    <w:p>
      <w:pPr>
        <w:pStyle w:val="6"/>
        <w:spacing w:before="0" w:after="0" w:line="360" w:lineRule="auto"/>
        <w:ind w:firstLine="420" w:firstLineChars="200"/>
        <w:rPr>
          <w:rFonts w:ascii="黑体" w:hAnsi="黑体" w:eastAsia="黑体" w:cs="黑体"/>
          <w:b w:val="0"/>
          <w:bCs w:val="0"/>
          <w:color w:val="000000" w:themeColor="text1"/>
          <w:sz w:val="21"/>
          <w:szCs w:val="21"/>
          <w14:textFill>
            <w14:solidFill>
              <w14:schemeClr w14:val="tx1"/>
            </w14:solidFill>
          </w14:textFill>
        </w:rPr>
      </w:pPr>
      <w:r>
        <w:rPr>
          <w:rFonts w:hint="eastAsia" w:ascii="黑体" w:hAnsi="黑体" w:eastAsia="黑体" w:cs="黑体"/>
          <w:b w:val="0"/>
          <w:bCs w:val="0"/>
          <w:color w:val="000000" w:themeColor="text1"/>
          <w:sz w:val="21"/>
          <w:szCs w:val="21"/>
          <w14:textFill>
            <w14:solidFill>
              <w14:schemeClr w14:val="tx1"/>
            </w14:solidFill>
          </w14:textFill>
        </w:rPr>
        <w:t>2.2 提高甲方工作的积极性和工作效率，为开展基层公共卫生、基本医疗服务提供有力的支撑。</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2.3 同时可通过智能医疗检测设备和身份证读卡器，提供居民健康数据，帮助居民时刻关注其健康状况，也为甲方提供远程健康监控、居民远程健康管理。通过读卡器读取身份信息，方便快捷建档和实施医疗服务。</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2.4 按照甲方提出的规范要求将居民的体检信息导入社卫系统或妇幼系统。</w:t>
      </w:r>
    </w:p>
    <w:p>
      <w:pPr>
        <w:spacing w:before="156" w:beforeLines="50" w:line="360" w:lineRule="auto"/>
        <w:ind w:firstLine="422" w:firstLineChars="200"/>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szCs w:val="21"/>
          <w14:textFill>
            <w14:solidFill>
              <w14:schemeClr w14:val="tx1"/>
            </w14:solidFill>
          </w14:textFill>
        </w:rPr>
        <w:t>第三条  服务项目期限</w:t>
      </w:r>
    </w:p>
    <w:p>
      <w:pPr>
        <w:spacing w:line="360" w:lineRule="auto"/>
        <w:ind w:firstLine="420" w:firstLineChars="200"/>
        <w:jc w:val="left"/>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3.1本项目服务项目期限自</w:t>
      </w:r>
      <w:r>
        <w:rPr>
          <w:rFonts w:hint="eastAsia" w:ascii="黑体" w:hAnsi="黑体" w:eastAsia="黑体" w:cs="黑体"/>
          <w:color w:val="000000" w:themeColor="text1"/>
          <w:szCs w:val="21"/>
          <w:u w:val="single"/>
          <w14:textFill>
            <w14:solidFill>
              <w14:schemeClr w14:val="tx1"/>
            </w14:solidFill>
          </w14:textFill>
        </w:rPr>
        <w:t xml:space="preserve">    </w:t>
      </w:r>
      <w:r>
        <w:rPr>
          <w:rFonts w:hint="eastAsia" w:ascii="黑体" w:hAnsi="黑体" w:eastAsia="黑体" w:cs="黑体"/>
          <w:color w:val="000000" w:themeColor="text1"/>
          <w:szCs w:val="21"/>
          <w:u w:val="single" w:color="000000"/>
          <w14:textFill>
            <w14:solidFill>
              <w14:schemeClr w14:val="tx1"/>
            </w14:solidFill>
          </w14:textFill>
        </w:rPr>
        <w:t>年</w:t>
      </w:r>
      <w:r>
        <w:rPr>
          <w:rFonts w:hint="eastAsia" w:ascii="黑体" w:hAnsi="黑体" w:eastAsia="黑体" w:cs="黑体"/>
          <w:color w:val="000000" w:themeColor="text1"/>
          <w:szCs w:val="21"/>
          <w:u w:val="single"/>
          <w14:textFill>
            <w14:solidFill>
              <w14:schemeClr w14:val="tx1"/>
            </w14:solidFill>
          </w14:textFill>
        </w:rPr>
        <w:t xml:space="preserve">    </w:t>
      </w:r>
      <w:r>
        <w:rPr>
          <w:rFonts w:hint="eastAsia" w:ascii="黑体" w:hAnsi="黑体" w:eastAsia="黑体" w:cs="黑体"/>
          <w:color w:val="000000" w:themeColor="text1"/>
          <w:szCs w:val="21"/>
          <w:u w:val="single" w:color="000000"/>
          <w14:textFill>
            <w14:solidFill>
              <w14:schemeClr w14:val="tx1"/>
            </w14:solidFill>
          </w14:textFill>
        </w:rPr>
        <w:t>月    日至</w:t>
      </w:r>
      <w:r>
        <w:rPr>
          <w:rFonts w:hint="eastAsia" w:ascii="黑体" w:hAnsi="黑体" w:eastAsia="黑体" w:cs="黑体"/>
          <w:color w:val="000000" w:themeColor="text1"/>
          <w:szCs w:val="21"/>
          <w:u w:val="single"/>
          <w14:textFill>
            <w14:solidFill>
              <w14:schemeClr w14:val="tx1"/>
            </w14:solidFill>
          </w14:textFill>
        </w:rPr>
        <w:t xml:space="preserve">    </w:t>
      </w:r>
      <w:r>
        <w:rPr>
          <w:rFonts w:hint="eastAsia" w:ascii="黑体" w:hAnsi="黑体" w:eastAsia="黑体" w:cs="黑体"/>
          <w:color w:val="000000" w:themeColor="text1"/>
          <w:szCs w:val="21"/>
          <w:u w:val="single" w:color="000000"/>
          <w14:textFill>
            <w14:solidFill>
              <w14:schemeClr w14:val="tx1"/>
            </w14:solidFill>
          </w14:textFill>
        </w:rPr>
        <w:t>年</w:t>
      </w:r>
      <w:r>
        <w:rPr>
          <w:rFonts w:hint="eastAsia" w:ascii="黑体" w:hAnsi="黑体" w:eastAsia="黑体" w:cs="黑体"/>
          <w:color w:val="000000" w:themeColor="text1"/>
          <w:szCs w:val="21"/>
          <w:u w:val="single"/>
          <w14:textFill>
            <w14:solidFill>
              <w14:schemeClr w14:val="tx1"/>
            </w14:solidFill>
          </w14:textFill>
        </w:rPr>
        <w:t xml:space="preserve">    </w:t>
      </w:r>
      <w:r>
        <w:rPr>
          <w:rFonts w:hint="eastAsia" w:ascii="黑体" w:hAnsi="黑体" w:eastAsia="黑体" w:cs="黑体"/>
          <w:color w:val="000000" w:themeColor="text1"/>
          <w:szCs w:val="21"/>
          <w:u w:val="single" w:color="000000"/>
          <w14:textFill>
            <w14:solidFill>
              <w14:schemeClr w14:val="tx1"/>
            </w14:solidFill>
          </w14:textFill>
        </w:rPr>
        <w:t>月    日。</w:t>
      </w:r>
    </w:p>
    <w:p>
      <w:pPr>
        <w:spacing w:before="156" w:beforeLines="50" w:line="360" w:lineRule="auto"/>
        <w:ind w:firstLine="422" w:firstLineChars="200"/>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szCs w:val="21"/>
          <w14:textFill>
            <w14:solidFill>
              <w14:schemeClr w14:val="tx1"/>
            </w14:solidFill>
          </w14:textFill>
        </w:rPr>
        <w:t>第四条  服务总价</w:t>
      </w:r>
    </w:p>
    <w:p>
      <w:pPr>
        <w:spacing w:line="360" w:lineRule="auto"/>
        <w:ind w:firstLine="420" w:firstLineChars="200"/>
        <w:rPr>
          <w:rFonts w:ascii="黑体" w:hAnsi="黑体" w:eastAsia="黑体" w:cs="黑体"/>
          <w:color w:val="000000" w:themeColor="text1"/>
          <w:szCs w:val="21"/>
          <w:u w:val="single"/>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4.1 服务总价：</w:t>
      </w:r>
      <w:r>
        <w:rPr>
          <w:rFonts w:hint="eastAsia" w:ascii="黑体" w:hAnsi="黑体" w:eastAsia="黑体" w:cs="黑体"/>
          <w:color w:val="000000" w:themeColor="text1"/>
          <w:szCs w:val="21"/>
          <w:u w:val="single"/>
          <w14:textFill>
            <w14:solidFill>
              <w14:schemeClr w14:val="tx1"/>
            </w14:solidFill>
          </w14:textFill>
        </w:rPr>
        <w:t xml:space="preserve">      </w:t>
      </w:r>
      <w:r>
        <w:rPr>
          <w:rFonts w:hint="eastAsia" w:ascii="黑体" w:hAnsi="黑体" w:eastAsia="黑体" w:cs="黑体"/>
          <w:bCs/>
          <w:color w:val="000000" w:themeColor="text1"/>
          <w:kern w:val="0"/>
          <w:szCs w:val="21"/>
          <w:u w:val="single"/>
          <w14:textFill>
            <w14:solidFill>
              <w14:schemeClr w14:val="tx1"/>
            </w14:solidFill>
          </w14:textFill>
        </w:rPr>
        <w:t xml:space="preserve"> </w:t>
      </w:r>
      <w:r>
        <w:rPr>
          <w:rFonts w:hint="eastAsia" w:ascii="黑体" w:hAnsi="黑体" w:eastAsia="黑体" w:cs="黑体"/>
          <w:color w:val="000000" w:themeColor="text1"/>
          <w:szCs w:val="21"/>
          <w:u w:val="single"/>
          <w14:textFill>
            <w14:solidFill>
              <w14:schemeClr w14:val="tx1"/>
            </w14:solidFill>
          </w14:textFill>
        </w:rPr>
        <w:t>元（金额大写：          ）。</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4.2 付款时间为：详见合同第五条之约定</w:t>
      </w:r>
    </w:p>
    <w:p>
      <w:pPr>
        <w:spacing w:line="360" w:lineRule="auto"/>
        <w:ind w:firstLine="420" w:firstLineChars="200"/>
        <w:rPr>
          <w:rFonts w:ascii="黑体" w:hAnsi="黑体" w:eastAsia="黑体" w:cs="黑体"/>
          <w:color w:val="000000" w:themeColor="text1"/>
          <w:szCs w:val="21"/>
          <w:u w:val="single" w:color="000000"/>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4.3 付款方式：</w:t>
      </w:r>
      <w:r>
        <w:rPr>
          <w:rFonts w:hint="eastAsia" w:ascii="黑体" w:hAnsi="黑体" w:eastAsia="黑体" w:cs="黑体"/>
          <w:color w:val="000000" w:themeColor="text1"/>
          <w:szCs w:val="21"/>
          <w:u w:val="single" w:color="000000"/>
          <w14:textFill>
            <w14:solidFill>
              <w14:schemeClr w14:val="tx1"/>
            </w14:solidFill>
          </w14:textFill>
        </w:rPr>
        <w:t>电汇</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4.4 收款账号：</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 xml:space="preserve">公司名称: </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开户行：</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账号：</w:t>
      </w:r>
    </w:p>
    <w:p>
      <w:pPr>
        <w:spacing w:before="156" w:beforeLines="50" w:line="360" w:lineRule="auto"/>
        <w:ind w:firstLine="422" w:firstLineChars="200"/>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szCs w:val="21"/>
          <w14:textFill>
            <w14:solidFill>
              <w14:schemeClr w14:val="tx1"/>
            </w14:solidFill>
          </w14:textFill>
        </w:rPr>
        <w:t>第五条　支付方式</w:t>
      </w:r>
    </w:p>
    <w:p>
      <w:pPr>
        <w:tabs>
          <w:tab w:val="left" w:pos="305"/>
        </w:tabs>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5.1乙方将服务项目所涉的全部硬件向甲方交付且经过甲方验收合格后，由乙方根据服务项目金额开具发票并向甲方交付，甲方收到发票后</w:t>
      </w:r>
      <w:r>
        <w:rPr>
          <w:rFonts w:hint="eastAsia" w:ascii="黑体" w:hAnsi="黑体" w:eastAsia="黑体" w:cs="黑体"/>
          <w:color w:val="000000" w:themeColor="text1"/>
          <w:szCs w:val="21"/>
          <w:lang w:val="en-US" w:eastAsia="zh-CN"/>
          <w14:textFill>
            <w14:solidFill>
              <w14:schemeClr w14:val="tx1"/>
            </w14:solidFill>
          </w14:textFill>
        </w:rPr>
        <w:t>15日</w:t>
      </w:r>
      <w:r>
        <w:rPr>
          <w:rFonts w:hint="eastAsia" w:ascii="黑体" w:hAnsi="黑体" w:eastAsia="黑体" w:cs="黑体"/>
          <w:color w:val="000000" w:themeColor="text1"/>
          <w:szCs w:val="21"/>
          <w14:textFill>
            <w14:solidFill>
              <w14:schemeClr w14:val="tx1"/>
            </w14:solidFill>
          </w14:textFill>
        </w:rPr>
        <w:t>内向乙方支付全部费用；</w:t>
      </w:r>
    </w:p>
    <w:p>
      <w:pPr>
        <w:tabs>
          <w:tab w:val="left" w:pos="305"/>
        </w:tabs>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5.2乙方在甲方支付款项前须提供相应的发票。</w:t>
      </w:r>
    </w:p>
    <w:p>
      <w:pPr>
        <w:spacing w:before="156" w:beforeLines="50" w:line="360" w:lineRule="auto"/>
        <w:ind w:firstLine="422" w:firstLineChars="200"/>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szCs w:val="21"/>
          <w14:textFill>
            <w14:solidFill>
              <w14:schemeClr w14:val="tx1"/>
            </w14:solidFill>
          </w14:textFill>
        </w:rPr>
        <w:t>第六条  服务项目的设备的交付、归还及验收</w:t>
      </w:r>
    </w:p>
    <w:p>
      <w:pPr>
        <w:spacing w:line="360" w:lineRule="auto"/>
        <w:ind w:firstLine="420" w:firstLineChars="200"/>
        <w:rPr>
          <w:rFonts w:ascii="黑体" w:hAnsi="黑体" w:eastAsia="黑体" w:cs="黑体"/>
          <w:color w:val="000000" w:themeColor="text1"/>
          <w:szCs w:val="21"/>
          <w:u w:val="single"/>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6.1 合同履行期限：</w:t>
      </w:r>
      <w:r>
        <w:rPr>
          <w:rFonts w:hint="eastAsia" w:ascii="黑体" w:hAnsi="黑体" w:eastAsia="黑体" w:cs="黑体"/>
          <w:szCs w:val="21"/>
        </w:rPr>
        <w:t>供货期为合同签订后的7个工作日内交付合同约定的全部硬件并完成安装、调试、验收；服务期为验收合格之日起12个月。</w:t>
      </w:r>
    </w:p>
    <w:p>
      <w:pPr>
        <w:spacing w:line="360" w:lineRule="auto"/>
        <w:ind w:left="899" w:leftChars="228" w:hanging="420" w:hanging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6.2 服务项目的硬件的交付、归还运输费用</w:t>
      </w:r>
      <w:r>
        <w:rPr>
          <w:rFonts w:hint="eastAsia" w:ascii="黑体" w:hAnsi="黑体" w:eastAsia="黑体" w:cs="黑体"/>
          <w:color w:val="000000" w:themeColor="text1"/>
          <w:szCs w:val="21"/>
          <w:lang w:eastAsia="zh-CN"/>
          <w14:textFill>
            <w14:solidFill>
              <w14:schemeClr w14:val="tx1"/>
            </w14:solidFill>
          </w14:textFill>
        </w:rPr>
        <w:t>、</w:t>
      </w:r>
      <w:r>
        <w:rPr>
          <w:rFonts w:hint="eastAsia" w:ascii="黑体" w:hAnsi="黑体" w:eastAsia="黑体" w:cs="黑体"/>
          <w:color w:val="000000" w:themeColor="text1"/>
          <w:szCs w:val="21"/>
          <w:lang w:val="en-US" w:eastAsia="zh-CN"/>
          <w14:textFill>
            <w14:solidFill>
              <w14:schemeClr w14:val="tx1"/>
            </w14:solidFill>
          </w14:textFill>
        </w:rPr>
        <w:t>税费</w:t>
      </w:r>
      <w:r>
        <w:rPr>
          <w:rFonts w:hint="eastAsia" w:ascii="黑体" w:hAnsi="黑体" w:eastAsia="黑体" w:cs="黑体"/>
          <w:color w:val="000000" w:themeColor="text1"/>
          <w:szCs w:val="21"/>
          <w14:textFill>
            <w14:solidFill>
              <w14:schemeClr w14:val="tx1"/>
            </w14:solidFill>
          </w14:textFill>
        </w:rPr>
        <w:t>：由</w:t>
      </w:r>
      <w:r>
        <w:rPr>
          <w:rFonts w:hint="eastAsia" w:ascii="黑体" w:hAnsi="黑体" w:eastAsia="黑体" w:cs="黑体"/>
          <w:color w:val="000000" w:themeColor="text1"/>
          <w:szCs w:val="21"/>
          <w:u w:val="single" w:color="000000"/>
          <w14:textFill>
            <w14:solidFill>
              <w14:schemeClr w14:val="tx1"/>
            </w14:solidFill>
          </w14:textFill>
        </w:rPr>
        <w:t>乙方</w:t>
      </w:r>
      <w:r>
        <w:rPr>
          <w:rFonts w:hint="eastAsia" w:ascii="黑体" w:hAnsi="黑体" w:eastAsia="黑体" w:cs="黑体"/>
          <w:color w:val="000000" w:themeColor="text1"/>
          <w:szCs w:val="21"/>
          <w14:textFill>
            <w14:solidFill>
              <w14:schemeClr w14:val="tx1"/>
            </w14:solidFill>
          </w14:textFill>
        </w:rPr>
        <w:t>承担。</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6.3 服务项目信息系统结束时须经验收，服务项目结束时以甲方为主进行验收，同时出具书面验收证明。</w:t>
      </w:r>
    </w:p>
    <w:p>
      <w:pPr>
        <w:spacing w:before="156" w:beforeLines="50" w:line="360" w:lineRule="auto"/>
        <w:ind w:firstLine="422" w:firstLineChars="200"/>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szCs w:val="21"/>
          <w14:textFill>
            <w14:solidFill>
              <w14:schemeClr w14:val="tx1"/>
            </w14:solidFill>
          </w14:textFill>
        </w:rPr>
        <w:t>第七条  违约责任</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7.1如果任何一方违反其在本协议项下的义务，违约方应当赔偿守约方因此而遭受的一切损失（包括但不限于守约方因维权所支出的律师费、诉讼费、诉讼保全担保费、鉴定费、保全费等）。如果各方均有违约行为，则各方应当根据其各自的违约情形承担违约责任；</w:t>
      </w:r>
      <w:r>
        <w:rPr>
          <w:rFonts w:hint="eastAsia" w:ascii="黑体" w:hAnsi="黑体" w:eastAsia="黑体" w:cs="黑体"/>
          <w:color w:val="000000" w:themeColor="text1"/>
          <w:szCs w:val="21"/>
          <w14:textFill>
            <w14:solidFill>
              <w14:schemeClr w14:val="tx1"/>
            </w14:solidFill>
          </w14:textFill>
        </w:rPr>
        <w:br w:type="textWrapping"/>
      </w:r>
      <w:r>
        <w:rPr>
          <w:rFonts w:hint="eastAsia" w:ascii="黑体" w:hAnsi="黑体" w:eastAsia="黑体" w:cs="黑体"/>
          <w:color w:val="000000" w:themeColor="text1"/>
          <w:szCs w:val="21"/>
          <w14:textFill>
            <w14:solidFill>
              <w14:schemeClr w14:val="tx1"/>
            </w14:solidFill>
          </w14:textFill>
        </w:rPr>
        <w:t>　　7.2 如果甲方未能向乙方支付任何本协议项下的应付款项，则每迟延付款一天，甲方应当向乙方支付数额相当于应付款项万分之一的违约金。</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7.3如果乙方未能按合同约定提供合格的能实现本合同目的的服务，则乙方应当向甲方支付数额相当于应付款项20%的违约金。</w:t>
      </w:r>
    </w:p>
    <w:p>
      <w:pPr>
        <w:spacing w:before="156" w:beforeLines="50" w:line="360" w:lineRule="auto"/>
        <w:ind w:firstLine="422" w:firstLineChars="200"/>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szCs w:val="21"/>
          <w14:textFill>
            <w14:solidFill>
              <w14:schemeClr w14:val="tx1"/>
            </w14:solidFill>
          </w14:textFill>
        </w:rPr>
        <w:t>第八条 保密条款</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8.1甲乙双方对在项目履行过程中获悉的甲乙双方的技术资料、商业信息等情报负保密义务，不得以任何形式透露给除本协议用户方以外的其他方；</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8.2甲乙双方签署的合同信息（包括但不限于成交价格、技术信息、商务信息等）共同予以保密，不得向任何除本协议用户方以外的其他方透露；</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8.3甲乙双方保证不对对方提供的资料进行复制、仿制或未经对方许可交给除本项目用户方以外的其他方使用；</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8.4甲乙双方应当保证其雇员、代理人和协作企业等遵守本协议的义务，并为上述人员或企业违反本条规定的后果承担所有责任；</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8.5甲乙双方的保密义务并不因本协议的变更、解除、终止或执行完毕而解除，除非一方以书面形式同意解除对方的保密义务。违反保密义务的一方应当赔偿对方因此而造成的一切损失。</w:t>
      </w:r>
    </w:p>
    <w:p>
      <w:pPr>
        <w:spacing w:before="156" w:beforeLines="50" w:line="360" w:lineRule="auto"/>
        <w:ind w:firstLine="422" w:firstLineChars="200"/>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szCs w:val="21"/>
          <w14:textFill>
            <w14:solidFill>
              <w14:schemeClr w14:val="tx1"/>
            </w14:solidFill>
          </w14:textFill>
        </w:rPr>
        <w:t>第九条  合同的变更、终止与解除</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bookmarkStart w:id="170" w:name="_Toc8695"/>
      <w:bookmarkStart w:id="171" w:name="_Toc143701696"/>
      <w:bookmarkStart w:id="172" w:name="_Toc14991"/>
      <w:r>
        <w:rPr>
          <w:rFonts w:hint="eastAsia" w:ascii="黑体" w:hAnsi="黑体" w:eastAsia="黑体" w:cs="黑体"/>
          <w:color w:val="000000" w:themeColor="text1"/>
          <w:szCs w:val="21"/>
          <w14:textFill>
            <w14:solidFill>
              <w14:schemeClr w14:val="tx1"/>
            </w14:solidFill>
          </w14:textFill>
        </w:rPr>
        <w:t>9.1 甲方因实际需要发生变化，可在合同规定的服务项目期满前将部分或全部服务项目的设备归还乙方，也可在服务项目期满后继续使用，服务价格根据本合同按实际使用数量和时间据实计算。</w:t>
      </w:r>
      <w:bookmarkEnd w:id="170"/>
      <w:bookmarkEnd w:id="171"/>
      <w:bookmarkEnd w:id="172"/>
    </w:p>
    <w:p>
      <w:pPr>
        <w:spacing w:line="360" w:lineRule="auto"/>
        <w:ind w:firstLine="420" w:firstLineChars="200"/>
        <w:rPr>
          <w:rFonts w:ascii="黑体" w:hAnsi="黑体" w:eastAsia="黑体" w:cs="黑体"/>
          <w:color w:val="000000" w:themeColor="text1"/>
          <w:szCs w:val="21"/>
          <w14:textFill>
            <w14:solidFill>
              <w14:schemeClr w14:val="tx1"/>
            </w14:solidFill>
          </w14:textFill>
        </w:rPr>
      </w:pPr>
      <w:bookmarkStart w:id="173" w:name="_Toc21596"/>
      <w:bookmarkStart w:id="174" w:name="_Toc31249"/>
      <w:bookmarkStart w:id="175" w:name="_Toc143701697"/>
      <w:r>
        <w:rPr>
          <w:rFonts w:hint="eastAsia" w:ascii="黑体" w:hAnsi="黑体" w:eastAsia="黑体" w:cs="黑体"/>
          <w:color w:val="000000" w:themeColor="text1"/>
          <w:szCs w:val="21"/>
          <w14:textFill>
            <w14:solidFill>
              <w14:schemeClr w14:val="tx1"/>
            </w14:solidFill>
          </w14:textFill>
        </w:rPr>
        <w:t>9.2 乙方未按合同约定提供合格的能实现本合同目的的服务项目的设备，甲方有权选择解除本合同或要求乙方继续履行。</w:t>
      </w:r>
      <w:bookmarkEnd w:id="173"/>
      <w:bookmarkEnd w:id="174"/>
      <w:bookmarkEnd w:id="175"/>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9.3甲方不按时支付服务项目的金额超过三十天的，乙方可解除本合同。</w:t>
      </w:r>
    </w:p>
    <w:p>
      <w:pPr>
        <w:spacing w:before="156" w:beforeLines="50" w:line="360" w:lineRule="auto"/>
        <w:ind w:firstLine="422" w:firstLineChars="200"/>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szCs w:val="21"/>
          <w14:textFill>
            <w14:solidFill>
              <w14:schemeClr w14:val="tx1"/>
            </w14:solidFill>
          </w14:textFill>
        </w:rPr>
        <w:t>第十条　争议的解决方式</w:t>
      </w:r>
    </w:p>
    <w:p>
      <w:pPr>
        <w:spacing w:line="360" w:lineRule="auto"/>
        <w:ind w:firstLine="420" w:firstLineChars="20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 xml:space="preserve">合同履行发生争议时，由当事人双方协商解决；协商不成，双方可向甲方所在地人民法院提起诉讼。 </w:t>
      </w:r>
    </w:p>
    <w:p>
      <w:pPr>
        <w:spacing w:before="156" w:beforeLines="50" w:line="360" w:lineRule="auto"/>
        <w:ind w:firstLine="422" w:firstLineChars="200"/>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szCs w:val="21"/>
          <w14:textFill>
            <w14:solidFill>
              <w14:schemeClr w14:val="tx1"/>
            </w14:solidFill>
          </w14:textFill>
        </w:rPr>
        <w:t>第十一条　本合同一式</w:t>
      </w:r>
      <w:r>
        <w:rPr>
          <w:rFonts w:hint="eastAsia" w:ascii="黑体" w:hAnsi="黑体" w:eastAsia="黑体" w:cs="黑体"/>
          <w:b/>
          <w:bCs/>
          <w:color w:val="000000" w:themeColor="text1"/>
          <w:szCs w:val="21"/>
          <w:u w:val="single"/>
          <w14:textFill>
            <w14:solidFill>
              <w14:schemeClr w14:val="tx1"/>
            </w14:solidFill>
          </w14:textFill>
        </w:rPr>
        <w:t xml:space="preserve"> </w:t>
      </w:r>
      <w:r>
        <w:rPr>
          <w:rFonts w:hint="eastAsia" w:ascii="黑体" w:hAnsi="黑体" w:eastAsia="黑体" w:cs="黑体"/>
          <w:b/>
          <w:bCs/>
          <w:color w:val="000000" w:themeColor="text1"/>
          <w:szCs w:val="21"/>
          <w:u w:val="single" w:color="000000"/>
          <w14:textFill>
            <w14:solidFill>
              <w14:schemeClr w14:val="tx1"/>
            </w14:solidFill>
          </w14:textFill>
        </w:rPr>
        <w:t xml:space="preserve"> 4</w:t>
      </w:r>
      <w:r>
        <w:rPr>
          <w:rFonts w:hint="eastAsia" w:ascii="黑体" w:hAnsi="黑体" w:eastAsia="黑体" w:cs="黑体"/>
          <w:b/>
          <w:bCs/>
          <w:color w:val="000000" w:themeColor="text1"/>
          <w:szCs w:val="21"/>
          <w:u w:val="single"/>
          <w14:textFill>
            <w14:solidFill>
              <w14:schemeClr w14:val="tx1"/>
            </w14:solidFill>
          </w14:textFill>
        </w:rPr>
        <w:t xml:space="preserve">  </w:t>
      </w:r>
      <w:r>
        <w:rPr>
          <w:rFonts w:hint="eastAsia" w:ascii="黑体" w:hAnsi="黑体" w:eastAsia="黑体" w:cs="黑体"/>
          <w:b/>
          <w:bCs/>
          <w:color w:val="000000" w:themeColor="text1"/>
          <w:szCs w:val="21"/>
          <w14:textFill>
            <w14:solidFill>
              <w14:schemeClr w14:val="tx1"/>
            </w14:solidFill>
          </w14:textFill>
        </w:rPr>
        <w:t>份，甲方</w:t>
      </w:r>
      <w:r>
        <w:rPr>
          <w:rFonts w:hint="eastAsia" w:ascii="黑体" w:hAnsi="黑体" w:eastAsia="黑体" w:cs="黑体"/>
          <w:b/>
          <w:bCs/>
          <w:color w:val="000000" w:themeColor="text1"/>
          <w:szCs w:val="21"/>
          <w:u w:val="single"/>
          <w14:textFill>
            <w14:solidFill>
              <w14:schemeClr w14:val="tx1"/>
            </w14:solidFill>
          </w14:textFill>
        </w:rPr>
        <w:t xml:space="preserve"> 2 </w:t>
      </w:r>
      <w:r>
        <w:rPr>
          <w:rFonts w:hint="eastAsia" w:ascii="黑体" w:hAnsi="黑体" w:eastAsia="黑体" w:cs="黑体"/>
          <w:b/>
          <w:bCs/>
          <w:color w:val="000000" w:themeColor="text1"/>
          <w:szCs w:val="21"/>
          <w14:textFill>
            <w14:solidFill>
              <w14:schemeClr w14:val="tx1"/>
            </w14:solidFill>
          </w14:textFill>
        </w:rPr>
        <w:t>份，乙方</w:t>
      </w:r>
      <w:r>
        <w:rPr>
          <w:rFonts w:hint="eastAsia" w:ascii="黑体" w:hAnsi="黑体" w:eastAsia="黑体" w:cs="黑体"/>
          <w:b/>
          <w:bCs/>
          <w:color w:val="000000" w:themeColor="text1"/>
          <w:szCs w:val="21"/>
          <w:u w:val="single"/>
          <w14:textFill>
            <w14:solidFill>
              <w14:schemeClr w14:val="tx1"/>
            </w14:solidFill>
          </w14:textFill>
        </w:rPr>
        <w:t xml:space="preserve"> 2 </w:t>
      </w:r>
      <w:r>
        <w:rPr>
          <w:rFonts w:hint="eastAsia" w:ascii="黑体" w:hAnsi="黑体" w:eastAsia="黑体" w:cs="黑体"/>
          <w:b/>
          <w:bCs/>
          <w:color w:val="000000" w:themeColor="text1"/>
          <w:szCs w:val="21"/>
          <w14:textFill>
            <w14:solidFill>
              <w14:schemeClr w14:val="tx1"/>
            </w14:solidFill>
          </w14:textFill>
        </w:rPr>
        <w:t>份。</w:t>
      </w:r>
    </w:p>
    <w:p>
      <w:pPr>
        <w:spacing w:before="156" w:beforeLines="50" w:line="360" w:lineRule="auto"/>
        <w:ind w:firstLine="422" w:firstLineChars="200"/>
        <w:rPr>
          <w:rFonts w:ascii="黑体" w:hAnsi="黑体" w:eastAsia="黑体" w:cs="黑体"/>
          <w:b/>
          <w:bCs/>
          <w:color w:val="000000" w:themeColor="text1"/>
          <w:szCs w:val="21"/>
          <w14:textFill>
            <w14:solidFill>
              <w14:schemeClr w14:val="tx1"/>
            </w14:solidFill>
          </w14:textFill>
        </w:rPr>
      </w:pPr>
      <w:r>
        <w:rPr>
          <w:rFonts w:hint="eastAsia" w:ascii="黑体" w:hAnsi="黑体" w:eastAsia="黑体" w:cs="黑体"/>
          <w:b/>
          <w:bCs/>
          <w:color w:val="000000" w:themeColor="text1"/>
          <w:szCs w:val="21"/>
          <w14:textFill>
            <w14:solidFill>
              <w14:schemeClr w14:val="tx1"/>
            </w14:solidFill>
          </w14:textFill>
        </w:rPr>
        <w:t>第十二条  本合同自双方签字盖章之日起生效。本合同未尽事宜，合同双方另行协商。</w:t>
      </w:r>
    </w:p>
    <w:p>
      <w:pPr>
        <w:widowControl/>
        <w:jc w:val="center"/>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（以下无正文）</w:t>
      </w:r>
    </w:p>
    <w:p>
      <w:pPr>
        <w:pStyle w:val="6"/>
        <w:rPr>
          <w:rFonts w:ascii="黑体" w:hAnsi="黑体" w:eastAsia="黑体" w:cs="黑体"/>
          <w:color w:val="000000" w:themeColor="text1"/>
          <w:szCs w:val="21"/>
          <w14:textFill>
            <w14:solidFill>
              <w14:schemeClr w14:val="tx1"/>
            </w14:solidFill>
          </w14:textFill>
        </w:rPr>
      </w:pPr>
    </w:p>
    <w:p>
      <w:pPr>
        <w:rPr>
          <w:rFonts w:ascii="黑体" w:hAnsi="黑体" w:eastAsia="黑体" w:cs="黑体"/>
          <w:color w:val="000000" w:themeColor="text1"/>
          <w:szCs w:val="21"/>
          <w14:textFill>
            <w14:solidFill>
              <w14:schemeClr w14:val="tx1"/>
            </w14:solidFill>
          </w14:textFill>
        </w:rPr>
      </w:pPr>
    </w:p>
    <w:p>
      <w:pPr>
        <w:pStyle w:val="6"/>
        <w:jc w:val="center"/>
        <w:rPr>
          <w:rFonts w:ascii="黑体" w:hAnsi="黑体" w:eastAsia="黑体" w:cs="黑体"/>
          <w:b w:val="0"/>
          <w:bCs w:val="0"/>
          <w:color w:val="000000" w:themeColor="text1"/>
          <w:sz w:val="21"/>
          <w:szCs w:val="21"/>
          <w14:textFill>
            <w14:solidFill>
              <w14:schemeClr w14:val="tx1"/>
            </w14:solidFill>
          </w14:textFill>
        </w:rPr>
      </w:pPr>
      <w:r>
        <w:rPr>
          <w:rFonts w:hint="eastAsia" w:ascii="黑体" w:hAnsi="黑体" w:eastAsia="黑体" w:cs="黑体"/>
          <w:b w:val="0"/>
          <w:bCs w:val="0"/>
          <w:color w:val="000000" w:themeColor="text1"/>
          <w:sz w:val="21"/>
          <w:szCs w:val="21"/>
          <w14:textFill>
            <w14:solidFill>
              <w14:schemeClr w14:val="tx1"/>
            </w14:solidFill>
          </w14:textFill>
        </w:rPr>
        <w:t>（此页无正文，为东莞市虎门中医院虎门镇老年人、儿童健康体检信息服务项目项目合同签字页）</w:t>
      </w:r>
    </w:p>
    <w:tbl>
      <w:tblPr>
        <w:tblStyle w:val="23"/>
        <w:tblpPr w:leftFromText="180" w:rightFromText="180" w:vertAnchor="text" w:horzAnchor="page" w:tblpX="1415" w:tblpY="510"/>
        <w:tblOverlap w:val="never"/>
        <w:tblW w:w="928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43"/>
        <w:gridCol w:w="46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pPr>
              <w:tabs>
                <w:tab w:val="left" w:pos="5385"/>
              </w:tabs>
              <w:spacing w:line="360" w:lineRule="auto"/>
              <w:jc w:val="left"/>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甲方（章）：东莞市虎门中医院</w:t>
            </w:r>
          </w:p>
        </w:tc>
        <w:tc>
          <w:tcPr>
            <w:tcW w:w="4643" w:type="dxa"/>
          </w:tcPr>
          <w:p>
            <w:pPr>
              <w:tabs>
                <w:tab w:val="left" w:pos="5385"/>
              </w:tabs>
              <w:spacing w:line="360" w:lineRule="auto"/>
              <w:jc w:val="left"/>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乙方（章）：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pPr>
              <w:tabs>
                <w:tab w:val="left" w:pos="5385"/>
              </w:tabs>
              <w:spacing w:line="360" w:lineRule="auto"/>
              <w:jc w:val="left"/>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法定代表人：</w:t>
            </w:r>
          </w:p>
        </w:tc>
        <w:tc>
          <w:tcPr>
            <w:tcW w:w="4643" w:type="dxa"/>
          </w:tcPr>
          <w:p>
            <w:pPr>
              <w:tabs>
                <w:tab w:val="left" w:pos="5385"/>
              </w:tabs>
              <w:spacing w:line="360" w:lineRule="auto"/>
              <w:jc w:val="left"/>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法定代表人：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pPr>
              <w:tabs>
                <w:tab w:val="left" w:pos="5385"/>
              </w:tabs>
              <w:spacing w:line="360" w:lineRule="auto"/>
              <w:jc w:val="left"/>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委托代理人：</w:t>
            </w:r>
          </w:p>
        </w:tc>
        <w:tc>
          <w:tcPr>
            <w:tcW w:w="4643" w:type="dxa"/>
          </w:tcPr>
          <w:p>
            <w:pPr>
              <w:tabs>
                <w:tab w:val="left" w:pos="5385"/>
              </w:tabs>
              <w:spacing w:line="360" w:lineRule="auto"/>
              <w:jc w:val="left"/>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委托代理人：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pPr>
              <w:tabs>
                <w:tab w:val="left" w:pos="5385"/>
              </w:tabs>
              <w:spacing w:line="360" w:lineRule="auto"/>
              <w:jc w:val="left"/>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 xml:space="preserve">开户银行： </w:t>
            </w:r>
          </w:p>
        </w:tc>
        <w:tc>
          <w:tcPr>
            <w:tcW w:w="4643" w:type="dxa"/>
          </w:tcPr>
          <w:p>
            <w:pPr>
              <w:tabs>
                <w:tab w:val="left" w:pos="5385"/>
              </w:tabs>
              <w:spacing w:line="360" w:lineRule="auto"/>
              <w:jc w:val="left"/>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pPr>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账号：</w:t>
            </w:r>
          </w:p>
        </w:tc>
        <w:tc>
          <w:tcPr>
            <w:tcW w:w="4643" w:type="dxa"/>
          </w:tcPr>
          <w:p>
            <w:pPr>
              <w:tabs>
                <w:tab w:val="left" w:pos="5385"/>
              </w:tabs>
              <w:spacing w:line="360" w:lineRule="auto"/>
              <w:jc w:val="left"/>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账号：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pPr>
              <w:tabs>
                <w:tab w:val="left" w:pos="5385"/>
              </w:tabs>
              <w:spacing w:line="360" w:lineRule="auto"/>
              <w:jc w:val="left"/>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签订时间：      年   月   日</w:t>
            </w:r>
          </w:p>
        </w:tc>
        <w:tc>
          <w:tcPr>
            <w:tcW w:w="4643" w:type="dxa"/>
          </w:tcPr>
          <w:p>
            <w:pPr>
              <w:tabs>
                <w:tab w:val="left" w:pos="5385"/>
              </w:tabs>
              <w:spacing w:line="360" w:lineRule="auto"/>
              <w:jc w:val="left"/>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签订时间：      年   月   日</w:t>
            </w:r>
          </w:p>
        </w:tc>
      </w:tr>
    </w:tbl>
    <w:p>
      <w:pPr>
        <w:pStyle w:val="63"/>
        <w:spacing w:line="360" w:lineRule="auto"/>
        <w:rPr>
          <w:rFonts w:ascii="黑体" w:hAnsi="黑体" w:eastAsia="黑体" w:cs="黑体"/>
          <w:szCs w:val="21"/>
        </w:rPr>
      </w:pPr>
    </w:p>
    <w:p>
      <w:pPr>
        <w:pStyle w:val="63"/>
        <w:spacing w:line="360" w:lineRule="auto"/>
        <w:rPr>
          <w:rFonts w:ascii="黑体" w:hAnsi="黑体" w:eastAsia="黑体"/>
          <w:szCs w:val="21"/>
        </w:rPr>
      </w:pPr>
    </w:p>
    <w:p>
      <w:pPr>
        <w:pStyle w:val="3"/>
        <w:keepNext w:val="0"/>
        <w:keepLines w:val="0"/>
        <w:pageBreakBefore/>
        <w:spacing w:line="360" w:lineRule="auto"/>
        <w:jc w:val="center"/>
        <w:rPr>
          <w:rFonts w:ascii="黑体" w:hAnsi="黑体" w:eastAsia="黑体"/>
          <w:spacing w:val="20"/>
          <w:sz w:val="32"/>
          <w:szCs w:val="32"/>
        </w:rPr>
      </w:pPr>
      <w:bookmarkStart w:id="176" w:name="_Toc405313957"/>
      <w:bookmarkStart w:id="177" w:name="_Toc521951137"/>
      <w:bookmarkStart w:id="178" w:name="_Toc17485"/>
      <w:bookmarkStart w:id="179" w:name="_Toc391627753"/>
      <w:r>
        <w:rPr>
          <w:rFonts w:hint="eastAsia" w:ascii="黑体" w:hAnsi="黑体" w:eastAsia="黑体"/>
          <w:spacing w:val="20"/>
          <w:sz w:val="32"/>
          <w:szCs w:val="32"/>
        </w:rPr>
        <w:t>第七部分</w:t>
      </w:r>
      <w:r>
        <w:rPr>
          <w:rFonts w:ascii="黑体" w:hAnsi="黑体" w:eastAsia="黑体"/>
          <w:spacing w:val="20"/>
          <w:sz w:val="32"/>
          <w:szCs w:val="32"/>
        </w:rPr>
        <w:t xml:space="preserve"> </w:t>
      </w:r>
      <w:r>
        <w:rPr>
          <w:rFonts w:hint="eastAsia" w:ascii="黑体" w:hAnsi="黑体" w:eastAsia="黑体"/>
          <w:spacing w:val="20"/>
          <w:sz w:val="32"/>
          <w:szCs w:val="32"/>
        </w:rPr>
        <w:t>响应文件格式</w:t>
      </w:r>
      <w:bookmarkEnd w:id="176"/>
      <w:bookmarkEnd w:id="177"/>
      <w:bookmarkEnd w:id="178"/>
      <w:bookmarkEnd w:id="179"/>
    </w:p>
    <w:p>
      <w:pPr>
        <w:pStyle w:val="4"/>
        <w:keepNext w:val="0"/>
        <w:numPr>
          <w:ilvl w:val="0"/>
          <w:numId w:val="105"/>
        </w:numPr>
        <w:spacing w:line="415" w:lineRule="auto"/>
        <w:jc w:val="left"/>
        <w:rPr>
          <w:rFonts w:ascii="黑体" w:hAnsi="黑体" w:eastAsia="黑体"/>
          <w:b w:val="0"/>
          <w:sz w:val="21"/>
          <w:szCs w:val="21"/>
        </w:rPr>
      </w:pPr>
      <w:bookmarkStart w:id="180" w:name="_Toc521951138"/>
      <w:bookmarkStart w:id="181" w:name="_Toc5781"/>
      <w:r>
        <w:rPr>
          <w:rStyle w:val="25"/>
          <w:rFonts w:hint="eastAsia" w:ascii="黑体" w:hAnsi="黑体" w:eastAsia="黑体"/>
          <w:b/>
          <w:bCs w:val="0"/>
          <w:spacing w:val="12"/>
          <w:sz w:val="21"/>
          <w:szCs w:val="21"/>
        </w:rPr>
        <w:t>价格部分格式（独立成册）</w:t>
      </w:r>
      <w:bookmarkEnd w:id="180"/>
      <w:bookmarkEnd w:id="181"/>
    </w:p>
    <w:p>
      <w:pPr>
        <w:spacing w:line="360" w:lineRule="auto"/>
        <w:jc w:val="right"/>
        <w:rPr>
          <w:rFonts w:ascii="黑体" w:hAnsi="黑体" w:eastAsia="黑体"/>
          <w:b/>
          <w:szCs w:val="21"/>
        </w:rPr>
      </w:pPr>
      <w:r>
        <w:rPr>
          <w:rFonts w:hint="eastAsia" w:ascii="黑体" w:hAnsi="黑体" w:eastAsia="黑体"/>
          <w:b/>
          <w:szCs w:val="21"/>
        </w:rPr>
        <w:t>正本</w:t>
      </w:r>
      <w:r>
        <w:rPr>
          <w:rFonts w:ascii="黑体" w:hAnsi="黑体" w:eastAsia="黑体"/>
          <w:b/>
          <w:szCs w:val="21"/>
        </w:rPr>
        <w:t>/副本</w:t>
      </w:r>
    </w:p>
    <w:p>
      <w:pPr>
        <w:spacing w:before="312" w:beforeLines="100" w:after="312" w:afterLines="100" w:line="360" w:lineRule="auto"/>
        <w:jc w:val="center"/>
        <w:rPr>
          <w:rFonts w:ascii="黑体" w:hAnsi="黑体" w:eastAsia="黑体" w:cs="黑体"/>
          <w:bCs/>
          <w:sz w:val="52"/>
          <w:szCs w:val="52"/>
        </w:rPr>
      </w:pPr>
      <w:r>
        <w:rPr>
          <w:rFonts w:hint="eastAsia" w:ascii="黑体" w:hAnsi="黑体" w:eastAsia="黑体" w:cs="黑体"/>
          <w:bCs/>
          <w:sz w:val="52"/>
          <w:szCs w:val="52"/>
        </w:rPr>
        <w:t>东莞市虎门中医院虎门镇老年人、儿童健康体检信息服务项目</w:t>
      </w:r>
    </w:p>
    <w:p>
      <w:pPr>
        <w:spacing w:line="360" w:lineRule="auto"/>
        <w:jc w:val="center"/>
        <w:rPr>
          <w:rFonts w:ascii="黑体" w:hAnsi="黑体" w:eastAsia="黑体"/>
          <w:b/>
          <w:szCs w:val="21"/>
        </w:rPr>
      </w:pPr>
      <w:r>
        <w:rPr>
          <w:rFonts w:hint="eastAsia" w:ascii="黑体" w:hAnsi="黑体" w:eastAsia="黑体"/>
          <w:b/>
          <w:szCs w:val="21"/>
        </w:rPr>
        <w:t>（项目编号：</w:t>
      </w:r>
      <w:r>
        <w:rPr>
          <w:rFonts w:ascii="黑体" w:hAnsi="黑体" w:eastAsia="黑体"/>
          <w:b/>
          <w:szCs w:val="21"/>
          <w:u w:val="single"/>
        </w:rPr>
        <w:t xml:space="preserve">             </w:t>
      </w:r>
      <w:r>
        <w:rPr>
          <w:rFonts w:hint="eastAsia" w:ascii="黑体" w:hAnsi="黑体" w:eastAsia="黑体"/>
          <w:b/>
          <w:szCs w:val="21"/>
        </w:rPr>
        <w:t>）</w:t>
      </w:r>
    </w:p>
    <w:p>
      <w:pPr>
        <w:spacing w:before="1248" w:beforeLines="400" w:line="360" w:lineRule="auto"/>
        <w:jc w:val="center"/>
        <w:rPr>
          <w:rFonts w:ascii="黑体" w:hAnsi="黑体" w:eastAsia="黑体"/>
          <w:b/>
          <w:spacing w:val="60"/>
          <w:sz w:val="72"/>
          <w:szCs w:val="72"/>
        </w:rPr>
      </w:pPr>
      <w:r>
        <w:rPr>
          <w:rFonts w:hint="eastAsia" w:ascii="黑体" w:hAnsi="黑体" w:eastAsia="黑体"/>
          <w:b/>
          <w:spacing w:val="60"/>
          <w:sz w:val="72"/>
          <w:szCs w:val="72"/>
        </w:rPr>
        <w:t>价格文件</w:t>
      </w:r>
    </w:p>
    <w:p>
      <w:pPr>
        <w:spacing w:after="1560" w:afterLines="500" w:line="360" w:lineRule="auto"/>
        <w:jc w:val="center"/>
        <w:rPr>
          <w:rFonts w:ascii="黑体" w:hAnsi="黑体" w:eastAsia="黑体"/>
          <w:b/>
          <w:szCs w:val="21"/>
        </w:rPr>
      </w:pPr>
      <w:r>
        <w:rPr>
          <w:rFonts w:hint="eastAsia" w:ascii="黑体" w:hAnsi="黑体" w:eastAsia="黑体"/>
          <w:b/>
          <w:szCs w:val="21"/>
        </w:rPr>
        <w:t>（封面格式仅供参考）</w:t>
      </w:r>
    </w:p>
    <w:tbl>
      <w:tblPr>
        <w:tblStyle w:val="23"/>
        <w:tblW w:w="79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30"/>
        <w:gridCol w:w="56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2330" w:type="dxa"/>
            <w:vAlign w:val="center"/>
          </w:tcPr>
          <w:p>
            <w:pPr>
              <w:spacing w:line="360" w:lineRule="auto"/>
              <w:jc w:val="center"/>
              <w:rPr>
                <w:rFonts w:ascii="黑体" w:hAnsi="黑体" w:eastAsia="黑体"/>
                <w:sz w:val="24"/>
                <w:szCs w:val="24"/>
              </w:rPr>
            </w:pPr>
            <w:r>
              <w:rPr>
                <w:rFonts w:hint="eastAsia" w:ascii="黑体" w:hAnsi="黑体" w:eastAsia="黑体"/>
                <w:spacing w:val="-10"/>
                <w:sz w:val="24"/>
                <w:szCs w:val="24"/>
              </w:rPr>
              <w:t>响应</w:t>
            </w:r>
            <w:r>
              <w:rPr>
                <w:rFonts w:hint="eastAsia" w:ascii="黑体" w:hAnsi="黑体" w:eastAsia="黑体"/>
                <w:sz w:val="24"/>
                <w:szCs w:val="24"/>
              </w:rPr>
              <w:t>供应商全称：</w:t>
            </w:r>
          </w:p>
        </w:tc>
        <w:tc>
          <w:tcPr>
            <w:tcW w:w="5644" w:type="dxa"/>
            <w:vAlign w:val="center"/>
          </w:tcPr>
          <w:p>
            <w:pPr>
              <w:spacing w:line="360" w:lineRule="auto"/>
              <w:jc w:val="left"/>
              <w:rPr>
                <w:rFonts w:ascii="黑体" w:hAnsi="黑体" w:eastAsia="黑体"/>
                <w:sz w:val="24"/>
                <w:szCs w:val="24"/>
                <w:u w:val="single"/>
              </w:rPr>
            </w:pPr>
            <w:r>
              <w:rPr>
                <w:rFonts w:ascii="黑体" w:hAnsi="黑体" w:eastAsia="黑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2330" w:type="dxa"/>
            <w:vAlign w:val="center"/>
          </w:tcPr>
          <w:p>
            <w:pPr>
              <w:spacing w:line="360" w:lineRule="auto"/>
              <w:jc w:val="center"/>
              <w:rPr>
                <w:rFonts w:ascii="黑体" w:hAnsi="黑体" w:eastAsia="黑体"/>
                <w:sz w:val="24"/>
                <w:szCs w:val="24"/>
              </w:rPr>
            </w:pPr>
            <w:r>
              <w:rPr>
                <w:rFonts w:hint="eastAsia" w:ascii="黑体" w:hAnsi="黑体" w:eastAsia="黑体"/>
                <w:sz w:val="24"/>
                <w:szCs w:val="24"/>
              </w:rPr>
              <w:t>响应供应商地址：</w:t>
            </w:r>
          </w:p>
        </w:tc>
        <w:tc>
          <w:tcPr>
            <w:tcW w:w="5644" w:type="dxa"/>
            <w:vAlign w:val="center"/>
          </w:tcPr>
          <w:p>
            <w:pPr>
              <w:spacing w:line="360" w:lineRule="auto"/>
              <w:jc w:val="left"/>
              <w:rPr>
                <w:rFonts w:ascii="黑体" w:hAnsi="黑体" w:eastAsia="黑体"/>
                <w:sz w:val="24"/>
                <w:szCs w:val="24"/>
                <w:u w:val="single"/>
              </w:rPr>
            </w:pPr>
            <w:r>
              <w:rPr>
                <w:rFonts w:ascii="黑体" w:hAnsi="黑体" w:eastAsia="黑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jc w:val="center"/>
        </w:trPr>
        <w:tc>
          <w:tcPr>
            <w:tcW w:w="2330" w:type="dxa"/>
            <w:vAlign w:val="center"/>
          </w:tcPr>
          <w:p>
            <w:pPr>
              <w:spacing w:line="360" w:lineRule="auto"/>
              <w:jc w:val="center"/>
              <w:rPr>
                <w:rFonts w:ascii="黑体" w:hAnsi="黑体" w:eastAsia="黑体"/>
                <w:spacing w:val="-10"/>
                <w:sz w:val="24"/>
                <w:szCs w:val="24"/>
              </w:rPr>
            </w:pPr>
            <w:r>
              <w:rPr>
                <w:rFonts w:hint="eastAsia" w:ascii="黑体" w:hAnsi="黑体" w:eastAsia="黑体"/>
                <w:spacing w:val="-10"/>
                <w:sz w:val="24"/>
                <w:szCs w:val="24"/>
              </w:rPr>
              <w:t>响应供应商联系人：</w:t>
            </w:r>
          </w:p>
        </w:tc>
        <w:tc>
          <w:tcPr>
            <w:tcW w:w="5644" w:type="dxa"/>
            <w:vAlign w:val="center"/>
          </w:tcPr>
          <w:p>
            <w:pPr>
              <w:spacing w:line="360" w:lineRule="auto"/>
              <w:jc w:val="left"/>
              <w:rPr>
                <w:rFonts w:ascii="黑体" w:hAnsi="黑体" w:eastAsia="黑体"/>
                <w:sz w:val="24"/>
                <w:szCs w:val="24"/>
                <w:u w:val="single"/>
              </w:rPr>
            </w:pPr>
            <w:r>
              <w:rPr>
                <w:rFonts w:ascii="黑体" w:hAnsi="黑体" w:eastAsia="黑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2330" w:type="dxa"/>
            <w:vAlign w:val="center"/>
          </w:tcPr>
          <w:p>
            <w:pPr>
              <w:spacing w:line="360" w:lineRule="auto"/>
              <w:jc w:val="center"/>
              <w:rPr>
                <w:rFonts w:ascii="黑体" w:hAnsi="黑体" w:eastAsia="黑体"/>
                <w:sz w:val="24"/>
                <w:szCs w:val="24"/>
              </w:rPr>
            </w:pPr>
            <w:r>
              <w:rPr>
                <w:rFonts w:hint="eastAsia" w:ascii="黑体" w:hAnsi="黑体" w:eastAsia="黑体"/>
                <w:spacing w:val="-10"/>
                <w:sz w:val="24"/>
                <w:szCs w:val="24"/>
              </w:rPr>
              <w:t>响应</w:t>
            </w:r>
            <w:r>
              <w:rPr>
                <w:rFonts w:hint="eastAsia" w:ascii="黑体" w:hAnsi="黑体" w:eastAsia="黑体"/>
                <w:sz w:val="24"/>
                <w:szCs w:val="24"/>
              </w:rPr>
              <w:t>供应商固话：</w:t>
            </w:r>
          </w:p>
        </w:tc>
        <w:tc>
          <w:tcPr>
            <w:tcW w:w="5644" w:type="dxa"/>
            <w:vAlign w:val="center"/>
          </w:tcPr>
          <w:p>
            <w:pPr>
              <w:spacing w:line="360" w:lineRule="auto"/>
              <w:jc w:val="left"/>
              <w:rPr>
                <w:rFonts w:ascii="黑体" w:hAnsi="黑体" w:eastAsia="黑体"/>
                <w:sz w:val="24"/>
                <w:szCs w:val="24"/>
                <w:u w:val="single"/>
              </w:rPr>
            </w:pPr>
            <w:r>
              <w:rPr>
                <w:rFonts w:ascii="黑体" w:hAnsi="黑体" w:eastAsia="黑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jc w:val="center"/>
        </w:trPr>
        <w:tc>
          <w:tcPr>
            <w:tcW w:w="2330" w:type="dxa"/>
            <w:vAlign w:val="center"/>
          </w:tcPr>
          <w:p>
            <w:pPr>
              <w:spacing w:line="360" w:lineRule="auto"/>
              <w:jc w:val="center"/>
              <w:rPr>
                <w:rFonts w:ascii="黑体" w:hAnsi="黑体" w:eastAsia="黑体"/>
                <w:sz w:val="24"/>
                <w:szCs w:val="24"/>
              </w:rPr>
            </w:pPr>
            <w:r>
              <w:rPr>
                <w:rFonts w:hint="eastAsia" w:ascii="黑体" w:hAnsi="黑体" w:eastAsia="黑体"/>
                <w:spacing w:val="-10"/>
                <w:sz w:val="24"/>
                <w:szCs w:val="24"/>
              </w:rPr>
              <w:t>响应</w:t>
            </w:r>
            <w:r>
              <w:rPr>
                <w:rFonts w:hint="eastAsia" w:ascii="黑体" w:hAnsi="黑体" w:eastAsia="黑体"/>
                <w:sz w:val="24"/>
                <w:szCs w:val="24"/>
              </w:rPr>
              <w:t>供应商传真：</w:t>
            </w:r>
          </w:p>
        </w:tc>
        <w:tc>
          <w:tcPr>
            <w:tcW w:w="5644" w:type="dxa"/>
            <w:vAlign w:val="center"/>
          </w:tcPr>
          <w:p>
            <w:pPr>
              <w:spacing w:line="360" w:lineRule="auto"/>
              <w:jc w:val="left"/>
              <w:rPr>
                <w:rFonts w:ascii="黑体" w:hAnsi="黑体" w:eastAsia="黑体"/>
                <w:sz w:val="24"/>
                <w:szCs w:val="24"/>
                <w:u w:val="single"/>
              </w:rPr>
            </w:pPr>
            <w:r>
              <w:rPr>
                <w:rFonts w:ascii="黑体" w:hAnsi="黑体" w:eastAsia="黑体"/>
                <w:sz w:val="24"/>
                <w:szCs w:val="24"/>
                <w:u w:val="single"/>
              </w:rPr>
              <w:t xml:space="preserve">                                       </w:t>
            </w:r>
          </w:p>
        </w:tc>
      </w:tr>
    </w:tbl>
    <w:p>
      <w:pPr>
        <w:spacing w:line="360" w:lineRule="auto"/>
        <w:rPr>
          <w:rFonts w:ascii="黑体" w:hAnsi="黑体" w:eastAsia="黑体"/>
          <w:szCs w:val="21"/>
        </w:rPr>
      </w:pPr>
    </w:p>
    <w:p>
      <w:pPr>
        <w:spacing w:before="468" w:beforeLines="150" w:line="600" w:lineRule="exact"/>
        <w:jc w:val="center"/>
        <w:rPr>
          <w:rFonts w:ascii="黑体" w:hAnsi="黑体" w:eastAsia="黑体"/>
          <w:b/>
          <w:bCs/>
          <w:spacing w:val="40"/>
          <w:sz w:val="24"/>
          <w:szCs w:val="24"/>
        </w:rPr>
      </w:pPr>
      <w:r>
        <w:rPr>
          <w:rFonts w:hint="eastAsia" w:ascii="黑体" w:hAnsi="黑体" w:eastAsia="黑体"/>
          <w:b/>
          <w:spacing w:val="40"/>
          <w:sz w:val="24"/>
          <w:szCs w:val="24"/>
        </w:rPr>
        <w:t>日期：  年</w:t>
      </w:r>
      <w:r>
        <w:rPr>
          <w:rFonts w:ascii="黑体" w:hAnsi="黑体" w:eastAsia="黑体"/>
          <w:b/>
          <w:spacing w:val="40"/>
          <w:sz w:val="24"/>
          <w:szCs w:val="24"/>
        </w:rPr>
        <w:t xml:space="preserve"> </w:t>
      </w:r>
      <w:r>
        <w:rPr>
          <w:rFonts w:hint="eastAsia" w:ascii="黑体" w:hAnsi="黑体" w:eastAsia="黑体"/>
          <w:b/>
          <w:spacing w:val="40"/>
          <w:sz w:val="24"/>
          <w:szCs w:val="24"/>
        </w:rPr>
        <w:t>月</w:t>
      </w:r>
      <w:r>
        <w:rPr>
          <w:rFonts w:ascii="黑体" w:hAnsi="黑体" w:eastAsia="黑体"/>
          <w:b/>
          <w:spacing w:val="40"/>
          <w:sz w:val="24"/>
          <w:szCs w:val="24"/>
        </w:rPr>
        <w:t xml:space="preserve"> </w:t>
      </w:r>
      <w:r>
        <w:rPr>
          <w:rFonts w:hint="eastAsia" w:ascii="黑体" w:hAnsi="黑体" w:eastAsia="黑体"/>
          <w:b/>
          <w:spacing w:val="40"/>
          <w:sz w:val="24"/>
          <w:szCs w:val="24"/>
        </w:rPr>
        <w:t>日</w:t>
      </w:r>
    </w:p>
    <w:p>
      <w:pPr>
        <w:pStyle w:val="4"/>
        <w:keepNext w:val="0"/>
        <w:keepLines w:val="0"/>
        <w:pageBreakBefore/>
        <w:numPr>
          <w:ilvl w:val="0"/>
          <w:numId w:val="106"/>
        </w:numPr>
        <w:spacing w:line="415" w:lineRule="auto"/>
        <w:jc w:val="left"/>
        <w:rPr>
          <w:rStyle w:val="25"/>
          <w:rFonts w:ascii="黑体" w:hAnsi="黑体" w:eastAsia="黑体"/>
          <w:b/>
          <w:bCs w:val="0"/>
          <w:spacing w:val="12"/>
          <w:sz w:val="21"/>
          <w:szCs w:val="21"/>
        </w:rPr>
      </w:pPr>
      <w:bookmarkStart w:id="182" w:name="_Toc405313958"/>
      <w:bookmarkStart w:id="183" w:name="_Toc391627754"/>
      <w:bookmarkStart w:id="184" w:name="_Toc521951139"/>
      <w:bookmarkStart w:id="185" w:name="_Toc16983"/>
      <w:r>
        <w:rPr>
          <w:rStyle w:val="25"/>
          <w:rFonts w:hint="eastAsia" w:ascii="黑体" w:hAnsi="黑体" w:eastAsia="黑体"/>
          <w:b/>
          <w:bCs w:val="0"/>
          <w:spacing w:val="12"/>
          <w:sz w:val="21"/>
          <w:szCs w:val="21"/>
        </w:rPr>
        <w:t>首次报价表</w:t>
      </w:r>
      <w:bookmarkEnd w:id="182"/>
      <w:bookmarkEnd w:id="183"/>
      <w:bookmarkEnd w:id="184"/>
      <w:bookmarkEnd w:id="185"/>
    </w:p>
    <w:p>
      <w:pPr>
        <w:spacing w:before="624" w:beforeLines="20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首次报价表</w:t>
      </w:r>
    </w:p>
    <w:tbl>
      <w:tblPr>
        <w:tblStyle w:val="2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17"/>
        <w:gridCol w:w="3762"/>
        <w:gridCol w:w="3914"/>
        <w:gridCol w:w="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5" w:hRule="atLeast"/>
          <w:jc w:val="center"/>
        </w:trPr>
        <w:tc>
          <w:tcPr>
            <w:tcW w:w="396"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黑体" w:hAnsi="黑体" w:eastAsia="黑体"/>
                <w:b/>
                <w:szCs w:val="21"/>
              </w:rPr>
            </w:pPr>
            <w:r>
              <w:rPr>
                <w:rFonts w:hint="eastAsia" w:ascii="黑体" w:hAnsi="黑体" w:eastAsia="黑体"/>
                <w:b/>
                <w:szCs w:val="21"/>
              </w:rPr>
              <w:t>序号</w:t>
            </w:r>
          </w:p>
        </w:tc>
        <w:tc>
          <w:tcPr>
            <w:tcW w:w="2079"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黑体" w:hAnsi="黑体" w:eastAsia="黑体"/>
                <w:b/>
                <w:szCs w:val="21"/>
              </w:rPr>
            </w:pPr>
            <w:r>
              <w:rPr>
                <w:rFonts w:hint="eastAsia" w:ascii="黑体" w:hAnsi="黑体" w:eastAsia="黑体"/>
                <w:b/>
                <w:szCs w:val="21"/>
              </w:rPr>
              <w:t>项目名称及项目编号</w:t>
            </w:r>
          </w:p>
        </w:tc>
        <w:tc>
          <w:tcPr>
            <w:tcW w:w="2163"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黑体" w:hAnsi="黑体" w:eastAsia="黑体"/>
                <w:b/>
                <w:szCs w:val="21"/>
              </w:rPr>
            </w:pPr>
            <w:r>
              <w:rPr>
                <w:rFonts w:hint="eastAsia" w:ascii="黑体" w:hAnsi="黑体" w:eastAsia="黑体"/>
                <w:b/>
                <w:szCs w:val="21"/>
              </w:rPr>
              <w:t>首次总报价（单位：元）</w:t>
            </w:r>
          </w:p>
        </w:tc>
        <w:tc>
          <w:tcPr>
            <w:tcW w:w="362"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黑体" w:hAnsi="黑体" w:eastAsia="黑体"/>
                <w:b/>
                <w:szCs w:val="21"/>
              </w:rPr>
            </w:pPr>
            <w:r>
              <w:rPr>
                <w:rFonts w:hint="eastAsia" w:ascii="黑体" w:hAnsi="黑体" w:eastAsia="黑体"/>
                <w:b/>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12"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黑体" w:hAnsi="黑体" w:eastAsia="黑体"/>
                <w:szCs w:val="21"/>
              </w:rPr>
            </w:pPr>
            <w:r>
              <w:rPr>
                <w:rFonts w:ascii="黑体" w:hAnsi="黑体" w:eastAsia="黑体"/>
                <w:szCs w:val="21"/>
              </w:rPr>
              <w:t>1</w:t>
            </w:r>
          </w:p>
        </w:tc>
        <w:tc>
          <w:tcPr>
            <w:tcW w:w="2079"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黑体" w:hAnsi="黑体" w:eastAsia="黑体"/>
                <w:szCs w:val="21"/>
              </w:rPr>
            </w:pPr>
          </w:p>
        </w:tc>
        <w:tc>
          <w:tcPr>
            <w:tcW w:w="2163"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left"/>
              <w:rPr>
                <w:rFonts w:ascii="黑体" w:hAnsi="黑体" w:eastAsia="黑体"/>
                <w:szCs w:val="21"/>
              </w:rPr>
            </w:pPr>
            <w:r>
              <w:rPr>
                <w:rFonts w:hint="eastAsia" w:ascii="黑体" w:hAnsi="黑体" w:eastAsia="黑体"/>
                <w:szCs w:val="21"/>
              </w:rPr>
              <w:t>大写：</w:t>
            </w:r>
            <w:r>
              <w:rPr>
                <w:rFonts w:ascii="黑体" w:hAnsi="黑体" w:eastAsia="黑体"/>
                <w:szCs w:val="21"/>
                <w:u w:val="single"/>
              </w:rPr>
              <w:t xml:space="preserve">                          </w:t>
            </w:r>
          </w:p>
          <w:p>
            <w:pPr>
              <w:overflowPunct w:val="0"/>
              <w:adjustRightInd w:val="0"/>
              <w:spacing w:line="460" w:lineRule="exact"/>
              <w:jc w:val="left"/>
              <w:rPr>
                <w:rFonts w:ascii="黑体" w:hAnsi="黑体" w:eastAsia="黑体"/>
                <w:szCs w:val="21"/>
                <w:u w:val="single"/>
              </w:rPr>
            </w:pPr>
            <w:r>
              <w:rPr>
                <w:rFonts w:hint="eastAsia" w:ascii="黑体" w:hAnsi="黑体" w:eastAsia="黑体"/>
                <w:szCs w:val="21"/>
              </w:rPr>
              <w:t>小写：</w:t>
            </w:r>
            <w:r>
              <w:rPr>
                <w:rFonts w:ascii="黑体" w:hAnsi="黑体" w:eastAsia="黑体"/>
                <w:szCs w:val="21"/>
                <w:u w:val="single"/>
              </w:rPr>
              <w:t xml:space="preserve">                          </w:t>
            </w:r>
          </w:p>
        </w:tc>
        <w:tc>
          <w:tcPr>
            <w:tcW w:w="362"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黑体" w:hAnsi="黑体" w:eastAsia="黑体"/>
                <w:szCs w:val="21"/>
              </w:rPr>
            </w:pPr>
          </w:p>
        </w:tc>
      </w:tr>
    </w:tbl>
    <w:p>
      <w:pPr>
        <w:spacing w:before="780" w:beforeLines="250" w:line="360" w:lineRule="auto"/>
        <w:rPr>
          <w:rFonts w:ascii="黑体" w:hAnsi="黑体" w:eastAsia="黑体"/>
          <w:szCs w:val="21"/>
        </w:rPr>
      </w:pPr>
      <w:r>
        <w:rPr>
          <w:rFonts w:hint="eastAsia" w:ascii="黑体" w:hAnsi="黑体" w:eastAsia="黑体"/>
          <w:szCs w:val="21"/>
        </w:rPr>
        <w:t>注明：</w:t>
      </w:r>
    </w:p>
    <w:p>
      <w:pPr>
        <w:pStyle w:val="30"/>
        <w:numPr>
          <w:ilvl w:val="0"/>
          <w:numId w:val="107"/>
        </w:numPr>
        <w:spacing w:line="360" w:lineRule="auto"/>
        <w:ind w:firstLineChars="0"/>
        <w:rPr>
          <w:rFonts w:ascii="黑体" w:hAnsi="黑体" w:eastAsia="黑体"/>
          <w:szCs w:val="21"/>
        </w:rPr>
      </w:pPr>
      <w:r>
        <w:rPr>
          <w:rFonts w:hint="eastAsia" w:ascii="黑体" w:hAnsi="黑体" w:eastAsia="黑体"/>
          <w:szCs w:val="21"/>
        </w:rPr>
        <w:t>首次总报价栏须用文字和数字两种方式表示的总价。</w:t>
      </w:r>
    </w:p>
    <w:p>
      <w:pPr>
        <w:pStyle w:val="30"/>
        <w:numPr>
          <w:ilvl w:val="0"/>
          <w:numId w:val="107"/>
        </w:numPr>
        <w:spacing w:line="360" w:lineRule="auto"/>
        <w:ind w:firstLineChars="0"/>
        <w:rPr>
          <w:rFonts w:ascii="黑体" w:hAnsi="黑体" w:eastAsia="黑体"/>
          <w:szCs w:val="21"/>
        </w:rPr>
      </w:pPr>
      <w:r>
        <w:rPr>
          <w:rFonts w:hint="eastAsia" w:ascii="黑体" w:hAnsi="黑体" w:eastAsia="黑体"/>
          <w:szCs w:val="21"/>
        </w:rPr>
        <w:t>首次报价表内容与响应文件中相应内容不一致的，以首次报价表为准。</w:t>
      </w:r>
    </w:p>
    <w:p>
      <w:pPr>
        <w:pStyle w:val="30"/>
        <w:numPr>
          <w:ilvl w:val="0"/>
          <w:numId w:val="107"/>
        </w:numPr>
        <w:spacing w:after="624" w:afterLines="200" w:line="360" w:lineRule="auto"/>
        <w:ind w:left="357" w:hanging="357" w:firstLineChars="0"/>
        <w:rPr>
          <w:rFonts w:ascii="黑体" w:hAnsi="黑体" w:eastAsia="黑体"/>
          <w:szCs w:val="21"/>
        </w:rPr>
      </w:pPr>
      <w:r>
        <w:rPr>
          <w:rFonts w:hint="eastAsia" w:ascii="黑体" w:hAnsi="黑体" w:eastAsia="黑体"/>
          <w:szCs w:val="21"/>
        </w:rPr>
        <w:t>大写金额和小写金额不一致的，以大写金额为准。</w:t>
      </w:r>
    </w:p>
    <w:p>
      <w:pPr>
        <w:spacing w:line="360" w:lineRule="auto"/>
        <w:rPr>
          <w:rFonts w:ascii="黑体" w:hAnsi="黑体" w:eastAsia="黑体"/>
          <w:szCs w:val="21"/>
        </w:rPr>
      </w:pPr>
    </w:p>
    <w:tbl>
      <w:tblPr>
        <w:tblStyle w:val="23"/>
        <w:tblW w:w="93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204"/>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pPr>
              <w:overflowPunct w:val="0"/>
              <w:adjustRightInd w:val="0"/>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p>
        </w:tc>
        <w:tc>
          <w:tcPr>
            <w:tcW w:w="3173" w:type="dxa"/>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pPr>
              <w:spacing w:line="360" w:lineRule="auto"/>
              <w:rPr>
                <w:rFonts w:ascii="黑体" w:hAnsi="黑体" w:eastAsia="黑体"/>
                <w:szCs w:val="21"/>
              </w:rPr>
            </w:pPr>
            <w:r>
              <w:rPr>
                <w:rFonts w:hint="eastAsia" w:ascii="黑体" w:hAnsi="黑体" w:eastAsia="黑体"/>
                <w:szCs w:val="21"/>
              </w:rPr>
              <w:t>响应供应商法定代表人或被授权人（签名或盖私章）：</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p>
        </w:tc>
        <w:tc>
          <w:tcPr>
            <w:tcW w:w="3173" w:type="dxa"/>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 w:hRule="atLeast"/>
        </w:trPr>
        <w:tc>
          <w:tcPr>
            <w:tcW w:w="6204" w:type="dxa"/>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3" w:type="dxa"/>
          </w:tcPr>
          <w:p>
            <w:pPr>
              <w:spacing w:line="360" w:lineRule="auto"/>
              <w:rPr>
                <w:rFonts w:ascii="黑体" w:hAnsi="黑体" w:eastAsia="黑体"/>
                <w:szCs w:val="21"/>
              </w:rPr>
            </w:pPr>
          </w:p>
        </w:tc>
      </w:tr>
    </w:tbl>
    <w:p>
      <w:pPr>
        <w:spacing w:line="360" w:lineRule="auto"/>
        <w:rPr>
          <w:rFonts w:ascii="黑体" w:hAnsi="黑体" w:eastAsia="黑体"/>
          <w:szCs w:val="21"/>
        </w:rPr>
      </w:pPr>
    </w:p>
    <w:p>
      <w:pPr>
        <w:pStyle w:val="4"/>
        <w:keepNext w:val="0"/>
        <w:keepLines w:val="0"/>
        <w:pageBreakBefore/>
        <w:numPr>
          <w:ilvl w:val="0"/>
          <w:numId w:val="106"/>
        </w:numPr>
        <w:spacing w:line="415" w:lineRule="auto"/>
        <w:jc w:val="left"/>
        <w:rPr>
          <w:rStyle w:val="25"/>
          <w:rFonts w:ascii="黑体" w:hAnsi="黑体" w:eastAsia="黑体"/>
          <w:b/>
          <w:bCs w:val="0"/>
          <w:spacing w:val="12"/>
          <w:sz w:val="21"/>
          <w:szCs w:val="21"/>
        </w:rPr>
      </w:pPr>
      <w:bookmarkStart w:id="186" w:name="_Toc31599"/>
      <w:bookmarkStart w:id="187" w:name="_Toc521951733"/>
      <w:bookmarkStart w:id="188" w:name="_Toc494567312"/>
      <w:r>
        <w:rPr>
          <w:rStyle w:val="25"/>
          <w:rFonts w:hint="eastAsia" w:ascii="黑体" w:hAnsi="黑体" w:eastAsia="黑体"/>
          <w:b/>
          <w:bCs w:val="0"/>
          <w:spacing w:val="12"/>
          <w:sz w:val="21"/>
          <w:szCs w:val="21"/>
        </w:rPr>
        <w:t>分项报价表</w:t>
      </w:r>
      <w:bookmarkEnd w:id="186"/>
      <w:bookmarkEnd w:id="187"/>
      <w:bookmarkEnd w:id="188"/>
    </w:p>
    <w:p>
      <w:pPr>
        <w:spacing w:before="624" w:beforeLines="200" w:after="312" w:afterLines="100" w:line="360" w:lineRule="auto"/>
        <w:jc w:val="center"/>
        <w:rPr>
          <w:rFonts w:ascii="黑体" w:hAnsi="黑体" w:eastAsia="黑体"/>
          <w:b/>
          <w:spacing w:val="20"/>
          <w:sz w:val="28"/>
          <w:szCs w:val="28"/>
        </w:rPr>
      </w:pPr>
      <w:bookmarkStart w:id="189" w:name="_Toc521951142"/>
      <w:r>
        <w:rPr>
          <w:rFonts w:hint="eastAsia" w:ascii="黑体" w:hAnsi="黑体" w:eastAsia="黑体"/>
          <w:b/>
          <w:spacing w:val="20"/>
          <w:sz w:val="28"/>
          <w:szCs w:val="28"/>
        </w:rPr>
        <w:t>分项报价表</w:t>
      </w:r>
    </w:p>
    <w:p>
      <w:pPr>
        <w:spacing w:line="360" w:lineRule="auto"/>
        <w:jc w:val="right"/>
        <w:rPr>
          <w:rFonts w:ascii="黑体" w:hAnsi="黑体" w:eastAsia="黑体"/>
          <w:b/>
          <w:color w:val="000000" w:themeColor="text1"/>
          <w:spacing w:val="20"/>
          <w:szCs w:val="21"/>
          <w14:textFill>
            <w14:solidFill>
              <w14:schemeClr w14:val="tx1"/>
            </w14:solidFill>
          </w14:textFill>
        </w:rPr>
      </w:pPr>
      <w:bookmarkStart w:id="190" w:name="_Hlk119416318"/>
      <w:r>
        <w:rPr>
          <w:rFonts w:hint="eastAsia" w:ascii="黑体" w:hAnsi="黑体" w:eastAsia="黑体"/>
          <w:b/>
          <w:color w:val="000000" w:themeColor="text1"/>
          <w:spacing w:val="20"/>
          <w:szCs w:val="21"/>
          <w14:textFill>
            <w14:solidFill>
              <w14:schemeClr w14:val="tx1"/>
            </w14:solidFill>
          </w14:textFill>
        </w:rPr>
        <w:t>报价单位：人民币元</w:t>
      </w:r>
    </w:p>
    <w:bookmarkEnd w:id="190"/>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2074"/>
        <w:gridCol w:w="1953"/>
        <w:gridCol w:w="1927"/>
        <w:gridCol w:w="2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7" w:type="pct"/>
            <w:vAlign w:val="center"/>
          </w:tcPr>
          <w:p>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序号</w:t>
            </w:r>
          </w:p>
        </w:tc>
        <w:tc>
          <w:tcPr>
            <w:tcW w:w="1146" w:type="pct"/>
            <w:vAlign w:val="center"/>
          </w:tcPr>
          <w:p>
            <w:pPr>
              <w:spacing w:line="360" w:lineRule="auto"/>
              <w:jc w:val="center"/>
              <w:rPr>
                <w:rFonts w:ascii="黑体" w:hAnsi="黑体" w:eastAsia="黑体"/>
                <w:b/>
                <w:color w:val="000000" w:themeColor="text1"/>
                <w:szCs w:val="21"/>
                <w14:textFill>
                  <w14:solidFill>
                    <w14:schemeClr w14:val="tx1"/>
                  </w14:solidFill>
                </w14:textFill>
              </w:rPr>
            </w:pPr>
            <w:r>
              <w:rPr>
                <w:rFonts w:ascii="黑体" w:hAnsi="黑体" w:eastAsia="黑体"/>
                <w:b/>
                <w:color w:val="000000" w:themeColor="text1"/>
                <w:szCs w:val="21"/>
                <w14:textFill>
                  <w14:solidFill>
                    <w14:schemeClr w14:val="tx1"/>
                  </w14:solidFill>
                </w14:textFill>
              </w:rPr>
              <w:t>分项名称</w:t>
            </w:r>
          </w:p>
        </w:tc>
        <w:tc>
          <w:tcPr>
            <w:tcW w:w="1079" w:type="pct"/>
            <w:vAlign w:val="center"/>
          </w:tcPr>
          <w:p>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单价（元）</w:t>
            </w:r>
          </w:p>
        </w:tc>
        <w:tc>
          <w:tcPr>
            <w:tcW w:w="1065" w:type="pct"/>
            <w:vAlign w:val="center"/>
          </w:tcPr>
          <w:p>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数量</w:t>
            </w:r>
          </w:p>
        </w:tc>
        <w:tc>
          <w:tcPr>
            <w:tcW w:w="1283" w:type="pct"/>
            <w:vAlign w:val="center"/>
          </w:tcPr>
          <w:p>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7"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146"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079"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065"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283"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7"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146"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079"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065"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283"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7"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146"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079"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065"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283"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7"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146"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079"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065"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283"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7"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146"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079"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065"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283"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27"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146"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079"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065"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283" w:type="pct"/>
            <w:vAlign w:val="center"/>
          </w:tcPr>
          <w:p>
            <w:pPr>
              <w:spacing w:line="360" w:lineRule="auto"/>
              <w:jc w:val="center"/>
              <w:rPr>
                <w:rFonts w:ascii="黑体" w:hAnsi="黑体"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2652" w:type="pct"/>
            <w:gridSpan w:val="3"/>
            <w:vAlign w:val="center"/>
          </w:tcPr>
          <w:p>
            <w:pPr>
              <w:spacing w:line="360" w:lineRule="auto"/>
              <w:jc w:val="right"/>
              <w:rPr>
                <w:rFonts w:ascii="黑体" w:hAnsi="黑体" w:eastAsia="黑体"/>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总价（元）</w:t>
            </w:r>
          </w:p>
        </w:tc>
        <w:tc>
          <w:tcPr>
            <w:tcW w:w="2348" w:type="pct"/>
            <w:gridSpan w:val="2"/>
            <w:vAlign w:val="center"/>
          </w:tcPr>
          <w:p>
            <w:pPr>
              <w:spacing w:line="360" w:lineRule="auto"/>
              <w:rPr>
                <w:rFonts w:ascii="黑体" w:hAnsi="黑体" w:eastAsia="黑体"/>
                <w:szCs w:val="21"/>
              </w:rPr>
            </w:pPr>
            <w:r>
              <w:rPr>
                <w:rFonts w:hint="eastAsia" w:ascii="黑体" w:hAnsi="黑体" w:eastAsia="黑体"/>
                <w:szCs w:val="21"/>
              </w:rPr>
              <w:t>大写：</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r>
              <w:rPr>
                <w:rFonts w:hint="eastAsia" w:ascii="黑体" w:hAnsi="黑体" w:eastAsia="黑体"/>
                <w:szCs w:val="21"/>
                <w:u w:val="single"/>
              </w:rPr>
              <w:t>元</w:t>
            </w:r>
          </w:p>
          <w:p>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szCs w:val="21"/>
              </w:rPr>
              <w:t>小写：</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r>
              <w:rPr>
                <w:rFonts w:hint="eastAsia" w:ascii="黑体" w:hAnsi="黑体" w:eastAsia="黑体"/>
                <w:szCs w:val="21"/>
                <w:u w:val="single"/>
              </w:rPr>
              <w:t>元</w:t>
            </w:r>
          </w:p>
        </w:tc>
      </w:tr>
    </w:tbl>
    <w:p>
      <w:pPr>
        <w:spacing w:before="312" w:beforeLines="100"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注明：</w:t>
      </w:r>
    </w:p>
    <w:p>
      <w:pPr>
        <w:pStyle w:val="68"/>
        <w:numPr>
          <w:ilvl w:val="0"/>
          <w:numId w:val="108"/>
        </w:numPr>
        <w:spacing w:line="360" w:lineRule="auto"/>
        <w:ind w:left="426" w:hanging="426"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此表为报价总表的分项报价表。</w:t>
      </w:r>
    </w:p>
    <w:p>
      <w:pPr>
        <w:pStyle w:val="68"/>
        <w:numPr>
          <w:ilvl w:val="0"/>
          <w:numId w:val="108"/>
        </w:numPr>
        <w:spacing w:line="360" w:lineRule="auto"/>
        <w:ind w:left="426" w:hanging="426"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如果单价和总价不符时，以单价为准，修正总价。</w:t>
      </w:r>
    </w:p>
    <w:p>
      <w:pPr>
        <w:pStyle w:val="68"/>
        <w:numPr>
          <w:ilvl w:val="0"/>
          <w:numId w:val="108"/>
        </w:numPr>
        <w:spacing w:line="360" w:lineRule="auto"/>
        <w:ind w:left="426" w:hanging="426"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响应供应商应列明按“采购需求”所要求提供的所有报价项的价格明细。</w:t>
      </w:r>
    </w:p>
    <w:p>
      <w:pPr>
        <w:spacing w:line="360" w:lineRule="auto"/>
        <w:rPr>
          <w:rFonts w:ascii="黑体" w:hAnsi="黑体" w:eastAsia="黑体"/>
          <w:szCs w:val="21"/>
        </w:rPr>
      </w:pPr>
    </w:p>
    <w:p>
      <w:pPr>
        <w:spacing w:line="360" w:lineRule="auto"/>
        <w:rPr>
          <w:rFonts w:ascii="黑体" w:hAnsi="黑体" w:eastAsia="黑体"/>
          <w:szCs w:val="21"/>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c>
          <w:tcPr>
            <w:tcW w:w="3175" w:type="dxa"/>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pPr>
              <w:spacing w:line="360" w:lineRule="auto"/>
              <w:rPr>
                <w:rFonts w:ascii="黑体" w:hAnsi="黑体" w:eastAsia="黑体"/>
                <w:szCs w:val="21"/>
              </w:rPr>
            </w:pPr>
          </w:p>
        </w:tc>
      </w:tr>
    </w:tbl>
    <w:p>
      <w:pPr>
        <w:spacing w:line="360" w:lineRule="auto"/>
        <w:rPr>
          <w:rFonts w:ascii="黑体" w:hAnsi="黑体" w:eastAsia="黑体"/>
          <w:szCs w:val="21"/>
        </w:rPr>
      </w:pPr>
    </w:p>
    <w:p>
      <w:pPr>
        <w:pStyle w:val="4"/>
        <w:keepNext w:val="0"/>
        <w:keepLines w:val="0"/>
        <w:pageBreakBefore/>
        <w:numPr>
          <w:ilvl w:val="0"/>
          <w:numId w:val="105"/>
        </w:numPr>
        <w:tabs>
          <w:tab w:val="left" w:pos="426"/>
          <w:tab w:val="left" w:pos="567"/>
        </w:tabs>
        <w:spacing w:line="360" w:lineRule="auto"/>
        <w:jc w:val="left"/>
        <w:rPr>
          <w:rStyle w:val="25"/>
          <w:rFonts w:ascii="黑体" w:hAnsi="黑体" w:eastAsia="黑体"/>
          <w:b/>
          <w:bCs w:val="0"/>
          <w:spacing w:val="12"/>
          <w:sz w:val="21"/>
        </w:rPr>
      </w:pPr>
      <w:bookmarkStart w:id="191" w:name="_Toc28284"/>
      <w:r>
        <w:rPr>
          <w:rStyle w:val="25"/>
          <w:rFonts w:hint="eastAsia" w:ascii="黑体" w:hAnsi="黑体" w:eastAsia="黑体"/>
          <w:b/>
          <w:bCs w:val="0"/>
          <w:spacing w:val="12"/>
          <w:sz w:val="21"/>
        </w:rPr>
        <w:t>商务技术文件格式</w:t>
      </w:r>
      <w:bookmarkEnd w:id="189"/>
      <w:bookmarkEnd w:id="191"/>
    </w:p>
    <w:p>
      <w:pPr>
        <w:spacing w:line="360" w:lineRule="auto"/>
        <w:ind w:right="105"/>
        <w:jc w:val="right"/>
        <w:rPr>
          <w:rFonts w:ascii="黑体" w:hAnsi="黑体" w:eastAsia="黑体"/>
          <w:b/>
          <w:szCs w:val="21"/>
        </w:rPr>
      </w:pPr>
      <w:r>
        <w:rPr>
          <w:rFonts w:hint="eastAsia" w:ascii="黑体" w:hAnsi="黑体" w:eastAsia="黑体"/>
          <w:b/>
          <w:szCs w:val="21"/>
        </w:rPr>
        <w:t>正本</w:t>
      </w:r>
      <w:r>
        <w:rPr>
          <w:rFonts w:ascii="黑体" w:hAnsi="黑体" w:eastAsia="黑体"/>
          <w:b/>
          <w:szCs w:val="21"/>
        </w:rPr>
        <w:t>/副本</w:t>
      </w:r>
    </w:p>
    <w:p>
      <w:pPr>
        <w:spacing w:line="360" w:lineRule="auto"/>
        <w:ind w:right="105"/>
        <w:jc w:val="right"/>
        <w:rPr>
          <w:rFonts w:ascii="黑体" w:hAnsi="黑体" w:eastAsia="黑体"/>
          <w:b/>
          <w:szCs w:val="21"/>
        </w:rPr>
      </w:pPr>
    </w:p>
    <w:p>
      <w:pPr>
        <w:spacing w:before="312" w:beforeLines="100" w:after="312" w:afterLines="100" w:line="360" w:lineRule="auto"/>
        <w:jc w:val="center"/>
        <w:rPr>
          <w:rFonts w:ascii="黑体" w:hAnsi="黑体" w:eastAsia="黑体"/>
          <w:bCs/>
          <w:sz w:val="52"/>
          <w:szCs w:val="52"/>
        </w:rPr>
      </w:pPr>
      <w:r>
        <w:rPr>
          <w:rFonts w:hint="eastAsia" w:ascii="黑体" w:hAnsi="黑体" w:eastAsia="黑体"/>
          <w:bCs/>
          <w:sz w:val="52"/>
          <w:szCs w:val="52"/>
        </w:rPr>
        <w:t>东莞</w:t>
      </w:r>
      <w:r>
        <w:rPr>
          <w:rFonts w:hint="eastAsia" w:ascii="黑体" w:hAnsi="黑体" w:eastAsia="黑体" w:cs="黑体"/>
          <w:bCs/>
          <w:color w:val="000000" w:themeColor="text1"/>
          <w:sz w:val="52"/>
          <w:szCs w:val="52"/>
          <w14:textFill>
            <w14:solidFill>
              <w14:schemeClr w14:val="tx1"/>
            </w14:solidFill>
          </w14:textFill>
        </w:rPr>
        <w:t>市虎门中医院虎门镇老年人、儿童健康体检信息服务</w:t>
      </w:r>
      <w:r>
        <w:rPr>
          <w:rFonts w:hint="eastAsia" w:ascii="黑体" w:hAnsi="黑体" w:eastAsia="黑体"/>
          <w:bCs/>
          <w:sz w:val="52"/>
          <w:szCs w:val="52"/>
        </w:rPr>
        <w:t>项目</w:t>
      </w:r>
    </w:p>
    <w:p>
      <w:pPr>
        <w:spacing w:line="360" w:lineRule="auto"/>
        <w:jc w:val="center"/>
        <w:rPr>
          <w:rFonts w:ascii="黑体" w:hAnsi="黑体" w:eastAsia="黑体"/>
          <w:b/>
          <w:szCs w:val="21"/>
        </w:rPr>
      </w:pPr>
    </w:p>
    <w:p>
      <w:pPr>
        <w:spacing w:line="360" w:lineRule="auto"/>
        <w:jc w:val="center"/>
        <w:rPr>
          <w:rFonts w:ascii="黑体" w:hAnsi="黑体" w:eastAsia="黑体"/>
          <w:b/>
          <w:szCs w:val="21"/>
        </w:rPr>
      </w:pPr>
      <w:r>
        <w:rPr>
          <w:rFonts w:hint="eastAsia" w:ascii="黑体" w:hAnsi="黑体" w:eastAsia="黑体"/>
          <w:b/>
          <w:szCs w:val="21"/>
        </w:rPr>
        <w:t>（项目编号：</w:t>
      </w:r>
      <w:r>
        <w:rPr>
          <w:rFonts w:ascii="黑体" w:hAnsi="黑体" w:eastAsia="黑体"/>
          <w:b/>
          <w:szCs w:val="21"/>
          <w:u w:val="single"/>
        </w:rPr>
        <w:t xml:space="preserve">             </w:t>
      </w:r>
      <w:r>
        <w:rPr>
          <w:rFonts w:hint="eastAsia" w:ascii="黑体" w:hAnsi="黑体" w:eastAsia="黑体"/>
          <w:b/>
          <w:szCs w:val="21"/>
        </w:rPr>
        <w:t>）</w:t>
      </w:r>
    </w:p>
    <w:p>
      <w:pPr>
        <w:spacing w:before="1404" w:beforeLines="450" w:line="360" w:lineRule="auto"/>
        <w:jc w:val="center"/>
        <w:rPr>
          <w:rFonts w:ascii="黑体" w:hAnsi="黑体" w:eastAsia="黑体"/>
          <w:b/>
          <w:spacing w:val="60"/>
          <w:sz w:val="72"/>
          <w:szCs w:val="72"/>
        </w:rPr>
      </w:pPr>
      <w:r>
        <w:rPr>
          <w:rFonts w:hint="eastAsia" w:ascii="黑体" w:hAnsi="黑体" w:eastAsia="黑体"/>
          <w:b/>
          <w:spacing w:val="60"/>
          <w:sz w:val="72"/>
          <w:szCs w:val="72"/>
        </w:rPr>
        <w:t>商务技术文件</w:t>
      </w:r>
    </w:p>
    <w:p>
      <w:pPr>
        <w:spacing w:after="2028" w:afterLines="650" w:line="360" w:lineRule="auto"/>
        <w:jc w:val="center"/>
        <w:rPr>
          <w:rFonts w:ascii="黑体" w:hAnsi="黑体" w:eastAsia="黑体"/>
          <w:b/>
          <w:szCs w:val="21"/>
        </w:rPr>
      </w:pPr>
      <w:r>
        <w:rPr>
          <w:rFonts w:hint="eastAsia" w:ascii="黑体" w:hAnsi="黑体" w:eastAsia="黑体"/>
          <w:b/>
          <w:szCs w:val="21"/>
        </w:rPr>
        <w:t>（封面格式仅供参考）</w:t>
      </w:r>
    </w:p>
    <w:tbl>
      <w:tblPr>
        <w:tblStyle w:val="23"/>
        <w:tblW w:w="73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49"/>
        <w:gridCol w:w="51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2249" w:type="dxa"/>
            <w:vAlign w:val="center"/>
          </w:tcPr>
          <w:p>
            <w:pPr>
              <w:spacing w:line="360" w:lineRule="auto"/>
              <w:jc w:val="center"/>
              <w:rPr>
                <w:rFonts w:ascii="黑体" w:hAnsi="黑体" w:eastAsia="黑体"/>
                <w:sz w:val="24"/>
                <w:szCs w:val="24"/>
              </w:rPr>
            </w:pPr>
            <w:bookmarkStart w:id="192" w:name="_Hlk16149355"/>
            <w:r>
              <w:rPr>
                <w:rFonts w:hint="eastAsia" w:ascii="黑体" w:hAnsi="黑体" w:eastAsia="黑体"/>
                <w:sz w:val="24"/>
                <w:szCs w:val="24"/>
              </w:rPr>
              <w:t>响应</w:t>
            </w:r>
            <w:bookmarkEnd w:id="192"/>
            <w:r>
              <w:rPr>
                <w:rFonts w:hint="eastAsia" w:ascii="黑体" w:hAnsi="黑体" w:eastAsia="黑体"/>
                <w:sz w:val="24"/>
                <w:szCs w:val="24"/>
              </w:rPr>
              <w:t>供应商全称：</w:t>
            </w:r>
          </w:p>
        </w:tc>
        <w:tc>
          <w:tcPr>
            <w:tcW w:w="5104" w:type="dxa"/>
            <w:vAlign w:val="center"/>
          </w:tcPr>
          <w:p>
            <w:pPr>
              <w:spacing w:line="360" w:lineRule="auto"/>
              <w:jc w:val="left"/>
              <w:rPr>
                <w:rFonts w:ascii="黑体" w:hAnsi="黑体" w:eastAsia="黑体"/>
                <w:sz w:val="24"/>
                <w:szCs w:val="24"/>
                <w:u w:val="single"/>
              </w:rPr>
            </w:pPr>
            <w:r>
              <w:rPr>
                <w:rFonts w:ascii="黑体" w:hAnsi="黑体" w:eastAsia="黑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2249" w:type="dxa"/>
            <w:vAlign w:val="center"/>
          </w:tcPr>
          <w:p>
            <w:pPr>
              <w:spacing w:line="360" w:lineRule="auto"/>
              <w:jc w:val="center"/>
              <w:rPr>
                <w:rFonts w:ascii="黑体" w:hAnsi="黑体" w:eastAsia="黑体"/>
                <w:sz w:val="24"/>
                <w:szCs w:val="24"/>
              </w:rPr>
            </w:pPr>
            <w:r>
              <w:rPr>
                <w:rFonts w:hint="eastAsia" w:ascii="黑体" w:hAnsi="黑体" w:eastAsia="黑体"/>
                <w:sz w:val="24"/>
                <w:szCs w:val="24"/>
              </w:rPr>
              <w:t>响应供应商地址：</w:t>
            </w:r>
          </w:p>
        </w:tc>
        <w:tc>
          <w:tcPr>
            <w:tcW w:w="5104" w:type="dxa"/>
            <w:vAlign w:val="center"/>
          </w:tcPr>
          <w:p>
            <w:pPr>
              <w:spacing w:line="360" w:lineRule="auto"/>
              <w:jc w:val="left"/>
              <w:rPr>
                <w:rFonts w:ascii="黑体" w:hAnsi="黑体" w:eastAsia="黑体"/>
                <w:sz w:val="24"/>
                <w:szCs w:val="24"/>
                <w:u w:val="single"/>
              </w:rPr>
            </w:pPr>
            <w:r>
              <w:rPr>
                <w:rFonts w:ascii="黑体" w:hAnsi="黑体" w:eastAsia="黑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2249" w:type="dxa"/>
            <w:vAlign w:val="center"/>
          </w:tcPr>
          <w:p>
            <w:pPr>
              <w:spacing w:line="360" w:lineRule="auto"/>
              <w:jc w:val="center"/>
              <w:rPr>
                <w:rFonts w:ascii="黑体" w:hAnsi="黑体" w:eastAsia="黑体"/>
                <w:spacing w:val="-10"/>
                <w:sz w:val="24"/>
                <w:szCs w:val="24"/>
              </w:rPr>
            </w:pPr>
            <w:r>
              <w:rPr>
                <w:rFonts w:hint="eastAsia" w:ascii="黑体" w:hAnsi="黑体" w:eastAsia="黑体"/>
                <w:sz w:val="24"/>
                <w:szCs w:val="24"/>
              </w:rPr>
              <w:t>响应</w:t>
            </w:r>
            <w:r>
              <w:rPr>
                <w:rFonts w:hint="eastAsia" w:ascii="黑体" w:hAnsi="黑体" w:eastAsia="黑体"/>
                <w:spacing w:val="-10"/>
                <w:sz w:val="24"/>
                <w:szCs w:val="24"/>
              </w:rPr>
              <w:t>供应商联系人：</w:t>
            </w:r>
          </w:p>
        </w:tc>
        <w:tc>
          <w:tcPr>
            <w:tcW w:w="5104" w:type="dxa"/>
            <w:vAlign w:val="center"/>
          </w:tcPr>
          <w:p>
            <w:pPr>
              <w:spacing w:line="360" w:lineRule="auto"/>
              <w:jc w:val="left"/>
              <w:rPr>
                <w:rFonts w:ascii="黑体" w:hAnsi="黑体" w:eastAsia="黑体"/>
                <w:sz w:val="24"/>
                <w:szCs w:val="24"/>
                <w:u w:val="single"/>
              </w:rPr>
            </w:pPr>
            <w:r>
              <w:rPr>
                <w:rFonts w:ascii="黑体" w:hAnsi="黑体" w:eastAsia="黑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2249" w:type="dxa"/>
            <w:vAlign w:val="center"/>
          </w:tcPr>
          <w:p>
            <w:pPr>
              <w:spacing w:line="360" w:lineRule="auto"/>
              <w:jc w:val="center"/>
              <w:rPr>
                <w:rFonts w:ascii="黑体" w:hAnsi="黑体" w:eastAsia="黑体"/>
                <w:sz w:val="24"/>
                <w:szCs w:val="24"/>
              </w:rPr>
            </w:pPr>
            <w:r>
              <w:rPr>
                <w:rFonts w:hint="eastAsia" w:ascii="黑体" w:hAnsi="黑体" w:eastAsia="黑体"/>
                <w:sz w:val="24"/>
                <w:szCs w:val="24"/>
              </w:rPr>
              <w:t>响应供应商固话：</w:t>
            </w:r>
          </w:p>
        </w:tc>
        <w:tc>
          <w:tcPr>
            <w:tcW w:w="5104" w:type="dxa"/>
            <w:vAlign w:val="center"/>
          </w:tcPr>
          <w:p>
            <w:pPr>
              <w:spacing w:line="360" w:lineRule="auto"/>
              <w:jc w:val="left"/>
              <w:rPr>
                <w:rFonts w:ascii="黑体" w:hAnsi="黑体" w:eastAsia="黑体"/>
                <w:sz w:val="24"/>
                <w:szCs w:val="24"/>
                <w:u w:val="single"/>
              </w:rPr>
            </w:pPr>
            <w:r>
              <w:rPr>
                <w:rFonts w:ascii="黑体" w:hAnsi="黑体" w:eastAsia="黑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2249" w:type="dxa"/>
            <w:vAlign w:val="center"/>
          </w:tcPr>
          <w:p>
            <w:pPr>
              <w:spacing w:line="360" w:lineRule="auto"/>
              <w:jc w:val="center"/>
              <w:rPr>
                <w:rFonts w:ascii="黑体" w:hAnsi="黑体" w:eastAsia="黑体"/>
                <w:sz w:val="24"/>
                <w:szCs w:val="24"/>
              </w:rPr>
            </w:pPr>
            <w:r>
              <w:rPr>
                <w:rFonts w:hint="eastAsia" w:ascii="黑体" w:hAnsi="黑体" w:eastAsia="黑体"/>
                <w:sz w:val="24"/>
                <w:szCs w:val="24"/>
              </w:rPr>
              <w:t>响应供应商传真：</w:t>
            </w:r>
          </w:p>
        </w:tc>
        <w:tc>
          <w:tcPr>
            <w:tcW w:w="5104" w:type="dxa"/>
            <w:vAlign w:val="center"/>
          </w:tcPr>
          <w:p>
            <w:pPr>
              <w:spacing w:line="360" w:lineRule="auto"/>
              <w:jc w:val="left"/>
              <w:rPr>
                <w:rFonts w:ascii="黑体" w:hAnsi="黑体" w:eastAsia="黑体"/>
                <w:sz w:val="24"/>
                <w:szCs w:val="24"/>
                <w:u w:val="single"/>
              </w:rPr>
            </w:pPr>
            <w:r>
              <w:rPr>
                <w:rFonts w:ascii="黑体" w:hAnsi="黑体" w:eastAsia="黑体"/>
                <w:sz w:val="24"/>
                <w:szCs w:val="24"/>
                <w:u w:val="single"/>
              </w:rPr>
              <w:t xml:space="preserve">                                       </w:t>
            </w:r>
          </w:p>
        </w:tc>
      </w:tr>
    </w:tbl>
    <w:p>
      <w:pPr>
        <w:spacing w:line="360" w:lineRule="auto"/>
        <w:rPr>
          <w:rFonts w:ascii="黑体" w:hAnsi="黑体" w:eastAsia="黑体"/>
          <w:szCs w:val="21"/>
        </w:rPr>
      </w:pPr>
    </w:p>
    <w:p>
      <w:pPr>
        <w:spacing w:before="312" w:beforeLines="100" w:after="156" w:afterLines="50" w:line="360" w:lineRule="auto"/>
        <w:jc w:val="center"/>
        <w:rPr>
          <w:rFonts w:ascii="黑体" w:hAnsi="黑体" w:eastAsia="黑体"/>
          <w:b/>
          <w:spacing w:val="40"/>
          <w:sz w:val="24"/>
          <w:szCs w:val="24"/>
        </w:rPr>
      </w:pPr>
      <w:r>
        <w:rPr>
          <w:rFonts w:hint="eastAsia" w:ascii="黑体" w:hAnsi="黑体" w:eastAsia="黑体"/>
          <w:b/>
          <w:spacing w:val="40"/>
          <w:sz w:val="24"/>
          <w:szCs w:val="24"/>
        </w:rPr>
        <w:t>日期：   年</w:t>
      </w:r>
      <w:r>
        <w:rPr>
          <w:rFonts w:ascii="黑体" w:hAnsi="黑体" w:eastAsia="黑体"/>
          <w:b/>
          <w:spacing w:val="40"/>
          <w:sz w:val="24"/>
          <w:szCs w:val="24"/>
        </w:rPr>
        <w:t xml:space="preserve"> </w:t>
      </w:r>
      <w:r>
        <w:rPr>
          <w:rFonts w:hint="eastAsia" w:ascii="黑体" w:hAnsi="黑体" w:eastAsia="黑体"/>
          <w:b/>
          <w:spacing w:val="40"/>
          <w:sz w:val="24"/>
          <w:szCs w:val="24"/>
        </w:rPr>
        <w:t>月</w:t>
      </w:r>
      <w:r>
        <w:rPr>
          <w:rFonts w:ascii="黑体" w:hAnsi="黑体" w:eastAsia="黑体"/>
          <w:b/>
          <w:spacing w:val="40"/>
          <w:sz w:val="24"/>
          <w:szCs w:val="24"/>
        </w:rPr>
        <w:t xml:space="preserve"> </w:t>
      </w:r>
      <w:r>
        <w:rPr>
          <w:rFonts w:hint="eastAsia" w:ascii="黑体" w:hAnsi="黑体" w:eastAsia="黑体"/>
          <w:b/>
          <w:spacing w:val="40"/>
          <w:sz w:val="24"/>
          <w:szCs w:val="24"/>
        </w:rPr>
        <w:t>日</w:t>
      </w:r>
    </w:p>
    <w:p>
      <w:pPr>
        <w:rPr>
          <w:rFonts w:ascii="黑体" w:hAnsi="黑体" w:eastAsia="黑体"/>
          <w:b/>
          <w:spacing w:val="40"/>
          <w:sz w:val="24"/>
          <w:szCs w:val="24"/>
        </w:rPr>
      </w:pPr>
      <w:r>
        <w:rPr>
          <w:rFonts w:hint="eastAsia" w:ascii="黑体" w:hAnsi="黑体" w:eastAsia="黑体"/>
          <w:b/>
          <w:spacing w:val="40"/>
          <w:sz w:val="24"/>
          <w:szCs w:val="24"/>
        </w:rPr>
        <w:br w:type="page"/>
      </w:r>
    </w:p>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193" w:name="_Toc5"/>
      <w:r>
        <w:rPr>
          <w:rStyle w:val="25"/>
          <w:rFonts w:hint="eastAsia" w:ascii="黑体" w:hAnsi="黑体" w:eastAsia="黑体"/>
          <w:b/>
          <w:bCs/>
          <w:spacing w:val="12"/>
          <w:sz w:val="21"/>
        </w:rPr>
        <w:t>资格性与符合性自查索引表</w:t>
      </w:r>
      <w:bookmarkEnd w:id="193"/>
    </w:p>
    <w:p>
      <w:pPr>
        <w:spacing w:before="312" w:beforeLines="100" w:after="312" w:afterLines="100"/>
        <w:jc w:val="center"/>
        <w:rPr>
          <w:rFonts w:ascii="黑体" w:hAnsi="黑体" w:eastAsia="黑体"/>
          <w:b/>
          <w:spacing w:val="20"/>
          <w:sz w:val="30"/>
          <w:szCs w:val="30"/>
        </w:rPr>
      </w:pPr>
      <w:r>
        <w:rPr>
          <w:rFonts w:hint="eastAsia" w:ascii="黑体" w:hAnsi="黑体" w:eastAsia="黑体"/>
          <w:b/>
          <w:spacing w:val="20"/>
          <w:sz w:val="30"/>
          <w:szCs w:val="30"/>
        </w:rPr>
        <w:t>资格性与符合自查索引表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5094"/>
        <w:gridCol w:w="1354"/>
        <w:gridCol w:w="1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pPr>
              <w:spacing w:line="360" w:lineRule="auto"/>
              <w:jc w:val="center"/>
              <w:rPr>
                <w:rFonts w:ascii="黑体" w:hAnsi="黑体" w:eastAsia="黑体"/>
                <w:b/>
                <w:bCs/>
                <w:szCs w:val="21"/>
              </w:rPr>
            </w:pPr>
            <w:r>
              <w:rPr>
                <w:rFonts w:hint="eastAsia" w:ascii="黑体" w:hAnsi="黑体" w:eastAsia="黑体"/>
                <w:b/>
                <w:bCs/>
                <w:szCs w:val="21"/>
              </w:rPr>
              <w:t>序号</w:t>
            </w:r>
          </w:p>
        </w:tc>
        <w:tc>
          <w:tcPr>
            <w:tcW w:w="2815" w:type="pct"/>
            <w:vAlign w:val="center"/>
          </w:tcPr>
          <w:p>
            <w:pPr>
              <w:spacing w:line="360" w:lineRule="auto"/>
              <w:ind w:left="211" w:hanging="211" w:hangingChars="100"/>
              <w:jc w:val="center"/>
              <w:rPr>
                <w:rFonts w:ascii="黑体" w:hAnsi="黑体" w:eastAsia="黑体"/>
                <w:b/>
                <w:bCs/>
                <w:szCs w:val="21"/>
              </w:rPr>
            </w:pPr>
            <w:r>
              <w:rPr>
                <w:rFonts w:hint="eastAsia" w:ascii="黑体" w:hAnsi="黑体" w:eastAsia="黑体"/>
                <w:b/>
                <w:bCs/>
                <w:szCs w:val="21"/>
              </w:rPr>
              <w:t>审查内容</w:t>
            </w:r>
          </w:p>
        </w:tc>
        <w:tc>
          <w:tcPr>
            <w:tcW w:w="748" w:type="pct"/>
            <w:vAlign w:val="center"/>
          </w:tcPr>
          <w:p>
            <w:pPr>
              <w:spacing w:line="360" w:lineRule="auto"/>
              <w:jc w:val="center"/>
              <w:rPr>
                <w:rFonts w:ascii="黑体" w:hAnsi="黑体" w:eastAsia="黑体"/>
                <w:b/>
                <w:bCs/>
                <w:szCs w:val="21"/>
              </w:rPr>
            </w:pPr>
            <w:r>
              <w:rPr>
                <w:rFonts w:hint="eastAsia" w:ascii="黑体" w:hAnsi="黑体" w:eastAsia="黑体"/>
                <w:b/>
                <w:bCs/>
                <w:szCs w:val="21"/>
              </w:rPr>
              <w:t>自查</w:t>
            </w:r>
          </w:p>
          <w:p>
            <w:pPr>
              <w:spacing w:line="360" w:lineRule="auto"/>
              <w:jc w:val="center"/>
              <w:rPr>
                <w:rFonts w:ascii="黑体" w:hAnsi="黑体" w:eastAsia="黑体"/>
                <w:b/>
                <w:bCs/>
                <w:szCs w:val="21"/>
              </w:rPr>
            </w:pPr>
            <w:r>
              <w:rPr>
                <w:rFonts w:hint="eastAsia" w:ascii="黑体" w:hAnsi="黑体" w:eastAsia="黑体"/>
                <w:b/>
                <w:bCs/>
                <w:szCs w:val="21"/>
              </w:rPr>
              <w:t>结论</w:t>
            </w:r>
          </w:p>
        </w:tc>
        <w:tc>
          <w:tcPr>
            <w:tcW w:w="1030" w:type="pct"/>
            <w:vAlign w:val="center"/>
          </w:tcPr>
          <w:p>
            <w:pPr>
              <w:spacing w:line="360" w:lineRule="auto"/>
              <w:jc w:val="center"/>
              <w:rPr>
                <w:rFonts w:ascii="黑体" w:hAnsi="黑体" w:eastAsia="黑体"/>
                <w:b/>
                <w:bCs/>
                <w:spacing w:val="-10"/>
                <w:szCs w:val="21"/>
              </w:rPr>
            </w:pPr>
            <w:r>
              <w:rPr>
                <w:rFonts w:hint="eastAsia" w:ascii="黑体" w:hAnsi="黑体" w:eastAsia="黑体"/>
                <w:b/>
                <w:bCs/>
                <w:spacing w:val="-10"/>
                <w:szCs w:val="21"/>
              </w:rPr>
              <w:t>商务技术</w:t>
            </w:r>
            <w:r>
              <w:rPr>
                <w:rFonts w:ascii="黑体" w:hAnsi="黑体" w:eastAsia="黑体"/>
                <w:b/>
                <w:bCs/>
                <w:spacing w:val="-10"/>
                <w:szCs w:val="21"/>
              </w:rPr>
              <w:t>/价格</w:t>
            </w:r>
            <w:r>
              <w:rPr>
                <w:rFonts w:hint="eastAsia" w:ascii="黑体" w:hAnsi="黑体" w:eastAsia="黑体"/>
                <w:b/>
                <w:bCs/>
                <w:spacing w:val="-10"/>
                <w:szCs w:val="21"/>
              </w:rPr>
              <w:t>响应</w:t>
            </w:r>
            <w:r>
              <w:rPr>
                <w:rFonts w:ascii="黑体" w:hAnsi="黑体" w:eastAsia="黑体"/>
                <w:b/>
                <w:bCs/>
                <w:spacing w:val="-10"/>
                <w:szCs w:val="21"/>
              </w:rPr>
              <w:t>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pPr>
              <w:spacing w:line="360" w:lineRule="auto"/>
              <w:jc w:val="center"/>
              <w:rPr>
                <w:rFonts w:ascii="黑体" w:hAnsi="黑体" w:eastAsia="黑体"/>
                <w:bCs/>
                <w:szCs w:val="21"/>
              </w:rPr>
            </w:pPr>
            <w:r>
              <w:rPr>
                <w:rFonts w:ascii="黑体" w:hAnsi="黑体" w:eastAsia="黑体"/>
                <w:bCs/>
                <w:szCs w:val="21"/>
              </w:rPr>
              <w:t>1</w:t>
            </w:r>
          </w:p>
        </w:tc>
        <w:tc>
          <w:tcPr>
            <w:tcW w:w="2815" w:type="pct"/>
            <w:vAlign w:val="center"/>
          </w:tcPr>
          <w:p>
            <w:pPr>
              <w:jc w:val="left"/>
              <w:rPr>
                <w:rFonts w:ascii="黑体" w:hAnsi="黑体" w:eastAsia="黑体"/>
              </w:rPr>
            </w:pPr>
          </w:p>
        </w:tc>
        <w:tc>
          <w:tcPr>
            <w:tcW w:w="748" w:type="pct"/>
            <w:vAlign w:val="center"/>
          </w:tcPr>
          <w:p>
            <w:pPr>
              <w:spacing w:line="360" w:lineRule="auto"/>
              <w:jc w:val="center"/>
              <w:rPr>
                <w:rFonts w:ascii="黑体" w:hAnsi="黑体" w:eastAsia="黑体"/>
                <w:bCs/>
                <w:szCs w:val="21"/>
              </w:rPr>
            </w:pPr>
          </w:p>
        </w:tc>
        <w:tc>
          <w:tcPr>
            <w:tcW w:w="1030" w:type="pct"/>
            <w:vAlign w:val="center"/>
          </w:tcPr>
          <w:p>
            <w:pPr>
              <w:spacing w:line="360" w:lineRule="auto"/>
              <w:jc w:val="center"/>
              <w:rPr>
                <w:rFonts w:ascii="黑体" w:hAnsi="黑体" w:eastAsia="黑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黑体" w:hAnsi="黑体" w:eastAsia="黑体"/>
                <w:bCs/>
                <w:szCs w:val="21"/>
              </w:rPr>
            </w:pPr>
            <w:r>
              <w:rPr>
                <w:rFonts w:ascii="黑体" w:hAnsi="黑体" w:eastAsia="黑体"/>
                <w:bCs/>
                <w:szCs w:val="21"/>
              </w:rPr>
              <w:t>2</w:t>
            </w:r>
          </w:p>
        </w:tc>
        <w:tc>
          <w:tcPr>
            <w:tcW w:w="2815" w:type="pct"/>
            <w:vAlign w:val="center"/>
          </w:tcPr>
          <w:p>
            <w:pPr>
              <w:spacing w:line="360" w:lineRule="auto"/>
              <w:jc w:val="left"/>
              <w:rPr>
                <w:rFonts w:ascii="黑体" w:hAnsi="黑体" w:eastAsia="黑体"/>
                <w:b/>
                <w:bCs/>
                <w:szCs w:val="21"/>
              </w:rPr>
            </w:pPr>
          </w:p>
        </w:tc>
        <w:tc>
          <w:tcPr>
            <w:tcW w:w="748" w:type="pct"/>
            <w:vAlign w:val="center"/>
          </w:tcPr>
          <w:p>
            <w:pPr>
              <w:spacing w:line="360" w:lineRule="auto"/>
              <w:jc w:val="center"/>
              <w:rPr>
                <w:rFonts w:ascii="黑体" w:hAnsi="黑体" w:eastAsia="黑体"/>
                <w:b/>
                <w:bCs/>
                <w:szCs w:val="21"/>
              </w:rPr>
            </w:pPr>
          </w:p>
        </w:tc>
        <w:tc>
          <w:tcPr>
            <w:tcW w:w="1030" w:type="pct"/>
            <w:vAlign w:val="center"/>
          </w:tcPr>
          <w:p>
            <w:pPr>
              <w:spacing w:line="360" w:lineRule="auto"/>
              <w:jc w:val="center"/>
              <w:rPr>
                <w:rFonts w:ascii="黑体" w:hAnsi="黑体" w:eastAsia="黑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黑体" w:hAnsi="黑体" w:eastAsia="黑体"/>
                <w:bCs/>
                <w:szCs w:val="21"/>
              </w:rPr>
            </w:pPr>
            <w:r>
              <w:rPr>
                <w:rFonts w:ascii="黑体" w:hAnsi="黑体" w:eastAsia="黑体"/>
                <w:bCs/>
                <w:szCs w:val="21"/>
              </w:rPr>
              <w:t>3</w:t>
            </w:r>
          </w:p>
        </w:tc>
        <w:tc>
          <w:tcPr>
            <w:tcW w:w="2815" w:type="pct"/>
            <w:vAlign w:val="center"/>
          </w:tcPr>
          <w:p>
            <w:pPr>
              <w:spacing w:line="360" w:lineRule="auto"/>
              <w:jc w:val="left"/>
              <w:rPr>
                <w:rFonts w:ascii="黑体" w:hAnsi="黑体" w:eastAsia="黑体"/>
                <w:b/>
                <w:bCs/>
                <w:szCs w:val="21"/>
              </w:rPr>
            </w:pPr>
          </w:p>
        </w:tc>
        <w:tc>
          <w:tcPr>
            <w:tcW w:w="748" w:type="pct"/>
            <w:vAlign w:val="center"/>
          </w:tcPr>
          <w:p>
            <w:pPr>
              <w:spacing w:line="360" w:lineRule="auto"/>
              <w:jc w:val="center"/>
              <w:rPr>
                <w:rFonts w:ascii="黑体" w:hAnsi="黑体" w:eastAsia="黑体"/>
                <w:b/>
                <w:bCs/>
                <w:szCs w:val="21"/>
              </w:rPr>
            </w:pPr>
          </w:p>
        </w:tc>
        <w:tc>
          <w:tcPr>
            <w:tcW w:w="1030" w:type="pct"/>
            <w:vAlign w:val="center"/>
          </w:tcPr>
          <w:p>
            <w:pPr>
              <w:spacing w:line="360" w:lineRule="auto"/>
              <w:jc w:val="center"/>
              <w:rPr>
                <w:rFonts w:ascii="黑体" w:hAnsi="黑体" w:eastAsia="黑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黑体" w:hAnsi="黑体" w:eastAsia="黑体"/>
                <w:bCs/>
                <w:szCs w:val="21"/>
              </w:rPr>
            </w:pPr>
            <w:r>
              <w:rPr>
                <w:rFonts w:ascii="黑体" w:hAnsi="黑体" w:eastAsia="黑体"/>
                <w:bCs/>
                <w:szCs w:val="21"/>
              </w:rPr>
              <w:t>4</w:t>
            </w:r>
          </w:p>
        </w:tc>
        <w:tc>
          <w:tcPr>
            <w:tcW w:w="2815" w:type="pct"/>
            <w:vAlign w:val="center"/>
          </w:tcPr>
          <w:p>
            <w:pPr>
              <w:spacing w:line="360" w:lineRule="auto"/>
              <w:jc w:val="left"/>
              <w:rPr>
                <w:rFonts w:ascii="黑体" w:hAnsi="黑体" w:eastAsia="黑体"/>
                <w:b/>
                <w:bCs/>
                <w:szCs w:val="21"/>
              </w:rPr>
            </w:pPr>
          </w:p>
        </w:tc>
        <w:tc>
          <w:tcPr>
            <w:tcW w:w="748" w:type="pct"/>
            <w:vAlign w:val="center"/>
          </w:tcPr>
          <w:p>
            <w:pPr>
              <w:spacing w:line="360" w:lineRule="auto"/>
              <w:jc w:val="center"/>
              <w:rPr>
                <w:rFonts w:ascii="黑体" w:hAnsi="黑体" w:eastAsia="黑体"/>
                <w:b/>
                <w:bCs/>
                <w:szCs w:val="21"/>
              </w:rPr>
            </w:pPr>
          </w:p>
        </w:tc>
        <w:tc>
          <w:tcPr>
            <w:tcW w:w="1030" w:type="pct"/>
            <w:vAlign w:val="center"/>
          </w:tcPr>
          <w:p>
            <w:pPr>
              <w:spacing w:line="360" w:lineRule="auto"/>
              <w:jc w:val="center"/>
              <w:rPr>
                <w:rFonts w:ascii="黑体" w:hAnsi="黑体" w:eastAsia="黑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黑体" w:hAnsi="黑体" w:eastAsia="黑体"/>
                <w:bCs/>
                <w:szCs w:val="21"/>
              </w:rPr>
            </w:pPr>
            <w:r>
              <w:rPr>
                <w:rFonts w:hint="eastAsia" w:ascii="黑体" w:hAnsi="黑体" w:eastAsia="黑体"/>
                <w:bCs/>
                <w:szCs w:val="21"/>
              </w:rPr>
              <w:t>5</w:t>
            </w:r>
          </w:p>
        </w:tc>
        <w:tc>
          <w:tcPr>
            <w:tcW w:w="2815" w:type="pct"/>
            <w:vAlign w:val="center"/>
          </w:tcPr>
          <w:p>
            <w:pPr>
              <w:spacing w:line="360" w:lineRule="auto"/>
              <w:jc w:val="left"/>
              <w:rPr>
                <w:rFonts w:ascii="黑体" w:hAnsi="黑体" w:eastAsia="黑体"/>
                <w:b/>
                <w:bCs/>
                <w:szCs w:val="21"/>
              </w:rPr>
            </w:pPr>
          </w:p>
        </w:tc>
        <w:tc>
          <w:tcPr>
            <w:tcW w:w="748" w:type="pct"/>
            <w:vAlign w:val="center"/>
          </w:tcPr>
          <w:p>
            <w:pPr>
              <w:spacing w:line="360" w:lineRule="auto"/>
              <w:jc w:val="center"/>
              <w:rPr>
                <w:rFonts w:ascii="黑体" w:hAnsi="黑体" w:eastAsia="黑体"/>
                <w:b/>
                <w:bCs/>
                <w:szCs w:val="21"/>
              </w:rPr>
            </w:pPr>
          </w:p>
        </w:tc>
        <w:tc>
          <w:tcPr>
            <w:tcW w:w="1030" w:type="pct"/>
            <w:vAlign w:val="center"/>
          </w:tcPr>
          <w:p>
            <w:pPr>
              <w:spacing w:line="360" w:lineRule="auto"/>
              <w:jc w:val="center"/>
              <w:rPr>
                <w:rFonts w:ascii="黑体" w:hAnsi="黑体" w:eastAsia="黑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黑体" w:hAnsi="黑体" w:eastAsia="黑体"/>
                <w:bCs/>
                <w:szCs w:val="21"/>
              </w:rPr>
            </w:pPr>
            <w:r>
              <w:rPr>
                <w:rFonts w:hint="eastAsia" w:ascii="黑体" w:hAnsi="黑体" w:eastAsia="黑体"/>
                <w:bCs/>
                <w:szCs w:val="21"/>
              </w:rPr>
              <w:t>6</w:t>
            </w:r>
          </w:p>
        </w:tc>
        <w:tc>
          <w:tcPr>
            <w:tcW w:w="2815" w:type="pct"/>
            <w:vAlign w:val="center"/>
          </w:tcPr>
          <w:p>
            <w:pPr>
              <w:spacing w:line="360" w:lineRule="auto"/>
              <w:jc w:val="left"/>
              <w:rPr>
                <w:rFonts w:ascii="黑体" w:hAnsi="黑体" w:eastAsia="黑体"/>
                <w:b/>
                <w:bCs/>
                <w:szCs w:val="21"/>
              </w:rPr>
            </w:pPr>
          </w:p>
        </w:tc>
        <w:tc>
          <w:tcPr>
            <w:tcW w:w="748" w:type="pct"/>
            <w:vAlign w:val="center"/>
          </w:tcPr>
          <w:p>
            <w:pPr>
              <w:spacing w:line="360" w:lineRule="auto"/>
              <w:jc w:val="center"/>
              <w:rPr>
                <w:rFonts w:ascii="黑体" w:hAnsi="黑体" w:eastAsia="黑体"/>
                <w:b/>
                <w:bCs/>
                <w:szCs w:val="21"/>
              </w:rPr>
            </w:pPr>
          </w:p>
        </w:tc>
        <w:tc>
          <w:tcPr>
            <w:tcW w:w="1030" w:type="pct"/>
            <w:vAlign w:val="center"/>
          </w:tcPr>
          <w:p>
            <w:pPr>
              <w:spacing w:line="360" w:lineRule="auto"/>
              <w:jc w:val="center"/>
              <w:rPr>
                <w:rFonts w:ascii="黑体" w:hAnsi="黑体" w:eastAsia="黑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黑体" w:hAnsi="黑体" w:eastAsia="黑体"/>
                <w:bCs/>
                <w:szCs w:val="21"/>
              </w:rPr>
            </w:pPr>
            <w:r>
              <w:rPr>
                <w:rFonts w:hint="eastAsia" w:ascii="黑体" w:hAnsi="黑体" w:eastAsia="黑体"/>
                <w:bCs/>
                <w:szCs w:val="21"/>
              </w:rPr>
              <w:t>7</w:t>
            </w:r>
          </w:p>
        </w:tc>
        <w:tc>
          <w:tcPr>
            <w:tcW w:w="2815" w:type="pct"/>
            <w:vAlign w:val="center"/>
          </w:tcPr>
          <w:p>
            <w:pPr>
              <w:spacing w:line="360" w:lineRule="auto"/>
              <w:jc w:val="left"/>
              <w:rPr>
                <w:rFonts w:ascii="黑体" w:hAnsi="黑体" w:eastAsia="黑体"/>
                <w:b/>
                <w:bCs/>
                <w:szCs w:val="21"/>
              </w:rPr>
            </w:pPr>
          </w:p>
        </w:tc>
        <w:tc>
          <w:tcPr>
            <w:tcW w:w="748" w:type="pct"/>
            <w:vAlign w:val="center"/>
          </w:tcPr>
          <w:p>
            <w:pPr>
              <w:spacing w:line="360" w:lineRule="auto"/>
              <w:jc w:val="center"/>
              <w:rPr>
                <w:rFonts w:ascii="黑体" w:hAnsi="黑体" w:eastAsia="黑体"/>
                <w:b/>
                <w:bCs/>
                <w:szCs w:val="21"/>
              </w:rPr>
            </w:pPr>
          </w:p>
        </w:tc>
        <w:tc>
          <w:tcPr>
            <w:tcW w:w="1030" w:type="pct"/>
            <w:vAlign w:val="center"/>
          </w:tcPr>
          <w:p>
            <w:pPr>
              <w:spacing w:line="360" w:lineRule="auto"/>
              <w:jc w:val="center"/>
              <w:rPr>
                <w:rFonts w:ascii="黑体" w:hAnsi="黑体" w:eastAsia="黑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黑体" w:hAnsi="黑体" w:eastAsia="黑体"/>
                <w:bCs/>
                <w:szCs w:val="21"/>
              </w:rPr>
            </w:pPr>
            <w:r>
              <w:rPr>
                <w:rFonts w:hint="eastAsia" w:ascii="黑体" w:hAnsi="黑体" w:eastAsia="黑体"/>
                <w:bCs/>
                <w:szCs w:val="21"/>
              </w:rPr>
              <w:t>8</w:t>
            </w:r>
          </w:p>
        </w:tc>
        <w:tc>
          <w:tcPr>
            <w:tcW w:w="2815" w:type="pct"/>
            <w:vAlign w:val="center"/>
          </w:tcPr>
          <w:p>
            <w:pPr>
              <w:spacing w:line="360" w:lineRule="auto"/>
              <w:jc w:val="left"/>
              <w:rPr>
                <w:rFonts w:ascii="黑体" w:hAnsi="黑体" w:eastAsia="黑体"/>
                <w:b/>
                <w:bCs/>
                <w:szCs w:val="21"/>
              </w:rPr>
            </w:pPr>
          </w:p>
        </w:tc>
        <w:tc>
          <w:tcPr>
            <w:tcW w:w="748" w:type="pct"/>
            <w:vAlign w:val="center"/>
          </w:tcPr>
          <w:p>
            <w:pPr>
              <w:spacing w:line="360" w:lineRule="auto"/>
              <w:jc w:val="center"/>
              <w:rPr>
                <w:rFonts w:ascii="黑体" w:hAnsi="黑体" w:eastAsia="黑体"/>
                <w:b/>
                <w:bCs/>
                <w:szCs w:val="21"/>
              </w:rPr>
            </w:pPr>
          </w:p>
        </w:tc>
        <w:tc>
          <w:tcPr>
            <w:tcW w:w="1030" w:type="pct"/>
            <w:vAlign w:val="center"/>
          </w:tcPr>
          <w:p>
            <w:pPr>
              <w:spacing w:line="360" w:lineRule="auto"/>
              <w:jc w:val="center"/>
              <w:rPr>
                <w:rFonts w:ascii="黑体" w:hAnsi="黑体" w:eastAsia="黑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黑体" w:hAnsi="黑体" w:eastAsia="黑体"/>
                <w:bCs/>
                <w:szCs w:val="21"/>
              </w:rPr>
            </w:pPr>
            <w:r>
              <w:rPr>
                <w:rFonts w:hint="eastAsia" w:ascii="黑体" w:hAnsi="黑体" w:eastAsia="黑体"/>
                <w:bCs/>
                <w:szCs w:val="21"/>
              </w:rPr>
              <w:t>9</w:t>
            </w:r>
          </w:p>
        </w:tc>
        <w:tc>
          <w:tcPr>
            <w:tcW w:w="2815" w:type="pct"/>
            <w:vAlign w:val="center"/>
          </w:tcPr>
          <w:p>
            <w:pPr>
              <w:spacing w:line="360" w:lineRule="auto"/>
              <w:jc w:val="left"/>
              <w:rPr>
                <w:rFonts w:ascii="黑体" w:hAnsi="黑体" w:eastAsia="黑体"/>
                <w:b/>
                <w:bCs/>
                <w:szCs w:val="21"/>
              </w:rPr>
            </w:pPr>
          </w:p>
        </w:tc>
        <w:tc>
          <w:tcPr>
            <w:tcW w:w="748" w:type="pct"/>
            <w:vAlign w:val="center"/>
          </w:tcPr>
          <w:p>
            <w:pPr>
              <w:spacing w:line="360" w:lineRule="auto"/>
              <w:jc w:val="center"/>
              <w:rPr>
                <w:rFonts w:ascii="黑体" w:hAnsi="黑体" w:eastAsia="黑体"/>
                <w:b/>
                <w:bCs/>
                <w:szCs w:val="21"/>
              </w:rPr>
            </w:pPr>
          </w:p>
        </w:tc>
        <w:tc>
          <w:tcPr>
            <w:tcW w:w="1030" w:type="pct"/>
            <w:vAlign w:val="center"/>
          </w:tcPr>
          <w:p>
            <w:pPr>
              <w:spacing w:line="360" w:lineRule="auto"/>
              <w:jc w:val="center"/>
              <w:rPr>
                <w:rFonts w:ascii="黑体" w:hAnsi="黑体" w:eastAsia="黑体"/>
                <w:b/>
                <w:bCs/>
                <w:szCs w:val="21"/>
              </w:rPr>
            </w:pPr>
          </w:p>
        </w:tc>
      </w:tr>
    </w:tbl>
    <w:p>
      <w:pPr>
        <w:spacing w:before="156" w:beforeLines="50" w:line="360" w:lineRule="auto"/>
        <w:rPr>
          <w:rFonts w:ascii="黑体" w:hAnsi="黑体" w:eastAsia="黑体"/>
        </w:rPr>
      </w:pPr>
      <w:r>
        <w:rPr>
          <w:rFonts w:hint="eastAsia" w:ascii="黑体" w:hAnsi="黑体" w:eastAsia="黑体"/>
        </w:rPr>
        <w:t>注明：</w:t>
      </w:r>
    </w:p>
    <w:p>
      <w:pPr>
        <w:pStyle w:val="68"/>
        <w:numPr>
          <w:ilvl w:val="0"/>
          <w:numId w:val="110"/>
        </w:numPr>
        <w:spacing w:line="360" w:lineRule="auto"/>
        <w:ind w:firstLineChars="0"/>
        <w:rPr>
          <w:rFonts w:ascii="黑体" w:hAnsi="黑体" w:eastAsia="黑体"/>
        </w:rPr>
      </w:pPr>
      <w:r>
        <w:rPr>
          <w:rFonts w:hint="eastAsia" w:ascii="黑体" w:hAnsi="黑体" w:eastAsia="黑体"/>
        </w:rPr>
        <w:t>自查结论处请填写：通过</w:t>
      </w:r>
      <w:r>
        <w:rPr>
          <w:rFonts w:ascii="黑体" w:hAnsi="黑体" w:eastAsia="黑体"/>
        </w:rPr>
        <w:t>/不通过；</w:t>
      </w:r>
    </w:p>
    <w:p>
      <w:pPr>
        <w:pStyle w:val="68"/>
        <w:numPr>
          <w:ilvl w:val="0"/>
          <w:numId w:val="110"/>
        </w:numPr>
        <w:spacing w:line="360" w:lineRule="auto"/>
        <w:ind w:firstLineChars="0"/>
        <w:rPr>
          <w:rFonts w:ascii="黑体" w:hAnsi="黑体" w:eastAsia="黑体"/>
        </w:rPr>
      </w:pPr>
      <w:r>
        <w:rPr>
          <w:rFonts w:hint="eastAsia" w:ascii="黑体" w:hAnsi="黑体" w:eastAsia="黑体"/>
          <w:szCs w:val="21"/>
        </w:rPr>
        <w:t>按磋商文件第五部分</w:t>
      </w:r>
      <w:r>
        <w:rPr>
          <w:rFonts w:ascii="黑体" w:hAnsi="黑体" w:eastAsia="黑体"/>
          <w:szCs w:val="21"/>
        </w:rPr>
        <w:t xml:space="preserve"> </w:t>
      </w:r>
      <w:r>
        <w:rPr>
          <w:rFonts w:hint="eastAsia" w:ascii="黑体" w:hAnsi="黑体" w:eastAsia="黑体"/>
          <w:szCs w:val="21"/>
        </w:rPr>
        <w:t>评审方法、步骤、标准之附表资格性与符合性审查表（</w:t>
      </w:r>
      <w:r>
        <w:rPr>
          <w:rFonts w:hint="eastAsia" w:ascii="黑体" w:hAnsi="黑体" w:eastAsia="黑体"/>
          <w:kern w:val="0"/>
          <w:szCs w:val="21"/>
        </w:rPr>
        <w:t>附表一）</w:t>
      </w:r>
      <w:r>
        <w:rPr>
          <w:rFonts w:hint="eastAsia" w:ascii="黑体" w:hAnsi="黑体" w:eastAsia="黑体"/>
          <w:szCs w:val="21"/>
        </w:rPr>
        <w:t>相对应条款填写</w:t>
      </w:r>
      <w:r>
        <w:rPr>
          <w:rFonts w:hint="eastAsia" w:ascii="黑体" w:hAnsi="黑体" w:eastAsia="黑体"/>
        </w:rPr>
        <w:t>。</w:t>
      </w:r>
    </w:p>
    <w:p>
      <w:pPr>
        <w:spacing w:line="360" w:lineRule="auto"/>
        <w:rPr>
          <w:rFonts w:ascii="黑体" w:hAnsi="黑体" w:eastAsia="黑体"/>
        </w:rPr>
      </w:pPr>
    </w:p>
    <w:p>
      <w:pPr>
        <w:spacing w:line="360" w:lineRule="auto"/>
        <w:rPr>
          <w:rFonts w:ascii="黑体" w:hAnsi="黑体" w:eastAsia="黑体"/>
        </w:rPr>
      </w:pPr>
    </w:p>
    <w:tbl>
      <w:tblPr>
        <w:tblStyle w:val="22"/>
        <w:tblW w:w="0" w:type="auto"/>
        <w:tblInd w:w="0" w:type="dxa"/>
        <w:tblLayout w:type="autofit"/>
        <w:tblCellMar>
          <w:top w:w="0" w:type="dxa"/>
          <w:left w:w="108" w:type="dxa"/>
          <w:bottom w:w="0" w:type="dxa"/>
          <w:right w:w="108" w:type="dxa"/>
        </w:tblCellMar>
      </w:tblPr>
      <w:tblGrid>
        <w:gridCol w:w="5349"/>
        <w:gridCol w:w="3173"/>
      </w:tblGrid>
      <w:tr>
        <w:tblPrEx>
          <w:tblCellMar>
            <w:top w:w="0" w:type="dxa"/>
            <w:left w:w="108" w:type="dxa"/>
            <w:bottom w:w="0" w:type="dxa"/>
            <w:right w:w="108" w:type="dxa"/>
          </w:tblCellMar>
        </w:tblPrEx>
        <w:tc>
          <w:tcPr>
            <w:tcW w:w="5349" w:type="dxa"/>
          </w:tcPr>
          <w:p>
            <w:pPr>
              <w:overflowPunct w:val="0"/>
              <w:adjustRightInd w:val="0"/>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c>
          <w:tcPr>
            <w:tcW w:w="3173" w:type="dxa"/>
          </w:tcPr>
          <w:p>
            <w:pPr>
              <w:spacing w:line="360" w:lineRule="auto"/>
              <w:rPr>
                <w:rFonts w:ascii="黑体" w:hAnsi="黑体" w:eastAsia="黑体"/>
                <w:szCs w:val="21"/>
              </w:rPr>
            </w:pPr>
          </w:p>
        </w:tc>
      </w:tr>
      <w:tr>
        <w:tblPrEx>
          <w:tblCellMar>
            <w:top w:w="0" w:type="dxa"/>
            <w:left w:w="108" w:type="dxa"/>
            <w:bottom w:w="0" w:type="dxa"/>
            <w:right w:w="108" w:type="dxa"/>
          </w:tblCellMar>
        </w:tblPrEx>
        <w:tc>
          <w:tcPr>
            <w:tcW w:w="5349" w:type="dxa"/>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3" w:type="dxa"/>
          </w:tcPr>
          <w:p>
            <w:pPr>
              <w:spacing w:line="360" w:lineRule="auto"/>
              <w:rPr>
                <w:rFonts w:ascii="黑体" w:hAnsi="黑体" w:eastAsia="黑体"/>
                <w:szCs w:val="21"/>
              </w:rPr>
            </w:pPr>
          </w:p>
        </w:tc>
      </w:tr>
    </w:tbl>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194" w:name="_Toc31308"/>
      <w:bookmarkStart w:id="195" w:name="_Toc521951143"/>
      <w:bookmarkStart w:id="196" w:name="_Toc391627757"/>
      <w:bookmarkStart w:id="197" w:name="_Toc405313961"/>
      <w:r>
        <w:rPr>
          <w:rStyle w:val="25"/>
          <w:rFonts w:hint="eastAsia" w:ascii="黑体" w:hAnsi="黑体" w:eastAsia="黑体"/>
          <w:b/>
          <w:bCs/>
          <w:spacing w:val="12"/>
          <w:sz w:val="21"/>
        </w:rPr>
        <w:t>详细评审索引表</w:t>
      </w:r>
      <w:bookmarkEnd w:id="194"/>
    </w:p>
    <w:p>
      <w:pPr>
        <w:spacing w:before="312" w:beforeLines="100" w:after="312" w:afterLines="100"/>
        <w:jc w:val="center"/>
        <w:rPr>
          <w:rFonts w:ascii="黑体" w:hAnsi="黑体" w:eastAsia="黑体"/>
          <w:b/>
          <w:spacing w:val="20"/>
          <w:sz w:val="30"/>
          <w:szCs w:val="30"/>
        </w:rPr>
      </w:pPr>
      <w:r>
        <w:rPr>
          <w:rFonts w:hint="eastAsia" w:ascii="黑体" w:hAnsi="黑体" w:eastAsia="黑体"/>
          <w:b/>
          <w:spacing w:val="20"/>
          <w:sz w:val="30"/>
          <w:szCs w:val="30"/>
        </w:rPr>
        <w:t>详细评审索引表</w:t>
      </w:r>
    </w:p>
    <w:tbl>
      <w:tblPr>
        <w:tblStyle w:val="22"/>
        <w:tblW w:w="84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1551"/>
        <w:gridCol w:w="3382"/>
        <w:gridCol w:w="2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pPr>
              <w:spacing w:line="360" w:lineRule="auto"/>
              <w:jc w:val="center"/>
              <w:rPr>
                <w:rFonts w:ascii="黑体" w:hAnsi="黑体" w:eastAsia="黑体"/>
                <w:b/>
                <w:szCs w:val="21"/>
              </w:rPr>
            </w:pPr>
            <w:r>
              <w:rPr>
                <w:rFonts w:hint="eastAsia" w:ascii="黑体" w:hAnsi="黑体" w:eastAsia="黑体"/>
                <w:b/>
                <w:szCs w:val="21"/>
              </w:rPr>
              <w:t>商务评审细则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黑体" w:hAnsi="黑体" w:eastAsia="黑体"/>
                <w:b/>
                <w:szCs w:val="21"/>
              </w:rPr>
            </w:pPr>
            <w:r>
              <w:rPr>
                <w:rFonts w:hint="eastAsia" w:ascii="黑体" w:hAnsi="黑体" w:eastAsia="黑体"/>
                <w:b/>
                <w:szCs w:val="21"/>
              </w:rPr>
              <w:t>序号</w:t>
            </w:r>
          </w:p>
        </w:tc>
        <w:tc>
          <w:tcPr>
            <w:tcW w:w="1551" w:type="dxa"/>
            <w:vAlign w:val="center"/>
          </w:tcPr>
          <w:p>
            <w:pPr>
              <w:spacing w:line="360" w:lineRule="auto"/>
              <w:jc w:val="center"/>
              <w:rPr>
                <w:rFonts w:ascii="黑体" w:hAnsi="黑体" w:eastAsia="黑体"/>
                <w:b/>
                <w:szCs w:val="21"/>
              </w:rPr>
            </w:pPr>
            <w:r>
              <w:rPr>
                <w:rFonts w:hint="eastAsia" w:ascii="黑体" w:hAnsi="黑体" w:eastAsia="黑体"/>
                <w:b/>
                <w:szCs w:val="21"/>
              </w:rPr>
              <w:t>评分内容</w:t>
            </w:r>
          </w:p>
        </w:tc>
        <w:tc>
          <w:tcPr>
            <w:tcW w:w="3382" w:type="dxa"/>
            <w:vAlign w:val="center"/>
          </w:tcPr>
          <w:p>
            <w:pPr>
              <w:spacing w:line="360" w:lineRule="auto"/>
              <w:jc w:val="center"/>
              <w:rPr>
                <w:rFonts w:ascii="黑体" w:hAnsi="黑体" w:eastAsia="黑体"/>
                <w:b/>
                <w:szCs w:val="21"/>
              </w:rPr>
            </w:pPr>
            <w:r>
              <w:rPr>
                <w:rFonts w:hint="eastAsia" w:ascii="黑体" w:hAnsi="黑体" w:eastAsia="黑体"/>
                <w:b/>
                <w:szCs w:val="21"/>
              </w:rPr>
              <w:t>评分标准</w:t>
            </w:r>
          </w:p>
        </w:tc>
        <w:tc>
          <w:tcPr>
            <w:tcW w:w="2452" w:type="dxa"/>
            <w:vAlign w:val="center"/>
          </w:tcPr>
          <w:p>
            <w:pPr>
              <w:spacing w:line="360" w:lineRule="auto"/>
              <w:jc w:val="center"/>
              <w:rPr>
                <w:rFonts w:ascii="黑体" w:hAnsi="黑体" w:eastAsia="黑体"/>
                <w:b/>
                <w:szCs w:val="21"/>
              </w:rPr>
            </w:pPr>
            <w:r>
              <w:rPr>
                <w:rFonts w:hint="eastAsia" w:ascii="黑体" w:hAnsi="黑体" w:eastAsia="黑体"/>
                <w:b/>
                <w:szCs w:val="21"/>
              </w:rPr>
              <w:t>响应文件响应页码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黑体" w:hAnsi="黑体" w:eastAsia="黑体"/>
                <w:b/>
                <w:szCs w:val="21"/>
              </w:rPr>
            </w:pPr>
          </w:p>
        </w:tc>
        <w:tc>
          <w:tcPr>
            <w:tcW w:w="1551" w:type="dxa"/>
            <w:vAlign w:val="center"/>
          </w:tcPr>
          <w:p>
            <w:pPr>
              <w:spacing w:line="360" w:lineRule="auto"/>
              <w:jc w:val="center"/>
              <w:rPr>
                <w:rFonts w:ascii="黑体" w:hAnsi="黑体" w:eastAsia="黑体"/>
                <w:b/>
                <w:szCs w:val="21"/>
              </w:rPr>
            </w:pPr>
          </w:p>
        </w:tc>
        <w:tc>
          <w:tcPr>
            <w:tcW w:w="3382" w:type="dxa"/>
            <w:vAlign w:val="center"/>
          </w:tcPr>
          <w:p>
            <w:pPr>
              <w:spacing w:line="360" w:lineRule="auto"/>
              <w:jc w:val="center"/>
              <w:rPr>
                <w:rFonts w:ascii="黑体" w:hAnsi="黑体" w:eastAsia="黑体"/>
                <w:b/>
                <w:szCs w:val="21"/>
              </w:rPr>
            </w:pPr>
          </w:p>
        </w:tc>
        <w:tc>
          <w:tcPr>
            <w:tcW w:w="2452" w:type="dxa"/>
            <w:vAlign w:val="center"/>
          </w:tcPr>
          <w:p>
            <w:pPr>
              <w:spacing w:line="360" w:lineRule="auto"/>
              <w:jc w:val="center"/>
              <w:rPr>
                <w:rFonts w:ascii="黑体" w:hAnsi="黑体" w:eastAsia="黑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黑体" w:hAnsi="黑体" w:eastAsia="黑体"/>
                <w:b/>
                <w:szCs w:val="21"/>
              </w:rPr>
            </w:pPr>
          </w:p>
        </w:tc>
        <w:tc>
          <w:tcPr>
            <w:tcW w:w="1551" w:type="dxa"/>
            <w:vAlign w:val="center"/>
          </w:tcPr>
          <w:p>
            <w:pPr>
              <w:spacing w:line="360" w:lineRule="auto"/>
              <w:jc w:val="center"/>
              <w:rPr>
                <w:rFonts w:ascii="黑体" w:hAnsi="黑体" w:eastAsia="黑体"/>
                <w:b/>
                <w:szCs w:val="21"/>
              </w:rPr>
            </w:pPr>
          </w:p>
        </w:tc>
        <w:tc>
          <w:tcPr>
            <w:tcW w:w="3382" w:type="dxa"/>
            <w:vAlign w:val="center"/>
          </w:tcPr>
          <w:p>
            <w:pPr>
              <w:spacing w:line="360" w:lineRule="auto"/>
              <w:jc w:val="center"/>
              <w:rPr>
                <w:rFonts w:ascii="黑体" w:hAnsi="黑体" w:eastAsia="黑体"/>
                <w:b/>
                <w:szCs w:val="21"/>
              </w:rPr>
            </w:pPr>
          </w:p>
        </w:tc>
        <w:tc>
          <w:tcPr>
            <w:tcW w:w="2452" w:type="dxa"/>
            <w:vAlign w:val="center"/>
          </w:tcPr>
          <w:p>
            <w:pPr>
              <w:spacing w:line="360" w:lineRule="auto"/>
              <w:jc w:val="center"/>
              <w:rPr>
                <w:rFonts w:ascii="黑体" w:hAnsi="黑体" w:eastAsia="黑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黑体" w:hAnsi="黑体" w:eastAsia="黑体"/>
                <w:b/>
                <w:szCs w:val="21"/>
              </w:rPr>
            </w:pPr>
          </w:p>
        </w:tc>
        <w:tc>
          <w:tcPr>
            <w:tcW w:w="1551" w:type="dxa"/>
            <w:vAlign w:val="center"/>
          </w:tcPr>
          <w:p>
            <w:pPr>
              <w:spacing w:line="360" w:lineRule="auto"/>
              <w:jc w:val="center"/>
              <w:rPr>
                <w:rFonts w:ascii="黑体" w:hAnsi="黑体" w:eastAsia="黑体"/>
                <w:b/>
                <w:szCs w:val="21"/>
              </w:rPr>
            </w:pPr>
          </w:p>
        </w:tc>
        <w:tc>
          <w:tcPr>
            <w:tcW w:w="3382" w:type="dxa"/>
            <w:vAlign w:val="center"/>
          </w:tcPr>
          <w:p>
            <w:pPr>
              <w:spacing w:line="360" w:lineRule="auto"/>
              <w:jc w:val="center"/>
              <w:rPr>
                <w:rFonts w:ascii="黑体" w:hAnsi="黑体" w:eastAsia="黑体"/>
                <w:b/>
                <w:szCs w:val="21"/>
              </w:rPr>
            </w:pPr>
          </w:p>
        </w:tc>
        <w:tc>
          <w:tcPr>
            <w:tcW w:w="2452" w:type="dxa"/>
            <w:vAlign w:val="center"/>
          </w:tcPr>
          <w:p>
            <w:pPr>
              <w:spacing w:line="360" w:lineRule="auto"/>
              <w:jc w:val="center"/>
              <w:rPr>
                <w:rFonts w:ascii="黑体" w:hAnsi="黑体" w:eastAsia="黑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黑体" w:hAnsi="黑体" w:eastAsia="黑体"/>
                <w:b/>
                <w:szCs w:val="21"/>
              </w:rPr>
            </w:pPr>
          </w:p>
        </w:tc>
        <w:tc>
          <w:tcPr>
            <w:tcW w:w="1551" w:type="dxa"/>
            <w:vAlign w:val="center"/>
          </w:tcPr>
          <w:p>
            <w:pPr>
              <w:spacing w:line="360" w:lineRule="auto"/>
              <w:jc w:val="center"/>
              <w:rPr>
                <w:rFonts w:ascii="黑体" w:hAnsi="黑体" w:eastAsia="黑体"/>
                <w:b/>
                <w:szCs w:val="21"/>
              </w:rPr>
            </w:pPr>
          </w:p>
        </w:tc>
        <w:tc>
          <w:tcPr>
            <w:tcW w:w="3382" w:type="dxa"/>
            <w:vAlign w:val="center"/>
          </w:tcPr>
          <w:p>
            <w:pPr>
              <w:spacing w:line="360" w:lineRule="auto"/>
              <w:jc w:val="center"/>
              <w:rPr>
                <w:rFonts w:ascii="黑体" w:hAnsi="黑体" w:eastAsia="黑体"/>
                <w:b/>
                <w:szCs w:val="21"/>
              </w:rPr>
            </w:pPr>
          </w:p>
        </w:tc>
        <w:tc>
          <w:tcPr>
            <w:tcW w:w="2452" w:type="dxa"/>
            <w:vAlign w:val="center"/>
          </w:tcPr>
          <w:p>
            <w:pPr>
              <w:spacing w:line="360" w:lineRule="auto"/>
              <w:jc w:val="center"/>
              <w:rPr>
                <w:rFonts w:ascii="黑体" w:hAnsi="黑体" w:eastAsia="黑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pPr>
              <w:spacing w:line="360" w:lineRule="auto"/>
              <w:jc w:val="center"/>
              <w:rPr>
                <w:rFonts w:ascii="黑体" w:hAnsi="黑体" w:eastAsia="黑体"/>
                <w:b/>
                <w:szCs w:val="21"/>
              </w:rPr>
            </w:pPr>
            <w:r>
              <w:rPr>
                <w:rFonts w:hint="eastAsia" w:ascii="黑体" w:hAnsi="黑体" w:eastAsia="黑体"/>
                <w:b/>
                <w:szCs w:val="21"/>
              </w:rPr>
              <w:t>技术评审细则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黑体" w:hAnsi="黑体" w:eastAsia="黑体"/>
                <w:b/>
                <w:szCs w:val="21"/>
              </w:rPr>
            </w:pPr>
            <w:r>
              <w:rPr>
                <w:rFonts w:hint="eastAsia" w:ascii="黑体" w:hAnsi="黑体" w:eastAsia="黑体"/>
                <w:b/>
                <w:szCs w:val="21"/>
              </w:rPr>
              <w:t>序号</w:t>
            </w:r>
          </w:p>
        </w:tc>
        <w:tc>
          <w:tcPr>
            <w:tcW w:w="1551" w:type="dxa"/>
            <w:vAlign w:val="center"/>
          </w:tcPr>
          <w:p>
            <w:pPr>
              <w:spacing w:line="360" w:lineRule="auto"/>
              <w:jc w:val="center"/>
              <w:rPr>
                <w:rFonts w:ascii="黑体" w:hAnsi="黑体" w:eastAsia="黑体"/>
                <w:b/>
                <w:szCs w:val="21"/>
              </w:rPr>
            </w:pPr>
            <w:r>
              <w:rPr>
                <w:rFonts w:hint="eastAsia" w:ascii="黑体" w:hAnsi="黑体" w:eastAsia="黑体"/>
                <w:b/>
                <w:szCs w:val="21"/>
              </w:rPr>
              <w:t>评分内容</w:t>
            </w:r>
          </w:p>
        </w:tc>
        <w:tc>
          <w:tcPr>
            <w:tcW w:w="3382" w:type="dxa"/>
            <w:vAlign w:val="center"/>
          </w:tcPr>
          <w:p>
            <w:pPr>
              <w:spacing w:line="360" w:lineRule="auto"/>
              <w:jc w:val="center"/>
              <w:rPr>
                <w:rFonts w:ascii="黑体" w:hAnsi="黑体" w:eastAsia="黑体"/>
                <w:b/>
                <w:szCs w:val="21"/>
              </w:rPr>
            </w:pPr>
            <w:r>
              <w:rPr>
                <w:rFonts w:hint="eastAsia" w:ascii="黑体" w:hAnsi="黑体" w:eastAsia="黑体"/>
                <w:b/>
                <w:szCs w:val="21"/>
              </w:rPr>
              <w:t>评分标准</w:t>
            </w:r>
          </w:p>
        </w:tc>
        <w:tc>
          <w:tcPr>
            <w:tcW w:w="2452" w:type="dxa"/>
            <w:vAlign w:val="center"/>
          </w:tcPr>
          <w:p>
            <w:pPr>
              <w:spacing w:line="360" w:lineRule="auto"/>
              <w:jc w:val="center"/>
              <w:rPr>
                <w:rFonts w:ascii="黑体" w:hAnsi="黑体" w:eastAsia="黑体"/>
                <w:b/>
                <w:szCs w:val="21"/>
              </w:rPr>
            </w:pPr>
            <w:r>
              <w:rPr>
                <w:rFonts w:hint="eastAsia" w:ascii="黑体" w:hAnsi="黑体" w:eastAsia="黑体"/>
                <w:b/>
                <w:szCs w:val="21"/>
              </w:rPr>
              <w:t>响应文件响应页码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黑体" w:hAnsi="黑体" w:eastAsia="黑体"/>
                <w:b/>
                <w:szCs w:val="21"/>
              </w:rPr>
            </w:pPr>
          </w:p>
        </w:tc>
        <w:tc>
          <w:tcPr>
            <w:tcW w:w="1551" w:type="dxa"/>
            <w:vAlign w:val="center"/>
          </w:tcPr>
          <w:p>
            <w:pPr>
              <w:spacing w:line="360" w:lineRule="auto"/>
              <w:jc w:val="center"/>
              <w:rPr>
                <w:rFonts w:ascii="黑体" w:hAnsi="黑体" w:eastAsia="黑体"/>
                <w:b/>
                <w:szCs w:val="21"/>
              </w:rPr>
            </w:pPr>
          </w:p>
        </w:tc>
        <w:tc>
          <w:tcPr>
            <w:tcW w:w="3382" w:type="dxa"/>
            <w:vAlign w:val="center"/>
          </w:tcPr>
          <w:p>
            <w:pPr>
              <w:spacing w:line="360" w:lineRule="auto"/>
              <w:jc w:val="center"/>
              <w:rPr>
                <w:rFonts w:ascii="黑体" w:hAnsi="黑体" w:eastAsia="黑体"/>
                <w:b/>
                <w:szCs w:val="21"/>
              </w:rPr>
            </w:pPr>
          </w:p>
        </w:tc>
        <w:tc>
          <w:tcPr>
            <w:tcW w:w="2452" w:type="dxa"/>
            <w:vAlign w:val="center"/>
          </w:tcPr>
          <w:p>
            <w:pPr>
              <w:spacing w:line="360" w:lineRule="auto"/>
              <w:jc w:val="center"/>
              <w:rPr>
                <w:rFonts w:ascii="黑体" w:hAnsi="黑体" w:eastAsia="黑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黑体" w:hAnsi="黑体" w:eastAsia="黑体"/>
                <w:b/>
                <w:szCs w:val="21"/>
              </w:rPr>
            </w:pPr>
          </w:p>
        </w:tc>
        <w:tc>
          <w:tcPr>
            <w:tcW w:w="1551" w:type="dxa"/>
            <w:vAlign w:val="center"/>
          </w:tcPr>
          <w:p>
            <w:pPr>
              <w:spacing w:line="360" w:lineRule="auto"/>
              <w:jc w:val="center"/>
              <w:rPr>
                <w:rFonts w:ascii="黑体" w:hAnsi="黑体" w:eastAsia="黑体"/>
                <w:b/>
                <w:szCs w:val="21"/>
              </w:rPr>
            </w:pPr>
          </w:p>
        </w:tc>
        <w:tc>
          <w:tcPr>
            <w:tcW w:w="3382" w:type="dxa"/>
            <w:vAlign w:val="center"/>
          </w:tcPr>
          <w:p>
            <w:pPr>
              <w:spacing w:line="360" w:lineRule="auto"/>
              <w:jc w:val="center"/>
              <w:rPr>
                <w:rFonts w:ascii="黑体" w:hAnsi="黑体" w:eastAsia="黑体"/>
                <w:b/>
                <w:szCs w:val="21"/>
              </w:rPr>
            </w:pPr>
          </w:p>
        </w:tc>
        <w:tc>
          <w:tcPr>
            <w:tcW w:w="2452" w:type="dxa"/>
            <w:vAlign w:val="center"/>
          </w:tcPr>
          <w:p>
            <w:pPr>
              <w:spacing w:line="360" w:lineRule="auto"/>
              <w:jc w:val="center"/>
              <w:rPr>
                <w:rFonts w:ascii="黑体" w:hAnsi="黑体" w:eastAsia="黑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黑体" w:hAnsi="黑体" w:eastAsia="黑体"/>
                <w:b/>
                <w:szCs w:val="21"/>
              </w:rPr>
            </w:pPr>
          </w:p>
        </w:tc>
        <w:tc>
          <w:tcPr>
            <w:tcW w:w="1551" w:type="dxa"/>
            <w:vAlign w:val="center"/>
          </w:tcPr>
          <w:p>
            <w:pPr>
              <w:spacing w:line="360" w:lineRule="auto"/>
              <w:jc w:val="center"/>
              <w:rPr>
                <w:rFonts w:ascii="黑体" w:hAnsi="黑体" w:eastAsia="黑体"/>
                <w:b/>
                <w:szCs w:val="21"/>
              </w:rPr>
            </w:pPr>
          </w:p>
        </w:tc>
        <w:tc>
          <w:tcPr>
            <w:tcW w:w="3382" w:type="dxa"/>
            <w:vAlign w:val="center"/>
          </w:tcPr>
          <w:p>
            <w:pPr>
              <w:spacing w:line="360" w:lineRule="auto"/>
              <w:jc w:val="center"/>
              <w:rPr>
                <w:rFonts w:ascii="黑体" w:hAnsi="黑体" w:eastAsia="黑体"/>
                <w:b/>
                <w:szCs w:val="21"/>
              </w:rPr>
            </w:pPr>
          </w:p>
        </w:tc>
        <w:tc>
          <w:tcPr>
            <w:tcW w:w="2452" w:type="dxa"/>
            <w:vAlign w:val="center"/>
          </w:tcPr>
          <w:p>
            <w:pPr>
              <w:spacing w:line="360" w:lineRule="auto"/>
              <w:jc w:val="center"/>
              <w:rPr>
                <w:rFonts w:ascii="黑体" w:hAnsi="黑体" w:eastAsia="黑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黑体" w:hAnsi="黑体" w:eastAsia="黑体"/>
                <w:b/>
                <w:szCs w:val="21"/>
              </w:rPr>
            </w:pPr>
          </w:p>
        </w:tc>
        <w:tc>
          <w:tcPr>
            <w:tcW w:w="1551" w:type="dxa"/>
            <w:vAlign w:val="center"/>
          </w:tcPr>
          <w:p>
            <w:pPr>
              <w:spacing w:line="360" w:lineRule="auto"/>
              <w:jc w:val="center"/>
              <w:rPr>
                <w:rFonts w:ascii="黑体" w:hAnsi="黑体" w:eastAsia="黑体"/>
                <w:b/>
                <w:szCs w:val="21"/>
              </w:rPr>
            </w:pPr>
          </w:p>
        </w:tc>
        <w:tc>
          <w:tcPr>
            <w:tcW w:w="3382" w:type="dxa"/>
            <w:vAlign w:val="center"/>
          </w:tcPr>
          <w:p>
            <w:pPr>
              <w:spacing w:line="360" w:lineRule="auto"/>
              <w:jc w:val="center"/>
              <w:rPr>
                <w:rFonts w:ascii="黑体" w:hAnsi="黑体" w:eastAsia="黑体"/>
                <w:b/>
                <w:szCs w:val="21"/>
              </w:rPr>
            </w:pPr>
          </w:p>
        </w:tc>
        <w:tc>
          <w:tcPr>
            <w:tcW w:w="2452" w:type="dxa"/>
            <w:vAlign w:val="center"/>
          </w:tcPr>
          <w:p>
            <w:pPr>
              <w:spacing w:line="360" w:lineRule="auto"/>
              <w:jc w:val="center"/>
              <w:rPr>
                <w:rFonts w:ascii="黑体" w:hAnsi="黑体" w:eastAsia="黑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黑体" w:hAnsi="黑体" w:eastAsia="黑体"/>
                <w:b/>
                <w:szCs w:val="21"/>
              </w:rPr>
            </w:pPr>
          </w:p>
        </w:tc>
        <w:tc>
          <w:tcPr>
            <w:tcW w:w="1551" w:type="dxa"/>
            <w:vAlign w:val="center"/>
          </w:tcPr>
          <w:p>
            <w:pPr>
              <w:spacing w:line="360" w:lineRule="auto"/>
              <w:jc w:val="center"/>
              <w:rPr>
                <w:rFonts w:ascii="黑体" w:hAnsi="黑体" w:eastAsia="黑体"/>
                <w:b/>
                <w:szCs w:val="21"/>
              </w:rPr>
            </w:pPr>
          </w:p>
        </w:tc>
        <w:tc>
          <w:tcPr>
            <w:tcW w:w="3382" w:type="dxa"/>
            <w:vAlign w:val="center"/>
          </w:tcPr>
          <w:p>
            <w:pPr>
              <w:spacing w:line="360" w:lineRule="auto"/>
              <w:jc w:val="center"/>
              <w:rPr>
                <w:rFonts w:ascii="黑体" w:hAnsi="黑体" w:eastAsia="黑体"/>
                <w:b/>
                <w:szCs w:val="21"/>
              </w:rPr>
            </w:pPr>
          </w:p>
        </w:tc>
        <w:tc>
          <w:tcPr>
            <w:tcW w:w="2452" w:type="dxa"/>
            <w:vAlign w:val="center"/>
          </w:tcPr>
          <w:p>
            <w:pPr>
              <w:spacing w:line="360" w:lineRule="auto"/>
              <w:jc w:val="center"/>
              <w:rPr>
                <w:rFonts w:ascii="黑体" w:hAnsi="黑体" w:eastAsia="黑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黑体" w:hAnsi="黑体" w:eastAsia="黑体"/>
                <w:b/>
                <w:szCs w:val="21"/>
              </w:rPr>
            </w:pPr>
          </w:p>
        </w:tc>
        <w:tc>
          <w:tcPr>
            <w:tcW w:w="1551" w:type="dxa"/>
            <w:vAlign w:val="center"/>
          </w:tcPr>
          <w:p>
            <w:pPr>
              <w:spacing w:line="360" w:lineRule="auto"/>
              <w:jc w:val="center"/>
              <w:rPr>
                <w:rFonts w:ascii="黑体" w:hAnsi="黑体" w:eastAsia="黑体"/>
                <w:b/>
                <w:szCs w:val="21"/>
              </w:rPr>
            </w:pPr>
          </w:p>
        </w:tc>
        <w:tc>
          <w:tcPr>
            <w:tcW w:w="3382" w:type="dxa"/>
            <w:vAlign w:val="center"/>
          </w:tcPr>
          <w:p>
            <w:pPr>
              <w:spacing w:line="360" w:lineRule="auto"/>
              <w:jc w:val="center"/>
              <w:rPr>
                <w:rFonts w:ascii="黑体" w:hAnsi="黑体" w:eastAsia="黑体"/>
                <w:b/>
                <w:szCs w:val="21"/>
              </w:rPr>
            </w:pPr>
          </w:p>
        </w:tc>
        <w:tc>
          <w:tcPr>
            <w:tcW w:w="2452" w:type="dxa"/>
            <w:vAlign w:val="center"/>
          </w:tcPr>
          <w:p>
            <w:pPr>
              <w:spacing w:line="360" w:lineRule="auto"/>
              <w:jc w:val="center"/>
              <w:rPr>
                <w:rFonts w:ascii="黑体" w:hAnsi="黑体" w:eastAsia="黑体"/>
                <w:b/>
                <w:szCs w:val="21"/>
              </w:rPr>
            </w:pPr>
          </w:p>
        </w:tc>
      </w:tr>
    </w:tbl>
    <w:p>
      <w:pPr>
        <w:spacing w:before="156" w:beforeLines="50" w:line="360" w:lineRule="auto"/>
        <w:rPr>
          <w:rFonts w:ascii="黑体" w:hAnsi="黑体" w:eastAsia="黑体"/>
        </w:rPr>
      </w:pPr>
      <w:r>
        <w:rPr>
          <w:rFonts w:hint="eastAsia" w:ascii="黑体" w:hAnsi="黑体" w:eastAsia="黑体"/>
          <w:szCs w:val="21"/>
        </w:rPr>
        <w:t>注明：按磋商文件第五部分</w:t>
      </w:r>
      <w:r>
        <w:rPr>
          <w:rFonts w:ascii="黑体" w:hAnsi="黑体" w:eastAsia="黑体"/>
          <w:szCs w:val="21"/>
        </w:rPr>
        <w:t xml:space="preserve"> </w:t>
      </w:r>
      <w:r>
        <w:rPr>
          <w:rFonts w:hint="eastAsia" w:ascii="黑体" w:hAnsi="黑体" w:eastAsia="黑体"/>
          <w:szCs w:val="21"/>
        </w:rPr>
        <w:t>评审方法、步骤、标准之附表二详细评审表相对应条款填写。</w:t>
      </w:r>
    </w:p>
    <w:p>
      <w:pPr>
        <w:spacing w:line="360" w:lineRule="auto"/>
        <w:rPr>
          <w:rFonts w:ascii="黑体" w:hAnsi="黑体" w:eastAsia="黑体"/>
        </w:rPr>
      </w:pPr>
    </w:p>
    <w:p>
      <w:pPr>
        <w:spacing w:line="360" w:lineRule="auto"/>
        <w:rPr>
          <w:rFonts w:ascii="黑体" w:hAnsi="黑体" w:eastAsia="黑体"/>
        </w:rPr>
      </w:pPr>
    </w:p>
    <w:p>
      <w:pPr>
        <w:spacing w:line="360" w:lineRule="auto"/>
        <w:rPr>
          <w:rFonts w:ascii="黑体" w:hAnsi="黑体" w:eastAsia="黑体"/>
        </w:rPr>
      </w:pPr>
    </w:p>
    <w:tbl>
      <w:tblPr>
        <w:tblStyle w:val="22"/>
        <w:tblW w:w="8522" w:type="dxa"/>
        <w:tblInd w:w="0" w:type="dxa"/>
        <w:tblLayout w:type="fixed"/>
        <w:tblCellMar>
          <w:top w:w="0" w:type="dxa"/>
          <w:left w:w="108" w:type="dxa"/>
          <w:bottom w:w="0" w:type="dxa"/>
          <w:right w:w="108" w:type="dxa"/>
        </w:tblCellMar>
      </w:tblPr>
      <w:tblGrid>
        <w:gridCol w:w="5349"/>
        <w:gridCol w:w="3173"/>
      </w:tblGrid>
      <w:tr>
        <w:tblPrEx>
          <w:tblCellMar>
            <w:top w:w="0" w:type="dxa"/>
            <w:left w:w="108" w:type="dxa"/>
            <w:bottom w:w="0" w:type="dxa"/>
            <w:right w:w="108" w:type="dxa"/>
          </w:tblCellMar>
        </w:tblPrEx>
        <w:tc>
          <w:tcPr>
            <w:tcW w:w="5349" w:type="dxa"/>
          </w:tcPr>
          <w:p>
            <w:pPr>
              <w:overflowPunct w:val="0"/>
              <w:adjustRightInd w:val="0"/>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c>
          <w:tcPr>
            <w:tcW w:w="3173" w:type="dxa"/>
          </w:tcPr>
          <w:p>
            <w:pPr>
              <w:spacing w:line="360" w:lineRule="auto"/>
              <w:rPr>
                <w:rFonts w:ascii="黑体" w:hAnsi="黑体" w:eastAsia="黑体"/>
                <w:szCs w:val="21"/>
              </w:rPr>
            </w:pPr>
          </w:p>
        </w:tc>
      </w:tr>
      <w:tr>
        <w:tblPrEx>
          <w:tblCellMar>
            <w:top w:w="0" w:type="dxa"/>
            <w:left w:w="108" w:type="dxa"/>
            <w:bottom w:w="0" w:type="dxa"/>
            <w:right w:w="108" w:type="dxa"/>
          </w:tblCellMar>
        </w:tblPrEx>
        <w:tc>
          <w:tcPr>
            <w:tcW w:w="5349" w:type="dxa"/>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3" w:type="dxa"/>
          </w:tcPr>
          <w:p>
            <w:pPr>
              <w:spacing w:line="360" w:lineRule="auto"/>
              <w:rPr>
                <w:rFonts w:ascii="黑体" w:hAnsi="黑体" w:eastAsia="黑体"/>
                <w:szCs w:val="21"/>
              </w:rPr>
            </w:pPr>
          </w:p>
        </w:tc>
      </w:tr>
    </w:tbl>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198" w:name="_Toc29182"/>
      <w:r>
        <w:rPr>
          <w:rStyle w:val="25"/>
          <w:rFonts w:hint="eastAsia" w:ascii="黑体" w:hAnsi="黑体" w:eastAsia="黑体"/>
          <w:b/>
          <w:bCs/>
          <w:spacing w:val="12"/>
          <w:sz w:val="21"/>
        </w:rPr>
        <w:t>磋商函</w:t>
      </w:r>
      <w:bookmarkEnd w:id="195"/>
      <w:bookmarkEnd w:id="196"/>
      <w:bookmarkEnd w:id="197"/>
      <w:bookmarkEnd w:id="198"/>
    </w:p>
    <w:p>
      <w:pPr>
        <w:spacing w:after="156" w:afterLines="50" w:line="360" w:lineRule="auto"/>
        <w:jc w:val="center"/>
        <w:rPr>
          <w:rFonts w:ascii="黑体" w:hAnsi="黑体" w:eastAsia="黑体"/>
          <w:b/>
          <w:spacing w:val="20"/>
          <w:sz w:val="30"/>
          <w:szCs w:val="30"/>
        </w:rPr>
      </w:pPr>
      <w:r>
        <w:rPr>
          <w:rFonts w:hint="eastAsia" w:ascii="黑体" w:hAnsi="黑体" w:eastAsia="黑体"/>
          <w:b/>
          <w:spacing w:val="20"/>
          <w:sz w:val="30"/>
          <w:szCs w:val="30"/>
        </w:rPr>
        <w:t>磋商函</w:t>
      </w:r>
    </w:p>
    <w:p>
      <w:pPr>
        <w:spacing w:before="156" w:beforeLines="50" w:after="156" w:afterLines="50" w:line="360" w:lineRule="auto"/>
        <w:rPr>
          <w:rFonts w:ascii="黑体" w:hAnsi="黑体" w:eastAsia="黑体"/>
          <w:b/>
        </w:rPr>
      </w:pPr>
      <w:r>
        <w:rPr>
          <w:rFonts w:hint="eastAsia" w:ascii="黑体" w:hAnsi="黑体" w:eastAsia="黑体"/>
          <w:b/>
        </w:rPr>
        <w:t>致：广东有德招标采购有限公司</w:t>
      </w:r>
    </w:p>
    <w:p>
      <w:pPr>
        <w:autoSpaceDE w:val="0"/>
        <w:autoSpaceDN w:val="0"/>
        <w:adjustRightInd w:val="0"/>
        <w:spacing w:line="360" w:lineRule="auto"/>
        <w:ind w:right="26" w:firstLine="420" w:firstLineChars="200"/>
        <w:rPr>
          <w:rFonts w:ascii="黑体" w:hAnsi="黑体" w:eastAsia="黑体"/>
          <w:kern w:val="0"/>
          <w:szCs w:val="21"/>
        </w:rPr>
      </w:pPr>
      <w:r>
        <w:rPr>
          <w:rFonts w:hint="eastAsia" w:ascii="黑体" w:hAnsi="黑体" w:eastAsia="黑体"/>
          <w:bCs/>
          <w:kern w:val="0"/>
          <w:szCs w:val="21"/>
        </w:rPr>
        <w:t>依据贵方</w:t>
      </w:r>
      <w:r>
        <w:rPr>
          <w:rFonts w:ascii="黑体" w:hAnsi="黑体" w:eastAsia="黑体"/>
          <w:bCs/>
          <w:kern w:val="0"/>
          <w:szCs w:val="21"/>
          <w:u w:val="single"/>
        </w:rPr>
        <w:t xml:space="preserve">    </w:t>
      </w:r>
      <w:r>
        <w:rPr>
          <w:rFonts w:hint="eastAsia" w:ascii="黑体" w:hAnsi="黑体" w:eastAsia="黑体"/>
          <w:b/>
          <w:bCs/>
          <w:szCs w:val="21"/>
          <w:u w:val="single"/>
        </w:rPr>
        <w:t>项目名称</w:t>
      </w:r>
      <w:r>
        <w:rPr>
          <w:rFonts w:ascii="黑体" w:hAnsi="黑体" w:eastAsia="黑体"/>
          <w:b/>
          <w:bCs/>
          <w:szCs w:val="21"/>
          <w:u w:val="single"/>
        </w:rPr>
        <w:t xml:space="preserve"> </w:t>
      </w:r>
      <w:r>
        <w:rPr>
          <w:rFonts w:ascii="黑体" w:hAnsi="黑体" w:eastAsia="黑体"/>
          <w:bCs/>
          <w:szCs w:val="21"/>
          <w:u w:val="single"/>
        </w:rPr>
        <w:t xml:space="preserve">    </w:t>
      </w:r>
      <w:r>
        <w:rPr>
          <w:rFonts w:hint="eastAsia" w:ascii="黑体" w:hAnsi="黑体" w:eastAsia="黑体"/>
          <w:bCs/>
          <w:kern w:val="0"/>
          <w:szCs w:val="21"/>
        </w:rPr>
        <w:t>项目</w:t>
      </w:r>
      <w:r>
        <w:rPr>
          <w:rFonts w:hint="eastAsia" w:ascii="黑体" w:hAnsi="黑体" w:eastAsia="黑体"/>
          <w:bCs/>
          <w:szCs w:val="21"/>
          <w:u w:val="single"/>
        </w:rPr>
        <w:t>（</w:t>
      </w:r>
      <w:r>
        <w:rPr>
          <w:rFonts w:hint="eastAsia" w:ascii="黑体" w:hAnsi="黑体" w:eastAsia="黑体"/>
          <w:b/>
          <w:bCs/>
          <w:szCs w:val="21"/>
          <w:u w:val="single"/>
        </w:rPr>
        <w:t>项目编号：</w:t>
      </w:r>
      <w:r>
        <w:rPr>
          <w:rFonts w:ascii="黑体" w:hAnsi="黑体" w:eastAsia="黑体"/>
          <w:bCs/>
          <w:szCs w:val="21"/>
          <w:u w:val="single"/>
        </w:rPr>
        <w:t xml:space="preserve">        ) </w:t>
      </w:r>
      <w:r>
        <w:rPr>
          <w:rFonts w:hint="eastAsia" w:ascii="黑体" w:hAnsi="黑体" w:eastAsia="黑体"/>
          <w:bCs/>
          <w:kern w:val="0"/>
          <w:szCs w:val="21"/>
        </w:rPr>
        <w:t>的磋商邀请，我方代表</w:t>
      </w:r>
      <w:r>
        <w:rPr>
          <w:rFonts w:ascii="黑体" w:hAnsi="黑体" w:eastAsia="黑体"/>
          <w:bCs/>
          <w:kern w:val="0"/>
          <w:szCs w:val="21"/>
          <w:u w:val="single"/>
        </w:rPr>
        <w:t xml:space="preserve"> </w:t>
      </w:r>
      <w:r>
        <w:rPr>
          <w:rFonts w:hint="eastAsia" w:ascii="黑体" w:hAnsi="黑体" w:eastAsia="黑体"/>
          <w:b/>
          <w:bCs/>
          <w:szCs w:val="21"/>
          <w:u w:val="single"/>
        </w:rPr>
        <w:t>（姓名、职务）</w:t>
      </w:r>
      <w:r>
        <w:rPr>
          <w:rFonts w:ascii="黑体" w:hAnsi="黑体" w:eastAsia="黑体"/>
          <w:bCs/>
          <w:szCs w:val="21"/>
          <w:u w:val="single"/>
        </w:rPr>
        <w:t xml:space="preserve"> </w:t>
      </w:r>
      <w:r>
        <w:rPr>
          <w:rFonts w:hint="eastAsia" w:ascii="黑体" w:hAnsi="黑体" w:eastAsia="黑体"/>
          <w:bCs/>
          <w:kern w:val="0"/>
          <w:szCs w:val="21"/>
        </w:rPr>
        <w:t>经正式授权并代表</w:t>
      </w:r>
      <w:r>
        <w:rPr>
          <w:rFonts w:ascii="黑体" w:hAnsi="黑体" w:eastAsia="黑体"/>
          <w:bCs/>
          <w:kern w:val="0"/>
          <w:szCs w:val="21"/>
          <w:u w:val="single"/>
        </w:rPr>
        <w:t xml:space="preserve"> </w:t>
      </w:r>
      <w:r>
        <w:rPr>
          <w:rFonts w:hint="eastAsia" w:ascii="黑体" w:hAnsi="黑体" w:eastAsia="黑体"/>
          <w:b/>
          <w:bCs/>
          <w:szCs w:val="21"/>
          <w:u w:val="single"/>
        </w:rPr>
        <w:t>（响应供应商名称）</w:t>
      </w:r>
      <w:r>
        <w:rPr>
          <w:rFonts w:ascii="黑体" w:hAnsi="黑体" w:eastAsia="黑体"/>
          <w:bCs/>
          <w:szCs w:val="21"/>
          <w:u w:val="single"/>
        </w:rPr>
        <w:t xml:space="preserve"> </w:t>
      </w:r>
      <w:r>
        <w:rPr>
          <w:rFonts w:hint="eastAsia" w:ascii="黑体" w:hAnsi="黑体" w:eastAsia="黑体"/>
          <w:bCs/>
          <w:szCs w:val="21"/>
        </w:rPr>
        <w:t>提交保证金信封一份、</w:t>
      </w:r>
      <w:r>
        <w:rPr>
          <w:rFonts w:hint="eastAsia" w:ascii="黑体" w:hAnsi="黑体" w:eastAsia="黑体"/>
          <w:bCs/>
          <w:kern w:val="0"/>
          <w:szCs w:val="21"/>
        </w:rPr>
        <w:t>响应文件</w:t>
      </w:r>
      <w:r>
        <w:rPr>
          <w:rFonts w:ascii="黑体" w:hAnsi="黑体" w:eastAsia="黑体"/>
          <w:bCs/>
          <w:kern w:val="0"/>
          <w:szCs w:val="21"/>
        </w:rPr>
        <w:t>(含价格文件、商务技术文件)各正本一份，副本</w:t>
      </w:r>
      <w:r>
        <w:rPr>
          <w:rFonts w:ascii="黑体" w:hAnsi="黑体" w:eastAsia="黑体"/>
          <w:bCs/>
          <w:kern w:val="0"/>
          <w:szCs w:val="21"/>
          <w:u w:val="single"/>
        </w:rPr>
        <w:t xml:space="preserve"> （</w:t>
      </w:r>
      <w:r>
        <w:rPr>
          <w:rFonts w:hint="eastAsia" w:ascii="黑体" w:hAnsi="黑体" w:eastAsia="黑体"/>
          <w:b/>
          <w:bCs/>
          <w:kern w:val="0"/>
          <w:szCs w:val="21"/>
          <w:u w:val="single"/>
        </w:rPr>
        <w:t>详见磋商须知前附表</w:t>
      </w:r>
      <w:r>
        <w:rPr>
          <w:rFonts w:ascii="黑体" w:hAnsi="黑体" w:eastAsia="黑体"/>
          <w:b/>
          <w:bCs/>
          <w:kern w:val="0"/>
          <w:szCs w:val="21"/>
          <w:u w:val="single"/>
        </w:rPr>
        <w:t xml:space="preserve">） </w:t>
      </w:r>
      <w:r>
        <w:rPr>
          <w:rFonts w:ascii="黑体" w:hAnsi="黑体" w:eastAsia="黑体"/>
          <w:bCs/>
          <w:kern w:val="0"/>
          <w:szCs w:val="21"/>
          <w:u w:val="single"/>
        </w:rPr>
        <w:t xml:space="preserve"> </w:t>
      </w:r>
      <w:r>
        <w:rPr>
          <w:rFonts w:hint="eastAsia" w:ascii="黑体" w:hAnsi="黑体" w:eastAsia="黑体"/>
          <w:bCs/>
          <w:kern w:val="0"/>
          <w:szCs w:val="21"/>
        </w:rPr>
        <w:t>份，电子文件一份。</w:t>
      </w:r>
    </w:p>
    <w:p>
      <w:pPr>
        <w:autoSpaceDE w:val="0"/>
        <w:autoSpaceDN w:val="0"/>
        <w:adjustRightInd w:val="0"/>
        <w:spacing w:line="360" w:lineRule="auto"/>
        <w:ind w:right="244"/>
        <w:rPr>
          <w:rFonts w:ascii="黑体" w:hAnsi="黑体" w:eastAsia="黑体"/>
          <w:kern w:val="0"/>
          <w:szCs w:val="21"/>
        </w:rPr>
      </w:pPr>
      <w:bookmarkStart w:id="199" w:name="_Hlk91019630"/>
      <w:r>
        <w:rPr>
          <w:rFonts w:ascii="黑体" w:hAnsi="黑体" w:eastAsia="黑体"/>
          <w:kern w:val="0"/>
          <w:szCs w:val="21"/>
        </w:rPr>
        <w:t>我方已完全明白磋商文件的所有条款要求，并</w:t>
      </w:r>
      <w:r>
        <w:rPr>
          <w:rFonts w:hint="eastAsia" w:ascii="黑体" w:hAnsi="黑体" w:eastAsia="黑体"/>
          <w:kern w:val="0"/>
          <w:szCs w:val="21"/>
        </w:rPr>
        <w:t>声明</w:t>
      </w:r>
      <w:r>
        <w:rPr>
          <w:rFonts w:ascii="黑体" w:hAnsi="黑体" w:eastAsia="黑体"/>
          <w:kern w:val="0"/>
          <w:szCs w:val="21"/>
        </w:rPr>
        <w:t>如下：</w:t>
      </w:r>
    </w:p>
    <w:bookmarkEnd w:id="199"/>
    <w:p>
      <w:pPr>
        <w:pStyle w:val="30"/>
        <w:numPr>
          <w:ilvl w:val="0"/>
          <w:numId w:val="111"/>
        </w:numPr>
        <w:spacing w:line="360" w:lineRule="auto"/>
        <w:ind w:firstLineChars="0"/>
        <w:rPr>
          <w:rFonts w:ascii="黑体" w:hAnsi="黑体" w:eastAsia="黑体"/>
          <w:szCs w:val="21"/>
        </w:rPr>
      </w:pPr>
      <w:bookmarkStart w:id="200" w:name="_Hlk91019664"/>
      <w:r>
        <w:rPr>
          <w:rFonts w:hint="eastAsia" w:ascii="黑体" w:hAnsi="黑体" w:eastAsia="黑体"/>
          <w:szCs w:val="21"/>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r>
        <w:rPr>
          <w:rFonts w:ascii="黑体" w:hAnsi="黑体" w:eastAsia="黑体"/>
          <w:szCs w:val="21"/>
        </w:rPr>
        <w:t>。</w:t>
      </w:r>
    </w:p>
    <w:p>
      <w:pPr>
        <w:pStyle w:val="30"/>
        <w:numPr>
          <w:ilvl w:val="0"/>
          <w:numId w:val="111"/>
        </w:numPr>
        <w:spacing w:line="360" w:lineRule="auto"/>
        <w:ind w:firstLineChars="0"/>
        <w:rPr>
          <w:rFonts w:ascii="黑体" w:hAnsi="黑体" w:eastAsia="黑体"/>
          <w:szCs w:val="21"/>
        </w:rPr>
      </w:pPr>
      <w:r>
        <w:rPr>
          <w:rFonts w:hint="eastAsia" w:ascii="黑体" w:hAnsi="黑体" w:eastAsia="黑体"/>
          <w:szCs w:val="21"/>
        </w:rPr>
        <w:t>同意并接受磋商文件的各项要求，遵守磋商文件中的各项规定，按磋商文件的要求提供报价。</w:t>
      </w:r>
    </w:p>
    <w:p>
      <w:pPr>
        <w:pStyle w:val="30"/>
        <w:numPr>
          <w:ilvl w:val="0"/>
          <w:numId w:val="111"/>
        </w:numPr>
        <w:spacing w:line="360" w:lineRule="auto"/>
        <w:ind w:firstLineChars="0"/>
        <w:rPr>
          <w:rFonts w:ascii="黑体" w:hAnsi="黑体" w:eastAsia="黑体"/>
          <w:szCs w:val="21"/>
        </w:rPr>
      </w:pPr>
      <w:r>
        <w:rPr>
          <w:rFonts w:hint="eastAsia" w:ascii="黑体" w:hAnsi="黑体" w:eastAsia="黑体"/>
          <w:szCs w:val="21"/>
        </w:rPr>
        <w:t>本响应文件的有效期为从提交响应文件的截止之日起90日历天。如成交，有效期将延至合同终止日为止。</w:t>
      </w:r>
    </w:p>
    <w:p>
      <w:pPr>
        <w:pStyle w:val="30"/>
        <w:numPr>
          <w:ilvl w:val="0"/>
          <w:numId w:val="111"/>
        </w:numPr>
        <w:spacing w:line="360" w:lineRule="auto"/>
        <w:ind w:firstLineChars="0"/>
        <w:rPr>
          <w:rFonts w:ascii="黑体" w:hAnsi="黑体" w:eastAsia="黑体"/>
          <w:szCs w:val="21"/>
        </w:rPr>
      </w:pPr>
      <w:r>
        <w:rPr>
          <w:rFonts w:hint="eastAsia" w:ascii="黑体" w:hAnsi="黑体" w:eastAsia="黑体"/>
          <w:szCs w:val="21"/>
        </w:rPr>
        <w:t>我方已毫无保留地向贵方提供一切所需的证明材料。</w:t>
      </w:r>
    </w:p>
    <w:p>
      <w:pPr>
        <w:pStyle w:val="30"/>
        <w:numPr>
          <w:ilvl w:val="0"/>
          <w:numId w:val="111"/>
        </w:numPr>
        <w:spacing w:line="360" w:lineRule="auto"/>
        <w:ind w:firstLineChars="0"/>
        <w:rPr>
          <w:rFonts w:ascii="黑体" w:hAnsi="黑体" w:eastAsia="黑体"/>
          <w:szCs w:val="21"/>
        </w:rPr>
      </w:pPr>
      <w:r>
        <w:rPr>
          <w:rFonts w:hint="eastAsia" w:ascii="黑体" w:hAnsi="黑体" w:eastAsia="黑体"/>
          <w:szCs w:val="21"/>
        </w:rPr>
        <w:t>我方承诺在本次响应文件中提供的一切文件，无论是原件还是复印件均为真实和准确的，绝无任何虚假、伪造和夸大的成份，否则，愿承担相应的后果和法律责任。</w:t>
      </w:r>
    </w:p>
    <w:p>
      <w:pPr>
        <w:pStyle w:val="30"/>
        <w:numPr>
          <w:ilvl w:val="0"/>
          <w:numId w:val="111"/>
        </w:numPr>
        <w:spacing w:line="360" w:lineRule="auto"/>
        <w:ind w:firstLineChars="0"/>
        <w:rPr>
          <w:rFonts w:ascii="黑体" w:hAnsi="黑体" w:eastAsia="黑体"/>
          <w:szCs w:val="21"/>
        </w:rPr>
      </w:pPr>
      <w:r>
        <w:rPr>
          <w:rFonts w:ascii="黑体" w:hAnsi="黑体" w:eastAsia="黑体"/>
          <w:szCs w:val="21"/>
        </w:rPr>
        <w:t>我方如果成交，将保证履行磋商文件及其澄清、修改文件（如果有）中的全部责任和义务，按质、按量、按期完成 《采购需求》及《合同书》中的全部任务。</w:t>
      </w:r>
    </w:p>
    <w:bookmarkEnd w:id="200"/>
    <w:p>
      <w:pPr>
        <w:pStyle w:val="30"/>
        <w:numPr>
          <w:ilvl w:val="0"/>
          <w:numId w:val="111"/>
        </w:numPr>
        <w:spacing w:line="360" w:lineRule="auto"/>
        <w:ind w:firstLineChars="0"/>
        <w:rPr>
          <w:rFonts w:ascii="黑体" w:hAnsi="黑体" w:eastAsia="黑体"/>
          <w:szCs w:val="21"/>
        </w:rPr>
      </w:pPr>
      <w:r>
        <w:rPr>
          <w:rFonts w:hint="eastAsia" w:ascii="黑体" w:hAnsi="黑体" w:eastAsia="黑体"/>
          <w:szCs w:val="21"/>
        </w:rPr>
        <w:t>我方同意按磋商文件规定向采购代理机构缴纳采购代理服务费。</w:t>
      </w:r>
    </w:p>
    <w:p>
      <w:pPr>
        <w:pStyle w:val="30"/>
        <w:numPr>
          <w:ilvl w:val="0"/>
          <w:numId w:val="111"/>
        </w:numPr>
        <w:spacing w:after="312" w:afterLines="100" w:line="360" w:lineRule="auto"/>
        <w:ind w:firstLineChars="0"/>
        <w:rPr>
          <w:rFonts w:ascii="黑体" w:hAnsi="黑体" w:eastAsia="黑体"/>
          <w:szCs w:val="21"/>
        </w:rPr>
      </w:pPr>
      <w:r>
        <w:rPr>
          <w:rFonts w:hint="eastAsia" w:ascii="黑体" w:hAnsi="黑体" w:eastAsia="黑体"/>
          <w:szCs w:val="21"/>
        </w:rPr>
        <w:t>所有与本磋商有关的函件请发往下列地址：</w:t>
      </w:r>
    </w:p>
    <w:tbl>
      <w:tblPr>
        <w:tblStyle w:val="23"/>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61"/>
        <w:gridCol w:w="4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Pr>
          <w:p>
            <w:pPr>
              <w:spacing w:before="156" w:beforeLines="50" w:line="360" w:lineRule="auto"/>
              <w:rPr>
                <w:rFonts w:ascii="黑体" w:hAnsi="黑体" w:eastAsia="黑体"/>
                <w:szCs w:val="21"/>
              </w:rPr>
            </w:pPr>
            <w:r>
              <w:rPr>
                <w:rFonts w:hint="eastAsia" w:ascii="黑体" w:hAnsi="黑体" w:eastAsia="黑体"/>
                <w:szCs w:val="21"/>
              </w:rPr>
              <w:t>响应供应商地址：</w:t>
            </w:r>
            <w:r>
              <w:rPr>
                <w:rFonts w:ascii="黑体" w:hAnsi="黑体" w:eastAsia="黑体"/>
                <w:szCs w:val="21"/>
                <w:u w:val="single"/>
              </w:rPr>
              <w:t xml:space="preserve">                          </w:t>
            </w:r>
          </w:p>
        </w:tc>
        <w:tc>
          <w:tcPr>
            <w:tcW w:w="4261" w:type="dxa"/>
          </w:tcPr>
          <w:p>
            <w:pPr>
              <w:spacing w:before="156" w:beforeLines="50" w:line="360" w:lineRule="auto"/>
              <w:rPr>
                <w:rFonts w:ascii="黑体" w:hAnsi="黑体" w:eastAsia="黑体"/>
                <w:szCs w:val="21"/>
              </w:rPr>
            </w:pPr>
            <w:r>
              <w:rPr>
                <w:rFonts w:hint="eastAsia" w:ascii="黑体" w:hAnsi="黑体" w:eastAsia="黑体"/>
                <w:szCs w:val="21"/>
              </w:rPr>
              <w:t>邮编：</w:t>
            </w:r>
            <w:r>
              <w:rPr>
                <w:rFonts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Pr>
          <w:p>
            <w:pPr>
              <w:spacing w:line="360" w:lineRule="auto"/>
              <w:rPr>
                <w:rFonts w:ascii="黑体" w:hAnsi="黑体" w:eastAsia="黑体"/>
                <w:szCs w:val="21"/>
              </w:rPr>
            </w:pPr>
            <w:r>
              <w:rPr>
                <w:rFonts w:hint="eastAsia" w:ascii="黑体" w:hAnsi="黑体" w:eastAsia="黑体"/>
                <w:szCs w:val="21"/>
              </w:rPr>
              <w:t>联系电话：</w:t>
            </w:r>
            <w:r>
              <w:rPr>
                <w:rFonts w:ascii="黑体" w:hAnsi="黑体" w:eastAsia="黑体"/>
                <w:szCs w:val="21"/>
                <w:u w:val="single"/>
              </w:rPr>
              <w:t xml:space="preserve">                            </w:t>
            </w:r>
          </w:p>
        </w:tc>
        <w:tc>
          <w:tcPr>
            <w:tcW w:w="4261" w:type="dxa"/>
          </w:tcPr>
          <w:p>
            <w:pPr>
              <w:spacing w:line="360" w:lineRule="auto"/>
              <w:rPr>
                <w:rFonts w:ascii="黑体" w:hAnsi="黑体" w:eastAsia="黑体"/>
                <w:szCs w:val="21"/>
              </w:rPr>
            </w:pPr>
            <w:r>
              <w:rPr>
                <w:rFonts w:hint="eastAsia" w:ascii="黑体" w:hAnsi="黑体" w:eastAsia="黑体"/>
                <w:szCs w:val="21"/>
              </w:rPr>
              <w:t>传真：</w:t>
            </w:r>
            <w:r>
              <w:rPr>
                <w:rFonts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Pr>
          <w:p>
            <w:pPr>
              <w:spacing w:line="360" w:lineRule="auto"/>
              <w:rPr>
                <w:rFonts w:ascii="黑体" w:hAnsi="黑体" w:eastAsia="黑体"/>
                <w:szCs w:val="21"/>
              </w:rPr>
            </w:pPr>
            <w:r>
              <w:rPr>
                <w:rFonts w:hint="eastAsia" w:ascii="黑体" w:hAnsi="黑体" w:eastAsia="黑体"/>
                <w:szCs w:val="21"/>
              </w:rPr>
              <w:t>项目联系人：</w:t>
            </w:r>
            <w:r>
              <w:rPr>
                <w:rFonts w:ascii="黑体" w:hAnsi="黑体" w:eastAsia="黑体"/>
                <w:szCs w:val="21"/>
                <w:u w:val="single"/>
              </w:rPr>
              <w:t xml:space="preserve">                          </w:t>
            </w:r>
          </w:p>
        </w:tc>
        <w:tc>
          <w:tcPr>
            <w:tcW w:w="4261" w:type="dxa"/>
          </w:tcPr>
          <w:p>
            <w:pPr>
              <w:spacing w:line="360" w:lineRule="auto"/>
              <w:rPr>
                <w:rFonts w:ascii="黑体" w:hAnsi="黑体" w:eastAsia="黑体"/>
                <w:szCs w:val="21"/>
              </w:rPr>
            </w:pPr>
            <w:r>
              <w:rPr>
                <w:rFonts w:hint="eastAsia" w:ascii="黑体" w:hAnsi="黑体" w:eastAsia="黑体"/>
                <w:szCs w:val="21"/>
              </w:rPr>
              <w:t>手机：</w:t>
            </w:r>
            <w:r>
              <w:rPr>
                <w:rFonts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gridSpan w:val="2"/>
          </w:tcPr>
          <w:p>
            <w:pPr>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gridSpan w:val="2"/>
          </w:tcPr>
          <w:p>
            <w:pPr>
              <w:spacing w:line="360" w:lineRule="auto"/>
              <w:jc w:val="left"/>
              <w:rPr>
                <w:rFonts w:ascii="黑体" w:hAnsi="黑体" w:eastAsia="黑体"/>
                <w:szCs w:val="21"/>
              </w:rPr>
            </w:pPr>
            <w:r>
              <w:rPr>
                <w:rFonts w:hint="eastAsia" w:ascii="黑体" w:hAnsi="黑体" w:eastAsia="黑体"/>
                <w:szCs w:val="21"/>
              </w:rPr>
              <w:t>响应供应商法定代表人或被授权人（签名或盖私章）：</w:t>
            </w:r>
            <w:r>
              <w:rPr>
                <w:rFonts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gridSpan w:val="2"/>
          </w:tcPr>
          <w:p>
            <w:pPr>
              <w:spacing w:line="360" w:lineRule="auto"/>
              <w:jc w:val="left"/>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w:t>
            </w:r>
            <w:r>
              <w:rPr>
                <w:rFonts w:hint="eastAsia" w:ascii="黑体" w:hAnsi="黑体" w:eastAsia="黑体"/>
                <w:szCs w:val="21"/>
                <w:u w:val="single"/>
              </w:rPr>
              <w:t>年</w:t>
            </w:r>
            <w:r>
              <w:rPr>
                <w:rFonts w:ascii="黑体" w:hAnsi="黑体" w:eastAsia="黑体"/>
                <w:szCs w:val="21"/>
                <w:u w:val="single"/>
              </w:rPr>
              <w:t xml:space="preserve">        </w:t>
            </w:r>
            <w:r>
              <w:rPr>
                <w:rFonts w:hint="eastAsia" w:ascii="黑体" w:hAnsi="黑体" w:eastAsia="黑体"/>
                <w:szCs w:val="21"/>
                <w:u w:val="single"/>
              </w:rPr>
              <w:t>月</w:t>
            </w:r>
            <w:r>
              <w:rPr>
                <w:rFonts w:ascii="黑体" w:hAnsi="黑体" w:eastAsia="黑体"/>
                <w:szCs w:val="21"/>
                <w:u w:val="single"/>
              </w:rPr>
              <w:t xml:space="preserve">         </w:t>
            </w:r>
            <w:r>
              <w:rPr>
                <w:rFonts w:hint="eastAsia" w:ascii="黑体" w:hAnsi="黑体" w:eastAsia="黑体"/>
                <w:szCs w:val="21"/>
                <w:u w:val="single"/>
              </w:rPr>
              <w:t>日</w:t>
            </w:r>
          </w:p>
        </w:tc>
      </w:tr>
    </w:tbl>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01" w:name="_Toc405313962"/>
      <w:bookmarkStart w:id="202" w:name="_Toc521951144"/>
      <w:bookmarkStart w:id="203" w:name="_Toc391627758"/>
      <w:bookmarkStart w:id="204" w:name="_Toc15811"/>
      <w:r>
        <w:rPr>
          <w:rStyle w:val="25"/>
          <w:rFonts w:hint="eastAsia" w:ascii="黑体" w:hAnsi="黑体" w:eastAsia="黑体"/>
          <w:b/>
          <w:bCs/>
          <w:spacing w:val="12"/>
          <w:sz w:val="21"/>
        </w:rPr>
        <w:t>法定代表人身份证明书</w:t>
      </w:r>
      <w:bookmarkEnd w:id="201"/>
      <w:bookmarkEnd w:id="202"/>
      <w:bookmarkEnd w:id="203"/>
      <w:bookmarkEnd w:id="204"/>
    </w:p>
    <w:p>
      <w:pPr>
        <w:spacing w:before="156" w:beforeLines="50" w:after="156" w:afterLines="50" w:line="360" w:lineRule="auto"/>
        <w:jc w:val="center"/>
        <w:rPr>
          <w:rFonts w:ascii="黑体" w:hAnsi="黑体" w:eastAsia="黑体"/>
          <w:b/>
          <w:spacing w:val="20"/>
          <w:sz w:val="30"/>
          <w:szCs w:val="30"/>
        </w:rPr>
      </w:pPr>
      <w:r>
        <w:rPr>
          <w:rFonts w:hint="eastAsia" w:ascii="黑体" w:hAnsi="黑体" w:eastAsia="黑体"/>
          <w:b/>
          <w:spacing w:val="20"/>
          <w:sz w:val="30"/>
          <w:szCs w:val="30"/>
        </w:rPr>
        <w:t>法定代表人身份证明书</w:t>
      </w:r>
    </w:p>
    <w:p>
      <w:pPr>
        <w:spacing w:before="312" w:beforeLines="100" w:after="312" w:afterLines="100" w:line="360" w:lineRule="auto"/>
        <w:rPr>
          <w:rFonts w:ascii="黑体" w:hAnsi="黑体" w:eastAsia="黑体"/>
          <w:b/>
        </w:rPr>
      </w:pPr>
      <w:r>
        <w:rPr>
          <w:rFonts w:hint="eastAsia" w:ascii="黑体" w:hAnsi="黑体" w:eastAsia="黑体"/>
          <w:b/>
        </w:rPr>
        <w:t>致：广东有德招标采购有限公司</w:t>
      </w:r>
    </w:p>
    <w:tbl>
      <w:tblPr>
        <w:tblStyle w:val="2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73"/>
        <w:gridCol w:w="60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rPr>
                <w:rFonts w:ascii="黑体" w:hAnsi="黑体" w:eastAsia="黑体"/>
                <w:szCs w:val="21"/>
              </w:rPr>
            </w:pPr>
            <w:r>
              <w:rPr>
                <w:rFonts w:ascii="黑体" w:hAnsi="黑体" w:eastAsia="黑体"/>
                <w:szCs w:val="21"/>
                <w:u w:val="single"/>
              </w:rPr>
              <w:t xml:space="preserve">                 </w:t>
            </w:r>
            <w:r>
              <w:rPr>
                <w:rFonts w:hint="eastAsia" w:ascii="黑体" w:hAnsi="黑体" w:eastAsia="黑体"/>
                <w:szCs w:val="21"/>
              </w:rPr>
              <w:t>同志，现任我单位</w:t>
            </w:r>
            <w:r>
              <w:rPr>
                <w:rFonts w:ascii="黑体" w:hAnsi="黑体" w:eastAsia="黑体"/>
                <w:szCs w:val="21"/>
                <w:u w:val="single"/>
              </w:rPr>
              <w:t xml:space="preserve">               </w:t>
            </w:r>
            <w:r>
              <w:rPr>
                <w:rFonts w:hint="eastAsia" w:ascii="黑体" w:hAnsi="黑体" w:eastAsia="黑体"/>
                <w:szCs w:val="21"/>
              </w:rPr>
              <w:t>职务，为法定代表人，特此证明。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pPr>
              <w:spacing w:line="360" w:lineRule="auto"/>
              <w:rPr>
                <w:rFonts w:ascii="黑体" w:hAnsi="黑体" w:eastAsia="黑体"/>
                <w:szCs w:val="21"/>
              </w:rPr>
            </w:pPr>
          </w:p>
          <w:p>
            <w:pPr>
              <w:spacing w:line="360" w:lineRule="auto"/>
              <w:rPr>
                <w:rFonts w:ascii="黑体" w:hAnsi="黑体" w:eastAsia="黑体"/>
                <w:szCs w:val="21"/>
              </w:rPr>
            </w:pPr>
            <w:r>
              <w:rPr>
                <w:rFonts w:hint="eastAsia" w:ascii="黑体" w:hAnsi="黑体" w:eastAsia="黑体"/>
                <w:szCs w:val="21"/>
              </w:rPr>
              <w:t>附：</w:t>
            </w:r>
          </w:p>
          <w:p>
            <w:pPr>
              <w:spacing w:line="360" w:lineRule="auto"/>
              <w:rPr>
                <w:rFonts w:ascii="黑体" w:hAnsi="黑体" w:eastAsia="黑体"/>
                <w:szCs w:val="21"/>
              </w:rPr>
            </w:pPr>
            <w:r>
              <w:rPr>
                <w:rFonts w:hint="eastAsia" w:ascii="黑体" w:hAnsi="黑体" w:eastAsia="黑体"/>
                <w:szCs w:val="21"/>
              </w:rPr>
              <w:t xml:space="preserve">代表人性别：    </w:t>
            </w:r>
          </w:p>
          <w:p>
            <w:pPr>
              <w:spacing w:line="360" w:lineRule="auto"/>
              <w:rPr>
                <w:rFonts w:ascii="黑体" w:hAnsi="黑体" w:eastAsia="黑体"/>
                <w:szCs w:val="21"/>
              </w:rPr>
            </w:pPr>
            <w:r>
              <w:rPr>
                <w:rFonts w:hint="eastAsia" w:ascii="黑体" w:hAnsi="黑体" w:eastAsia="黑体"/>
                <w:szCs w:val="21"/>
              </w:rPr>
              <w:t xml:space="preserve">身份证号码： </w:t>
            </w:r>
          </w:p>
          <w:p>
            <w:pPr>
              <w:spacing w:line="360" w:lineRule="auto"/>
              <w:rPr>
                <w:rFonts w:ascii="黑体" w:hAnsi="黑体" w:eastAsia="黑体"/>
                <w:szCs w:val="21"/>
              </w:rPr>
            </w:pPr>
            <w:r>
              <w:rPr>
                <w:rFonts w:hint="eastAsia" w:ascii="黑体" w:hAnsi="黑体" w:eastAsia="黑体"/>
                <w:szCs w:val="21"/>
              </w:rPr>
              <w:t xml:space="preserve">联系电话：  </w:t>
            </w:r>
          </w:p>
          <w:p>
            <w:pPr>
              <w:spacing w:line="360" w:lineRule="auto"/>
              <w:rPr>
                <w:rFonts w:ascii="黑体" w:hAnsi="黑体" w:eastAsia="黑体"/>
                <w:szCs w:val="21"/>
              </w:rPr>
            </w:pPr>
            <w:r>
              <w:rPr>
                <w:rFonts w:hint="eastAsia" w:ascii="黑体" w:hAnsi="黑体" w:eastAsia="黑体"/>
                <w:szCs w:val="21"/>
              </w:rPr>
              <w:t xml:space="preserve">主营（产）：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黑体" w:hAnsi="黑体" w:eastAsia="黑体"/>
                <w:szCs w:val="21"/>
              </w:rPr>
            </w:pPr>
          </w:p>
        </w:tc>
        <w:tc>
          <w:tcPr>
            <w:tcW w:w="3357" w:type="pct"/>
          </w:tcPr>
          <w:p>
            <w:pPr>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黑体" w:hAnsi="黑体" w:eastAsia="黑体"/>
                <w:szCs w:val="21"/>
              </w:rPr>
            </w:pPr>
          </w:p>
        </w:tc>
        <w:tc>
          <w:tcPr>
            <w:tcW w:w="3357" w:type="pct"/>
          </w:tcPr>
          <w:p>
            <w:pPr>
              <w:spacing w:line="360" w:lineRule="auto"/>
              <w:rPr>
                <w:rFonts w:ascii="黑体" w:hAnsi="黑体" w:eastAsia="黑体"/>
                <w:szCs w:val="21"/>
              </w:rPr>
            </w:pPr>
            <w:r>
              <w:rPr>
                <w:rFonts w:hint="eastAsia" w:ascii="黑体" w:hAnsi="黑体" w:eastAsia="黑体"/>
                <w:szCs w:val="21"/>
              </w:rPr>
              <w:t>法定代表人（签名或盖私章）：</w:t>
            </w:r>
            <w:r>
              <w:rPr>
                <w:rFonts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黑体" w:hAnsi="黑体" w:eastAsia="黑体"/>
                <w:szCs w:val="21"/>
              </w:rPr>
            </w:pPr>
          </w:p>
        </w:tc>
        <w:tc>
          <w:tcPr>
            <w:tcW w:w="3357" w:type="pct"/>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r>
    </w:tbl>
    <w:p>
      <w:pPr>
        <w:spacing w:before="468" w:beforeLines="150" w:after="93" w:afterLines="30" w:line="360" w:lineRule="auto"/>
        <w:rPr>
          <w:rFonts w:ascii="黑体" w:hAnsi="黑体" w:eastAsia="黑体"/>
          <w:szCs w:val="21"/>
        </w:rPr>
      </w:pPr>
      <w:r>
        <w:rPr>
          <w:rFonts w:hint="eastAsia" w:ascii="黑体" w:hAnsi="黑体" w:eastAsia="黑体"/>
          <w:szCs w:val="21"/>
        </w:rPr>
        <w:t>须附：法定代表人有效期内身份证复印件</w:t>
      </w:r>
    </w:p>
    <w:tbl>
      <w:tblPr>
        <w:tblStyle w:val="22"/>
        <w:tblW w:w="8522"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jc w:val="center"/>
        </w:trPr>
        <w:tc>
          <w:tcPr>
            <w:tcW w:w="4261" w:type="dxa"/>
            <w:vAlign w:val="center"/>
          </w:tcPr>
          <w:p>
            <w:pPr>
              <w:pStyle w:val="47"/>
              <w:spacing w:line="460" w:lineRule="exact"/>
              <w:ind w:firstLine="0" w:firstLineChars="0"/>
              <w:jc w:val="center"/>
              <w:rPr>
                <w:rFonts w:ascii="黑体" w:hAnsi="黑体" w:eastAsia="黑体"/>
                <w:sz w:val="22"/>
                <w:szCs w:val="22"/>
              </w:rPr>
            </w:pPr>
            <w:r>
              <w:rPr>
                <w:rFonts w:hint="eastAsia" w:ascii="黑体" w:hAnsi="黑体" w:eastAsia="黑体"/>
                <w:sz w:val="22"/>
                <w:szCs w:val="22"/>
              </w:rPr>
              <w:t>正面</w:t>
            </w:r>
          </w:p>
        </w:tc>
        <w:tc>
          <w:tcPr>
            <w:tcW w:w="4261" w:type="dxa"/>
            <w:vAlign w:val="center"/>
          </w:tcPr>
          <w:p>
            <w:pPr>
              <w:pStyle w:val="47"/>
              <w:spacing w:line="460" w:lineRule="exact"/>
              <w:ind w:firstLine="0" w:firstLineChars="0"/>
              <w:jc w:val="center"/>
              <w:rPr>
                <w:rFonts w:ascii="黑体" w:hAnsi="黑体" w:eastAsia="黑体"/>
                <w:sz w:val="22"/>
                <w:szCs w:val="22"/>
              </w:rPr>
            </w:pPr>
            <w:r>
              <w:rPr>
                <w:rFonts w:hint="eastAsia" w:ascii="黑体" w:hAnsi="黑体" w:eastAsia="黑体"/>
                <w:sz w:val="22"/>
                <w:szCs w:val="22"/>
              </w:rPr>
              <w:t>背面</w:t>
            </w:r>
          </w:p>
        </w:tc>
      </w:tr>
    </w:tbl>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05" w:name="_Toc521951145"/>
      <w:bookmarkStart w:id="206" w:name="_Toc405313963"/>
      <w:bookmarkStart w:id="207" w:name="_Toc20115"/>
      <w:bookmarkStart w:id="208" w:name="_Toc391627759"/>
      <w:r>
        <w:rPr>
          <w:rStyle w:val="25"/>
          <w:rFonts w:hint="eastAsia" w:ascii="黑体" w:hAnsi="黑体" w:eastAsia="黑体"/>
          <w:b/>
          <w:bCs/>
          <w:spacing w:val="12"/>
          <w:sz w:val="21"/>
        </w:rPr>
        <w:t>法定代表人授权委托书</w:t>
      </w:r>
      <w:bookmarkEnd w:id="205"/>
      <w:bookmarkEnd w:id="206"/>
      <w:bookmarkEnd w:id="207"/>
      <w:bookmarkEnd w:id="208"/>
    </w:p>
    <w:p>
      <w:pPr>
        <w:spacing w:before="156" w:beforeLines="50" w:after="156" w:afterLines="50" w:line="360" w:lineRule="auto"/>
        <w:jc w:val="center"/>
        <w:rPr>
          <w:rFonts w:ascii="黑体" w:hAnsi="黑体" w:eastAsia="黑体"/>
          <w:b/>
          <w:spacing w:val="20"/>
          <w:sz w:val="30"/>
          <w:szCs w:val="30"/>
        </w:rPr>
      </w:pPr>
      <w:r>
        <w:rPr>
          <w:rFonts w:hint="eastAsia" w:ascii="黑体" w:hAnsi="黑体" w:eastAsia="黑体"/>
          <w:b/>
          <w:spacing w:val="20"/>
          <w:sz w:val="30"/>
          <w:szCs w:val="30"/>
        </w:rPr>
        <w:t>法定代表人授权委托书</w:t>
      </w:r>
    </w:p>
    <w:p>
      <w:pPr>
        <w:spacing w:before="468" w:beforeLines="150" w:after="312" w:afterLines="100" w:line="360" w:lineRule="auto"/>
        <w:rPr>
          <w:rFonts w:ascii="黑体" w:hAnsi="黑体" w:eastAsia="黑体"/>
          <w:b/>
        </w:rPr>
      </w:pPr>
      <w:r>
        <w:rPr>
          <w:rFonts w:hint="eastAsia" w:ascii="黑体" w:hAnsi="黑体" w:eastAsia="黑体"/>
          <w:b/>
        </w:rPr>
        <w:t>致：广东有德招标采购有限公司</w:t>
      </w:r>
    </w:p>
    <w:p>
      <w:pPr>
        <w:pStyle w:val="47"/>
        <w:spacing w:line="360" w:lineRule="auto"/>
        <w:ind w:firstLine="450" w:firstLineChars="0"/>
        <w:rPr>
          <w:rFonts w:ascii="黑体" w:hAnsi="黑体" w:eastAsia="黑体"/>
          <w:sz w:val="21"/>
          <w:szCs w:val="21"/>
        </w:rPr>
      </w:pPr>
      <w:r>
        <w:rPr>
          <w:rFonts w:hint="eastAsia" w:ascii="黑体" w:hAnsi="黑体" w:eastAsia="黑体"/>
          <w:sz w:val="21"/>
          <w:szCs w:val="21"/>
        </w:rPr>
        <w:t>本人</w:t>
      </w:r>
      <w:r>
        <w:rPr>
          <w:rFonts w:ascii="黑体" w:hAnsi="黑体" w:eastAsia="黑体"/>
          <w:sz w:val="21"/>
          <w:szCs w:val="21"/>
          <w:u w:val="single"/>
        </w:rPr>
        <w:t xml:space="preserve">   </w:t>
      </w:r>
      <w:r>
        <w:rPr>
          <w:rFonts w:hint="eastAsia" w:ascii="黑体" w:hAnsi="黑体" w:eastAsia="黑体"/>
          <w:sz w:val="21"/>
          <w:szCs w:val="21"/>
          <w:u w:val="single"/>
        </w:rPr>
        <w:t>（姓名）</w:t>
      </w:r>
      <w:r>
        <w:rPr>
          <w:rFonts w:ascii="黑体" w:hAnsi="黑体" w:eastAsia="黑体"/>
          <w:sz w:val="21"/>
          <w:szCs w:val="21"/>
          <w:u w:val="single"/>
        </w:rPr>
        <w:t xml:space="preserve">  </w:t>
      </w:r>
      <w:r>
        <w:rPr>
          <w:rFonts w:hint="eastAsia" w:ascii="黑体" w:hAnsi="黑体" w:eastAsia="黑体"/>
          <w:sz w:val="21"/>
          <w:szCs w:val="21"/>
        </w:rPr>
        <w:t>系</w:t>
      </w:r>
      <w:r>
        <w:rPr>
          <w:rFonts w:ascii="黑体" w:hAnsi="黑体" w:eastAsia="黑体"/>
          <w:sz w:val="21"/>
          <w:szCs w:val="21"/>
          <w:u w:val="single"/>
        </w:rPr>
        <w:t xml:space="preserve">     （供应商名称）    </w:t>
      </w:r>
      <w:r>
        <w:rPr>
          <w:rFonts w:hint="eastAsia" w:ascii="黑体" w:hAnsi="黑体" w:eastAsia="黑体"/>
          <w:sz w:val="21"/>
          <w:szCs w:val="21"/>
        </w:rPr>
        <w:t>的法定代表人，现委托</w:t>
      </w:r>
      <w:r>
        <w:rPr>
          <w:rFonts w:ascii="黑体" w:hAnsi="黑体" w:eastAsia="黑体"/>
          <w:sz w:val="21"/>
          <w:szCs w:val="21"/>
          <w:u w:val="single"/>
        </w:rPr>
        <w:t xml:space="preserve"> （姓名） </w:t>
      </w:r>
      <w:r>
        <w:rPr>
          <w:rFonts w:hint="eastAsia" w:ascii="黑体" w:hAnsi="黑体" w:eastAsia="黑体"/>
          <w:sz w:val="21"/>
          <w:szCs w:val="21"/>
        </w:rPr>
        <w:t>为我方合法代理人。代理人根据授权，以我方名义签署、澄清、说明、补正、递交、撤回、修改</w:t>
      </w:r>
      <w:r>
        <w:rPr>
          <w:rFonts w:ascii="黑体" w:hAnsi="黑体" w:eastAsia="黑体"/>
          <w:sz w:val="21"/>
          <w:szCs w:val="21"/>
          <w:u w:val="single"/>
        </w:rPr>
        <w:t xml:space="preserve">          （项目名称）      </w:t>
      </w:r>
      <w:r>
        <w:rPr>
          <w:rFonts w:hint="eastAsia" w:ascii="黑体" w:hAnsi="黑体" w:eastAsia="黑体"/>
          <w:sz w:val="21"/>
          <w:szCs w:val="21"/>
        </w:rPr>
        <w:t>（项目编号：</w:t>
      </w:r>
      <w:r>
        <w:rPr>
          <w:rFonts w:hint="eastAsia" w:ascii="黑体" w:hAnsi="黑体" w:eastAsia="黑体"/>
          <w:sz w:val="21"/>
          <w:szCs w:val="21"/>
          <w:u w:val="single"/>
        </w:rPr>
        <w:t>　　</w:t>
      </w:r>
      <w:r>
        <w:rPr>
          <w:rFonts w:ascii="黑体" w:hAnsi="黑体" w:eastAsia="黑体"/>
          <w:sz w:val="21"/>
          <w:szCs w:val="21"/>
          <w:u w:val="single"/>
        </w:rPr>
        <w:t xml:space="preserve">     </w:t>
      </w:r>
      <w:r>
        <w:rPr>
          <w:rFonts w:hint="eastAsia" w:ascii="黑体" w:hAnsi="黑体" w:eastAsia="黑体"/>
          <w:sz w:val="21"/>
          <w:szCs w:val="21"/>
          <w:u w:val="single"/>
        </w:rPr>
        <w:t>　</w:t>
      </w:r>
      <w:r>
        <w:rPr>
          <w:rFonts w:hint="eastAsia" w:ascii="黑体" w:hAnsi="黑体" w:eastAsia="黑体"/>
          <w:sz w:val="21"/>
          <w:szCs w:val="21"/>
        </w:rPr>
        <w:t>）响应文件、签订合同和处理有关事宜，其法律后果由我方承担。</w:t>
      </w:r>
    </w:p>
    <w:p>
      <w:pPr>
        <w:pStyle w:val="47"/>
        <w:spacing w:line="360" w:lineRule="auto"/>
        <w:ind w:firstLine="428" w:firstLineChars="204"/>
        <w:rPr>
          <w:rFonts w:ascii="黑体" w:hAnsi="黑体" w:eastAsia="黑体"/>
          <w:sz w:val="21"/>
          <w:szCs w:val="21"/>
        </w:rPr>
      </w:pPr>
      <w:r>
        <w:rPr>
          <w:rFonts w:hint="eastAsia" w:ascii="黑体" w:hAnsi="黑体" w:eastAsia="黑体"/>
          <w:sz w:val="21"/>
          <w:szCs w:val="21"/>
        </w:rPr>
        <w:t>本委托书于</w:t>
      </w:r>
      <w:r>
        <w:rPr>
          <w:rFonts w:hint="eastAsia" w:ascii="黑体" w:hAnsi="黑体" w:eastAsia="黑体"/>
          <w:sz w:val="21"/>
          <w:szCs w:val="21"/>
          <w:u w:val="single"/>
        </w:rPr>
        <w:t>　</w:t>
      </w:r>
      <w:r>
        <w:rPr>
          <w:rFonts w:ascii="黑体" w:hAnsi="黑体" w:eastAsia="黑体"/>
          <w:sz w:val="21"/>
          <w:szCs w:val="21"/>
          <w:u w:val="single"/>
        </w:rPr>
        <w:t xml:space="preserve">    </w:t>
      </w:r>
      <w:r>
        <w:rPr>
          <w:rFonts w:hint="eastAsia" w:ascii="黑体" w:hAnsi="黑体" w:eastAsia="黑体"/>
          <w:sz w:val="21"/>
          <w:szCs w:val="21"/>
        </w:rPr>
        <w:t>年</w:t>
      </w:r>
      <w:r>
        <w:rPr>
          <w:rFonts w:hint="eastAsia" w:ascii="黑体" w:hAnsi="黑体" w:eastAsia="黑体"/>
          <w:sz w:val="21"/>
          <w:szCs w:val="21"/>
          <w:u w:val="single"/>
        </w:rPr>
        <w:t>　</w:t>
      </w:r>
      <w:r>
        <w:rPr>
          <w:rFonts w:ascii="黑体" w:hAnsi="黑体" w:eastAsia="黑体"/>
          <w:sz w:val="21"/>
          <w:szCs w:val="21"/>
          <w:u w:val="single"/>
        </w:rPr>
        <w:t xml:space="preserve"> </w:t>
      </w:r>
      <w:r>
        <w:rPr>
          <w:rFonts w:hint="eastAsia" w:ascii="黑体" w:hAnsi="黑体" w:eastAsia="黑体"/>
          <w:sz w:val="21"/>
          <w:szCs w:val="21"/>
        </w:rPr>
        <w:t>月</w:t>
      </w:r>
      <w:r>
        <w:rPr>
          <w:rFonts w:hint="eastAsia" w:ascii="黑体" w:hAnsi="黑体" w:eastAsia="黑体"/>
          <w:sz w:val="21"/>
          <w:szCs w:val="21"/>
          <w:u w:val="single"/>
        </w:rPr>
        <w:t>　</w:t>
      </w:r>
      <w:r>
        <w:rPr>
          <w:rFonts w:ascii="黑体" w:hAnsi="黑体" w:eastAsia="黑体"/>
          <w:sz w:val="21"/>
          <w:szCs w:val="21"/>
          <w:u w:val="single"/>
        </w:rPr>
        <w:t xml:space="preserve"> </w:t>
      </w:r>
      <w:r>
        <w:rPr>
          <w:rFonts w:hint="eastAsia" w:ascii="黑体" w:hAnsi="黑体" w:eastAsia="黑体"/>
          <w:sz w:val="21"/>
          <w:szCs w:val="21"/>
        </w:rPr>
        <w:t>日签字生效，特此证明。</w:t>
      </w:r>
    </w:p>
    <w:p>
      <w:pPr>
        <w:pStyle w:val="47"/>
        <w:spacing w:line="360" w:lineRule="auto"/>
        <w:ind w:firstLine="428" w:firstLineChars="204"/>
        <w:rPr>
          <w:rFonts w:ascii="黑体" w:hAnsi="黑体" w:eastAsia="黑体"/>
          <w:sz w:val="21"/>
          <w:szCs w:val="21"/>
        </w:rPr>
      </w:pPr>
      <w:r>
        <w:rPr>
          <w:rFonts w:hint="eastAsia" w:ascii="黑体" w:hAnsi="黑体" w:eastAsia="黑体"/>
          <w:sz w:val="21"/>
          <w:szCs w:val="21"/>
        </w:rPr>
        <w:t>被授权人无转委托权。</w:t>
      </w:r>
    </w:p>
    <w:p>
      <w:pPr>
        <w:pStyle w:val="47"/>
        <w:spacing w:line="360" w:lineRule="auto"/>
        <w:ind w:firstLine="0" w:firstLineChars="0"/>
        <w:rPr>
          <w:rFonts w:ascii="黑体" w:hAnsi="黑体" w:eastAsia="黑体"/>
          <w:sz w:val="21"/>
          <w:szCs w:val="21"/>
        </w:rPr>
      </w:pPr>
    </w:p>
    <w:p>
      <w:pPr>
        <w:pStyle w:val="47"/>
        <w:spacing w:line="360" w:lineRule="auto"/>
        <w:ind w:firstLine="0" w:firstLineChars="0"/>
        <w:rPr>
          <w:rFonts w:ascii="黑体" w:hAnsi="黑体" w:eastAsia="黑体"/>
          <w:sz w:val="21"/>
          <w:szCs w:val="21"/>
        </w:rPr>
      </w:pPr>
    </w:p>
    <w:tbl>
      <w:tblPr>
        <w:tblStyle w:val="23"/>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0"/>
        <w:gridCol w:w="57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0" w:type="dxa"/>
          </w:tcPr>
          <w:p>
            <w:pPr>
              <w:pStyle w:val="47"/>
              <w:spacing w:line="360" w:lineRule="auto"/>
              <w:ind w:firstLine="0" w:firstLineChars="0"/>
              <w:rPr>
                <w:rFonts w:ascii="黑体" w:hAnsi="黑体" w:eastAsia="黑体"/>
                <w:sz w:val="21"/>
                <w:szCs w:val="21"/>
              </w:rPr>
            </w:pPr>
          </w:p>
        </w:tc>
        <w:tc>
          <w:tcPr>
            <w:tcW w:w="5722" w:type="dxa"/>
          </w:tcPr>
          <w:p>
            <w:pPr>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0" w:type="dxa"/>
          </w:tcPr>
          <w:p>
            <w:pPr>
              <w:pStyle w:val="47"/>
              <w:spacing w:line="360" w:lineRule="auto"/>
              <w:ind w:firstLine="0" w:firstLineChars="0"/>
              <w:rPr>
                <w:rFonts w:ascii="黑体" w:hAnsi="黑体" w:eastAsia="黑体"/>
                <w:sz w:val="21"/>
                <w:szCs w:val="21"/>
              </w:rPr>
            </w:pPr>
          </w:p>
        </w:tc>
        <w:tc>
          <w:tcPr>
            <w:tcW w:w="5722" w:type="dxa"/>
          </w:tcPr>
          <w:p>
            <w:pPr>
              <w:spacing w:line="360" w:lineRule="auto"/>
              <w:rPr>
                <w:rFonts w:ascii="黑体" w:hAnsi="黑体" w:eastAsia="黑体"/>
                <w:szCs w:val="21"/>
              </w:rPr>
            </w:pPr>
            <w:r>
              <w:rPr>
                <w:rFonts w:hint="eastAsia" w:ascii="黑体" w:hAnsi="黑体" w:eastAsia="黑体"/>
                <w:szCs w:val="21"/>
              </w:rPr>
              <w:t>法定代表人（签名或盖私章）：</w:t>
            </w:r>
            <w:r>
              <w:rPr>
                <w:rFonts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0" w:type="dxa"/>
          </w:tcPr>
          <w:p>
            <w:pPr>
              <w:pStyle w:val="47"/>
              <w:spacing w:line="360" w:lineRule="auto"/>
              <w:ind w:firstLine="0" w:firstLineChars="0"/>
              <w:rPr>
                <w:rFonts w:ascii="黑体" w:hAnsi="黑体" w:eastAsia="黑体"/>
                <w:sz w:val="21"/>
                <w:szCs w:val="21"/>
              </w:rPr>
            </w:pPr>
          </w:p>
        </w:tc>
        <w:tc>
          <w:tcPr>
            <w:tcW w:w="5722" w:type="dxa"/>
          </w:tcPr>
          <w:p>
            <w:pPr>
              <w:spacing w:line="360" w:lineRule="auto"/>
              <w:rPr>
                <w:rFonts w:ascii="黑体" w:hAnsi="黑体" w:eastAsia="黑体"/>
                <w:szCs w:val="21"/>
              </w:rPr>
            </w:pPr>
            <w:r>
              <w:rPr>
                <w:rFonts w:hint="eastAsia" w:ascii="黑体" w:hAnsi="黑体" w:eastAsia="黑体"/>
                <w:szCs w:val="21"/>
              </w:rPr>
              <w:t>身份证号码：</w:t>
            </w:r>
            <w:r>
              <w:rPr>
                <w:rFonts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0" w:type="dxa"/>
          </w:tcPr>
          <w:p>
            <w:pPr>
              <w:pStyle w:val="47"/>
              <w:spacing w:line="360" w:lineRule="auto"/>
              <w:ind w:firstLine="0" w:firstLineChars="0"/>
              <w:rPr>
                <w:rFonts w:ascii="黑体" w:hAnsi="黑体" w:eastAsia="黑体"/>
                <w:sz w:val="21"/>
                <w:szCs w:val="21"/>
              </w:rPr>
            </w:pPr>
          </w:p>
        </w:tc>
        <w:tc>
          <w:tcPr>
            <w:tcW w:w="5722" w:type="dxa"/>
          </w:tcPr>
          <w:p>
            <w:pPr>
              <w:spacing w:line="360" w:lineRule="auto"/>
              <w:rPr>
                <w:rFonts w:ascii="黑体" w:hAnsi="黑体" w:eastAsia="黑体"/>
                <w:szCs w:val="21"/>
              </w:rPr>
            </w:pPr>
            <w:r>
              <w:rPr>
                <w:rFonts w:hint="eastAsia" w:ascii="黑体" w:hAnsi="黑体" w:eastAsia="黑体"/>
                <w:szCs w:val="21"/>
              </w:rPr>
              <w:t>被授权人（签名或盖私章）：</w:t>
            </w:r>
            <w:r>
              <w:rPr>
                <w:rFonts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0" w:type="dxa"/>
          </w:tcPr>
          <w:p>
            <w:pPr>
              <w:pStyle w:val="47"/>
              <w:spacing w:line="360" w:lineRule="auto"/>
              <w:ind w:firstLine="0" w:firstLineChars="0"/>
              <w:rPr>
                <w:rFonts w:ascii="黑体" w:hAnsi="黑体" w:eastAsia="黑体"/>
                <w:sz w:val="21"/>
                <w:szCs w:val="21"/>
              </w:rPr>
            </w:pPr>
          </w:p>
        </w:tc>
        <w:tc>
          <w:tcPr>
            <w:tcW w:w="5722" w:type="dxa"/>
          </w:tcPr>
          <w:p>
            <w:pPr>
              <w:spacing w:line="360" w:lineRule="auto"/>
              <w:rPr>
                <w:rFonts w:ascii="黑体" w:hAnsi="黑体" w:eastAsia="黑体"/>
                <w:szCs w:val="21"/>
              </w:rPr>
            </w:pPr>
            <w:r>
              <w:rPr>
                <w:rFonts w:hint="eastAsia" w:ascii="黑体" w:hAnsi="黑体" w:eastAsia="黑体"/>
                <w:szCs w:val="21"/>
              </w:rPr>
              <w:t>身份证号码：</w:t>
            </w:r>
            <w:r>
              <w:rPr>
                <w:rFonts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0" w:type="dxa"/>
          </w:tcPr>
          <w:p>
            <w:pPr>
              <w:pStyle w:val="47"/>
              <w:spacing w:line="360" w:lineRule="auto"/>
              <w:ind w:firstLine="0" w:firstLineChars="0"/>
              <w:rPr>
                <w:rFonts w:ascii="黑体" w:hAnsi="黑体" w:eastAsia="黑体"/>
                <w:sz w:val="21"/>
                <w:szCs w:val="21"/>
              </w:rPr>
            </w:pPr>
          </w:p>
        </w:tc>
        <w:tc>
          <w:tcPr>
            <w:tcW w:w="5722" w:type="dxa"/>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r>
    </w:tbl>
    <w:p>
      <w:pPr>
        <w:pStyle w:val="47"/>
        <w:spacing w:line="360" w:lineRule="auto"/>
        <w:ind w:firstLine="0" w:firstLineChars="0"/>
        <w:rPr>
          <w:rFonts w:ascii="黑体" w:hAnsi="黑体" w:eastAsia="黑体"/>
          <w:sz w:val="21"/>
          <w:szCs w:val="21"/>
        </w:rPr>
      </w:pPr>
    </w:p>
    <w:p>
      <w:pPr>
        <w:pStyle w:val="47"/>
        <w:spacing w:line="360" w:lineRule="auto"/>
        <w:ind w:firstLine="0" w:firstLineChars="0"/>
        <w:rPr>
          <w:rFonts w:ascii="黑体" w:hAnsi="黑体" w:eastAsia="黑体"/>
          <w:sz w:val="21"/>
          <w:szCs w:val="21"/>
        </w:rPr>
      </w:pPr>
    </w:p>
    <w:p>
      <w:pPr>
        <w:spacing w:after="156" w:afterLines="50" w:line="360" w:lineRule="auto"/>
        <w:rPr>
          <w:rFonts w:ascii="黑体" w:hAnsi="黑体" w:eastAsia="黑体"/>
          <w:szCs w:val="21"/>
        </w:rPr>
      </w:pPr>
      <w:r>
        <w:rPr>
          <w:rFonts w:hint="eastAsia" w:ascii="黑体" w:hAnsi="黑体" w:eastAsia="黑体"/>
          <w:szCs w:val="21"/>
        </w:rPr>
        <w:t>须附：被授权人有效期内身份证复印件</w:t>
      </w:r>
    </w:p>
    <w:tbl>
      <w:tblPr>
        <w:tblStyle w:val="22"/>
        <w:tblW w:w="8522"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4261" w:type="dxa"/>
            <w:vAlign w:val="center"/>
          </w:tcPr>
          <w:p>
            <w:pPr>
              <w:pStyle w:val="47"/>
              <w:spacing w:line="460" w:lineRule="exact"/>
              <w:ind w:firstLine="0" w:firstLineChars="0"/>
              <w:jc w:val="center"/>
              <w:rPr>
                <w:rFonts w:ascii="黑体" w:hAnsi="黑体" w:eastAsia="黑体"/>
                <w:sz w:val="22"/>
                <w:szCs w:val="22"/>
              </w:rPr>
            </w:pPr>
            <w:r>
              <w:rPr>
                <w:rFonts w:hint="eastAsia" w:ascii="黑体" w:hAnsi="黑体" w:eastAsia="黑体"/>
                <w:sz w:val="22"/>
                <w:szCs w:val="22"/>
              </w:rPr>
              <w:t>正面</w:t>
            </w:r>
          </w:p>
        </w:tc>
        <w:tc>
          <w:tcPr>
            <w:tcW w:w="4261" w:type="dxa"/>
            <w:vAlign w:val="center"/>
          </w:tcPr>
          <w:p>
            <w:pPr>
              <w:pStyle w:val="47"/>
              <w:spacing w:line="460" w:lineRule="exact"/>
              <w:ind w:firstLine="0" w:firstLineChars="0"/>
              <w:jc w:val="center"/>
              <w:rPr>
                <w:rFonts w:ascii="黑体" w:hAnsi="黑体" w:eastAsia="黑体"/>
                <w:sz w:val="22"/>
                <w:szCs w:val="22"/>
              </w:rPr>
            </w:pPr>
            <w:r>
              <w:rPr>
                <w:rFonts w:hint="eastAsia" w:ascii="黑体" w:hAnsi="黑体" w:eastAsia="黑体"/>
                <w:sz w:val="22"/>
                <w:szCs w:val="22"/>
              </w:rPr>
              <w:t>背面</w:t>
            </w:r>
          </w:p>
        </w:tc>
      </w:tr>
    </w:tbl>
    <w:p>
      <w:pPr>
        <w:pStyle w:val="4"/>
        <w:keepNext w:val="0"/>
        <w:keepLines w:val="0"/>
        <w:pageBreakBefore/>
        <w:numPr>
          <w:ilvl w:val="0"/>
          <w:numId w:val="109"/>
        </w:numPr>
        <w:spacing w:line="415" w:lineRule="auto"/>
        <w:jc w:val="left"/>
        <w:rPr>
          <w:rStyle w:val="25"/>
          <w:rFonts w:ascii="黑体" w:hAnsi="黑体" w:eastAsia="黑体"/>
          <w:b/>
          <w:bCs w:val="0"/>
          <w:spacing w:val="12"/>
          <w:sz w:val="21"/>
        </w:rPr>
      </w:pPr>
      <w:bookmarkStart w:id="209" w:name="_Toc521951151"/>
      <w:bookmarkStart w:id="210" w:name="_Toc391627764"/>
      <w:bookmarkStart w:id="211" w:name="_Toc405313969"/>
      <w:bookmarkStart w:id="212" w:name="_Toc22970"/>
      <w:bookmarkStart w:id="213" w:name="_Toc521951146"/>
      <w:bookmarkStart w:id="214" w:name="_Toc405313964"/>
      <w:bookmarkStart w:id="215" w:name="_Toc391627760"/>
      <w:r>
        <w:rPr>
          <w:rStyle w:val="25"/>
          <w:rFonts w:hint="eastAsia" w:ascii="黑体" w:hAnsi="黑体" w:eastAsia="黑体"/>
          <w:b/>
          <w:bCs/>
          <w:spacing w:val="12"/>
          <w:sz w:val="21"/>
        </w:rPr>
        <w:t>资格</w:t>
      </w:r>
      <w:bookmarkEnd w:id="209"/>
      <w:bookmarkEnd w:id="210"/>
      <w:bookmarkEnd w:id="211"/>
      <w:r>
        <w:rPr>
          <w:rStyle w:val="25"/>
          <w:rFonts w:hint="eastAsia" w:ascii="黑体" w:hAnsi="黑体" w:eastAsia="黑体"/>
          <w:b/>
          <w:bCs/>
          <w:spacing w:val="12"/>
          <w:sz w:val="21"/>
        </w:rPr>
        <w:t>声明函</w:t>
      </w:r>
      <w:bookmarkEnd w:id="212"/>
    </w:p>
    <w:p>
      <w:pPr>
        <w:spacing w:before="156" w:beforeLines="5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资格声明函</w:t>
      </w:r>
    </w:p>
    <w:p>
      <w:pPr>
        <w:adjustRightInd w:val="0"/>
        <w:snapToGrid w:val="0"/>
        <w:spacing w:after="156" w:afterLines="50" w:line="360" w:lineRule="auto"/>
        <w:rPr>
          <w:rFonts w:ascii="黑体" w:hAnsi="黑体" w:eastAsia="黑体"/>
          <w:b/>
          <w:szCs w:val="21"/>
        </w:rPr>
      </w:pPr>
      <w:r>
        <w:rPr>
          <w:rFonts w:hint="eastAsia" w:ascii="黑体" w:hAnsi="黑体" w:eastAsia="黑体"/>
          <w:b/>
          <w:szCs w:val="21"/>
        </w:rPr>
        <w:t>广东有德招标采购有限公司：</w:t>
      </w:r>
    </w:p>
    <w:p>
      <w:pPr>
        <w:adjustRightInd w:val="0"/>
        <w:snapToGrid w:val="0"/>
        <w:spacing w:line="360" w:lineRule="auto"/>
        <w:ind w:firstLine="424" w:firstLineChars="202"/>
        <w:rPr>
          <w:rFonts w:ascii="黑体" w:hAnsi="黑体" w:eastAsia="黑体"/>
          <w:szCs w:val="21"/>
        </w:rPr>
      </w:pPr>
      <w:r>
        <w:rPr>
          <w:rFonts w:hint="eastAsia" w:ascii="黑体" w:hAnsi="黑体" w:eastAsia="黑体"/>
          <w:szCs w:val="21"/>
        </w:rPr>
        <w:t xml:space="preserve">关于贵公司 </w:t>
      </w:r>
      <w:r>
        <w:rPr>
          <w:rFonts w:hint="eastAsia" w:ascii="黑体" w:hAnsi="黑体" w:eastAsia="黑体"/>
          <w:szCs w:val="21"/>
          <w:u w:val="single"/>
        </w:rPr>
        <w:t xml:space="preserve">     </w:t>
      </w:r>
      <w:r>
        <w:rPr>
          <w:rFonts w:hint="eastAsia" w:ascii="黑体" w:hAnsi="黑体" w:eastAsia="黑体"/>
          <w:szCs w:val="21"/>
        </w:rPr>
        <w:t>年</w:t>
      </w:r>
      <w:r>
        <w:rPr>
          <w:rFonts w:hint="eastAsia" w:ascii="黑体" w:hAnsi="黑体" w:eastAsia="黑体"/>
          <w:szCs w:val="21"/>
          <w:u w:val="single"/>
        </w:rPr>
        <w:t xml:space="preserve">      </w:t>
      </w:r>
      <w:r>
        <w:rPr>
          <w:rFonts w:hint="eastAsia" w:ascii="黑体" w:hAnsi="黑体" w:eastAsia="黑体"/>
          <w:szCs w:val="21"/>
        </w:rPr>
        <w:t>月</w:t>
      </w:r>
      <w:r>
        <w:rPr>
          <w:rFonts w:hint="eastAsia" w:ascii="黑体" w:hAnsi="黑体" w:eastAsia="黑体"/>
          <w:szCs w:val="21"/>
          <w:u w:val="single"/>
        </w:rPr>
        <w:t xml:space="preserve">     </w:t>
      </w:r>
      <w:r>
        <w:rPr>
          <w:rFonts w:hint="eastAsia" w:ascii="黑体" w:hAnsi="黑体" w:eastAsia="黑体"/>
          <w:szCs w:val="21"/>
        </w:rPr>
        <w:t>日发布</w:t>
      </w:r>
      <w:r>
        <w:rPr>
          <w:rFonts w:hint="eastAsia" w:ascii="黑体" w:hAnsi="黑体" w:eastAsia="黑体"/>
          <w:szCs w:val="21"/>
          <w:u w:val="single"/>
        </w:rPr>
        <w:t xml:space="preserve">               </w:t>
      </w:r>
      <w:r>
        <w:rPr>
          <w:rFonts w:hint="eastAsia" w:ascii="黑体" w:hAnsi="黑体" w:eastAsia="黑体"/>
          <w:szCs w:val="21"/>
        </w:rPr>
        <w:t>项目（项目编号：</w:t>
      </w:r>
      <w:r>
        <w:rPr>
          <w:rFonts w:hint="eastAsia" w:ascii="黑体" w:hAnsi="黑体" w:eastAsia="黑体"/>
          <w:szCs w:val="21"/>
          <w:u w:val="single"/>
        </w:rPr>
        <w:t xml:space="preserve">           </w:t>
      </w:r>
      <w:r>
        <w:rPr>
          <w:rFonts w:hint="eastAsia" w:ascii="黑体" w:hAnsi="黑体" w:eastAsia="黑体"/>
          <w:szCs w:val="21"/>
        </w:rPr>
        <w:t>）的采购公告，本公司（企业）愿意参加磋商，并声明：</w:t>
      </w:r>
    </w:p>
    <w:p>
      <w:pPr>
        <w:numPr>
          <w:ilvl w:val="0"/>
          <w:numId w:val="112"/>
        </w:numPr>
        <w:adjustRightInd w:val="0"/>
        <w:snapToGrid w:val="0"/>
        <w:spacing w:line="360" w:lineRule="auto"/>
        <w:rPr>
          <w:rFonts w:ascii="黑体" w:hAnsi="黑体" w:eastAsia="黑体"/>
          <w:szCs w:val="21"/>
        </w:rPr>
      </w:pPr>
      <w:r>
        <w:rPr>
          <w:rFonts w:hint="eastAsia" w:ascii="黑体" w:hAnsi="黑体" w:eastAsia="黑体"/>
          <w:szCs w:val="21"/>
        </w:rPr>
        <w:t>本单位具有依法缴纳税收和社会保障资金的良好记录。</w:t>
      </w:r>
    </w:p>
    <w:p>
      <w:pPr>
        <w:numPr>
          <w:ilvl w:val="0"/>
          <w:numId w:val="112"/>
        </w:numPr>
        <w:adjustRightInd w:val="0"/>
        <w:snapToGrid w:val="0"/>
        <w:spacing w:line="360" w:lineRule="auto"/>
        <w:rPr>
          <w:rFonts w:ascii="黑体" w:hAnsi="黑体" w:eastAsia="黑体"/>
          <w:szCs w:val="21"/>
        </w:rPr>
      </w:pPr>
      <w:r>
        <w:rPr>
          <w:rFonts w:hint="eastAsia" w:ascii="黑体" w:hAnsi="黑体" w:eastAsia="黑体"/>
          <w:szCs w:val="21"/>
        </w:rPr>
        <w:t>本单位具有良好的商业信誉和健全的财务会计制度。</w:t>
      </w:r>
    </w:p>
    <w:p>
      <w:pPr>
        <w:numPr>
          <w:ilvl w:val="0"/>
          <w:numId w:val="112"/>
        </w:numPr>
        <w:adjustRightInd w:val="0"/>
        <w:snapToGrid w:val="0"/>
        <w:spacing w:line="360" w:lineRule="auto"/>
        <w:rPr>
          <w:rFonts w:ascii="黑体" w:hAnsi="黑体" w:eastAsia="黑体"/>
          <w:szCs w:val="21"/>
        </w:rPr>
      </w:pPr>
      <w:r>
        <w:rPr>
          <w:rFonts w:hint="eastAsia" w:ascii="黑体" w:hAnsi="黑体" w:eastAsia="黑体"/>
          <w:szCs w:val="21"/>
        </w:rPr>
        <w:t>本单位具有履行合同所必需的设备和专业技术能力。</w:t>
      </w:r>
    </w:p>
    <w:p>
      <w:pPr>
        <w:numPr>
          <w:ilvl w:val="0"/>
          <w:numId w:val="112"/>
        </w:numPr>
        <w:adjustRightInd w:val="0"/>
        <w:snapToGrid w:val="0"/>
        <w:spacing w:line="360" w:lineRule="auto"/>
        <w:rPr>
          <w:rFonts w:ascii="黑体" w:hAnsi="黑体" w:eastAsia="黑体"/>
          <w:szCs w:val="21"/>
        </w:rPr>
      </w:pPr>
      <w:r>
        <w:rPr>
          <w:rFonts w:hint="eastAsia" w:ascii="黑体" w:hAnsi="黑体" w:eastAsia="黑体"/>
          <w:szCs w:val="21"/>
        </w:rPr>
        <w:t>本单位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p>
      <w:pPr>
        <w:numPr>
          <w:ilvl w:val="0"/>
          <w:numId w:val="112"/>
        </w:numPr>
        <w:adjustRightInd w:val="0"/>
        <w:snapToGrid w:val="0"/>
        <w:spacing w:line="360" w:lineRule="auto"/>
        <w:rPr>
          <w:rFonts w:ascii="黑体" w:hAnsi="黑体" w:eastAsia="黑体"/>
          <w:szCs w:val="21"/>
        </w:rPr>
      </w:pPr>
      <w:r>
        <w:rPr>
          <w:rFonts w:hint="eastAsia" w:ascii="黑体" w:hAnsi="黑体" w:eastAsia="黑体"/>
          <w:szCs w:val="21"/>
        </w:rPr>
        <w:t>本单位具备法律、行政法规规定的其他条件。</w:t>
      </w:r>
    </w:p>
    <w:p>
      <w:pPr>
        <w:numPr>
          <w:ilvl w:val="0"/>
          <w:numId w:val="112"/>
        </w:numPr>
        <w:adjustRightInd w:val="0"/>
        <w:snapToGrid w:val="0"/>
        <w:spacing w:line="360" w:lineRule="auto"/>
        <w:rPr>
          <w:rFonts w:ascii="黑体" w:hAnsi="黑体" w:eastAsia="黑体"/>
          <w:szCs w:val="21"/>
        </w:rPr>
      </w:pPr>
      <w:r>
        <w:rPr>
          <w:rFonts w:hint="eastAsia" w:ascii="黑体" w:hAnsi="黑体" w:eastAsia="黑体"/>
          <w:szCs w:val="21"/>
        </w:rPr>
        <w:t>本单位承诺单位负责人为同一人或者存在直接控股、管理关系的不同供应商，不得同时参加本采购项目（或采购包）投标。</w:t>
      </w:r>
    </w:p>
    <w:p>
      <w:pPr>
        <w:numPr>
          <w:ilvl w:val="0"/>
          <w:numId w:val="112"/>
        </w:numPr>
        <w:adjustRightInd w:val="0"/>
        <w:snapToGrid w:val="0"/>
        <w:spacing w:line="360" w:lineRule="auto"/>
        <w:rPr>
          <w:rFonts w:ascii="黑体" w:hAnsi="黑体" w:eastAsia="黑体"/>
          <w:szCs w:val="21"/>
        </w:rPr>
      </w:pPr>
      <w:r>
        <w:rPr>
          <w:rFonts w:hint="eastAsia" w:ascii="黑体" w:hAnsi="黑体" w:eastAsia="黑体"/>
          <w:szCs w:val="21"/>
        </w:rPr>
        <w:t>本单位承诺为本项目提供整体设计、规范编制或者项目管理、监理、检测等服务的供应商，不得再参与本项目投标。</w:t>
      </w:r>
    </w:p>
    <w:p>
      <w:pPr>
        <w:adjustRightInd w:val="0"/>
        <w:snapToGrid w:val="0"/>
        <w:spacing w:line="360" w:lineRule="auto"/>
        <w:ind w:firstLine="420"/>
        <w:rPr>
          <w:rFonts w:ascii="黑体" w:hAnsi="黑体" w:eastAsia="黑体"/>
          <w:szCs w:val="21"/>
        </w:rPr>
      </w:pPr>
      <w:r>
        <w:rPr>
          <w:rFonts w:hint="eastAsia" w:ascii="黑体" w:hAnsi="黑体" w:eastAsia="黑体"/>
          <w:szCs w:val="21"/>
        </w:rPr>
        <w:t>本单位承诺在本次采购活动中，如有违法、违规、弄虚作假行为，所造成的损失、不良后果及法律责任，一律由本单位承担。</w:t>
      </w:r>
    </w:p>
    <w:p>
      <w:pPr>
        <w:adjustRightInd w:val="0"/>
        <w:snapToGrid w:val="0"/>
        <w:spacing w:line="360" w:lineRule="auto"/>
        <w:ind w:firstLine="420"/>
        <w:rPr>
          <w:rFonts w:ascii="黑体" w:hAnsi="黑体" w:eastAsia="黑体"/>
          <w:szCs w:val="21"/>
        </w:rPr>
      </w:pPr>
      <w:r>
        <w:rPr>
          <w:rFonts w:hint="eastAsia" w:ascii="黑体" w:hAnsi="黑体" w:eastAsia="黑体"/>
          <w:szCs w:val="21"/>
        </w:rPr>
        <w:t>特此声明！</w:t>
      </w:r>
    </w:p>
    <w:p>
      <w:pPr>
        <w:adjustRightInd w:val="0"/>
        <w:snapToGrid w:val="0"/>
        <w:spacing w:line="360" w:lineRule="auto"/>
        <w:ind w:firstLine="420"/>
        <w:rPr>
          <w:rFonts w:ascii="黑体" w:hAnsi="黑体" w:eastAsia="黑体"/>
          <w:b/>
          <w:szCs w:val="21"/>
        </w:rPr>
      </w:pPr>
      <w:r>
        <w:rPr>
          <w:rFonts w:hint="eastAsia" w:ascii="黑体" w:hAnsi="黑体" w:eastAsia="黑体"/>
          <w:b/>
          <w:szCs w:val="21"/>
        </w:rPr>
        <w:t>备注：1.本声明函必须提供且内容不得擅自删改，否则视为无效响应。</w:t>
      </w:r>
    </w:p>
    <w:p>
      <w:pPr>
        <w:adjustRightInd w:val="0"/>
        <w:snapToGrid w:val="0"/>
        <w:spacing w:line="360" w:lineRule="auto"/>
        <w:ind w:firstLine="1138" w:firstLineChars="540"/>
        <w:rPr>
          <w:rFonts w:ascii="黑体" w:hAnsi="黑体" w:eastAsia="黑体"/>
          <w:b/>
          <w:szCs w:val="21"/>
        </w:rPr>
      </w:pPr>
      <w:r>
        <w:rPr>
          <w:rFonts w:ascii="黑体" w:hAnsi="黑体" w:eastAsia="黑体"/>
          <w:b/>
          <w:szCs w:val="21"/>
        </w:rPr>
        <w:t>2.本</w:t>
      </w:r>
      <w:bookmarkStart w:id="216" w:name="_Hlk20518506"/>
      <w:r>
        <w:rPr>
          <w:rFonts w:ascii="黑体" w:hAnsi="黑体" w:eastAsia="黑体"/>
          <w:b/>
          <w:szCs w:val="21"/>
        </w:rPr>
        <w:t>声明</w:t>
      </w:r>
      <w:bookmarkEnd w:id="216"/>
      <w:r>
        <w:rPr>
          <w:rFonts w:ascii="黑体" w:hAnsi="黑体" w:eastAsia="黑体"/>
          <w:b/>
          <w:szCs w:val="21"/>
        </w:rPr>
        <w:t>函如有虚假或与事实不符的，作无效响应处理。</w:t>
      </w:r>
    </w:p>
    <w:p>
      <w:pPr>
        <w:adjustRightInd w:val="0"/>
        <w:snapToGrid w:val="0"/>
        <w:spacing w:after="156" w:afterLines="50" w:line="360" w:lineRule="auto"/>
        <w:jc w:val="left"/>
        <w:rPr>
          <w:rFonts w:ascii="黑体" w:hAnsi="黑体" w:eastAsia="黑体"/>
          <w:b/>
          <w:szCs w:val="21"/>
        </w:rPr>
      </w:pPr>
    </w:p>
    <w:p>
      <w:pPr>
        <w:adjustRightInd w:val="0"/>
        <w:snapToGrid w:val="0"/>
        <w:spacing w:after="156" w:afterLines="50" w:line="360" w:lineRule="auto"/>
        <w:jc w:val="left"/>
        <w:rPr>
          <w:rFonts w:ascii="黑体" w:hAnsi="黑体" w:eastAsia="黑体"/>
          <w:b/>
          <w:szCs w:val="21"/>
        </w:rPr>
      </w:pPr>
    </w:p>
    <w:tbl>
      <w:tblPr>
        <w:tblStyle w:val="23"/>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c>
          <w:tcPr>
            <w:tcW w:w="3173" w:type="dxa"/>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3" w:type="dxa"/>
          </w:tcPr>
          <w:p>
            <w:pPr>
              <w:spacing w:line="360" w:lineRule="auto"/>
              <w:rPr>
                <w:rFonts w:ascii="黑体" w:hAnsi="黑体" w:eastAsia="黑体"/>
                <w:szCs w:val="21"/>
              </w:rPr>
            </w:pPr>
          </w:p>
        </w:tc>
      </w:tr>
    </w:tbl>
    <w:p>
      <w:pPr>
        <w:adjustRightInd w:val="0"/>
        <w:snapToGrid w:val="0"/>
        <w:spacing w:after="156" w:afterLines="50" w:line="360" w:lineRule="auto"/>
        <w:jc w:val="left"/>
        <w:rPr>
          <w:rFonts w:ascii="黑体" w:hAnsi="黑体" w:eastAsia="黑体"/>
          <w:b/>
          <w:szCs w:val="21"/>
        </w:rPr>
      </w:pPr>
    </w:p>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17" w:name="_Toc29105"/>
      <w:r>
        <w:rPr>
          <w:rStyle w:val="25"/>
          <w:rFonts w:hint="eastAsia" w:ascii="黑体" w:hAnsi="黑体" w:eastAsia="黑体"/>
          <w:b/>
          <w:bCs/>
          <w:spacing w:val="12"/>
          <w:sz w:val="21"/>
        </w:rPr>
        <w:t>响应供应商基本情况说明</w:t>
      </w:r>
      <w:bookmarkEnd w:id="213"/>
      <w:bookmarkEnd w:id="214"/>
      <w:bookmarkEnd w:id="215"/>
      <w:bookmarkEnd w:id="217"/>
    </w:p>
    <w:p>
      <w:pPr>
        <w:spacing w:before="156" w:beforeLines="50" w:after="156" w:afterLines="50" w:line="360" w:lineRule="auto"/>
        <w:jc w:val="center"/>
        <w:rPr>
          <w:rFonts w:ascii="黑体" w:hAnsi="黑体" w:eastAsia="黑体"/>
          <w:b/>
          <w:spacing w:val="20"/>
          <w:sz w:val="30"/>
          <w:szCs w:val="30"/>
        </w:rPr>
      </w:pPr>
      <w:r>
        <w:rPr>
          <w:rFonts w:hint="eastAsia" w:ascii="黑体" w:hAnsi="黑体" w:eastAsia="黑体"/>
          <w:b/>
          <w:spacing w:val="20"/>
          <w:sz w:val="30"/>
          <w:szCs w:val="30"/>
        </w:rPr>
        <w:t>响应供应商基本情况说明</w:t>
      </w:r>
    </w:p>
    <w:p>
      <w:pPr>
        <w:pStyle w:val="30"/>
        <w:numPr>
          <w:ilvl w:val="0"/>
          <w:numId w:val="113"/>
        </w:numPr>
        <w:spacing w:after="156" w:afterLines="50" w:line="360" w:lineRule="auto"/>
        <w:ind w:firstLineChars="0"/>
        <w:rPr>
          <w:rFonts w:ascii="黑体" w:hAnsi="黑体" w:eastAsia="黑体"/>
          <w:szCs w:val="21"/>
        </w:rPr>
      </w:pPr>
      <w:r>
        <w:rPr>
          <w:rFonts w:ascii="黑体" w:hAnsi="黑体" w:eastAsia="黑体"/>
          <w:szCs w:val="21"/>
        </w:rPr>
        <w:t>公司基本情况</w:t>
      </w:r>
    </w:p>
    <w:tbl>
      <w:tblPr>
        <w:tblStyle w:val="23"/>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5"/>
        <w:gridCol w:w="2371"/>
        <w:gridCol w:w="1038"/>
        <w:gridCol w:w="1370"/>
        <w:gridCol w:w="20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14" w:type="dxa"/>
            <w:gridSpan w:val="3"/>
          </w:tcPr>
          <w:p>
            <w:pPr>
              <w:spacing w:line="360" w:lineRule="auto"/>
              <w:rPr>
                <w:rFonts w:ascii="黑体" w:hAnsi="黑体" w:eastAsia="黑体"/>
                <w:szCs w:val="21"/>
              </w:rPr>
            </w:pPr>
            <w:r>
              <w:rPr>
                <w:rFonts w:ascii="黑体" w:hAnsi="黑体" w:eastAsia="黑体"/>
                <w:szCs w:val="21"/>
              </w:rPr>
              <w:t>公司名称：</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r>
              <w:rPr>
                <w:rFonts w:ascii="黑体" w:hAnsi="黑体" w:eastAsia="黑体"/>
                <w:szCs w:val="21"/>
              </w:rPr>
              <w:t xml:space="preserve"> </w:t>
            </w:r>
          </w:p>
        </w:tc>
        <w:tc>
          <w:tcPr>
            <w:tcW w:w="3408" w:type="dxa"/>
            <w:gridSpan w:val="2"/>
          </w:tcPr>
          <w:p>
            <w:pPr>
              <w:spacing w:line="360" w:lineRule="auto"/>
              <w:rPr>
                <w:rFonts w:ascii="黑体" w:hAnsi="黑体" w:eastAsia="黑体"/>
                <w:szCs w:val="21"/>
              </w:rPr>
            </w:pPr>
            <w:r>
              <w:rPr>
                <w:rFonts w:hint="eastAsia" w:ascii="黑体" w:hAnsi="黑体" w:eastAsia="黑体"/>
                <w:szCs w:val="21"/>
              </w:rPr>
              <w:t>公司固话：</w:t>
            </w:r>
            <w:r>
              <w:rPr>
                <w:rFonts w:hint="eastAsia"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14" w:type="dxa"/>
            <w:gridSpan w:val="3"/>
          </w:tcPr>
          <w:p>
            <w:pPr>
              <w:spacing w:line="360" w:lineRule="auto"/>
              <w:rPr>
                <w:rFonts w:ascii="黑体" w:hAnsi="黑体" w:eastAsia="黑体"/>
                <w:szCs w:val="21"/>
              </w:rPr>
            </w:pPr>
            <w:r>
              <w:rPr>
                <w:rFonts w:hint="eastAsia" w:ascii="黑体" w:hAnsi="黑体" w:eastAsia="黑体"/>
                <w:szCs w:val="21"/>
              </w:rPr>
              <w:t>单位地址：</w:t>
            </w:r>
            <w:r>
              <w:rPr>
                <w:rFonts w:hint="eastAsia" w:ascii="黑体" w:hAnsi="黑体" w:eastAsia="黑体"/>
                <w:szCs w:val="21"/>
                <w:u w:val="single"/>
              </w:rPr>
              <w:t xml:space="preserve">                                    </w:t>
            </w:r>
          </w:p>
        </w:tc>
        <w:tc>
          <w:tcPr>
            <w:tcW w:w="3408" w:type="dxa"/>
            <w:gridSpan w:val="2"/>
          </w:tcPr>
          <w:p>
            <w:pPr>
              <w:spacing w:line="360" w:lineRule="auto"/>
              <w:rPr>
                <w:rFonts w:ascii="黑体" w:hAnsi="黑体" w:eastAsia="黑体"/>
                <w:szCs w:val="21"/>
              </w:rPr>
            </w:pPr>
            <w:r>
              <w:rPr>
                <w:rFonts w:hint="eastAsia" w:ascii="黑体" w:hAnsi="黑体" w:eastAsia="黑体"/>
                <w:szCs w:val="21"/>
              </w:rPr>
              <w:t>公司传真：</w:t>
            </w:r>
            <w:r>
              <w:rPr>
                <w:rFonts w:hint="eastAsia"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14" w:type="dxa"/>
            <w:gridSpan w:val="3"/>
          </w:tcPr>
          <w:p>
            <w:pPr>
              <w:spacing w:line="360" w:lineRule="auto"/>
              <w:rPr>
                <w:rFonts w:ascii="黑体" w:hAnsi="黑体" w:eastAsia="黑体"/>
                <w:szCs w:val="21"/>
              </w:rPr>
            </w:pPr>
            <w:r>
              <w:rPr>
                <w:rFonts w:hint="eastAsia" w:ascii="黑体" w:hAnsi="黑体" w:eastAsia="黑体"/>
                <w:szCs w:val="21"/>
              </w:rPr>
              <w:t>注册资金：</w:t>
            </w:r>
            <w:r>
              <w:rPr>
                <w:rFonts w:hint="eastAsia" w:ascii="黑体" w:hAnsi="黑体" w:eastAsia="黑体"/>
                <w:szCs w:val="21"/>
                <w:u w:val="single"/>
              </w:rPr>
              <w:t xml:space="preserve">                                    </w:t>
            </w:r>
          </w:p>
        </w:tc>
        <w:tc>
          <w:tcPr>
            <w:tcW w:w="3408" w:type="dxa"/>
            <w:gridSpan w:val="2"/>
          </w:tcPr>
          <w:p>
            <w:pPr>
              <w:spacing w:line="360" w:lineRule="auto"/>
              <w:rPr>
                <w:rFonts w:ascii="黑体" w:hAnsi="黑体" w:eastAsia="黑体"/>
                <w:szCs w:val="21"/>
              </w:rPr>
            </w:pPr>
            <w:r>
              <w:rPr>
                <w:rFonts w:hint="eastAsia" w:ascii="黑体" w:hAnsi="黑体" w:eastAsia="黑体"/>
                <w:szCs w:val="21"/>
              </w:rPr>
              <w:t>单位性质：</w:t>
            </w:r>
            <w:r>
              <w:rPr>
                <w:rFonts w:hint="eastAsia"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14" w:type="dxa"/>
            <w:gridSpan w:val="3"/>
          </w:tcPr>
          <w:p>
            <w:pPr>
              <w:spacing w:line="360" w:lineRule="auto"/>
              <w:rPr>
                <w:rFonts w:ascii="黑体" w:hAnsi="黑体" w:eastAsia="黑体"/>
                <w:szCs w:val="21"/>
              </w:rPr>
            </w:pPr>
            <w:r>
              <w:rPr>
                <w:rFonts w:hint="eastAsia" w:ascii="黑体" w:hAnsi="黑体" w:eastAsia="黑体"/>
                <w:szCs w:val="21"/>
              </w:rPr>
              <w:t>公司开户银行名称：</w:t>
            </w:r>
            <w:r>
              <w:rPr>
                <w:rFonts w:hint="eastAsia" w:ascii="黑体" w:hAnsi="黑体" w:eastAsia="黑体"/>
                <w:szCs w:val="21"/>
                <w:u w:val="single"/>
              </w:rPr>
              <w:t xml:space="preserve">                            </w:t>
            </w:r>
          </w:p>
        </w:tc>
        <w:tc>
          <w:tcPr>
            <w:tcW w:w="3408" w:type="dxa"/>
            <w:gridSpan w:val="2"/>
          </w:tcPr>
          <w:p>
            <w:pPr>
              <w:spacing w:line="360" w:lineRule="auto"/>
              <w:rPr>
                <w:rFonts w:ascii="黑体" w:hAnsi="黑体" w:eastAsia="黑体"/>
                <w:szCs w:val="21"/>
              </w:rPr>
            </w:pPr>
            <w:r>
              <w:rPr>
                <w:rFonts w:hint="eastAsia" w:ascii="黑体" w:hAnsi="黑体" w:eastAsia="黑体"/>
                <w:szCs w:val="21"/>
              </w:rPr>
              <w:t>开户账号：</w:t>
            </w:r>
            <w:r>
              <w:rPr>
                <w:rFonts w:hint="eastAsia"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gridSpan w:val="5"/>
          </w:tcPr>
          <w:p>
            <w:pPr>
              <w:spacing w:line="360" w:lineRule="auto"/>
              <w:rPr>
                <w:rFonts w:ascii="黑体" w:hAnsi="黑体" w:eastAsia="黑体"/>
                <w:szCs w:val="21"/>
              </w:rPr>
            </w:pPr>
            <w:r>
              <w:rPr>
                <w:rFonts w:ascii="黑体" w:hAnsi="黑体" w:eastAsia="黑体"/>
                <w:szCs w:val="21"/>
              </w:rPr>
              <w:t>营业注册执照</w:t>
            </w:r>
            <w:r>
              <w:rPr>
                <w:rFonts w:hint="eastAsia" w:ascii="黑体" w:hAnsi="黑体" w:eastAsia="黑体"/>
                <w:szCs w:val="21"/>
              </w:rPr>
              <w:t>或事业单位法人证书</w:t>
            </w:r>
            <w:r>
              <w:rPr>
                <w:rFonts w:ascii="黑体" w:hAnsi="黑体" w:eastAsia="黑体"/>
                <w:szCs w:val="21"/>
              </w:rPr>
              <w:t>号</w:t>
            </w:r>
            <w:r>
              <w:rPr>
                <w:rFonts w:hint="eastAsia" w:ascii="黑体" w:hAnsi="黑体" w:eastAsia="黑体"/>
                <w:szCs w:val="21"/>
              </w:rPr>
              <w:t>：</w:t>
            </w:r>
            <w:r>
              <w:rPr>
                <w:rFonts w:hint="eastAsia" w:ascii="黑体" w:hAnsi="黑体" w:eastAsia="黑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8522" w:type="dxa"/>
            <w:gridSpan w:val="5"/>
          </w:tcPr>
          <w:p>
            <w:pPr>
              <w:spacing w:line="360" w:lineRule="auto"/>
              <w:rPr>
                <w:rFonts w:ascii="黑体" w:hAnsi="黑体" w:eastAsia="黑体"/>
                <w:szCs w:val="21"/>
              </w:rPr>
            </w:pPr>
            <w:r>
              <w:rPr>
                <w:rFonts w:hint="eastAsia" w:ascii="黑体" w:hAnsi="黑体" w:eastAsia="黑体"/>
                <w:szCs w:val="21"/>
              </w:rPr>
              <w:t>公司财务状况：（如需）                               【价格单位：（人民币）元】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黑体" w:hAnsi="黑体" w:eastAsia="黑体"/>
                <w:szCs w:val="21"/>
              </w:rPr>
            </w:pPr>
            <w:r>
              <w:rPr>
                <w:rFonts w:hint="eastAsia" w:ascii="黑体" w:hAnsi="黑体" w:eastAsia="黑体"/>
                <w:szCs w:val="21"/>
              </w:rPr>
              <w:t>年  度</w:t>
            </w:r>
          </w:p>
        </w:tc>
        <w:tc>
          <w:tcPr>
            <w:tcW w:w="237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黑体" w:hAnsi="黑体" w:eastAsia="黑体"/>
                <w:szCs w:val="21"/>
              </w:rPr>
            </w:pPr>
            <w:r>
              <w:rPr>
                <w:rFonts w:hint="eastAsia" w:ascii="黑体" w:hAnsi="黑体" w:eastAsia="黑体"/>
                <w:szCs w:val="21"/>
              </w:rPr>
              <w:t>总资产（元）</w:t>
            </w:r>
          </w:p>
        </w:tc>
        <w:tc>
          <w:tcPr>
            <w:tcW w:w="2408"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黑体" w:hAnsi="黑体" w:eastAsia="黑体"/>
                <w:szCs w:val="21"/>
              </w:rPr>
            </w:pPr>
            <w:r>
              <w:rPr>
                <w:rFonts w:hint="eastAsia" w:ascii="黑体" w:hAnsi="黑体" w:eastAsia="黑体"/>
                <w:szCs w:val="21"/>
              </w:rPr>
              <w:t>年营业额（元）</w:t>
            </w:r>
          </w:p>
        </w:tc>
        <w:tc>
          <w:tcPr>
            <w:tcW w:w="203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黑体" w:hAnsi="黑体" w:eastAsia="黑体"/>
                <w:szCs w:val="21"/>
              </w:rPr>
            </w:pPr>
            <w:r>
              <w:rPr>
                <w:rFonts w:hint="eastAsia" w:ascii="黑体" w:hAnsi="黑体" w:eastAsia="黑体"/>
                <w:szCs w:val="21"/>
              </w:rPr>
              <w:t>年净利润（元）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5" w:type="dxa"/>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rPr>
            </w:pPr>
          </w:p>
        </w:tc>
        <w:tc>
          <w:tcPr>
            <w:tcW w:w="2371" w:type="dxa"/>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rPr>
            </w:pPr>
          </w:p>
        </w:tc>
        <w:tc>
          <w:tcPr>
            <w:tcW w:w="2408" w:type="dxa"/>
            <w:gridSpan w:val="2"/>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rPr>
            </w:pPr>
          </w:p>
        </w:tc>
        <w:tc>
          <w:tcPr>
            <w:tcW w:w="2038" w:type="dxa"/>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5" w:type="dxa"/>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rPr>
            </w:pPr>
          </w:p>
        </w:tc>
        <w:tc>
          <w:tcPr>
            <w:tcW w:w="2371" w:type="dxa"/>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rPr>
            </w:pPr>
          </w:p>
        </w:tc>
        <w:tc>
          <w:tcPr>
            <w:tcW w:w="2408" w:type="dxa"/>
            <w:gridSpan w:val="2"/>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rPr>
            </w:pPr>
          </w:p>
        </w:tc>
        <w:tc>
          <w:tcPr>
            <w:tcW w:w="2038" w:type="dxa"/>
            <w:tcBorders>
              <w:top w:val="single" w:color="auto" w:sz="6" w:space="0"/>
              <w:left w:val="single" w:color="auto" w:sz="6" w:space="0"/>
              <w:bottom w:val="single" w:color="auto" w:sz="6" w:space="0"/>
              <w:right w:val="single" w:color="auto" w:sz="6" w:space="0"/>
            </w:tcBorders>
          </w:tcPr>
          <w:p>
            <w:pPr>
              <w:spacing w:line="360" w:lineRule="auto"/>
              <w:rPr>
                <w:rFonts w:ascii="黑体" w:hAnsi="黑体" w:eastAsia="黑体"/>
                <w:szCs w:val="21"/>
              </w:rPr>
            </w:pPr>
          </w:p>
        </w:tc>
      </w:tr>
    </w:tbl>
    <w:p>
      <w:pPr>
        <w:pStyle w:val="30"/>
        <w:numPr>
          <w:ilvl w:val="0"/>
          <w:numId w:val="113"/>
        </w:numPr>
        <w:spacing w:after="156" w:afterLines="50" w:line="360" w:lineRule="auto"/>
        <w:ind w:firstLineChars="0"/>
        <w:rPr>
          <w:rFonts w:ascii="黑体" w:hAnsi="黑体" w:eastAsia="黑体"/>
          <w:szCs w:val="21"/>
        </w:rPr>
      </w:pPr>
      <w:r>
        <w:rPr>
          <w:rFonts w:hint="eastAsia" w:ascii="黑体" w:hAnsi="黑体" w:eastAsia="黑体"/>
          <w:szCs w:val="21"/>
        </w:rPr>
        <w:t>响应</w:t>
      </w:r>
      <w:r>
        <w:rPr>
          <w:rFonts w:ascii="黑体" w:hAnsi="黑体" w:eastAsia="黑体"/>
          <w:szCs w:val="21"/>
        </w:rPr>
        <w:t>供应商获得国家有关部门颁发的资质证明</w:t>
      </w:r>
      <w:r>
        <w:rPr>
          <w:rFonts w:hint="eastAsia" w:ascii="黑体" w:hAnsi="黑体" w:eastAsia="黑体"/>
          <w:szCs w:val="21"/>
        </w:rPr>
        <w:t>或荣誉</w:t>
      </w:r>
      <w:r>
        <w:rPr>
          <w:rFonts w:ascii="黑体" w:hAnsi="黑体" w:eastAsia="黑体"/>
          <w:szCs w:val="21"/>
        </w:rPr>
        <w:t>：</w:t>
      </w:r>
      <w:r>
        <w:rPr>
          <w:rFonts w:hint="eastAsia" w:ascii="黑体" w:hAnsi="黑体" w:eastAsia="黑体"/>
          <w:szCs w:val="21"/>
        </w:rPr>
        <w:t>（如需）</w:t>
      </w:r>
    </w:p>
    <w:tbl>
      <w:tblPr>
        <w:tblStyle w:val="2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spacing w:line="360" w:lineRule="auto"/>
              <w:jc w:val="center"/>
              <w:rPr>
                <w:rFonts w:ascii="黑体" w:hAnsi="黑体" w:eastAsia="黑体"/>
                <w:szCs w:val="21"/>
              </w:rPr>
            </w:pPr>
            <w:r>
              <w:rPr>
                <w:rFonts w:ascii="黑体" w:hAnsi="黑体" w:eastAsia="黑体"/>
                <w:szCs w:val="21"/>
              </w:rPr>
              <w:t>证书名称</w:t>
            </w:r>
          </w:p>
        </w:tc>
        <w:tc>
          <w:tcPr>
            <w:tcW w:w="2130" w:type="dxa"/>
            <w:vAlign w:val="center"/>
          </w:tcPr>
          <w:p>
            <w:pPr>
              <w:spacing w:line="360" w:lineRule="auto"/>
              <w:jc w:val="center"/>
              <w:rPr>
                <w:rFonts w:ascii="黑体" w:hAnsi="黑体" w:eastAsia="黑体"/>
                <w:szCs w:val="21"/>
              </w:rPr>
            </w:pPr>
            <w:r>
              <w:rPr>
                <w:rFonts w:ascii="黑体" w:hAnsi="黑体" w:eastAsia="黑体"/>
                <w:szCs w:val="21"/>
              </w:rPr>
              <w:t>发证单位</w:t>
            </w:r>
          </w:p>
        </w:tc>
        <w:tc>
          <w:tcPr>
            <w:tcW w:w="2131" w:type="dxa"/>
            <w:vAlign w:val="center"/>
          </w:tcPr>
          <w:p>
            <w:pPr>
              <w:spacing w:line="360" w:lineRule="auto"/>
              <w:jc w:val="center"/>
              <w:rPr>
                <w:rFonts w:ascii="黑体" w:hAnsi="黑体" w:eastAsia="黑体"/>
                <w:szCs w:val="21"/>
              </w:rPr>
            </w:pPr>
            <w:r>
              <w:rPr>
                <w:rFonts w:ascii="黑体" w:hAnsi="黑体" w:eastAsia="黑体"/>
                <w:szCs w:val="21"/>
              </w:rPr>
              <w:t>证书等级</w:t>
            </w:r>
          </w:p>
        </w:tc>
        <w:tc>
          <w:tcPr>
            <w:tcW w:w="2131" w:type="dxa"/>
            <w:vAlign w:val="center"/>
          </w:tcPr>
          <w:p>
            <w:pPr>
              <w:spacing w:line="360" w:lineRule="auto"/>
              <w:jc w:val="center"/>
              <w:rPr>
                <w:rFonts w:ascii="黑体" w:hAnsi="黑体" w:eastAsia="黑体"/>
                <w:szCs w:val="21"/>
              </w:rPr>
            </w:pPr>
            <w:r>
              <w:rPr>
                <w:rFonts w:ascii="黑体" w:hAnsi="黑体" w:eastAsia="黑体"/>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spacing w:line="360" w:lineRule="auto"/>
              <w:rPr>
                <w:rFonts w:ascii="黑体" w:hAnsi="黑体" w:eastAsia="黑体"/>
                <w:szCs w:val="21"/>
              </w:rPr>
            </w:pPr>
          </w:p>
        </w:tc>
        <w:tc>
          <w:tcPr>
            <w:tcW w:w="2130" w:type="dxa"/>
          </w:tcPr>
          <w:p>
            <w:pPr>
              <w:spacing w:line="360" w:lineRule="auto"/>
              <w:rPr>
                <w:rFonts w:ascii="黑体" w:hAnsi="黑体" w:eastAsia="黑体"/>
                <w:szCs w:val="21"/>
              </w:rPr>
            </w:pPr>
          </w:p>
        </w:tc>
        <w:tc>
          <w:tcPr>
            <w:tcW w:w="2131" w:type="dxa"/>
          </w:tcPr>
          <w:p>
            <w:pPr>
              <w:spacing w:line="360" w:lineRule="auto"/>
              <w:rPr>
                <w:rFonts w:ascii="黑体" w:hAnsi="黑体" w:eastAsia="黑体"/>
                <w:szCs w:val="21"/>
              </w:rPr>
            </w:pPr>
          </w:p>
        </w:tc>
        <w:tc>
          <w:tcPr>
            <w:tcW w:w="2131" w:type="dxa"/>
          </w:tcPr>
          <w:p>
            <w:pPr>
              <w:spacing w:line="360" w:lineRule="auto"/>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spacing w:line="360" w:lineRule="auto"/>
              <w:rPr>
                <w:rFonts w:ascii="黑体" w:hAnsi="黑体" w:eastAsia="黑体"/>
                <w:szCs w:val="21"/>
              </w:rPr>
            </w:pPr>
          </w:p>
        </w:tc>
        <w:tc>
          <w:tcPr>
            <w:tcW w:w="2130" w:type="dxa"/>
          </w:tcPr>
          <w:p>
            <w:pPr>
              <w:spacing w:line="360" w:lineRule="auto"/>
              <w:rPr>
                <w:rFonts w:ascii="黑体" w:hAnsi="黑体" w:eastAsia="黑体"/>
                <w:szCs w:val="21"/>
              </w:rPr>
            </w:pPr>
          </w:p>
        </w:tc>
        <w:tc>
          <w:tcPr>
            <w:tcW w:w="2131" w:type="dxa"/>
          </w:tcPr>
          <w:p>
            <w:pPr>
              <w:spacing w:line="360" w:lineRule="auto"/>
              <w:rPr>
                <w:rFonts w:ascii="黑体" w:hAnsi="黑体" w:eastAsia="黑体"/>
                <w:szCs w:val="21"/>
              </w:rPr>
            </w:pPr>
          </w:p>
        </w:tc>
        <w:tc>
          <w:tcPr>
            <w:tcW w:w="2131" w:type="dxa"/>
          </w:tcPr>
          <w:p>
            <w:pPr>
              <w:spacing w:line="360" w:lineRule="auto"/>
              <w:rPr>
                <w:rFonts w:ascii="黑体" w:hAnsi="黑体" w:eastAsia="黑体"/>
                <w:szCs w:val="21"/>
              </w:rPr>
            </w:pPr>
          </w:p>
        </w:tc>
      </w:tr>
    </w:tbl>
    <w:p>
      <w:pPr>
        <w:spacing w:before="156" w:beforeLines="50" w:after="468" w:afterLines="150" w:line="360" w:lineRule="auto"/>
        <w:rPr>
          <w:rFonts w:ascii="黑体" w:hAnsi="黑体" w:eastAsia="黑体"/>
          <w:szCs w:val="21"/>
        </w:rPr>
      </w:pPr>
      <w:r>
        <w:rPr>
          <w:rFonts w:hint="eastAsia" w:ascii="黑体" w:hAnsi="黑体" w:eastAsia="黑体"/>
          <w:szCs w:val="21"/>
        </w:rPr>
        <w:t>兹证明上述声明是真实、正确的，并提供了全部能提供的资料和数据，我方同意遵照贵方要求出示有关证明文件。</w:t>
      </w:r>
    </w:p>
    <w:tbl>
      <w:tblPr>
        <w:tblStyle w:val="23"/>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ascii="黑体" w:hAnsi="黑体" w:eastAsia="黑体"/>
                <w:szCs w:val="21"/>
              </w:rPr>
            </w:pPr>
            <w:r>
              <w:rPr>
                <w:rFonts w:hint="eastAsia" w:ascii="黑体" w:hAnsi="黑体" w:eastAsia="黑体"/>
                <w:szCs w:val="21"/>
              </w:rPr>
              <w:t>响应供应商名称（加盖公章）：</w:t>
            </w:r>
            <w:r>
              <w:rPr>
                <w:rFonts w:hint="eastAsia" w:ascii="黑体" w:hAnsi="黑体" w:eastAsia="黑体"/>
                <w:szCs w:val="21"/>
                <w:u w:val="single"/>
              </w:rPr>
              <w:t xml:space="preserve">                         </w:t>
            </w:r>
          </w:p>
        </w:tc>
        <w:tc>
          <w:tcPr>
            <w:tcW w:w="3173" w:type="dxa"/>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黑体" w:hAnsi="黑体" w:eastAsia="黑体"/>
                <w:szCs w:val="21"/>
              </w:rPr>
            </w:pPr>
            <w:r>
              <w:rPr>
                <w:rFonts w:hint="eastAsia" w:ascii="黑体" w:hAnsi="黑体" w:eastAsia="黑体"/>
                <w:szCs w:val="21"/>
              </w:rPr>
              <w:t>日期：</w:t>
            </w:r>
            <w:r>
              <w:rPr>
                <w:rFonts w:hint="eastAsia" w:ascii="黑体" w:hAnsi="黑体" w:eastAsia="黑体"/>
                <w:szCs w:val="21"/>
                <w:u w:val="single"/>
              </w:rPr>
              <w:t xml:space="preserve">             年           月            日</w:t>
            </w:r>
          </w:p>
        </w:tc>
        <w:tc>
          <w:tcPr>
            <w:tcW w:w="3173" w:type="dxa"/>
          </w:tcPr>
          <w:p>
            <w:pPr>
              <w:spacing w:line="360" w:lineRule="auto"/>
              <w:rPr>
                <w:rFonts w:ascii="黑体" w:hAnsi="黑体" w:eastAsia="黑体"/>
                <w:szCs w:val="21"/>
              </w:rPr>
            </w:pPr>
          </w:p>
        </w:tc>
      </w:tr>
    </w:tbl>
    <w:p>
      <w:pPr>
        <w:spacing w:line="360" w:lineRule="auto"/>
        <w:rPr>
          <w:rFonts w:ascii="黑体" w:hAnsi="黑体" w:eastAsia="黑体"/>
          <w:szCs w:val="21"/>
        </w:rPr>
      </w:pPr>
    </w:p>
    <w:p>
      <w:pPr>
        <w:spacing w:line="360" w:lineRule="auto"/>
        <w:rPr>
          <w:rFonts w:ascii="黑体" w:hAnsi="黑体" w:eastAsia="黑体"/>
        </w:rPr>
      </w:pPr>
    </w:p>
    <w:p>
      <w:pPr>
        <w:pStyle w:val="4"/>
        <w:keepNext w:val="0"/>
        <w:keepLines w:val="0"/>
        <w:pageBreakBefore/>
        <w:numPr>
          <w:ilvl w:val="0"/>
          <w:numId w:val="114"/>
        </w:numPr>
        <w:tabs>
          <w:tab w:val="left" w:pos="284"/>
          <w:tab w:val="left" w:pos="567"/>
        </w:tabs>
        <w:spacing w:line="360" w:lineRule="auto"/>
        <w:jc w:val="left"/>
        <w:rPr>
          <w:rStyle w:val="25"/>
          <w:rFonts w:ascii="黑体" w:hAnsi="黑体" w:eastAsia="黑体"/>
          <w:b/>
          <w:bCs/>
          <w:spacing w:val="12"/>
          <w:sz w:val="21"/>
          <w:szCs w:val="21"/>
        </w:rPr>
      </w:pPr>
      <w:bookmarkStart w:id="218" w:name="_Toc90976522"/>
      <w:bookmarkStart w:id="219" w:name="_Toc26361"/>
      <w:bookmarkStart w:id="220" w:name="_Toc90980152"/>
      <w:bookmarkStart w:id="221" w:name="_Toc391627761"/>
      <w:bookmarkStart w:id="222" w:name="_Toc405313965"/>
      <w:r>
        <w:rPr>
          <w:rStyle w:val="25"/>
          <w:rFonts w:hint="eastAsia" w:ascii="黑体" w:hAnsi="黑体" w:eastAsia="黑体"/>
          <w:b/>
          <w:bCs/>
          <w:spacing w:val="12"/>
          <w:sz w:val="21"/>
          <w:szCs w:val="21"/>
        </w:rPr>
        <w:t>供应商资格证明文件</w:t>
      </w:r>
      <w:bookmarkEnd w:id="218"/>
      <w:bookmarkEnd w:id="219"/>
      <w:bookmarkEnd w:id="220"/>
    </w:p>
    <w:bookmarkEnd w:id="221"/>
    <w:bookmarkEnd w:id="222"/>
    <w:p>
      <w:pPr>
        <w:spacing w:line="360" w:lineRule="auto"/>
        <w:rPr>
          <w:rFonts w:ascii="黑体" w:hAnsi="黑体" w:eastAsia="黑体"/>
        </w:rPr>
      </w:pPr>
    </w:p>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23" w:name="_Toc391627765"/>
      <w:bookmarkStart w:id="224" w:name="_Toc21322"/>
      <w:bookmarkStart w:id="225" w:name="_Toc521951150"/>
      <w:bookmarkStart w:id="226" w:name="_Toc405313968"/>
      <w:r>
        <w:rPr>
          <w:rStyle w:val="25"/>
          <w:rFonts w:ascii="黑体" w:hAnsi="黑体" w:eastAsia="黑体"/>
          <w:b/>
          <w:bCs/>
          <w:spacing w:val="12"/>
          <w:sz w:val="21"/>
        </w:rPr>
        <w:t>业绩表</w:t>
      </w:r>
      <w:bookmarkEnd w:id="223"/>
      <w:bookmarkEnd w:id="224"/>
      <w:bookmarkEnd w:id="225"/>
      <w:bookmarkEnd w:id="226"/>
    </w:p>
    <w:p>
      <w:pPr>
        <w:spacing w:before="312" w:beforeLines="100" w:after="468" w:afterLines="150" w:line="360" w:lineRule="auto"/>
        <w:jc w:val="center"/>
        <w:rPr>
          <w:rFonts w:ascii="黑体" w:hAnsi="黑体" w:eastAsia="黑体"/>
          <w:b/>
          <w:spacing w:val="20"/>
          <w:sz w:val="30"/>
          <w:szCs w:val="30"/>
        </w:rPr>
      </w:pPr>
      <w:r>
        <w:rPr>
          <w:rFonts w:hint="eastAsia" w:ascii="黑体" w:hAnsi="黑体" w:eastAsia="黑体"/>
          <w:b/>
          <w:spacing w:val="20"/>
          <w:sz w:val="30"/>
          <w:szCs w:val="30"/>
        </w:rPr>
        <w:t>业绩表</w:t>
      </w:r>
    </w:p>
    <w:tbl>
      <w:tblPr>
        <w:tblStyle w:val="2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2296"/>
        <w:gridCol w:w="1561"/>
        <w:gridCol w:w="1556"/>
        <w:gridCol w:w="1415"/>
        <w:gridCol w:w="1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646" w:type="dxa"/>
            <w:vAlign w:val="center"/>
          </w:tcPr>
          <w:p>
            <w:pPr>
              <w:spacing w:before="156" w:after="156" w:line="240" w:lineRule="exact"/>
              <w:jc w:val="center"/>
              <w:rPr>
                <w:rFonts w:ascii="黑体" w:hAnsi="黑体" w:eastAsia="黑体"/>
                <w:b/>
                <w:bCs/>
                <w:szCs w:val="21"/>
              </w:rPr>
            </w:pPr>
            <w:r>
              <w:rPr>
                <w:rFonts w:ascii="黑体" w:hAnsi="黑体" w:eastAsia="黑体"/>
                <w:b/>
                <w:bCs/>
                <w:szCs w:val="21"/>
              </w:rPr>
              <w:t>序号</w:t>
            </w:r>
          </w:p>
        </w:tc>
        <w:tc>
          <w:tcPr>
            <w:tcW w:w="2296" w:type="dxa"/>
            <w:vAlign w:val="center"/>
          </w:tcPr>
          <w:p>
            <w:pPr>
              <w:spacing w:before="156" w:after="156" w:line="240" w:lineRule="exact"/>
              <w:jc w:val="center"/>
              <w:rPr>
                <w:rFonts w:ascii="黑体" w:hAnsi="黑体" w:eastAsia="黑体"/>
                <w:b/>
                <w:bCs/>
                <w:szCs w:val="21"/>
              </w:rPr>
            </w:pPr>
            <w:r>
              <w:rPr>
                <w:rFonts w:hint="eastAsia" w:ascii="黑体" w:hAnsi="黑体" w:eastAsia="黑体"/>
                <w:b/>
                <w:bCs/>
                <w:szCs w:val="21"/>
              </w:rPr>
              <w:t>项目名称</w:t>
            </w:r>
          </w:p>
        </w:tc>
        <w:tc>
          <w:tcPr>
            <w:tcW w:w="1561" w:type="dxa"/>
            <w:vAlign w:val="center"/>
          </w:tcPr>
          <w:p>
            <w:pPr>
              <w:spacing w:before="156" w:after="156" w:line="240" w:lineRule="exact"/>
              <w:jc w:val="center"/>
              <w:rPr>
                <w:rFonts w:ascii="黑体" w:hAnsi="黑体" w:eastAsia="黑体"/>
                <w:b/>
                <w:bCs/>
                <w:szCs w:val="21"/>
              </w:rPr>
            </w:pPr>
            <w:r>
              <w:rPr>
                <w:rFonts w:hint="eastAsia" w:ascii="黑体" w:hAnsi="黑体" w:eastAsia="黑体"/>
                <w:b/>
                <w:bCs/>
                <w:szCs w:val="21"/>
              </w:rPr>
              <w:t>合同金额</w:t>
            </w:r>
          </w:p>
        </w:tc>
        <w:tc>
          <w:tcPr>
            <w:tcW w:w="1556" w:type="dxa"/>
            <w:vAlign w:val="center"/>
          </w:tcPr>
          <w:p>
            <w:pPr>
              <w:spacing w:before="156" w:after="156" w:line="240" w:lineRule="exact"/>
              <w:jc w:val="center"/>
              <w:rPr>
                <w:rFonts w:ascii="黑体" w:hAnsi="黑体" w:eastAsia="黑体"/>
                <w:b/>
                <w:bCs/>
                <w:szCs w:val="21"/>
              </w:rPr>
            </w:pPr>
            <w:r>
              <w:rPr>
                <w:rFonts w:hint="eastAsia" w:ascii="黑体" w:hAnsi="黑体" w:eastAsia="黑体"/>
                <w:b/>
                <w:bCs/>
                <w:szCs w:val="21"/>
              </w:rPr>
              <w:t>签约时间</w:t>
            </w:r>
          </w:p>
        </w:tc>
        <w:tc>
          <w:tcPr>
            <w:tcW w:w="1415" w:type="dxa"/>
            <w:vAlign w:val="center"/>
          </w:tcPr>
          <w:p>
            <w:pPr>
              <w:spacing w:before="156" w:after="156" w:line="240" w:lineRule="exact"/>
              <w:jc w:val="center"/>
              <w:rPr>
                <w:rFonts w:ascii="黑体" w:hAnsi="黑体" w:eastAsia="黑体"/>
                <w:b/>
                <w:bCs/>
                <w:szCs w:val="21"/>
              </w:rPr>
            </w:pPr>
            <w:r>
              <w:rPr>
                <w:rFonts w:hint="eastAsia" w:ascii="黑体" w:hAnsi="黑体" w:eastAsia="黑体"/>
                <w:b/>
                <w:bCs/>
                <w:szCs w:val="21"/>
              </w:rPr>
              <w:t>完成情况</w:t>
            </w:r>
          </w:p>
        </w:tc>
        <w:tc>
          <w:tcPr>
            <w:tcW w:w="1048" w:type="dxa"/>
            <w:vAlign w:val="center"/>
          </w:tcPr>
          <w:p>
            <w:pPr>
              <w:spacing w:before="156" w:after="156" w:line="240" w:lineRule="exact"/>
              <w:jc w:val="center"/>
              <w:rPr>
                <w:rFonts w:ascii="黑体" w:hAnsi="黑体" w:eastAsia="黑体"/>
                <w:b/>
                <w:bCs/>
                <w:szCs w:val="21"/>
              </w:rPr>
            </w:pPr>
            <w:r>
              <w:rPr>
                <w:rFonts w:hint="eastAsia" w:ascii="黑体" w:hAnsi="黑体" w:eastAsia="黑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ascii="黑体" w:hAnsi="黑体" w:eastAsia="黑体"/>
                <w:szCs w:val="21"/>
              </w:rPr>
            </w:pPr>
          </w:p>
        </w:tc>
        <w:tc>
          <w:tcPr>
            <w:tcW w:w="2296" w:type="dxa"/>
            <w:vAlign w:val="center"/>
          </w:tcPr>
          <w:p>
            <w:pPr>
              <w:spacing w:before="156" w:after="156" w:line="240" w:lineRule="exact"/>
              <w:jc w:val="center"/>
              <w:rPr>
                <w:rFonts w:ascii="黑体" w:hAnsi="黑体" w:eastAsia="黑体"/>
                <w:szCs w:val="21"/>
              </w:rPr>
            </w:pPr>
          </w:p>
        </w:tc>
        <w:tc>
          <w:tcPr>
            <w:tcW w:w="1561" w:type="dxa"/>
            <w:vAlign w:val="center"/>
          </w:tcPr>
          <w:p>
            <w:pPr>
              <w:spacing w:before="156" w:after="156" w:line="240" w:lineRule="exact"/>
              <w:jc w:val="center"/>
              <w:rPr>
                <w:rFonts w:ascii="黑体" w:hAnsi="黑体" w:eastAsia="黑体"/>
                <w:szCs w:val="21"/>
              </w:rPr>
            </w:pPr>
          </w:p>
        </w:tc>
        <w:tc>
          <w:tcPr>
            <w:tcW w:w="1556" w:type="dxa"/>
            <w:vAlign w:val="center"/>
          </w:tcPr>
          <w:p>
            <w:pPr>
              <w:spacing w:before="156" w:after="156" w:line="240" w:lineRule="exact"/>
              <w:jc w:val="center"/>
              <w:rPr>
                <w:rFonts w:ascii="黑体" w:hAnsi="黑体" w:eastAsia="黑体"/>
                <w:szCs w:val="21"/>
              </w:rPr>
            </w:pPr>
          </w:p>
        </w:tc>
        <w:tc>
          <w:tcPr>
            <w:tcW w:w="1415" w:type="dxa"/>
            <w:vAlign w:val="center"/>
          </w:tcPr>
          <w:p>
            <w:pPr>
              <w:spacing w:before="156" w:after="156" w:line="240" w:lineRule="exact"/>
              <w:jc w:val="center"/>
              <w:rPr>
                <w:rFonts w:ascii="黑体" w:hAnsi="黑体" w:eastAsia="黑体"/>
                <w:szCs w:val="21"/>
              </w:rPr>
            </w:pPr>
          </w:p>
        </w:tc>
        <w:tc>
          <w:tcPr>
            <w:tcW w:w="1048" w:type="dxa"/>
            <w:vAlign w:val="center"/>
          </w:tcPr>
          <w:p>
            <w:pPr>
              <w:spacing w:before="156" w:after="156" w:line="24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ascii="黑体" w:hAnsi="黑体" w:eastAsia="黑体"/>
                <w:szCs w:val="21"/>
              </w:rPr>
            </w:pPr>
          </w:p>
        </w:tc>
        <w:tc>
          <w:tcPr>
            <w:tcW w:w="2296" w:type="dxa"/>
            <w:vAlign w:val="center"/>
          </w:tcPr>
          <w:p>
            <w:pPr>
              <w:spacing w:before="156" w:after="156" w:line="240" w:lineRule="exact"/>
              <w:jc w:val="center"/>
              <w:rPr>
                <w:rFonts w:ascii="黑体" w:hAnsi="黑体" w:eastAsia="黑体"/>
                <w:szCs w:val="21"/>
              </w:rPr>
            </w:pPr>
          </w:p>
        </w:tc>
        <w:tc>
          <w:tcPr>
            <w:tcW w:w="1561" w:type="dxa"/>
            <w:vAlign w:val="center"/>
          </w:tcPr>
          <w:p>
            <w:pPr>
              <w:spacing w:before="156" w:after="156" w:line="240" w:lineRule="exact"/>
              <w:jc w:val="center"/>
              <w:rPr>
                <w:rFonts w:ascii="黑体" w:hAnsi="黑体" w:eastAsia="黑体"/>
                <w:szCs w:val="21"/>
              </w:rPr>
            </w:pPr>
          </w:p>
        </w:tc>
        <w:tc>
          <w:tcPr>
            <w:tcW w:w="1556" w:type="dxa"/>
            <w:vAlign w:val="center"/>
          </w:tcPr>
          <w:p>
            <w:pPr>
              <w:spacing w:before="156" w:after="156" w:line="240" w:lineRule="exact"/>
              <w:jc w:val="center"/>
              <w:rPr>
                <w:rFonts w:ascii="黑体" w:hAnsi="黑体" w:eastAsia="黑体"/>
                <w:szCs w:val="21"/>
              </w:rPr>
            </w:pPr>
          </w:p>
        </w:tc>
        <w:tc>
          <w:tcPr>
            <w:tcW w:w="1415" w:type="dxa"/>
            <w:vAlign w:val="center"/>
          </w:tcPr>
          <w:p>
            <w:pPr>
              <w:spacing w:before="156" w:after="156" w:line="240" w:lineRule="exact"/>
              <w:jc w:val="center"/>
              <w:rPr>
                <w:rFonts w:ascii="黑体" w:hAnsi="黑体" w:eastAsia="黑体"/>
                <w:szCs w:val="21"/>
              </w:rPr>
            </w:pPr>
          </w:p>
        </w:tc>
        <w:tc>
          <w:tcPr>
            <w:tcW w:w="1048" w:type="dxa"/>
            <w:vAlign w:val="center"/>
          </w:tcPr>
          <w:p>
            <w:pPr>
              <w:spacing w:before="156" w:after="156" w:line="24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ascii="黑体" w:hAnsi="黑体" w:eastAsia="黑体"/>
                <w:szCs w:val="21"/>
              </w:rPr>
            </w:pPr>
          </w:p>
        </w:tc>
        <w:tc>
          <w:tcPr>
            <w:tcW w:w="2296" w:type="dxa"/>
            <w:vAlign w:val="center"/>
          </w:tcPr>
          <w:p>
            <w:pPr>
              <w:spacing w:before="156" w:after="156" w:line="240" w:lineRule="exact"/>
              <w:jc w:val="center"/>
              <w:rPr>
                <w:rFonts w:ascii="黑体" w:hAnsi="黑体" w:eastAsia="黑体"/>
                <w:szCs w:val="21"/>
              </w:rPr>
            </w:pPr>
          </w:p>
        </w:tc>
        <w:tc>
          <w:tcPr>
            <w:tcW w:w="1561" w:type="dxa"/>
            <w:vAlign w:val="center"/>
          </w:tcPr>
          <w:p>
            <w:pPr>
              <w:spacing w:before="156" w:after="156" w:line="240" w:lineRule="exact"/>
              <w:jc w:val="center"/>
              <w:rPr>
                <w:rFonts w:ascii="黑体" w:hAnsi="黑体" w:eastAsia="黑体"/>
                <w:szCs w:val="21"/>
              </w:rPr>
            </w:pPr>
          </w:p>
        </w:tc>
        <w:tc>
          <w:tcPr>
            <w:tcW w:w="1556" w:type="dxa"/>
            <w:vAlign w:val="center"/>
          </w:tcPr>
          <w:p>
            <w:pPr>
              <w:spacing w:before="156" w:after="156" w:line="240" w:lineRule="exact"/>
              <w:jc w:val="center"/>
              <w:rPr>
                <w:rFonts w:ascii="黑体" w:hAnsi="黑体" w:eastAsia="黑体"/>
                <w:szCs w:val="21"/>
              </w:rPr>
            </w:pPr>
          </w:p>
        </w:tc>
        <w:tc>
          <w:tcPr>
            <w:tcW w:w="1415" w:type="dxa"/>
            <w:vAlign w:val="center"/>
          </w:tcPr>
          <w:p>
            <w:pPr>
              <w:spacing w:before="156" w:after="156" w:line="240" w:lineRule="exact"/>
              <w:jc w:val="center"/>
              <w:rPr>
                <w:rFonts w:ascii="黑体" w:hAnsi="黑体" w:eastAsia="黑体"/>
                <w:szCs w:val="21"/>
              </w:rPr>
            </w:pPr>
          </w:p>
        </w:tc>
        <w:tc>
          <w:tcPr>
            <w:tcW w:w="1048" w:type="dxa"/>
            <w:vAlign w:val="center"/>
          </w:tcPr>
          <w:p>
            <w:pPr>
              <w:spacing w:before="156" w:after="156" w:line="24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ascii="黑体" w:hAnsi="黑体" w:eastAsia="黑体"/>
                <w:szCs w:val="21"/>
              </w:rPr>
            </w:pPr>
          </w:p>
        </w:tc>
        <w:tc>
          <w:tcPr>
            <w:tcW w:w="2296" w:type="dxa"/>
            <w:vAlign w:val="center"/>
          </w:tcPr>
          <w:p>
            <w:pPr>
              <w:spacing w:before="156" w:after="156" w:line="240" w:lineRule="exact"/>
              <w:jc w:val="center"/>
              <w:rPr>
                <w:rFonts w:ascii="黑体" w:hAnsi="黑体" w:eastAsia="黑体"/>
                <w:szCs w:val="21"/>
              </w:rPr>
            </w:pPr>
          </w:p>
        </w:tc>
        <w:tc>
          <w:tcPr>
            <w:tcW w:w="1561" w:type="dxa"/>
            <w:vAlign w:val="center"/>
          </w:tcPr>
          <w:p>
            <w:pPr>
              <w:spacing w:before="156" w:after="156" w:line="240" w:lineRule="exact"/>
              <w:jc w:val="center"/>
              <w:rPr>
                <w:rFonts w:ascii="黑体" w:hAnsi="黑体" w:eastAsia="黑体"/>
                <w:szCs w:val="21"/>
              </w:rPr>
            </w:pPr>
          </w:p>
        </w:tc>
        <w:tc>
          <w:tcPr>
            <w:tcW w:w="1556" w:type="dxa"/>
            <w:vAlign w:val="center"/>
          </w:tcPr>
          <w:p>
            <w:pPr>
              <w:spacing w:before="156" w:after="156" w:line="240" w:lineRule="exact"/>
              <w:jc w:val="center"/>
              <w:rPr>
                <w:rFonts w:ascii="黑体" w:hAnsi="黑体" w:eastAsia="黑体"/>
                <w:szCs w:val="21"/>
              </w:rPr>
            </w:pPr>
          </w:p>
        </w:tc>
        <w:tc>
          <w:tcPr>
            <w:tcW w:w="1415" w:type="dxa"/>
            <w:vAlign w:val="center"/>
          </w:tcPr>
          <w:p>
            <w:pPr>
              <w:spacing w:before="156" w:after="156" w:line="240" w:lineRule="exact"/>
              <w:jc w:val="center"/>
              <w:rPr>
                <w:rFonts w:ascii="黑体" w:hAnsi="黑体" w:eastAsia="黑体"/>
                <w:szCs w:val="21"/>
              </w:rPr>
            </w:pPr>
          </w:p>
        </w:tc>
        <w:tc>
          <w:tcPr>
            <w:tcW w:w="1048" w:type="dxa"/>
            <w:vAlign w:val="center"/>
          </w:tcPr>
          <w:p>
            <w:pPr>
              <w:spacing w:before="156" w:after="156" w:line="24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ascii="黑体" w:hAnsi="黑体" w:eastAsia="黑体"/>
                <w:szCs w:val="21"/>
              </w:rPr>
            </w:pPr>
          </w:p>
        </w:tc>
        <w:tc>
          <w:tcPr>
            <w:tcW w:w="2296" w:type="dxa"/>
            <w:vAlign w:val="center"/>
          </w:tcPr>
          <w:p>
            <w:pPr>
              <w:spacing w:before="156" w:after="156" w:line="240" w:lineRule="exact"/>
              <w:jc w:val="center"/>
              <w:rPr>
                <w:rFonts w:ascii="黑体" w:hAnsi="黑体" w:eastAsia="黑体"/>
                <w:szCs w:val="21"/>
              </w:rPr>
            </w:pPr>
          </w:p>
        </w:tc>
        <w:tc>
          <w:tcPr>
            <w:tcW w:w="1561" w:type="dxa"/>
            <w:vAlign w:val="center"/>
          </w:tcPr>
          <w:p>
            <w:pPr>
              <w:spacing w:before="156" w:after="156" w:line="240" w:lineRule="exact"/>
              <w:jc w:val="center"/>
              <w:rPr>
                <w:rFonts w:ascii="黑体" w:hAnsi="黑体" w:eastAsia="黑体"/>
                <w:szCs w:val="21"/>
              </w:rPr>
            </w:pPr>
          </w:p>
        </w:tc>
        <w:tc>
          <w:tcPr>
            <w:tcW w:w="1556" w:type="dxa"/>
            <w:vAlign w:val="center"/>
          </w:tcPr>
          <w:p>
            <w:pPr>
              <w:spacing w:before="156" w:after="156" w:line="240" w:lineRule="exact"/>
              <w:jc w:val="center"/>
              <w:rPr>
                <w:rFonts w:ascii="黑体" w:hAnsi="黑体" w:eastAsia="黑体"/>
                <w:szCs w:val="21"/>
              </w:rPr>
            </w:pPr>
          </w:p>
        </w:tc>
        <w:tc>
          <w:tcPr>
            <w:tcW w:w="1415" w:type="dxa"/>
            <w:vAlign w:val="center"/>
          </w:tcPr>
          <w:p>
            <w:pPr>
              <w:spacing w:before="156" w:after="156" w:line="240" w:lineRule="exact"/>
              <w:jc w:val="center"/>
              <w:rPr>
                <w:rFonts w:ascii="黑体" w:hAnsi="黑体" w:eastAsia="黑体"/>
                <w:szCs w:val="21"/>
              </w:rPr>
            </w:pPr>
          </w:p>
        </w:tc>
        <w:tc>
          <w:tcPr>
            <w:tcW w:w="1048" w:type="dxa"/>
            <w:vAlign w:val="center"/>
          </w:tcPr>
          <w:p>
            <w:pPr>
              <w:spacing w:before="156" w:after="156" w:line="24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ascii="黑体" w:hAnsi="黑体" w:eastAsia="黑体"/>
                <w:szCs w:val="21"/>
              </w:rPr>
            </w:pPr>
          </w:p>
        </w:tc>
        <w:tc>
          <w:tcPr>
            <w:tcW w:w="2296" w:type="dxa"/>
            <w:vAlign w:val="center"/>
          </w:tcPr>
          <w:p>
            <w:pPr>
              <w:spacing w:before="156" w:after="156" w:line="240" w:lineRule="exact"/>
              <w:jc w:val="center"/>
              <w:rPr>
                <w:rFonts w:ascii="黑体" w:hAnsi="黑体" w:eastAsia="黑体"/>
                <w:szCs w:val="21"/>
              </w:rPr>
            </w:pPr>
          </w:p>
        </w:tc>
        <w:tc>
          <w:tcPr>
            <w:tcW w:w="1561" w:type="dxa"/>
            <w:vAlign w:val="center"/>
          </w:tcPr>
          <w:p>
            <w:pPr>
              <w:spacing w:before="156" w:after="156" w:line="240" w:lineRule="exact"/>
              <w:jc w:val="center"/>
              <w:rPr>
                <w:rFonts w:ascii="黑体" w:hAnsi="黑体" w:eastAsia="黑体"/>
                <w:szCs w:val="21"/>
              </w:rPr>
            </w:pPr>
          </w:p>
        </w:tc>
        <w:tc>
          <w:tcPr>
            <w:tcW w:w="1556" w:type="dxa"/>
            <w:vAlign w:val="center"/>
          </w:tcPr>
          <w:p>
            <w:pPr>
              <w:spacing w:before="156" w:after="156" w:line="240" w:lineRule="exact"/>
              <w:jc w:val="center"/>
              <w:rPr>
                <w:rFonts w:ascii="黑体" w:hAnsi="黑体" w:eastAsia="黑体"/>
                <w:szCs w:val="21"/>
              </w:rPr>
            </w:pPr>
          </w:p>
        </w:tc>
        <w:tc>
          <w:tcPr>
            <w:tcW w:w="1415" w:type="dxa"/>
            <w:vAlign w:val="center"/>
          </w:tcPr>
          <w:p>
            <w:pPr>
              <w:spacing w:before="156" w:after="156" w:line="240" w:lineRule="exact"/>
              <w:jc w:val="center"/>
              <w:rPr>
                <w:rFonts w:ascii="黑体" w:hAnsi="黑体" w:eastAsia="黑体"/>
                <w:szCs w:val="21"/>
              </w:rPr>
            </w:pPr>
          </w:p>
        </w:tc>
        <w:tc>
          <w:tcPr>
            <w:tcW w:w="1048" w:type="dxa"/>
            <w:vAlign w:val="center"/>
          </w:tcPr>
          <w:p>
            <w:pPr>
              <w:spacing w:before="156" w:after="156" w:line="24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ascii="黑体" w:hAnsi="黑体" w:eastAsia="黑体"/>
                <w:szCs w:val="21"/>
              </w:rPr>
            </w:pPr>
          </w:p>
        </w:tc>
        <w:tc>
          <w:tcPr>
            <w:tcW w:w="2296" w:type="dxa"/>
            <w:vAlign w:val="center"/>
          </w:tcPr>
          <w:p>
            <w:pPr>
              <w:spacing w:before="156" w:after="156" w:line="240" w:lineRule="exact"/>
              <w:jc w:val="center"/>
              <w:rPr>
                <w:rFonts w:ascii="黑体" w:hAnsi="黑体" w:eastAsia="黑体"/>
                <w:szCs w:val="21"/>
              </w:rPr>
            </w:pPr>
          </w:p>
        </w:tc>
        <w:tc>
          <w:tcPr>
            <w:tcW w:w="1561" w:type="dxa"/>
            <w:vAlign w:val="center"/>
          </w:tcPr>
          <w:p>
            <w:pPr>
              <w:spacing w:before="156" w:after="156" w:line="240" w:lineRule="exact"/>
              <w:jc w:val="center"/>
              <w:rPr>
                <w:rFonts w:ascii="黑体" w:hAnsi="黑体" w:eastAsia="黑体"/>
                <w:szCs w:val="21"/>
              </w:rPr>
            </w:pPr>
          </w:p>
        </w:tc>
        <w:tc>
          <w:tcPr>
            <w:tcW w:w="1556" w:type="dxa"/>
            <w:vAlign w:val="center"/>
          </w:tcPr>
          <w:p>
            <w:pPr>
              <w:spacing w:before="156" w:after="156" w:line="240" w:lineRule="exact"/>
              <w:jc w:val="center"/>
              <w:rPr>
                <w:rFonts w:ascii="黑体" w:hAnsi="黑体" w:eastAsia="黑体"/>
                <w:szCs w:val="21"/>
              </w:rPr>
            </w:pPr>
          </w:p>
        </w:tc>
        <w:tc>
          <w:tcPr>
            <w:tcW w:w="1415" w:type="dxa"/>
            <w:vAlign w:val="center"/>
          </w:tcPr>
          <w:p>
            <w:pPr>
              <w:spacing w:before="156" w:after="156" w:line="240" w:lineRule="exact"/>
              <w:jc w:val="center"/>
              <w:rPr>
                <w:rFonts w:ascii="黑体" w:hAnsi="黑体" w:eastAsia="黑体"/>
                <w:szCs w:val="21"/>
              </w:rPr>
            </w:pPr>
          </w:p>
        </w:tc>
        <w:tc>
          <w:tcPr>
            <w:tcW w:w="1048" w:type="dxa"/>
            <w:vAlign w:val="center"/>
          </w:tcPr>
          <w:p>
            <w:pPr>
              <w:spacing w:before="156" w:after="156" w:line="24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ascii="黑体" w:hAnsi="黑体" w:eastAsia="黑体"/>
                <w:szCs w:val="21"/>
              </w:rPr>
            </w:pPr>
          </w:p>
        </w:tc>
        <w:tc>
          <w:tcPr>
            <w:tcW w:w="2296" w:type="dxa"/>
            <w:vAlign w:val="center"/>
          </w:tcPr>
          <w:p>
            <w:pPr>
              <w:spacing w:before="156" w:after="156" w:line="240" w:lineRule="exact"/>
              <w:jc w:val="center"/>
              <w:rPr>
                <w:rFonts w:ascii="黑体" w:hAnsi="黑体" w:eastAsia="黑体"/>
                <w:szCs w:val="21"/>
              </w:rPr>
            </w:pPr>
          </w:p>
        </w:tc>
        <w:tc>
          <w:tcPr>
            <w:tcW w:w="1561" w:type="dxa"/>
            <w:vAlign w:val="center"/>
          </w:tcPr>
          <w:p>
            <w:pPr>
              <w:spacing w:before="156" w:after="156" w:line="240" w:lineRule="exact"/>
              <w:jc w:val="center"/>
              <w:rPr>
                <w:rFonts w:ascii="黑体" w:hAnsi="黑体" w:eastAsia="黑体"/>
                <w:szCs w:val="21"/>
              </w:rPr>
            </w:pPr>
          </w:p>
        </w:tc>
        <w:tc>
          <w:tcPr>
            <w:tcW w:w="1556" w:type="dxa"/>
            <w:vAlign w:val="center"/>
          </w:tcPr>
          <w:p>
            <w:pPr>
              <w:spacing w:before="156" w:after="156" w:line="240" w:lineRule="exact"/>
              <w:jc w:val="center"/>
              <w:rPr>
                <w:rFonts w:ascii="黑体" w:hAnsi="黑体" w:eastAsia="黑体"/>
                <w:szCs w:val="21"/>
              </w:rPr>
            </w:pPr>
          </w:p>
        </w:tc>
        <w:tc>
          <w:tcPr>
            <w:tcW w:w="1415" w:type="dxa"/>
            <w:vAlign w:val="center"/>
          </w:tcPr>
          <w:p>
            <w:pPr>
              <w:spacing w:before="156" w:after="156" w:line="240" w:lineRule="exact"/>
              <w:jc w:val="center"/>
              <w:rPr>
                <w:rFonts w:ascii="黑体" w:hAnsi="黑体" w:eastAsia="黑体"/>
                <w:szCs w:val="21"/>
              </w:rPr>
            </w:pPr>
          </w:p>
        </w:tc>
        <w:tc>
          <w:tcPr>
            <w:tcW w:w="1048" w:type="dxa"/>
            <w:vAlign w:val="center"/>
          </w:tcPr>
          <w:p>
            <w:pPr>
              <w:spacing w:before="156" w:after="156" w:line="240" w:lineRule="exact"/>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ascii="黑体" w:hAnsi="黑体" w:eastAsia="黑体"/>
                <w:szCs w:val="21"/>
              </w:rPr>
            </w:pPr>
          </w:p>
        </w:tc>
        <w:tc>
          <w:tcPr>
            <w:tcW w:w="2296" w:type="dxa"/>
            <w:vAlign w:val="center"/>
          </w:tcPr>
          <w:p>
            <w:pPr>
              <w:spacing w:before="156" w:after="156" w:line="240" w:lineRule="exact"/>
              <w:jc w:val="center"/>
              <w:rPr>
                <w:rFonts w:ascii="黑体" w:hAnsi="黑体" w:eastAsia="黑体"/>
                <w:szCs w:val="21"/>
              </w:rPr>
            </w:pPr>
          </w:p>
        </w:tc>
        <w:tc>
          <w:tcPr>
            <w:tcW w:w="1561" w:type="dxa"/>
            <w:vAlign w:val="center"/>
          </w:tcPr>
          <w:p>
            <w:pPr>
              <w:spacing w:before="156" w:after="156" w:line="240" w:lineRule="exact"/>
              <w:jc w:val="center"/>
              <w:rPr>
                <w:rFonts w:ascii="黑体" w:hAnsi="黑体" w:eastAsia="黑体"/>
                <w:szCs w:val="21"/>
              </w:rPr>
            </w:pPr>
          </w:p>
        </w:tc>
        <w:tc>
          <w:tcPr>
            <w:tcW w:w="1556" w:type="dxa"/>
            <w:vAlign w:val="center"/>
          </w:tcPr>
          <w:p>
            <w:pPr>
              <w:spacing w:before="156" w:after="156" w:line="240" w:lineRule="exact"/>
              <w:jc w:val="center"/>
              <w:rPr>
                <w:rFonts w:ascii="黑体" w:hAnsi="黑体" w:eastAsia="黑体"/>
                <w:szCs w:val="21"/>
              </w:rPr>
            </w:pPr>
          </w:p>
        </w:tc>
        <w:tc>
          <w:tcPr>
            <w:tcW w:w="1415" w:type="dxa"/>
            <w:vAlign w:val="center"/>
          </w:tcPr>
          <w:p>
            <w:pPr>
              <w:spacing w:before="156" w:after="156" w:line="240" w:lineRule="exact"/>
              <w:jc w:val="center"/>
              <w:rPr>
                <w:rFonts w:ascii="黑体" w:hAnsi="黑体" w:eastAsia="黑体"/>
                <w:szCs w:val="21"/>
              </w:rPr>
            </w:pPr>
          </w:p>
        </w:tc>
        <w:tc>
          <w:tcPr>
            <w:tcW w:w="1048" w:type="dxa"/>
            <w:vAlign w:val="center"/>
          </w:tcPr>
          <w:p>
            <w:pPr>
              <w:spacing w:before="156" w:after="156" w:line="240" w:lineRule="exact"/>
              <w:jc w:val="center"/>
              <w:rPr>
                <w:rFonts w:ascii="黑体" w:hAnsi="黑体" w:eastAsia="黑体"/>
                <w:szCs w:val="21"/>
              </w:rPr>
            </w:pPr>
          </w:p>
        </w:tc>
      </w:tr>
    </w:tbl>
    <w:p>
      <w:pPr>
        <w:spacing w:before="156" w:beforeLines="50" w:line="360" w:lineRule="auto"/>
        <w:rPr>
          <w:rFonts w:ascii="黑体" w:hAnsi="黑体" w:eastAsia="黑体"/>
          <w:szCs w:val="21"/>
        </w:rPr>
      </w:pPr>
      <w:r>
        <w:rPr>
          <w:rFonts w:hint="eastAsia" w:ascii="黑体" w:hAnsi="黑体" w:eastAsia="黑体"/>
          <w:szCs w:val="21"/>
        </w:rPr>
        <w:t>注明：需提供证明资料内容详见</w:t>
      </w:r>
      <w:r>
        <w:rPr>
          <w:rFonts w:hint="eastAsia" w:ascii="黑体" w:hAnsi="黑体" w:eastAsia="黑体"/>
          <w:szCs w:val="21"/>
          <w:u w:val="single"/>
        </w:rPr>
        <w:t>（磋商文件第五部分</w:t>
      </w:r>
      <w:r>
        <w:rPr>
          <w:rFonts w:ascii="黑体" w:hAnsi="黑体" w:eastAsia="黑体"/>
          <w:szCs w:val="21"/>
          <w:u w:val="single"/>
        </w:rPr>
        <w:t xml:space="preserve"> </w:t>
      </w:r>
      <w:r>
        <w:rPr>
          <w:rFonts w:hint="eastAsia" w:ascii="黑体" w:hAnsi="黑体" w:eastAsia="黑体"/>
          <w:szCs w:val="21"/>
          <w:u w:val="single"/>
        </w:rPr>
        <w:t>评审方法、步骤、标准之</w:t>
      </w:r>
      <w:r>
        <w:rPr>
          <w:rFonts w:hint="eastAsia" w:ascii="黑体" w:hAnsi="黑体" w:eastAsia="黑体"/>
          <w:kern w:val="0"/>
          <w:szCs w:val="21"/>
          <w:u w:val="single"/>
        </w:rPr>
        <w:t>附表二</w:t>
      </w:r>
      <w:r>
        <w:rPr>
          <w:rFonts w:hint="eastAsia" w:ascii="黑体" w:hAnsi="黑体" w:eastAsia="黑体"/>
          <w:szCs w:val="21"/>
          <w:u w:val="single"/>
        </w:rPr>
        <w:t>详细评审表相对应条款）</w:t>
      </w:r>
      <w:r>
        <w:rPr>
          <w:rFonts w:ascii="黑体" w:hAnsi="黑体" w:eastAsia="黑体"/>
          <w:szCs w:val="21"/>
          <w:u w:val="single"/>
        </w:rPr>
        <w:t xml:space="preserve"> </w:t>
      </w:r>
      <w:r>
        <w:rPr>
          <w:rFonts w:hint="eastAsia" w:ascii="黑体" w:hAnsi="黑体" w:eastAsia="黑体"/>
          <w:szCs w:val="21"/>
        </w:rPr>
        <w:t>。</w:t>
      </w:r>
    </w:p>
    <w:p>
      <w:pPr>
        <w:spacing w:line="360" w:lineRule="auto"/>
        <w:rPr>
          <w:rFonts w:ascii="黑体" w:hAnsi="黑体" w:eastAsia="黑体"/>
          <w:szCs w:val="21"/>
        </w:rPr>
      </w:pPr>
    </w:p>
    <w:p>
      <w:pPr>
        <w:spacing w:line="360" w:lineRule="auto"/>
        <w:rPr>
          <w:rFonts w:ascii="黑体" w:hAnsi="黑体" w:eastAsia="黑体"/>
          <w:szCs w:val="21"/>
        </w:rPr>
      </w:pPr>
    </w:p>
    <w:p>
      <w:pPr>
        <w:spacing w:line="360" w:lineRule="auto"/>
        <w:rPr>
          <w:rFonts w:ascii="黑体" w:hAnsi="黑体" w:eastAsia="黑体"/>
          <w:szCs w:val="21"/>
        </w:rPr>
      </w:pPr>
    </w:p>
    <w:tbl>
      <w:tblPr>
        <w:tblStyle w:val="23"/>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c>
          <w:tcPr>
            <w:tcW w:w="3173" w:type="dxa"/>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3" w:type="dxa"/>
          </w:tcPr>
          <w:p>
            <w:pPr>
              <w:spacing w:line="360" w:lineRule="auto"/>
              <w:rPr>
                <w:rFonts w:ascii="黑体" w:hAnsi="黑体" w:eastAsia="黑体"/>
                <w:szCs w:val="21"/>
              </w:rPr>
            </w:pPr>
          </w:p>
        </w:tc>
      </w:tr>
    </w:tbl>
    <w:p>
      <w:pPr>
        <w:spacing w:line="360" w:lineRule="auto"/>
        <w:rPr>
          <w:rFonts w:ascii="黑体" w:hAnsi="黑体" w:eastAsia="黑体"/>
          <w:szCs w:val="21"/>
        </w:rPr>
      </w:pPr>
    </w:p>
    <w:p>
      <w:pPr>
        <w:spacing w:line="360" w:lineRule="auto"/>
        <w:rPr>
          <w:rFonts w:ascii="黑体" w:hAnsi="黑体" w:eastAsia="黑体"/>
          <w:szCs w:val="21"/>
        </w:rPr>
      </w:pPr>
    </w:p>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27" w:name="_Toc24268"/>
      <w:r>
        <w:rPr>
          <w:rStyle w:val="25"/>
          <w:rFonts w:hint="eastAsia" w:ascii="黑体" w:hAnsi="黑体" w:eastAsia="黑体"/>
          <w:b/>
          <w:bCs/>
          <w:spacing w:val="12"/>
          <w:sz w:val="21"/>
        </w:rPr>
        <w:t>商务要求偏离表</w:t>
      </w:r>
      <w:bookmarkEnd w:id="227"/>
    </w:p>
    <w:p>
      <w:pPr>
        <w:pStyle w:val="68"/>
        <w:spacing w:before="312" w:beforeLines="100" w:after="468" w:afterLines="150" w:line="360" w:lineRule="auto"/>
        <w:ind w:left="420" w:firstLine="0" w:firstLineChars="0"/>
        <w:jc w:val="center"/>
        <w:rPr>
          <w:rFonts w:ascii="黑体" w:hAnsi="黑体" w:eastAsia="黑体"/>
          <w:b/>
          <w:spacing w:val="20"/>
          <w:sz w:val="30"/>
          <w:szCs w:val="30"/>
        </w:rPr>
      </w:pPr>
      <w:r>
        <w:rPr>
          <w:rFonts w:hint="eastAsia" w:ascii="黑体" w:hAnsi="黑体" w:eastAsia="黑体"/>
          <w:b/>
          <w:spacing w:val="20"/>
          <w:sz w:val="30"/>
          <w:szCs w:val="30"/>
        </w:rPr>
        <w:t>商务要求偏离表</w:t>
      </w:r>
    </w:p>
    <w:tbl>
      <w:tblPr>
        <w:tblStyle w:val="22"/>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pPr>
              <w:jc w:val="center"/>
              <w:rPr>
                <w:rFonts w:ascii="黑体" w:hAnsi="黑体" w:eastAsia="黑体"/>
                <w:b/>
                <w:szCs w:val="21"/>
              </w:rPr>
            </w:pPr>
            <w:r>
              <w:rPr>
                <w:rFonts w:hint="eastAsia" w:ascii="黑体" w:hAnsi="黑体" w:eastAsia="黑体"/>
                <w:b/>
                <w:szCs w:val="21"/>
              </w:rPr>
              <w:t>序号</w:t>
            </w:r>
          </w:p>
        </w:tc>
        <w:tc>
          <w:tcPr>
            <w:tcW w:w="2352" w:type="dxa"/>
            <w:vAlign w:val="center"/>
          </w:tcPr>
          <w:p>
            <w:pPr>
              <w:jc w:val="center"/>
              <w:rPr>
                <w:rFonts w:ascii="黑体" w:hAnsi="黑体" w:eastAsia="黑体"/>
                <w:b/>
                <w:szCs w:val="21"/>
              </w:rPr>
            </w:pPr>
            <w:bookmarkStart w:id="228" w:name="_Hlk92271417"/>
            <w:r>
              <w:rPr>
                <w:rFonts w:hint="eastAsia" w:ascii="黑体" w:hAnsi="黑体" w:eastAsia="黑体"/>
                <w:b/>
                <w:szCs w:val="21"/>
              </w:rPr>
              <w:t>磋商文件</w:t>
            </w:r>
            <w:bookmarkEnd w:id="228"/>
            <w:r>
              <w:rPr>
                <w:rFonts w:hint="eastAsia" w:ascii="黑体" w:hAnsi="黑体" w:eastAsia="黑体"/>
                <w:b/>
                <w:szCs w:val="21"/>
              </w:rPr>
              <w:t>要求</w:t>
            </w:r>
          </w:p>
        </w:tc>
        <w:tc>
          <w:tcPr>
            <w:tcW w:w="2126" w:type="dxa"/>
            <w:vAlign w:val="center"/>
          </w:tcPr>
          <w:p>
            <w:pPr>
              <w:jc w:val="center"/>
              <w:rPr>
                <w:rFonts w:ascii="黑体" w:hAnsi="黑体" w:eastAsia="黑体"/>
                <w:b/>
                <w:szCs w:val="21"/>
              </w:rPr>
            </w:pPr>
            <w:r>
              <w:rPr>
                <w:rFonts w:hint="eastAsia" w:ascii="黑体" w:hAnsi="黑体" w:eastAsia="黑体"/>
                <w:b/>
                <w:bCs/>
                <w:szCs w:val="21"/>
              </w:rPr>
              <w:t>响应文件响应内容</w:t>
            </w:r>
          </w:p>
        </w:tc>
        <w:tc>
          <w:tcPr>
            <w:tcW w:w="1644" w:type="dxa"/>
            <w:vAlign w:val="center"/>
          </w:tcPr>
          <w:p>
            <w:pPr>
              <w:ind w:left="293" w:hanging="293" w:hangingChars="139"/>
              <w:jc w:val="center"/>
              <w:rPr>
                <w:rFonts w:ascii="黑体" w:hAnsi="黑体" w:eastAsia="黑体"/>
                <w:b/>
                <w:szCs w:val="21"/>
              </w:rPr>
            </w:pPr>
            <w:r>
              <w:rPr>
                <w:rFonts w:hint="eastAsia" w:ascii="黑体" w:hAnsi="黑体" w:eastAsia="黑体"/>
                <w:b/>
                <w:szCs w:val="21"/>
              </w:rPr>
              <w:t>偏离情况</w:t>
            </w:r>
          </w:p>
        </w:tc>
        <w:tc>
          <w:tcPr>
            <w:tcW w:w="1575" w:type="dxa"/>
            <w:vAlign w:val="center"/>
          </w:tcPr>
          <w:p>
            <w:pPr>
              <w:jc w:val="center"/>
              <w:rPr>
                <w:rFonts w:ascii="黑体" w:hAnsi="黑体" w:eastAsia="黑体"/>
                <w:b/>
                <w:szCs w:val="21"/>
              </w:rPr>
            </w:pPr>
            <w:r>
              <w:rPr>
                <w:rFonts w:hint="eastAsia" w:ascii="黑体" w:hAnsi="黑体" w:eastAsia="黑体"/>
                <w:b/>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ascii="黑体" w:hAnsi="黑体" w:eastAsia="黑体"/>
                <w:szCs w:val="21"/>
              </w:rPr>
            </w:pPr>
          </w:p>
        </w:tc>
        <w:tc>
          <w:tcPr>
            <w:tcW w:w="2352" w:type="dxa"/>
            <w:vAlign w:val="center"/>
          </w:tcPr>
          <w:p>
            <w:pPr>
              <w:spacing w:line="360" w:lineRule="auto"/>
              <w:jc w:val="center"/>
              <w:rPr>
                <w:rFonts w:ascii="黑体" w:hAnsi="黑体" w:eastAsia="黑体"/>
                <w:szCs w:val="21"/>
              </w:rPr>
            </w:pPr>
          </w:p>
        </w:tc>
        <w:tc>
          <w:tcPr>
            <w:tcW w:w="2126" w:type="dxa"/>
            <w:vAlign w:val="center"/>
          </w:tcPr>
          <w:p>
            <w:pPr>
              <w:spacing w:line="360" w:lineRule="auto"/>
              <w:jc w:val="center"/>
              <w:rPr>
                <w:rFonts w:ascii="黑体" w:hAnsi="黑体" w:eastAsia="黑体"/>
                <w:szCs w:val="21"/>
              </w:rPr>
            </w:pPr>
          </w:p>
        </w:tc>
        <w:tc>
          <w:tcPr>
            <w:tcW w:w="1644" w:type="dxa"/>
            <w:vAlign w:val="center"/>
          </w:tcPr>
          <w:p>
            <w:pPr>
              <w:spacing w:line="360" w:lineRule="auto"/>
              <w:jc w:val="center"/>
              <w:rPr>
                <w:rFonts w:ascii="黑体" w:hAnsi="黑体" w:eastAsia="黑体"/>
                <w:szCs w:val="21"/>
              </w:rPr>
            </w:pPr>
          </w:p>
        </w:tc>
        <w:tc>
          <w:tcPr>
            <w:tcW w:w="1575" w:type="dxa"/>
            <w:vAlign w:val="center"/>
          </w:tcPr>
          <w:p>
            <w:pPr>
              <w:spacing w:line="36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ascii="黑体" w:hAnsi="黑体" w:eastAsia="黑体"/>
                <w:szCs w:val="21"/>
              </w:rPr>
            </w:pPr>
          </w:p>
        </w:tc>
        <w:tc>
          <w:tcPr>
            <w:tcW w:w="2352" w:type="dxa"/>
            <w:vAlign w:val="center"/>
          </w:tcPr>
          <w:p>
            <w:pPr>
              <w:spacing w:line="360" w:lineRule="auto"/>
              <w:jc w:val="center"/>
              <w:rPr>
                <w:rFonts w:ascii="黑体" w:hAnsi="黑体" w:eastAsia="黑体"/>
                <w:szCs w:val="21"/>
              </w:rPr>
            </w:pPr>
          </w:p>
        </w:tc>
        <w:tc>
          <w:tcPr>
            <w:tcW w:w="2126" w:type="dxa"/>
            <w:vAlign w:val="center"/>
          </w:tcPr>
          <w:p>
            <w:pPr>
              <w:spacing w:line="360" w:lineRule="auto"/>
              <w:jc w:val="center"/>
              <w:rPr>
                <w:rFonts w:ascii="黑体" w:hAnsi="黑体" w:eastAsia="黑体"/>
                <w:szCs w:val="21"/>
              </w:rPr>
            </w:pPr>
          </w:p>
        </w:tc>
        <w:tc>
          <w:tcPr>
            <w:tcW w:w="1644" w:type="dxa"/>
            <w:vAlign w:val="center"/>
          </w:tcPr>
          <w:p>
            <w:pPr>
              <w:spacing w:line="360" w:lineRule="auto"/>
              <w:jc w:val="center"/>
              <w:rPr>
                <w:rFonts w:ascii="黑体" w:hAnsi="黑体" w:eastAsia="黑体"/>
                <w:szCs w:val="21"/>
              </w:rPr>
            </w:pPr>
          </w:p>
        </w:tc>
        <w:tc>
          <w:tcPr>
            <w:tcW w:w="1575" w:type="dxa"/>
            <w:vAlign w:val="center"/>
          </w:tcPr>
          <w:p>
            <w:pPr>
              <w:spacing w:line="36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ascii="黑体" w:hAnsi="黑体" w:eastAsia="黑体"/>
                <w:szCs w:val="21"/>
              </w:rPr>
            </w:pPr>
          </w:p>
        </w:tc>
        <w:tc>
          <w:tcPr>
            <w:tcW w:w="2352" w:type="dxa"/>
            <w:vAlign w:val="center"/>
          </w:tcPr>
          <w:p>
            <w:pPr>
              <w:spacing w:line="360" w:lineRule="auto"/>
              <w:jc w:val="center"/>
              <w:rPr>
                <w:rFonts w:ascii="黑体" w:hAnsi="黑体" w:eastAsia="黑体"/>
                <w:szCs w:val="21"/>
              </w:rPr>
            </w:pPr>
          </w:p>
        </w:tc>
        <w:tc>
          <w:tcPr>
            <w:tcW w:w="2126" w:type="dxa"/>
            <w:vAlign w:val="center"/>
          </w:tcPr>
          <w:p>
            <w:pPr>
              <w:spacing w:line="360" w:lineRule="auto"/>
              <w:jc w:val="center"/>
              <w:rPr>
                <w:rFonts w:ascii="黑体" w:hAnsi="黑体" w:eastAsia="黑体"/>
                <w:szCs w:val="21"/>
              </w:rPr>
            </w:pPr>
          </w:p>
        </w:tc>
        <w:tc>
          <w:tcPr>
            <w:tcW w:w="1644" w:type="dxa"/>
            <w:vAlign w:val="center"/>
          </w:tcPr>
          <w:p>
            <w:pPr>
              <w:spacing w:line="360" w:lineRule="auto"/>
              <w:jc w:val="center"/>
              <w:rPr>
                <w:rFonts w:ascii="黑体" w:hAnsi="黑体" w:eastAsia="黑体"/>
                <w:szCs w:val="21"/>
              </w:rPr>
            </w:pPr>
          </w:p>
        </w:tc>
        <w:tc>
          <w:tcPr>
            <w:tcW w:w="1575" w:type="dxa"/>
            <w:vAlign w:val="center"/>
          </w:tcPr>
          <w:p>
            <w:pPr>
              <w:spacing w:line="36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ascii="黑体" w:hAnsi="黑体" w:eastAsia="黑体"/>
                <w:szCs w:val="21"/>
              </w:rPr>
            </w:pPr>
          </w:p>
        </w:tc>
        <w:tc>
          <w:tcPr>
            <w:tcW w:w="2352" w:type="dxa"/>
            <w:vAlign w:val="center"/>
          </w:tcPr>
          <w:p>
            <w:pPr>
              <w:spacing w:line="360" w:lineRule="auto"/>
              <w:jc w:val="center"/>
              <w:rPr>
                <w:rFonts w:ascii="黑体" w:hAnsi="黑体" w:eastAsia="黑体"/>
                <w:szCs w:val="21"/>
              </w:rPr>
            </w:pPr>
          </w:p>
        </w:tc>
        <w:tc>
          <w:tcPr>
            <w:tcW w:w="2126" w:type="dxa"/>
            <w:vAlign w:val="center"/>
          </w:tcPr>
          <w:p>
            <w:pPr>
              <w:spacing w:line="360" w:lineRule="auto"/>
              <w:jc w:val="center"/>
              <w:rPr>
                <w:rFonts w:ascii="黑体" w:hAnsi="黑体" w:eastAsia="黑体"/>
                <w:szCs w:val="21"/>
              </w:rPr>
            </w:pPr>
          </w:p>
        </w:tc>
        <w:tc>
          <w:tcPr>
            <w:tcW w:w="1644" w:type="dxa"/>
            <w:vAlign w:val="center"/>
          </w:tcPr>
          <w:p>
            <w:pPr>
              <w:spacing w:line="360" w:lineRule="auto"/>
              <w:jc w:val="center"/>
              <w:rPr>
                <w:rFonts w:ascii="黑体" w:hAnsi="黑体" w:eastAsia="黑体"/>
                <w:szCs w:val="21"/>
              </w:rPr>
            </w:pPr>
          </w:p>
        </w:tc>
        <w:tc>
          <w:tcPr>
            <w:tcW w:w="1575" w:type="dxa"/>
            <w:vAlign w:val="center"/>
          </w:tcPr>
          <w:p>
            <w:pPr>
              <w:spacing w:line="36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ascii="黑体" w:hAnsi="黑体" w:eastAsia="黑体"/>
                <w:szCs w:val="21"/>
              </w:rPr>
            </w:pPr>
          </w:p>
        </w:tc>
        <w:tc>
          <w:tcPr>
            <w:tcW w:w="2352" w:type="dxa"/>
            <w:vAlign w:val="center"/>
          </w:tcPr>
          <w:p>
            <w:pPr>
              <w:spacing w:line="360" w:lineRule="auto"/>
              <w:jc w:val="center"/>
              <w:rPr>
                <w:rFonts w:ascii="黑体" w:hAnsi="黑体" w:eastAsia="黑体"/>
                <w:szCs w:val="21"/>
              </w:rPr>
            </w:pPr>
          </w:p>
        </w:tc>
        <w:tc>
          <w:tcPr>
            <w:tcW w:w="2126" w:type="dxa"/>
            <w:vAlign w:val="center"/>
          </w:tcPr>
          <w:p>
            <w:pPr>
              <w:spacing w:line="360" w:lineRule="auto"/>
              <w:jc w:val="center"/>
              <w:rPr>
                <w:rFonts w:ascii="黑体" w:hAnsi="黑体" w:eastAsia="黑体"/>
                <w:szCs w:val="21"/>
              </w:rPr>
            </w:pPr>
          </w:p>
        </w:tc>
        <w:tc>
          <w:tcPr>
            <w:tcW w:w="1644" w:type="dxa"/>
            <w:vAlign w:val="center"/>
          </w:tcPr>
          <w:p>
            <w:pPr>
              <w:spacing w:line="360" w:lineRule="auto"/>
              <w:jc w:val="center"/>
              <w:rPr>
                <w:rFonts w:ascii="黑体" w:hAnsi="黑体" w:eastAsia="黑体"/>
                <w:szCs w:val="21"/>
              </w:rPr>
            </w:pPr>
          </w:p>
        </w:tc>
        <w:tc>
          <w:tcPr>
            <w:tcW w:w="1575" w:type="dxa"/>
            <w:vAlign w:val="center"/>
          </w:tcPr>
          <w:p>
            <w:pPr>
              <w:spacing w:line="360" w:lineRule="auto"/>
              <w:jc w:val="center"/>
              <w:rPr>
                <w:rFonts w:ascii="黑体" w:hAnsi="黑体" w:eastAsia="黑体"/>
                <w:szCs w:val="21"/>
              </w:rPr>
            </w:pPr>
          </w:p>
        </w:tc>
      </w:tr>
    </w:tbl>
    <w:p>
      <w:pPr>
        <w:spacing w:before="156" w:beforeLines="50" w:line="360" w:lineRule="auto"/>
        <w:rPr>
          <w:rFonts w:ascii="黑体" w:hAnsi="黑体" w:eastAsia="黑体"/>
          <w:szCs w:val="21"/>
        </w:rPr>
      </w:pPr>
      <w:r>
        <w:rPr>
          <w:rFonts w:hint="eastAsia" w:ascii="黑体" w:hAnsi="黑体" w:eastAsia="黑体"/>
          <w:szCs w:val="21"/>
        </w:rPr>
        <w:t>注明：</w:t>
      </w:r>
    </w:p>
    <w:p>
      <w:pPr>
        <w:pStyle w:val="68"/>
        <w:numPr>
          <w:ilvl w:val="0"/>
          <w:numId w:val="115"/>
        </w:numPr>
        <w:spacing w:line="360" w:lineRule="auto"/>
        <w:ind w:left="567" w:hanging="425" w:firstLineChars="0"/>
        <w:rPr>
          <w:rFonts w:ascii="黑体" w:hAnsi="黑体" w:eastAsia="黑体"/>
          <w:szCs w:val="21"/>
        </w:rPr>
      </w:pPr>
      <w:r>
        <w:rPr>
          <w:rFonts w:hint="eastAsia" w:ascii="黑体" w:hAnsi="黑体" w:eastAsia="黑体"/>
          <w:szCs w:val="21"/>
        </w:rPr>
        <w:t>偏离情况项填写“正”、“负”或“无”，说明项中填写原因。</w:t>
      </w:r>
    </w:p>
    <w:p>
      <w:pPr>
        <w:pStyle w:val="68"/>
        <w:numPr>
          <w:ilvl w:val="0"/>
          <w:numId w:val="115"/>
        </w:numPr>
        <w:spacing w:line="360" w:lineRule="auto"/>
        <w:ind w:left="567" w:hanging="425" w:firstLineChars="0"/>
        <w:rPr>
          <w:rFonts w:ascii="黑体" w:hAnsi="黑体" w:eastAsia="黑体"/>
          <w:color w:val="000000" w:themeColor="text1"/>
          <w:szCs w:val="21"/>
          <w14:textFill>
            <w14:solidFill>
              <w14:schemeClr w14:val="tx1"/>
            </w14:solidFill>
          </w14:textFill>
        </w:rPr>
      </w:pPr>
      <w:r>
        <w:rPr>
          <w:rFonts w:hint="eastAsia" w:ascii="黑体" w:hAnsi="黑体" w:eastAsia="黑体"/>
          <w:szCs w:val="21"/>
        </w:rPr>
        <w:t>供应商应按照磋商文件要求，根据“采购需求”内容作出全面响应。对响应有偏离的，则说明偏离的内容。“采购需求”内容中若有要求提供相关证明资料的</w:t>
      </w:r>
      <w:r>
        <w:rPr>
          <w:rFonts w:hint="eastAsia" w:ascii="黑体" w:hAnsi="黑体" w:eastAsia="黑体"/>
          <w:color w:val="000000" w:themeColor="text1"/>
          <w:szCs w:val="21"/>
          <w14:textFill>
            <w14:solidFill>
              <w14:schemeClr w14:val="tx1"/>
            </w14:solidFill>
          </w14:textFill>
        </w:rPr>
        <w:t>，须按要求提供，否则视为负偏离。</w:t>
      </w:r>
    </w:p>
    <w:p>
      <w:pPr>
        <w:spacing w:line="360" w:lineRule="auto"/>
        <w:rPr>
          <w:rFonts w:ascii="黑体" w:hAnsi="黑体" w:eastAsia="黑体"/>
          <w:szCs w:val="21"/>
        </w:rPr>
      </w:pPr>
    </w:p>
    <w:p>
      <w:pPr>
        <w:spacing w:line="360" w:lineRule="auto"/>
        <w:rPr>
          <w:rFonts w:ascii="黑体" w:hAnsi="黑体" w:eastAsia="黑体"/>
          <w:szCs w:val="21"/>
        </w:rPr>
      </w:pPr>
    </w:p>
    <w:p>
      <w:pPr>
        <w:spacing w:line="360" w:lineRule="auto"/>
        <w:rPr>
          <w:rFonts w:ascii="黑体" w:hAnsi="黑体" w:eastAsia="黑体"/>
          <w:szCs w:val="21"/>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c>
          <w:tcPr>
            <w:tcW w:w="3175" w:type="dxa"/>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pPr>
              <w:spacing w:line="360" w:lineRule="auto"/>
              <w:rPr>
                <w:rFonts w:ascii="黑体" w:hAnsi="黑体" w:eastAsia="黑体"/>
                <w:szCs w:val="21"/>
              </w:rPr>
            </w:pPr>
          </w:p>
        </w:tc>
      </w:tr>
    </w:tbl>
    <w:p>
      <w:pPr>
        <w:spacing w:line="360" w:lineRule="auto"/>
        <w:rPr>
          <w:rFonts w:ascii="黑体" w:hAnsi="黑体" w:eastAsia="黑体"/>
          <w:szCs w:val="21"/>
        </w:rPr>
      </w:pPr>
    </w:p>
    <w:p>
      <w:pPr>
        <w:spacing w:line="360" w:lineRule="auto"/>
        <w:rPr>
          <w:rFonts w:ascii="黑体" w:hAnsi="黑体" w:eastAsia="黑体"/>
          <w:szCs w:val="21"/>
        </w:rPr>
      </w:pPr>
    </w:p>
    <w:p>
      <w:pPr>
        <w:spacing w:line="360" w:lineRule="auto"/>
        <w:rPr>
          <w:rFonts w:ascii="黑体" w:hAnsi="黑体" w:eastAsia="黑体"/>
          <w:szCs w:val="21"/>
        </w:rPr>
      </w:pPr>
    </w:p>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29" w:name="_Toc494567328"/>
      <w:bookmarkStart w:id="230" w:name="_Toc521951154"/>
      <w:bookmarkStart w:id="231" w:name="_Toc27668"/>
      <w:bookmarkStart w:id="232" w:name="_Toc405313974"/>
      <w:bookmarkStart w:id="233" w:name="_Toc391627770"/>
      <w:r>
        <w:rPr>
          <w:rStyle w:val="25"/>
          <w:rFonts w:ascii="黑体" w:hAnsi="黑体" w:eastAsia="黑体"/>
          <w:b/>
          <w:bCs/>
          <w:spacing w:val="12"/>
          <w:sz w:val="21"/>
        </w:rPr>
        <w:t>拟</w:t>
      </w:r>
      <w:bookmarkEnd w:id="229"/>
      <w:bookmarkEnd w:id="230"/>
      <w:r>
        <w:rPr>
          <w:rStyle w:val="25"/>
          <w:rFonts w:hint="eastAsia" w:ascii="黑体" w:hAnsi="黑体" w:eastAsia="黑体"/>
          <w:b/>
          <w:bCs/>
          <w:spacing w:val="12"/>
          <w:sz w:val="21"/>
        </w:rPr>
        <w:t>投入本项目设备情况表</w:t>
      </w:r>
      <w:bookmarkEnd w:id="231"/>
    </w:p>
    <w:p>
      <w:pPr>
        <w:spacing w:before="624" w:beforeLines="200" w:after="312" w:afterLines="100" w:line="360" w:lineRule="auto"/>
        <w:jc w:val="center"/>
        <w:rPr>
          <w:rFonts w:ascii="黑体" w:hAnsi="黑体" w:eastAsia="黑体"/>
          <w:b/>
          <w:spacing w:val="10"/>
          <w:sz w:val="30"/>
          <w:szCs w:val="30"/>
        </w:rPr>
      </w:pPr>
      <w:r>
        <w:rPr>
          <w:rFonts w:hint="eastAsia" w:ascii="黑体" w:hAnsi="黑体" w:eastAsia="黑体"/>
          <w:b/>
          <w:spacing w:val="10"/>
          <w:sz w:val="30"/>
          <w:szCs w:val="30"/>
        </w:rPr>
        <w:t>拟投入本项目设备情况表</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2020"/>
        <w:gridCol w:w="1503"/>
        <w:gridCol w:w="946"/>
        <w:gridCol w:w="2062"/>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687" w:type="dxa"/>
            <w:vAlign w:val="center"/>
          </w:tcPr>
          <w:p>
            <w:pPr>
              <w:spacing w:line="360" w:lineRule="auto"/>
              <w:jc w:val="center"/>
              <w:rPr>
                <w:rFonts w:ascii="黑体" w:hAnsi="黑体" w:eastAsia="黑体"/>
                <w:szCs w:val="21"/>
              </w:rPr>
            </w:pPr>
            <w:r>
              <w:rPr>
                <w:rFonts w:hint="eastAsia" w:ascii="黑体" w:hAnsi="黑体" w:eastAsia="黑体"/>
                <w:szCs w:val="21"/>
              </w:rPr>
              <w:t>序号</w:t>
            </w:r>
          </w:p>
        </w:tc>
        <w:tc>
          <w:tcPr>
            <w:tcW w:w="2020" w:type="dxa"/>
            <w:vAlign w:val="center"/>
          </w:tcPr>
          <w:p>
            <w:pPr>
              <w:spacing w:line="360" w:lineRule="auto"/>
              <w:jc w:val="center"/>
              <w:rPr>
                <w:rFonts w:ascii="黑体" w:hAnsi="黑体" w:eastAsia="黑体"/>
                <w:szCs w:val="21"/>
              </w:rPr>
            </w:pPr>
            <w:r>
              <w:rPr>
                <w:rFonts w:hint="eastAsia" w:ascii="黑体" w:hAnsi="黑体" w:eastAsia="黑体"/>
                <w:szCs w:val="21"/>
              </w:rPr>
              <w:t>名称</w:t>
            </w:r>
          </w:p>
        </w:tc>
        <w:tc>
          <w:tcPr>
            <w:tcW w:w="1503" w:type="dxa"/>
            <w:vAlign w:val="center"/>
          </w:tcPr>
          <w:p>
            <w:pPr>
              <w:spacing w:line="360" w:lineRule="auto"/>
              <w:jc w:val="center"/>
              <w:rPr>
                <w:rFonts w:ascii="黑体" w:hAnsi="黑体" w:eastAsia="黑体"/>
                <w:szCs w:val="21"/>
              </w:rPr>
            </w:pPr>
            <w:r>
              <w:rPr>
                <w:rFonts w:hint="eastAsia" w:ascii="黑体" w:hAnsi="黑体" w:eastAsia="黑体"/>
                <w:szCs w:val="21"/>
              </w:rPr>
              <w:t>规格型号</w:t>
            </w:r>
          </w:p>
        </w:tc>
        <w:tc>
          <w:tcPr>
            <w:tcW w:w="946" w:type="dxa"/>
            <w:vAlign w:val="center"/>
          </w:tcPr>
          <w:p>
            <w:pPr>
              <w:spacing w:line="360" w:lineRule="auto"/>
              <w:jc w:val="center"/>
              <w:rPr>
                <w:rFonts w:ascii="黑体" w:hAnsi="黑体" w:eastAsia="黑体"/>
                <w:szCs w:val="21"/>
              </w:rPr>
            </w:pPr>
            <w:r>
              <w:rPr>
                <w:rFonts w:hint="eastAsia" w:ascii="黑体" w:hAnsi="黑体" w:eastAsia="黑体"/>
                <w:szCs w:val="21"/>
              </w:rPr>
              <w:t>数量</w:t>
            </w:r>
          </w:p>
        </w:tc>
        <w:tc>
          <w:tcPr>
            <w:tcW w:w="2062" w:type="dxa"/>
            <w:vAlign w:val="center"/>
          </w:tcPr>
          <w:p>
            <w:pPr>
              <w:spacing w:line="360" w:lineRule="auto"/>
              <w:jc w:val="center"/>
              <w:rPr>
                <w:rFonts w:ascii="黑体" w:hAnsi="黑体" w:eastAsia="黑体"/>
                <w:szCs w:val="21"/>
              </w:rPr>
            </w:pPr>
            <w:r>
              <w:rPr>
                <w:rFonts w:hint="eastAsia" w:ascii="黑体" w:hAnsi="黑体" w:eastAsia="黑体"/>
                <w:szCs w:val="21"/>
              </w:rPr>
              <w:t>使用年限</w:t>
            </w:r>
          </w:p>
        </w:tc>
        <w:tc>
          <w:tcPr>
            <w:tcW w:w="1304" w:type="dxa"/>
            <w:vAlign w:val="center"/>
          </w:tcPr>
          <w:p>
            <w:pPr>
              <w:spacing w:line="360" w:lineRule="auto"/>
              <w:jc w:val="center"/>
              <w:rPr>
                <w:rFonts w:ascii="黑体" w:hAnsi="黑体" w:eastAsia="黑体"/>
                <w:szCs w:val="21"/>
              </w:rPr>
            </w:pPr>
            <w:r>
              <w:rPr>
                <w:rFonts w:hint="eastAsia" w:ascii="黑体" w:hAnsi="黑体" w:eastAsia="黑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687" w:type="dxa"/>
            <w:vAlign w:val="center"/>
          </w:tcPr>
          <w:p>
            <w:pPr>
              <w:spacing w:line="360" w:lineRule="auto"/>
              <w:jc w:val="center"/>
              <w:rPr>
                <w:rFonts w:ascii="黑体" w:hAnsi="黑体" w:eastAsia="黑体"/>
                <w:szCs w:val="21"/>
              </w:rPr>
            </w:pPr>
          </w:p>
        </w:tc>
        <w:tc>
          <w:tcPr>
            <w:tcW w:w="2020" w:type="dxa"/>
            <w:vAlign w:val="center"/>
          </w:tcPr>
          <w:p>
            <w:pPr>
              <w:spacing w:line="360" w:lineRule="auto"/>
              <w:jc w:val="center"/>
              <w:rPr>
                <w:rFonts w:ascii="黑体" w:hAnsi="黑体" w:eastAsia="黑体"/>
                <w:szCs w:val="21"/>
              </w:rPr>
            </w:pPr>
          </w:p>
        </w:tc>
        <w:tc>
          <w:tcPr>
            <w:tcW w:w="1503" w:type="dxa"/>
            <w:vAlign w:val="center"/>
          </w:tcPr>
          <w:p>
            <w:pPr>
              <w:spacing w:line="360" w:lineRule="auto"/>
              <w:jc w:val="center"/>
              <w:rPr>
                <w:rFonts w:ascii="黑体" w:hAnsi="黑体" w:eastAsia="黑体"/>
                <w:szCs w:val="21"/>
              </w:rPr>
            </w:pPr>
          </w:p>
        </w:tc>
        <w:tc>
          <w:tcPr>
            <w:tcW w:w="946" w:type="dxa"/>
            <w:vAlign w:val="center"/>
          </w:tcPr>
          <w:p>
            <w:pPr>
              <w:spacing w:line="360" w:lineRule="auto"/>
              <w:jc w:val="center"/>
              <w:rPr>
                <w:rFonts w:ascii="黑体" w:hAnsi="黑体" w:eastAsia="黑体"/>
                <w:szCs w:val="21"/>
              </w:rPr>
            </w:pPr>
          </w:p>
        </w:tc>
        <w:tc>
          <w:tcPr>
            <w:tcW w:w="2062" w:type="dxa"/>
            <w:vAlign w:val="center"/>
          </w:tcPr>
          <w:p>
            <w:pPr>
              <w:spacing w:line="360" w:lineRule="auto"/>
              <w:jc w:val="center"/>
              <w:rPr>
                <w:rFonts w:ascii="黑体" w:hAnsi="黑体" w:eastAsia="黑体"/>
                <w:szCs w:val="21"/>
              </w:rPr>
            </w:pPr>
          </w:p>
        </w:tc>
        <w:tc>
          <w:tcPr>
            <w:tcW w:w="1304" w:type="dxa"/>
            <w:vAlign w:val="center"/>
          </w:tcPr>
          <w:p>
            <w:pPr>
              <w:spacing w:line="36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687" w:type="dxa"/>
            <w:vAlign w:val="center"/>
          </w:tcPr>
          <w:p>
            <w:pPr>
              <w:spacing w:line="360" w:lineRule="auto"/>
              <w:jc w:val="center"/>
              <w:rPr>
                <w:rFonts w:ascii="黑体" w:hAnsi="黑体" w:eastAsia="黑体"/>
                <w:szCs w:val="21"/>
              </w:rPr>
            </w:pPr>
          </w:p>
        </w:tc>
        <w:tc>
          <w:tcPr>
            <w:tcW w:w="2020" w:type="dxa"/>
            <w:vAlign w:val="center"/>
          </w:tcPr>
          <w:p>
            <w:pPr>
              <w:spacing w:line="360" w:lineRule="auto"/>
              <w:jc w:val="center"/>
              <w:rPr>
                <w:rFonts w:ascii="黑体" w:hAnsi="黑体" w:eastAsia="黑体"/>
                <w:szCs w:val="21"/>
              </w:rPr>
            </w:pPr>
          </w:p>
        </w:tc>
        <w:tc>
          <w:tcPr>
            <w:tcW w:w="1503" w:type="dxa"/>
            <w:vAlign w:val="center"/>
          </w:tcPr>
          <w:p>
            <w:pPr>
              <w:spacing w:line="360" w:lineRule="auto"/>
              <w:jc w:val="center"/>
              <w:rPr>
                <w:rFonts w:ascii="黑体" w:hAnsi="黑体" w:eastAsia="黑体"/>
                <w:szCs w:val="21"/>
              </w:rPr>
            </w:pPr>
          </w:p>
        </w:tc>
        <w:tc>
          <w:tcPr>
            <w:tcW w:w="946" w:type="dxa"/>
            <w:vAlign w:val="center"/>
          </w:tcPr>
          <w:p>
            <w:pPr>
              <w:spacing w:line="360" w:lineRule="auto"/>
              <w:jc w:val="center"/>
              <w:rPr>
                <w:rFonts w:ascii="黑体" w:hAnsi="黑体" w:eastAsia="黑体"/>
                <w:szCs w:val="21"/>
              </w:rPr>
            </w:pPr>
          </w:p>
        </w:tc>
        <w:tc>
          <w:tcPr>
            <w:tcW w:w="2062" w:type="dxa"/>
            <w:vAlign w:val="center"/>
          </w:tcPr>
          <w:p>
            <w:pPr>
              <w:spacing w:line="360" w:lineRule="auto"/>
              <w:jc w:val="center"/>
              <w:rPr>
                <w:rFonts w:ascii="黑体" w:hAnsi="黑体" w:eastAsia="黑体"/>
                <w:szCs w:val="21"/>
              </w:rPr>
            </w:pPr>
          </w:p>
        </w:tc>
        <w:tc>
          <w:tcPr>
            <w:tcW w:w="1304" w:type="dxa"/>
            <w:vAlign w:val="center"/>
          </w:tcPr>
          <w:p>
            <w:pPr>
              <w:spacing w:line="36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黑体" w:hAnsi="黑体" w:eastAsia="黑体"/>
                <w:szCs w:val="21"/>
              </w:rPr>
            </w:pPr>
          </w:p>
        </w:tc>
        <w:tc>
          <w:tcPr>
            <w:tcW w:w="2020" w:type="dxa"/>
            <w:vAlign w:val="center"/>
          </w:tcPr>
          <w:p>
            <w:pPr>
              <w:spacing w:line="360" w:lineRule="auto"/>
              <w:jc w:val="center"/>
              <w:rPr>
                <w:rFonts w:ascii="黑体" w:hAnsi="黑体" w:eastAsia="黑体"/>
                <w:szCs w:val="21"/>
              </w:rPr>
            </w:pPr>
          </w:p>
        </w:tc>
        <w:tc>
          <w:tcPr>
            <w:tcW w:w="1503" w:type="dxa"/>
            <w:vAlign w:val="center"/>
          </w:tcPr>
          <w:p>
            <w:pPr>
              <w:spacing w:line="360" w:lineRule="auto"/>
              <w:jc w:val="center"/>
              <w:rPr>
                <w:rFonts w:ascii="黑体" w:hAnsi="黑体" w:eastAsia="黑体"/>
                <w:szCs w:val="21"/>
              </w:rPr>
            </w:pPr>
          </w:p>
        </w:tc>
        <w:tc>
          <w:tcPr>
            <w:tcW w:w="946" w:type="dxa"/>
            <w:vAlign w:val="center"/>
          </w:tcPr>
          <w:p>
            <w:pPr>
              <w:spacing w:line="360" w:lineRule="auto"/>
              <w:jc w:val="center"/>
              <w:rPr>
                <w:rFonts w:ascii="黑体" w:hAnsi="黑体" w:eastAsia="黑体"/>
                <w:szCs w:val="21"/>
              </w:rPr>
            </w:pPr>
          </w:p>
        </w:tc>
        <w:tc>
          <w:tcPr>
            <w:tcW w:w="2062" w:type="dxa"/>
            <w:vAlign w:val="center"/>
          </w:tcPr>
          <w:p>
            <w:pPr>
              <w:spacing w:line="360" w:lineRule="auto"/>
              <w:jc w:val="center"/>
              <w:rPr>
                <w:rFonts w:ascii="黑体" w:hAnsi="黑体" w:eastAsia="黑体"/>
                <w:szCs w:val="21"/>
              </w:rPr>
            </w:pPr>
          </w:p>
        </w:tc>
        <w:tc>
          <w:tcPr>
            <w:tcW w:w="1304" w:type="dxa"/>
            <w:vAlign w:val="center"/>
          </w:tcPr>
          <w:p>
            <w:pPr>
              <w:spacing w:line="36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黑体" w:hAnsi="黑体" w:eastAsia="黑体"/>
                <w:szCs w:val="21"/>
              </w:rPr>
            </w:pPr>
          </w:p>
        </w:tc>
        <w:tc>
          <w:tcPr>
            <w:tcW w:w="2020" w:type="dxa"/>
            <w:vAlign w:val="center"/>
          </w:tcPr>
          <w:p>
            <w:pPr>
              <w:spacing w:line="360" w:lineRule="auto"/>
              <w:jc w:val="center"/>
              <w:rPr>
                <w:rFonts w:ascii="黑体" w:hAnsi="黑体" w:eastAsia="黑体"/>
                <w:szCs w:val="21"/>
              </w:rPr>
            </w:pPr>
          </w:p>
        </w:tc>
        <w:tc>
          <w:tcPr>
            <w:tcW w:w="1503" w:type="dxa"/>
            <w:vAlign w:val="center"/>
          </w:tcPr>
          <w:p>
            <w:pPr>
              <w:spacing w:line="360" w:lineRule="auto"/>
              <w:jc w:val="center"/>
              <w:rPr>
                <w:rFonts w:ascii="黑体" w:hAnsi="黑体" w:eastAsia="黑体"/>
                <w:szCs w:val="21"/>
              </w:rPr>
            </w:pPr>
          </w:p>
        </w:tc>
        <w:tc>
          <w:tcPr>
            <w:tcW w:w="946" w:type="dxa"/>
            <w:vAlign w:val="center"/>
          </w:tcPr>
          <w:p>
            <w:pPr>
              <w:spacing w:line="360" w:lineRule="auto"/>
              <w:jc w:val="center"/>
              <w:rPr>
                <w:rFonts w:ascii="黑体" w:hAnsi="黑体" w:eastAsia="黑体"/>
                <w:szCs w:val="21"/>
              </w:rPr>
            </w:pPr>
          </w:p>
        </w:tc>
        <w:tc>
          <w:tcPr>
            <w:tcW w:w="2062" w:type="dxa"/>
            <w:vAlign w:val="center"/>
          </w:tcPr>
          <w:p>
            <w:pPr>
              <w:spacing w:line="360" w:lineRule="auto"/>
              <w:jc w:val="center"/>
              <w:rPr>
                <w:rFonts w:ascii="黑体" w:hAnsi="黑体" w:eastAsia="黑体"/>
                <w:szCs w:val="21"/>
              </w:rPr>
            </w:pPr>
          </w:p>
        </w:tc>
        <w:tc>
          <w:tcPr>
            <w:tcW w:w="1304" w:type="dxa"/>
            <w:vAlign w:val="center"/>
          </w:tcPr>
          <w:p>
            <w:pPr>
              <w:spacing w:line="36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黑体" w:hAnsi="黑体" w:eastAsia="黑体"/>
                <w:szCs w:val="21"/>
              </w:rPr>
            </w:pPr>
          </w:p>
        </w:tc>
        <w:tc>
          <w:tcPr>
            <w:tcW w:w="2020" w:type="dxa"/>
            <w:vAlign w:val="center"/>
          </w:tcPr>
          <w:p>
            <w:pPr>
              <w:spacing w:line="360" w:lineRule="auto"/>
              <w:jc w:val="center"/>
              <w:rPr>
                <w:rFonts w:ascii="黑体" w:hAnsi="黑体" w:eastAsia="黑体"/>
                <w:szCs w:val="21"/>
              </w:rPr>
            </w:pPr>
          </w:p>
        </w:tc>
        <w:tc>
          <w:tcPr>
            <w:tcW w:w="1503" w:type="dxa"/>
            <w:vAlign w:val="center"/>
          </w:tcPr>
          <w:p>
            <w:pPr>
              <w:spacing w:line="360" w:lineRule="auto"/>
              <w:jc w:val="center"/>
              <w:rPr>
                <w:rFonts w:ascii="黑体" w:hAnsi="黑体" w:eastAsia="黑体"/>
                <w:szCs w:val="21"/>
              </w:rPr>
            </w:pPr>
          </w:p>
        </w:tc>
        <w:tc>
          <w:tcPr>
            <w:tcW w:w="946" w:type="dxa"/>
            <w:vAlign w:val="center"/>
          </w:tcPr>
          <w:p>
            <w:pPr>
              <w:spacing w:line="360" w:lineRule="auto"/>
              <w:jc w:val="center"/>
              <w:rPr>
                <w:rFonts w:ascii="黑体" w:hAnsi="黑体" w:eastAsia="黑体"/>
                <w:szCs w:val="21"/>
              </w:rPr>
            </w:pPr>
          </w:p>
        </w:tc>
        <w:tc>
          <w:tcPr>
            <w:tcW w:w="2062" w:type="dxa"/>
            <w:vAlign w:val="center"/>
          </w:tcPr>
          <w:p>
            <w:pPr>
              <w:spacing w:line="360" w:lineRule="auto"/>
              <w:jc w:val="center"/>
              <w:rPr>
                <w:rFonts w:ascii="黑体" w:hAnsi="黑体" w:eastAsia="黑体"/>
                <w:szCs w:val="21"/>
              </w:rPr>
            </w:pPr>
          </w:p>
        </w:tc>
        <w:tc>
          <w:tcPr>
            <w:tcW w:w="1304" w:type="dxa"/>
            <w:vAlign w:val="center"/>
          </w:tcPr>
          <w:p>
            <w:pPr>
              <w:spacing w:line="36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黑体" w:hAnsi="黑体" w:eastAsia="黑体"/>
                <w:szCs w:val="21"/>
              </w:rPr>
            </w:pPr>
          </w:p>
        </w:tc>
        <w:tc>
          <w:tcPr>
            <w:tcW w:w="2020" w:type="dxa"/>
            <w:vAlign w:val="center"/>
          </w:tcPr>
          <w:p>
            <w:pPr>
              <w:spacing w:line="360" w:lineRule="auto"/>
              <w:jc w:val="center"/>
              <w:rPr>
                <w:rFonts w:ascii="黑体" w:hAnsi="黑体" w:eastAsia="黑体"/>
                <w:szCs w:val="21"/>
              </w:rPr>
            </w:pPr>
          </w:p>
        </w:tc>
        <w:tc>
          <w:tcPr>
            <w:tcW w:w="1503" w:type="dxa"/>
            <w:vAlign w:val="center"/>
          </w:tcPr>
          <w:p>
            <w:pPr>
              <w:spacing w:line="360" w:lineRule="auto"/>
              <w:jc w:val="center"/>
              <w:rPr>
                <w:rFonts w:ascii="黑体" w:hAnsi="黑体" w:eastAsia="黑体"/>
                <w:szCs w:val="21"/>
              </w:rPr>
            </w:pPr>
          </w:p>
        </w:tc>
        <w:tc>
          <w:tcPr>
            <w:tcW w:w="946" w:type="dxa"/>
            <w:vAlign w:val="center"/>
          </w:tcPr>
          <w:p>
            <w:pPr>
              <w:spacing w:line="360" w:lineRule="auto"/>
              <w:jc w:val="center"/>
              <w:rPr>
                <w:rFonts w:ascii="黑体" w:hAnsi="黑体" w:eastAsia="黑体"/>
                <w:szCs w:val="21"/>
              </w:rPr>
            </w:pPr>
          </w:p>
        </w:tc>
        <w:tc>
          <w:tcPr>
            <w:tcW w:w="2062" w:type="dxa"/>
            <w:vAlign w:val="center"/>
          </w:tcPr>
          <w:p>
            <w:pPr>
              <w:spacing w:line="360" w:lineRule="auto"/>
              <w:jc w:val="center"/>
              <w:rPr>
                <w:rFonts w:ascii="黑体" w:hAnsi="黑体" w:eastAsia="黑体"/>
                <w:szCs w:val="21"/>
              </w:rPr>
            </w:pPr>
          </w:p>
        </w:tc>
        <w:tc>
          <w:tcPr>
            <w:tcW w:w="1304" w:type="dxa"/>
            <w:vAlign w:val="center"/>
          </w:tcPr>
          <w:p>
            <w:pPr>
              <w:spacing w:line="36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黑体" w:hAnsi="黑体" w:eastAsia="黑体"/>
                <w:szCs w:val="21"/>
              </w:rPr>
            </w:pPr>
          </w:p>
        </w:tc>
        <w:tc>
          <w:tcPr>
            <w:tcW w:w="2020" w:type="dxa"/>
            <w:vAlign w:val="center"/>
          </w:tcPr>
          <w:p>
            <w:pPr>
              <w:spacing w:line="360" w:lineRule="auto"/>
              <w:jc w:val="center"/>
              <w:rPr>
                <w:rFonts w:ascii="黑体" w:hAnsi="黑体" w:eastAsia="黑体"/>
                <w:szCs w:val="21"/>
              </w:rPr>
            </w:pPr>
          </w:p>
        </w:tc>
        <w:tc>
          <w:tcPr>
            <w:tcW w:w="1503" w:type="dxa"/>
            <w:vAlign w:val="center"/>
          </w:tcPr>
          <w:p>
            <w:pPr>
              <w:spacing w:line="360" w:lineRule="auto"/>
              <w:jc w:val="center"/>
              <w:rPr>
                <w:rFonts w:ascii="黑体" w:hAnsi="黑体" w:eastAsia="黑体"/>
                <w:szCs w:val="21"/>
              </w:rPr>
            </w:pPr>
          </w:p>
        </w:tc>
        <w:tc>
          <w:tcPr>
            <w:tcW w:w="946" w:type="dxa"/>
            <w:vAlign w:val="center"/>
          </w:tcPr>
          <w:p>
            <w:pPr>
              <w:spacing w:line="360" w:lineRule="auto"/>
              <w:jc w:val="center"/>
              <w:rPr>
                <w:rFonts w:ascii="黑体" w:hAnsi="黑体" w:eastAsia="黑体"/>
                <w:szCs w:val="21"/>
              </w:rPr>
            </w:pPr>
          </w:p>
        </w:tc>
        <w:tc>
          <w:tcPr>
            <w:tcW w:w="2062" w:type="dxa"/>
            <w:vAlign w:val="center"/>
          </w:tcPr>
          <w:p>
            <w:pPr>
              <w:spacing w:line="360" w:lineRule="auto"/>
              <w:jc w:val="center"/>
              <w:rPr>
                <w:rFonts w:ascii="黑体" w:hAnsi="黑体" w:eastAsia="黑体"/>
                <w:szCs w:val="21"/>
              </w:rPr>
            </w:pPr>
          </w:p>
        </w:tc>
        <w:tc>
          <w:tcPr>
            <w:tcW w:w="1304" w:type="dxa"/>
            <w:vAlign w:val="center"/>
          </w:tcPr>
          <w:p>
            <w:pPr>
              <w:spacing w:line="36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黑体" w:hAnsi="黑体" w:eastAsia="黑体"/>
                <w:szCs w:val="21"/>
              </w:rPr>
            </w:pPr>
          </w:p>
        </w:tc>
        <w:tc>
          <w:tcPr>
            <w:tcW w:w="2020" w:type="dxa"/>
            <w:vAlign w:val="center"/>
          </w:tcPr>
          <w:p>
            <w:pPr>
              <w:spacing w:line="360" w:lineRule="auto"/>
              <w:jc w:val="center"/>
              <w:rPr>
                <w:rFonts w:ascii="黑体" w:hAnsi="黑体" w:eastAsia="黑体"/>
                <w:szCs w:val="21"/>
              </w:rPr>
            </w:pPr>
          </w:p>
        </w:tc>
        <w:tc>
          <w:tcPr>
            <w:tcW w:w="1503" w:type="dxa"/>
            <w:vAlign w:val="center"/>
          </w:tcPr>
          <w:p>
            <w:pPr>
              <w:spacing w:line="360" w:lineRule="auto"/>
              <w:jc w:val="center"/>
              <w:rPr>
                <w:rFonts w:ascii="黑体" w:hAnsi="黑体" w:eastAsia="黑体"/>
                <w:szCs w:val="21"/>
              </w:rPr>
            </w:pPr>
          </w:p>
        </w:tc>
        <w:tc>
          <w:tcPr>
            <w:tcW w:w="946" w:type="dxa"/>
            <w:vAlign w:val="center"/>
          </w:tcPr>
          <w:p>
            <w:pPr>
              <w:spacing w:line="360" w:lineRule="auto"/>
              <w:jc w:val="center"/>
              <w:rPr>
                <w:rFonts w:ascii="黑体" w:hAnsi="黑体" w:eastAsia="黑体"/>
                <w:szCs w:val="21"/>
              </w:rPr>
            </w:pPr>
          </w:p>
        </w:tc>
        <w:tc>
          <w:tcPr>
            <w:tcW w:w="2062" w:type="dxa"/>
            <w:vAlign w:val="center"/>
          </w:tcPr>
          <w:p>
            <w:pPr>
              <w:spacing w:line="360" w:lineRule="auto"/>
              <w:jc w:val="center"/>
              <w:rPr>
                <w:rFonts w:ascii="黑体" w:hAnsi="黑体" w:eastAsia="黑体"/>
                <w:szCs w:val="21"/>
              </w:rPr>
            </w:pPr>
          </w:p>
        </w:tc>
        <w:tc>
          <w:tcPr>
            <w:tcW w:w="1304" w:type="dxa"/>
            <w:vAlign w:val="center"/>
          </w:tcPr>
          <w:p>
            <w:pPr>
              <w:spacing w:line="360" w:lineRule="auto"/>
              <w:jc w:val="center"/>
              <w:rPr>
                <w:rFonts w:ascii="黑体" w:hAnsi="黑体" w:eastAsia="黑体"/>
                <w:szCs w:val="21"/>
              </w:rPr>
            </w:pPr>
          </w:p>
        </w:tc>
      </w:tr>
    </w:tbl>
    <w:p>
      <w:pPr>
        <w:spacing w:before="156" w:beforeLines="50" w:line="360" w:lineRule="auto"/>
        <w:rPr>
          <w:rFonts w:ascii="黑体" w:hAnsi="黑体" w:eastAsia="黑体"/>
          <w:szCs w:val="21"/>
        </w:rPr>
      </w:pPr>
      <w:r>
        <w:rPr>
          <w:rFonts w:hint="eastAsia" w:ascii="黑体" w:hAnsi="黑体" w:eastAsia="黑体"/>
          <w:szCs w:val="21"/>
        </w:rPr>
        <w:t>注明：需提供证明资料内容详见</w:t>
      </w:r>
      <w:r>
        <w:rPr>
          <w:rFonts w:hint="eastAsia" w:ascii="黑体" w:hAnsi="黑体" w:eastAsia="黑体"/>
          <w:szCs w:val="21"/>
          <w:u w:val="single"/>
        </w:rPr>
        <w:t xml:space="preserve">（磋商文件第五部分 评审方法、步骤、标准之附表二详细评审表相对应条款） </w:t>
      </w:r>
      <w:r>
        <w:rPr>
          <w:rFonts w:hint="eastAsia" w:ascii="黑体" w:hAnsi="黑体" w:eastAsia="黑体"/>
          <w:szCs w:val="21"/>
        </w:rPr>
        <w:t>。</w:t>
      </w:r>
    </w:p>
    <w:p>
      <w:pPr>
        <w:spacing w:line="360" w:lineRule="auto"/>
        <w:rPr>
          <w:rFonts w:ascii="黑体" w:hAnsi="黑体" w:eastAsia="黑体"/>
          <w:szCs w:val="21"/>
        </w:rPr>
      </w:pPr>
    </w:p>
    <w:p>
      <w:pPr>
        <w:spacing w:line="360" w:lineRule="auto"/>
        <w:rPr>
          <w:rFonts w:ascii="黑体" w:hAnsi="黑体" w:eastAsia="黑体"/>
          <w:szCs w:val="21"/>
        </w:rPr>
      </w:pPr>
    </w:p>
    <w:p>
      <w:pPr>
        <w:spacing w:line="360" w:lineRule="auto"/>
        <w:rPr>
          <w:rFonts w:ascii="黑体" w:hAnsi="黑体" w:eastAsia="黑体"/>
          <w:szCs w:val="21"/>
        </w:rPr>
      </w:pPr>
    </w:p>
    <w:tbl>
      <w:tblPr>
        <w:tblStyle w:val="23"/>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ascii="黑体" w:hAnsi="黑体" w:eastAsia="黑体"/>
                <w:szCs w:val="21"/>
              </w:rPr>
            </w:pPr>
            <w:r>
              <w:rPr>
                <w:rFonts w:hint="eastAsia" w:ascii="黑体" w:hAnsi="黑体" w:eastAsia="黑体"/>
                <w:szCs w:val="21"/>
              </w:rPr>
              <w:t>响应供应商名称（加盖公章）：</w:t>
            </w:r>
            <w:r>
              <w:rPr>
                <w:rFonts w:hint="eastAsia" w:ascii="黑体" w:hAnsi="黑体" w:eastAsia="黑体"/>
                <w:szCs w:val="21"/>
                <w:u w:val="single"/>
              </w:rPr>
              <w:t xml:space="preserve">                         </w:t>
            </w:r>
          </w:p>
        </w:tc>
        <w:tc>
          <w:tcPr>
            <w:tcW w:w="3173" w:type="dxa"/>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黑体" w:hAnsi="黑体" w:eastAsia="黑体"/>
                <w:szCs w:val="21"/>
              </w:rPr>
            </w:pPr>
            <w:r>
              <w:rPr>
                <w:rFonts w:hint="eastAsia" w:ascii="黑体" w:hAnsi="黑体" w:eastAsia="黑体"/>
                <w:szCs w:val="21"/>
              </w:rPr>
              <w:t>日期：</w:t>
            </w:r>
            <w:r>
              <w:rPr>
                <w:rFonts w:hint="eastAsia" w:ascii="黑体" w:hAnsi="黑体" w:eastAsia="黑体"/>
                <w:szCs w:val="21"/>
                <w:u w:val="single"/>
              </w:rPr>
              <w:t xml:space="preserve">             年           月            日</w:t>
            </w:r>
          </w:p>
        </w:tc>
        <w:tc>
          <w:tcPr>
            <w:tcW w:w="3173" w:type="dxa"/>
          </w:tcPr>
          <w:p>
            <w:pPr>
              <w:spacing w:line="360" w:lineRule="auto"/>
              <w:rPr>
                <w:rFonts w:ascii="黑体" w:hAnsi="黑体" w:eastAsia="黑体"/>
                <w:szCs w:val="21"/>
              </w:rPr>
            </w:pPr>
          </w:p>
        </w:tc>
      </w:tr>
    </w:tbl>
    <w:p>
      <w:pPr>
        <w:spacing w:line="360" w:lineRule="auto"/>
        <w:rPr>
          <w:rFonts w:ascii="黑体" w:hAnsi="黑体" w:eastAsia="黑体"/>
          <w:szCs w:val="21"/>
        </w:rPr>
      </w:pPr>
    </w:p>
    <w:bookmarkEnd w:id="232"/>
    <w:bookmarkEnd w:id="233"/>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34" w:name="_Toc4423"/>
      <w:bookmarkStart w:id="235" w:name="_Toc521951156"/>
      <w:r>
        <w:rPr>
          <w:rStyle w:val="25"/>
          <w:rFonts w:hint="eastAsia" w:ascii="黑体" w:hAnsi="黑体" w:eastAsia="黑体"/>
          <w:b/>
          <w:bCs/>
          <w:spacing w:val="12"/>
          <w:sz w:val="21"/>
        </w:rPr>
        <w:t>项目技术服务人员情况表</w:t>
      </w:r>
      <w:bookmarkEnd w:id="234"/>
      <w:bookmarkEnd w:id="235"/>
    </w:p>
    <w:p>
      <w:pPr>
        <w:spacing w:before="624" w:beforeLines="20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项目技术服务人员情况表</w:t>
      </w:r>
    </w:p>
    <w:tbl>
      <w:tblPr>
        <w:tblStyle w:val="22"/>
        <w:tblpPr w:leftFromText="180" w:rightFromText="180" w:vertAnchor="text" w:tblpXSpec="center" w:tblpY="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13"/>
        <w:gridCol w:w="1260"/>
        <w:gridCol w:w="1842"/>
        <w:gridCol w:w="1415"/>
        <w:gridCol w:w="992"/>
        <w:gridCol w:w="1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709" w:type="dxa"/>
            <w:vAlign w:val="center"/>
          </w:tcPr>
          <w:p>
            <w:pPr>
              <w:jc w:val="center"/>
              <w:rPr>
                <w:rFonts w:ascii="黑体" w:hAnsi="黑体" w:eastAsia="黑体"/>
                <w:szCs w:val="21"/>
              </w:rPr>
            </w:pPr>
            <w:r>
              <w:rPr>
                <w:rFonts w:hint="eastAsia" w:ascii="黑体" w:hAnsi="黑体" w:eastAsia="黑体"/>
                <w:szCs w:val="21"/>
              </w:rPr>
              <w:t>序号</w:t>
            </w:r>
          </w:p>
        </w:tc>
        <w:tc>
          <w:tcPr>
            <w:tcW w:w="1113" w:type="dxa"/>
            <w:vAlign w:val="center"/>
          </w:tcPr>
          <w:p>
            <w:pPr>
              <w:jc w:val="center"/>
              <w:rPr>
                <w:rFonts w:ascii="黑体" w:hAnsi="黑体" w:eastAsia="黑体"/>
                <w:szCs w:val="21"/>
              </w:rPr>
            </w:pPr>
            <w:r>
              <w:rPr>
                <w:rFonts w:hint="eastAsia" w:ascii="黑体" w:hAnsi="黑体" w:eastAsia="黑体"/>
                <w:szCs w:val="21"/>
              </w:rPr>
              <w:t>姓名</w:t>
            </w:r>
          </w:p>
        </w:tc>
        <w:tc>
          <w:tcPr>
            <w:tcW w:w="1260" w:type="dxa"/>
            <w:vAlign w:val="center"/>
          </w:tcPr>
          <w:p>
            <w:pPr>
              <w:jc w:val="center"/>
              <w:rPr>
                <w:rFonts w:ascii="黑体" w:hAnsi="黑体" w:eastAsia="黑体"/>
                <w:szCs w:val="21"/>
              </w:rPr>
            </w:pPr>
            <w:r>
              <w:rPr>
                <w:rFonts w:hint="eastAsia" w:ascii="黑体" w:hAnsi="黑体" w:eastAsia="黑体"/>
                <w:szCs w:val="21"/>
              </w:rPr>
              <w:t>职位</w:t>
            </w:r>
          </w:p>
        </w:tc>
        <w:tc>
          <w:tcPr>
            <w:tcW w:w="1842" w:type="dxa"/>
            <w:vAlign w:val="center"/>
          </w:tcPr>
          <w:p>
            <w:pPr>
              <w:jc w:val="center"/>
              <w:rPr>
                <w:rFonts w:ascii="黑体" w:hAnsi="黑体" w:eastAsia="黑体"/>
                <w:szCs w:val="21"/>
              </w:rPr>
            </w:pPr>
            <w:r>
              <w:rPr>
                <w:rFonts w:hint="eastAsia" w:ascii="黑体" w:hAnsi="黑体" w:eastAsia="黑体"/>
                <w:szCs w:val="21"/>
              </w:rPr>
              <w:t>持何种资格证件</w:t>
            </w:r>
          </w:p>
        </w:tc>
        <w:tc>
          <w:tcPr>
            <w:tcW w:w="1415" w:type="dxa"/>
            <w:vAlign w:val="center"/>
          </w:tcPr>
          <w:p>
            <w:pPr>
              <w:jc w:val="center"/>
              <w:rPr>
                <w:rFonts w:ascii="黑体" w:hAnsi="黑体" w:eastAsia="黑体"/>
                <w:szCs w:val="21"/>
              </w:rPr>
            </w:pPr>
            <w:r>
              <w:rPr>
                <w:rFonts w:hint="eastAsia" w:ascii="黑体" w:hAnsi="黑体" w:eastAsia="黑体"/>
                <w:szCs w:val="21"/>
              </w:rPr>
              <w:t>发证时间</w:t>
            </w:r>
          </w:p>
        </w:tc>
        <w:tc>
          <w:tcPr>
            <w:tcW w:w="992" w:type="dxa"/>
            <w:vAlign w:val="center"/>
          </w:tcPr>
          <w:p>
            <w:pPr>
              <w:jc w:val="center"/>
              <w:rPr>
                <w:rFonts w:ascii="黑体" w:hAnsi="黑体" w:eastAsia="黑体"/>
                <w:szCs w:val="21"/>
              </w:rPr>
            </w:pPr>
            <w:r>
              <w:rPr>
                <w:rFonts w:hint="eastAsia" w:ascii="黑体" w:hAnsi="黑体" w:eastAsia="黑体"/>
                <w:szCs w:val="21"/>
              </w:rPr>
              <w:t>学历</w:t>
            </w:r>
          </w:p>
        </w:tc>
        <w:tc>
          <w:tcPr>
            <w:tcW w:w="1191" w:type="dxa"/>
            <w:vAlign w:val="center"/>
          </w:tcPr>
          <w:p>
            <w:pPr>
              <w:jc w:val="center"/>
              <w:rPr>
                <w:rFonts w:ascii="黑体" w:hAnsi="黑体" w:eastAsia="黑体"/>
                <w:szCs w:val="21"/>
              </w:rPr>
            </w:pPr>
            <w:r>
              <w:rPr>
                <w:rFonts w:hint="eastAsia" w:ascii="黑体" w:hAnsi="黑体" w:eastAsia="黑体"/>
                <w:szCs w:val="21"/>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 w:type="dxa"/>
            <w:vAlign w:val="center"/>
          </w:tcPr>
          <w:p>
            <w:pPr>
              <w:spacing w:line="480" w:lineRule="auto"/>
              <w:jc w:val="center"/>
              <w:rPr>
                <w:rFonts w:ascii="黑体" w:hAnsi="黑体" w:eastAsia="黑体"/>
                <w:szCs w:val="21"/>
              </w:rPr>
            </w:pPr>
          </w:p>
        </w:tc>
        <w:tc>
          <w:tcPr>
            <w:tcW w:w="1113" w:type="dxa"/>
            <w:vAlign w:val="center"/>
          </w:tcPr>
          <w:p>
            <w:pPr>
              <w:spacing w:line="480" w:lineRule="auto"/>
              <w:jc w:val="center"/>
              <w:rPr>
                <w:rFonts w:ascii="黑体" w:hAnsi="黑体" w:eastAsia="黑体"/>
                <w:szCs w:val="21"/>
              </w:rPr>
            </w:pPr>
          </w:p>
        </w:tc>
        <w:tc>
          <w:tcPr>
            <w:tcW w:w="1260" w:type="dxa"/>
            <w:vAlign w:val="center"/>
          </w:tcPr>
          <w:p>
            <w:pPr>
              <w:spacing w:line="480" w:lineRule="auto"/>
              <w:jc w:val="center"/>
              <w:rPr>
                <w:rFonts w:ascii="黑体" w:hAnsi="黑体" w:eastAsia="黑体"/>
                <w:szCs w:val="21"/>
              </w:rPr>
            </w:pPr>
          </w:p>
        </w:tc>
        <w:tc>
          <w:tcPr>
            <w:tcW w:w="1842" w:type="dxa"/>
            <w:vAlign w:val="center"/>
          </w:tcPr>
          <w:p>
            <w:pPr>
              <w:spacing w:line="480" w:lineRule="auto"/>
              <w:jc w:val="center"/>
              <w:rPr>
                <w:rFonts w:ascii="黑体" w:hAnsi="黑体" w:eastAsia="黑体"/>
                <w:szCs w:val="21"/>
              </w:rPr>
            </w:pPr>
          </w:p>
        </w:tc>
        <w:tc>
          <w:tcPr>
            <w:tcW w:w="1415" w:type="dxa"/>
          </w:tcPr>
          <w:p>
            <w:pPr>
              <w:spacing w:line="480" w:lineRule="auto"/>
              <w:jc w:val="center"/>
              <w:rPr>
                <w:rFonts w:ascii="黑体" w:hAnsi="黑体" w:eastAsia="黑体"/>
                <w:szCs w:val="21"/>
              </w:rPr>
            </w:pPr>
          </w:p>
        </w:tc>
        <w:tc>
          <w:tcPr>
            <w:tcW w:w="992" w:type="dxa"/>
            <w:vAlign w:val="center"/>
          </w:tcPr>
          <w:p>
            <w:pPr>
              <w:spacing w:line="480" w:lineRule="auto"/>
              <w:jc w:val="center"/>
              <w:rPr>
                <w:rFonts w:ascii="黑体" w:hAnsi="黑体" w:eastAsia="黑体"/>
                <w:szCs w:val="21"/>
              </w:rPr>
            </w:pPr>
          </w:p>
        </w:tc>
        <w:tc>
          <w:tcPr>
            <w:tcW w:w="1191" w:type="dxa"/>
          </w:tcPr>
          <w:p>
            <w:pPr>
              <w:spacing w:line="48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 w:type="dxa"/>
            <w:vAlign w:val="center"/>
          </w:tcPr>
          <w:p>
            <w:pPr>
              <w:spacing w:line="480" w:lineRule="auto"/>
              <w:jc w:val="center"/>
              <w:rPr>
                <w:rFonts w:ascii="黑体" w:hAnsi="黑体" w:eastAsia="黑体"/>
                <w:szCs w:val="21"/>
              </w:rPr>
            </w:pPr>
          </w:p>
        </w:tc>
        <w:tc>
          <w:tcPr>
            <w:tcW w:w="1113" w:type="dxa"/>
            <w:vAlign w:val="center"/>
          </w:tcPr>
          <w:p>
            <w:pPr>
              <w:spacing w:line="480" w:lineRule="auto"/>
              <w:jc w:val="center"/>
              <w:rPr>
                <w:rFonts w:ascii="黑体" w:hAnsi="黑体" w:eastAsia="黑体"/>
                <w:szCs w:val="21"/>
              </w:rPr>
            </w:pPr>
          </w:p>
        </w:tc>
        <w:tc>
          <w:tcPr>
            <w:tcW w:w="1260" w:type="dxa"/>
            <w:vAlign w:val="center"/>
          </w:tcPr>
          <w:p>
            <w:pPr>
              <w:spacing w:line="480" w:lineRule="auto"/>
              <w:jc w:val="center"/>
              <w:rPr>
                <w:rFonts w:ascii="黑体" w:hAnsi="黑体" w:eastAsia="黑体"/>
                <w:szCs w:val="21"/>
              </w:rPr>
            </w:pPr>
          </w:p>
        </w:tc>
        <w:tc>
          <w:tcPr>
            <w:tcW w:w="1842" w:type="dxa"/>
            <w:vAlign w:val="center"/>
          </w:tcPr>
          <w:p>
            <w:pPr>
              <w:spacing w:line="480" w:lineRule="auto"/>
              <w:jc w:val="center"/>
              <w:rPr>
                <w:rFonts w:ascii="黑体" w:hAnsi="黑体" w:eastAsia="黑体"/>
                <w:szCs w:val="21"/>
              </w:rPr>
            </w:pPr>
          </w:p>
        </w:tc>
        <w:tc>
          <w:tcPr>
            <w:tcW w:w="1415" w:type="dxa"/>
          </w:tcPr>
          <w:p>
            <w:pPr>
              <w:spacing w:line="480" w:lineRule="auto"/>
              <w:jc w:val="center"/>
              <w:rPr>
                <w:rFonts w:ascii="黑体" w:hAnsi="黑体" w:eastAsia="黑体"/>
                <w:szCs w:val="21"/>
              </w:rPr>
            </w:pPr>
          </w:p>
        </w:tc>
        <w:tc>
          <w:tcPr>
            <w:tcW w:w="992" w:type="dxa"/>
            <w:vAlign w:val="center"/>
          </w:tcPr>
          <w:p>
            <w:pPr>
              <w:spacing w:line="480" w:lineRule="auto"/>
              <w:jc w:val="center"/>
              <w:rPr>
                <w:rFonts w:ascii="黑体" w:hAnsi="黑体" w:eastAsia="黑体"/>
                <w:szCs w:val="21"/>
              </w:rPr>
            </w:pPr>
          </w:p>
        </w:tc>
        <w:tc>
          <w:tcPr>
            <w:tcW w:w="1191" w:type="dxa"/>
          </w:tcPr>
          <w:p>
            <w:pPr>
              <w:spacing w:line="48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 w:type="dxa"/>
            <w:vAlign w:val="center"/>
          </w:tcPr>
          <w:p>
            <w:pPr>
              <w:spacing w:line="480" w:lineRule="auto"/>
              <w:jc w:val="center"/>
              <w:rPr>
                <w:rFonts w:ascii="黑体" w:hAnsi="黑体" w:eastAsia="黑体"/>
                <w:szCs w:val="21"/>
              </w:rPr>
            </w:pPr>
          </w:p>
        </w:tc>
        <w:tc>
          <w:tcPr>
            <w:tcW w:w="1113" w:type="dxa"/>
            <w:vAlign w:val="center"/>
          </w:tcPr>
          <w:p>
            <w:pPr>
              <w:spacing w:line="480" w:lineRule="auto"/>
              <w:jc w:val="center"/>
              <w:rPr>
                <w:rFonts w:ascii="黑体" w:hAnsi="黑体" w:eastAsia="黑体"/>
                <w:szCs w:val="21"/>
              </w:rPr>
            </w:pPr>
          </w:p>
        </w:tc>
        <w:tc>
          <w:tcPr>
            <w:tcW w:w="1260" w:type="dxa"/>
            <w:vAlign w:val="center"/>
          </w:tcPr>
          <w:p>
            <w:pPr>
              <w:spacing w:line="480" w:lineRule="auto"/>
              <w:jc w:val="center"/>
              <w:rPr>
                <w:rFonts w:ascii="黑体" w:hAnsi="黑体" w:eastAsia="黑体"/>
                <w:szCs w:val="21"/>
              </w:rPr>
            </w:pPr>
          </w:p>
        </w:tc>
        <w:tc>
          <w:tcPr>
            <w:tcW w:w="1842" w:type="dxa"/>
            <w:vAlign w:val="center"/>
          </w:tcPr>
          <w:p>
            <w:pPr>
              <w:spacing w:line="480" w:lineRule="auto"/>
              <w:jc w:val="center"/>
              <w:rPr>
                <w:rFonts w:ascii="黑体" w:hAnsi="黑体" w:eastAsia="黑体"/>
                <w:szCs w:val="21"/>
              </w:rPr>
            </w:pPr>
          </w:p>
        </w:tc>
        <w:tc>
          <w:tcPr>
            <w:tcW w:w="1415" w:type="dxa"/>
          </w:tcPr>
          <w:p>
            <w:pPr>
              <w:spacing w:line="480" w:lineRule="auto"/>
              <w:jc w:val="center"/>
              <w:rPr>
                <w:rFonts w:ascii="黑体" w:hAnsi="黑体" w:eastAsia="黑体"/>
                <w:szCs w:val="21"/>
              </w:rPr>
            </w:pPr>
          </w:p>
        </w:tc>
        <w:tc>
          <w:tcPr>
            <w:tcW w:w="992" w:type="dxa"/>
            <w:vAlign w:val="center"/>
          </w:tcPr>
          <w:p>
            <w:pPr>
              <w:spacing w:line="480" w:lineRule="auto"/>
              <w:jc w:val="center"/>
              <w:rPr>
                <w:rFonts w:ascii="黑体" w:hAnsi="黑体" w:eastAsia="黑体"/>
                <w:szCs w:val="21"/>
              </w:rPr>
            </w:pPr>
          </w:p>
        </w:tc>
        <w:tc>
          <w:tcPr>
            <w:tcW w:w="1191" w:type="dxa"/>
          </w:tcPr>
          <w:p>
            <w:pPr>
              <w:spacing w:line="48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 w:type="dxa"/>
            <w:vAlign w:val="center"/>
          </w:tcPr>
          <w:p>
            <w:pPr>
              <w:spacing w:line="480" w:lineRule="auto"/>
              <w:jc w:val="center"/>
              <w:rPr>
                <w:rFonts w:ascii="黑体" w:hAnsi="黑体" w:eastAsia="黑体"/>
                <w:szCs w:val="21"/>
              </w:rPr>
            </w:pPr>
          </w:p>
        </w:tc>
        <w:tc>
          <w:tcPr>
            <w:tcW w:w="1113" w:type="dxa"/>
            <w:vAlign w:val="center"/>
          </w:tcPr>
          <w:p>
            <w:pPr>
              <w:spacing w:line="480" w:lineRule="auto"/>
              <w:jc w:val="center"/>
              <w:rPr>
                <w:rFonts w:ascii="黑体" w:hAnsi="黑体" w:eastAsia="黑体"/>
                <w:szCs w:val="21"/>
              </w:rPr>
            </w:pPr>
          </w:p>
        </w:tc>
        <w:tc>
          <w:tcPr>
            <w:tcW w:w="1260" w:type="dxa"/>
            <w:vAlign w:val="center"/>
          </w:tcPr>
          <w:p>
            <w:pPr>
              <w:spacing w:line="480" w:lineRule="auto"/>
              <w:jc w:val="center"/>
              <w:rPr>
                <w:rFonts w:ascii="黑体" w:hAnsi="黑体" w:eastAsia="黑体"/>
                <w:szCs w:val="21"/>
              </w:rPr>
            </w:pPr>
          </w:p>
        </w:tc>
        <w:tc>
          <w:tcPr>
            <w:tcW w:w="1842" w:type="dxa"/>
            <w:vAlign w:val="center"/>
          </w:tcPr>
          <w:p>
            <w:pPr>
              <w:spacing w:line="480" w:lineRule="auto"/>
              <w:jc w:val="center"/>
              <w:rPr>
                <w:rFonts w:ascii="黑体" w:hAnsi="黑体" w:eastAsia="黑体"/>
                <w:szCs w:val="21"/>
              </w:rPr>
            </w:pPr>
          </w:p>
        </w:tc>
        <w:tc>
          <w:tcPr>
            <w:tcW w:w="1415" w:type="dxa"/>
          </w:tcPr>
          <w:p>
            <w:pPr>
              <w:spacing w:line="480" w:lineRule="auto"/>
              <w:jc w:val="center"/>
              <w:rPr>
                <w:rFonts w:ascii="黑体" w:hAnsi="黑体" w:eastAsia="黑体"/>
                <w:szCs w:val="21"/>
              </w:rPr>
            </w:pPr>
          </w:p>
        </w:tc>
        <w:tc>
          <w:tcPr>
            <w:tcW w:w="992" w:type="dxa"/>
            <w:vAlign w:val="center"/>
          </w:tcPr>
          <w:p>
            <w:pPr>
              <w:spacing w:line="480" w:lineRule="auto"/>
              <w:jc w:val="center"/>
              <w:rPr>
                <w:rFonts w:ascii="黑体" w:hAnsi="黑体" w:eastAsia="黑体"/>
                <w:szCs w:val="21"/>
              </w:rPr>
            </w:pPr>
          </w:p>
        </w:tc>
        <w:tc>
          <w:tcPr>
            <w:tcW w:w="1191" w:type="dxa"/>
          </w:tcPr>
          <w:p>
            <w:pPr>
              <w:spacing w:line="48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 w:type="dxa"/>
            <w:vAlign w:val="center"/>
          </w:tcPr>
          <w:p>
            <w:pPr>
              <w:spacing w:line="480" w:lineRule="auto"/>
              <w:jc w:val="center"/>
              <w:rPr>
                <w:rFonts w:ascii="黑体" w:hAnsi="黑体" w:eastAsia="黑体"/>
                <w:szCs w:val="21"/>
              </w:rPr>
            </w:pPr>
          </w:p>
        </w:tc>
        <w:tc>
          <w:tcPr>
            <w:tcW w:w="1113" w:type="dxa"/>
            <w:vAlign w:val="center"/>
          </w:tcPr>
          <w:p>
            <w:pPr>
              <w:spacing w:line="480" w:lineRule="auto"/>
              <w:jc w:val="center"/>
              <w:rPr>
                <w:rFonts w:ascii="黑体" w:hAnsi="黑体" w:eastAsia="黑体"/>
                <w:szCs w:val="21"/>
              </w:rPr>
            </w:pPr>
          </w:p>
        </w:tc>
        <w:tc>
          <w:tcPr>
            <w:tcW w:w="1260" w:type="dxa"/>
            <w:vAlign w:val="center"/>
          </w:tcPr>
          <w:p>
            <w:pPr>
              <w:spacing w:line="480" w:lineRule="auto"/>
              <w:jc w:val="center"/>
              <w:rPr>
                <w:rFonts w:ascii="黑体" w:hAnsi="黑体" w:eastAsia="黑体"/>
                <w:szCs w:val="21"/>
              </w:rPr>
            </w:pPr>
          </w:p>
        </w:tc>
        <w:tc>
          <w:tcPr>
            <w:tcW w:w="1842" w:type="dxa"/>
            <w:vAlign w:val="center"/>
          </w:tcPr>
          <w:p>
            <w:pPr>
              <w:widowControl/>
              <w:tabs>
                <w:tab w:val="right" w:leader="dot" w:pos="8302"/>
              </w:tabs>
              <w:spacing w:line="480" w:lineRule="auto"/>
              <w:jc w:val="center"/>
              <w:rPr>
                <w:rFonts w:ascii="黑体" w:hAnsi="黑体" w:eastAsia="黑体"/>
                <w:kern w:val="0"/>
                <w:szCs w:val="21"/>
              </w:rPr>
            </w:pPr>
          </w:p>
        </w:tc>
        <w:tc>
          <w:tcPr>
            <w:tcW w:w="1415" w:type="dxa"/>
          </w:tcPr>
          <w:p>
            <w:pPr>
              <w:spacing w:line="480" w:lineRule="auto"/>
              <w:jc w:val="center"/>
              <w:rPr>
                <w:rFonts w:ascii="黑体" w:hAnsi="黑体" w:eastAsia="黑体"/>
                <w:szCs w:val="21"/>
              </w:rPr>
            </w:pPr>
          </w:p>
        </w:tc>
        <w:tc>
          <w:tcPr>
            <w:tcW w:w="992" w:type="dxa"/>
            <w:vAlign w:val="center"/>
          </w:tcPr>
          <w:p>
            <w:pPr>
              <w:spacing w:line="480" w:lineRule="auto"/>
              <w:jc w:val="center"/>
              <w:rPr>
                <w:rFonts w:ascii="黑体" w:hAnsi="黑体" w:eastAsia="黑体"/>
                <w:szCs w:val="21"/>
              </w:rPr>
            </w:pPr>
          </w:p>
        </w:tc>
        <w:tc>
          <w:tcPr>
            <w:tcW w:w="1191" w:type="dxa"/>
          </w:tcPr>
          <w:p>
            <w:pPr>
              <w:spacing w:line="48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 w:type="dxa"/>
            <w:vAlign w:val="center"/>
          </w:tcPr>
          <w:p>
            <w:pPr>
              <w:spacing w:line="480" w:lineRule="auto"/>
              <w:jc w:val="center"/>
              <w:rPr>
                <w:rFonts w:ascii="黑体" w:hAnsi="黑体" w:eastAsia="黑体"/>
                <w:szCs w:val="21"/>
              </w:rPr>
            </w:pPr>
          </w:p>
        </w:tc>
        <w:tc>
          <w:tcPr>
            <w:tcW w:w="1113" w:type="dxa"/>
            <w:vAlign w:val="center"/>
          </w:tcPr>
          <w:p>
            <w:pPr>
              <w:spacing w:line="480" w:lineRule="auto"/>
              <w:jc w:val="center"/>
              <w:rPr>
                <w:rFonts w:ascii="黑体" w:hAnsi="黑体" w:eastAsia="黑体"/>
                <w:szCs w:val="21"/>
              </w:rPr>
            </w:pPr>
          </w:p>
        </w:tc>
        <w:tc>
          <w:tcPr>
            <w:tcW w:w="1260" w:type="dxa"/>
            <w:vAlign w:val="center"/>
          </w:tcPr>
          <w:p>
            <w:pPr>
              <w:spacing w:line="480" w:lineRule="auto"/>
              <w:jc w:val="center"/>
              <w:rPr>
                <w:rFonts w:ascii="黑体" w:hAnsi="黑体" w:eastAsia="黑体"/>
                <w:szCs w:val="21"/>
              </w:rPr>
            </w:pPr>
          </w:p>
        </w:tc>
        <w:tc>
          <w:tcPr>
            <w:tcW w:w="1842" w:type="dxa"/>
            <w:vAlign w:val="center"/>
          </w:tcPr>
          <w:p>
            <w:pPr>
              <w:widowControl/>
              <w:tabs>
                <w:tab w:val="right" w:leader="dot" w:pos="8302"/>
              </w:tabs>
              <w:spacing w:line="480" w:lineRule="auto"/>
              <w:jc w:val="center"/>
              <w:rPr>
                <w:rFonts w:ascii="黑体" w:hAnsi="黑体" w:eastAsia="黑体"/>
                <w:kern w:val="0"/>
                <w:szCs w:val="21"/>
              </w:rPr>
            </w:pPr>
          </w:p>
        </w:tc>
        <w:tc>
          <w:tcPr>
            <w:tcW w:w="1415" w:type="dxa"/>
          </w:tcPr>
          <w:p>
            <w:pPr>
              <w:spacing w:line="480" w:lineRule="auto"/>
              <w:jc w:val="center"/>
              <w:rPr>
                <w:rFonts w:ascii="黑体" w:hAnsi="黑体" w:eastAsia="黑体"/>
                <w:szCs w:val="21"/>
              </w:rPr>
            </w:pPr>
          </w:p>
        </w:tc>
        <w:tc>
          <w:tcPr>
            <w:tcW w:w="992" w:type="dxa"/>
            <w:vAlign w:val="center"/>
          </w:tcPr>
          <w:p>
            <w:pPr>
              <w:spacing w:line="480" w:lineRule="auto"/>
              <w:jc w:val="center"/>
              <w:rPr>
                <w:rFonts w:ascii="黑体" w:hAnsi="黑体" w:eastAsia="黑体"/>
                <w:szCs w:val="21"/>
              </w:rPr>
            </w:pPr>
          </w:p>
        </w:tc>
        <w:tc>
          <w:tcPr>
            <w:tcW w:w="1191" w:type="dxa"/>
          </w:tcPr>
          <w:p>
            <w:pPr>
              <w:spacing w:line="48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 w:type="dxa"/>
            <w:vAlign w:val="center"/>
          </w:tcPr>
          <w:p>
            <w:pPr>
              <w:spacing w:line="480" w:lineRule="auto"/>
              <w:jc w:val="center"/>
              <w:rPr>
                <w:rFonts w:ascii="黑体" w:hAnsi="黑体" w:eastAsia="黑体"/>
                <w:szCs w:val="21"/>
              </w:rPr>
            </w:pPr>
          </w:p>
        </w:tc>
        <w:tc>
          <w:tcPr>
            <w:tcW w:w="1113" w:type="dxa"/>
            <w:vAlign w:val="center"/>
          </w:tcPr>
          <w:p>
            <w:pPr>
              <w:spacing w:line="480" w:lineRule="auto"/>
              <w:jc w:val="center"/>
              <w:rPr>
                <w:rFonts w:ascii="黑体" w:hAnsi="黑体" w:eastAsia="黑体"/>
                <w:szCs w:val="21"/>
              </w:rPr>
            </w:pPr>
          </w:p>
        </w:tc>
        <w:tc>
          <w:tcPr>
            <w:tcW w:w="1260" w:type="dxa"/>
            <w:vAlign w:val="center"/>
          </w:tcPr>
          <w:p>
            <w:pPr>
              <w:spacing w:line="480" w:lineRule="auto"/>
              <w:jc w:val="center"/>
              <w:rPr>
                <w:rFonts w:ascii="黑体" w:hAnsi="黑体" w:eastAsia="黑体"/>
                <w:szCs w:val="21"/>
              </w:rPr>
            </w:pPr>
          </w:p>
        </w:tc>
        <w:tc>
          <w:tcPr>
            <w:tcW w:w="1842" w:type="dxa"/>
            <w:vAlign w:val="center"/>
          </w:tcPr>
          <w:p>
            <w:pPr>
              <w:spacing w:line="480" w:lineRule="auto"/>
              <w:jc w:val="center"/>
              <w:rPr>
                <w:rFonts w:ascii="黑体" w:hAnsi="黑体" w:eastAsia="黑体"/>
                <w:szCs w:val="21"/>
              </w:rPr>
            </w:pPr>
          </w:p>
        </w:tc>
        <w:tc>
          <w:tcPr>
            <w:tcW w:w="1415" w:type="dxa"/>
          </w:tcPr>
          <w:p>
            <w:pPr>
              <w:spacing w:line="480" w:lineRule="auto"/>
              <w:jc w:val="center"/>
              <w:rPr>
                <w:rFonts w:ascii="黑体" w:hAnsi="黑体" w:eastAsia="黑体"/>
                <w:szCs w:val="21"/>
              </w:rPr>
            </w:pPr>
          </w:p>
        </w:tc>
        <w:tc>
          <w:tcPr>
            <w:tcW w:w="992" w:type="dxa"/>
            <w:vAlign w:val="center"/>
          </w:tcPr>
          <w:p>
            <w:pPr>
              <w:spacing w:line="480" w:lineRule="auto"/>
              <w:jc w:val="center"/>
              <w:rPr>
                <w:rFonts w:ascii="黑体" w:hAnsi="黑体" w:eastAsia="黑体"/>
                <w:szCs w:val="21"/>
              </w:rPr>
            </w:pPr>
          </w:p>
        </w:tc>
        <w:tc>
          <w:tcPr>
            <w:tcW w:w="1191" w:type="dxa"/>
          </w:tcPr>
          <w:p>
            <w:pPr>
              <w:spacing w:line="480" w:lineRule="auto"/>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 w:type="dxa"/>
            <w:vAlign w:val="center"/>
          </w:tcPr>
          <w:p>
            <w:pPr>
              <w:spacing w:line="480" w:lineRule="auto"/>
              <w:jc w:val="center"/>
              <w:rPr>
                <w:rFonts w:ascii="黑体" w:hAnsi="黑体" w:eastAsia="黑体"/>
                <w:szCs w:val="21"/>
              </w:rPr>
            </w:pPr>
          </w:p>
        </w:tc>
        <w:tc>
          <w:tcPr>
            <w:tcW w:w="1113" w:type="dxa"/>
            <w:vAlign w:val="center"/>
          </w:tcPr>
          <w:p>
            <w:pPr>
              <w:spacing w:line="480" w:lineRule="auto"/>
              <w:jc w:val="center"/>
              <w:rPr>
                <w:rFonts w:ascii="黑体" w:hAnsi="黑体" w:eastAsia="黑体"/>
                <w:szCs w:val="21"/>
              </w:rPr>
            </w:pPr>
          </w:p>
        </w:tc>
        <w:tc>
          <w:tcPr>
            <w:tcW w:w="1260" w:type="dxa"/>
            <w:vAlign w:val="center"/>
          </w:tcPr>
          <w:p>
            <w:pPr>
              <w:spacing w:line="480" w:lineRule="auto"/>
              <w:jc w:val="center"/>
              <w:rPr>
                <w:rFonts w:ascii="黑体" w:hAnsi="黑体" w:eastAsia="黑体"/>
                <w:szCs w:val="21"/>
              </w:rPr>
            </w:pPr>
          </w:p>
        </w:tc>
        <w:tc>
          <w:tcPr>
            <w:tcW w:w="1842" w:type="dxa"/>
            <w:vAlign w:val="center"/>
          </w:tcPr>
          <w:p>
            <w:pPr>
              <w:spacing w:line="480" w:lineRule="auto"/>
              <w:jc w:val="center"/>
              <w:rPr>
                <w:rFonts w:ascii="黑体" w:hAnsi="黑体" w:eastAsia="黑体"/>
                <w:szCs w:val="21"/>
              </w:rPr>
            </w:pPr>
          </w:p>
        </w:tc>
        <w:tc>
          <w:tcPr>
            <w:tcW w:w="1415" w:type="dxa"/>
          </w:tcPr>
          <w:p>
            <w:pPr>
              <w:spacing w:line="480" w:lineRule="auto"/>
              <w:jc w:val="center"/>
              <w:rPr>
                <w:rFonts w:ascii="黑体" w:hAnsi="黑体" w:eastAsia="黑体"/>
                <w:szCs w:val="21"/>
              </w:rPr>
            </w:pPr>
          </w:p>
        </w:tc>
        <w:tc>
          <w:tcPr>
            <w:tcW w:w="992" w:type="dxa"/>
            <w:vAlign w:val="center"/>
          </w:tcPr>
          <w:p>
            <w:pPr>
              <w:spacing w:line="480" w:lineRule="auto"/>
              <w:jc w:val="center"/>
              <w:rPr>
                <w:rFonts w:ascii="黑体" w:hAnsi="黑体" w:eastAsia="黑体"/>
                <w:szCs w:val="21"/>
              </w:rPr>
            </w:pPr>
          </w:p>
        </w:tc>
        <w:tc>
          <w:tcPr>
            <w:tcW w:w="1191" w:type="dxa"/>
          </w:tcPr>
          <w:p>
            <w:pPr>
              <w:spacing w:line="480" w:lineRule="auto"/>
              <w:jc w:val="center"/>
              <w:rPr>
                <w:rFonts w:ascii="黑体" w:hAnsi="黑体" w:eastAsia="黑体"/>
                <w:szCs w:val="21"/>
              </w:rPr>
            </w:pPr>
          </w:p>
        </w:tc>
      </w:tr>
    </w:tbl>
    <w:p>
      <w:pPr>
        <w:pStyle w:val="9"/>
        <w:overflowPunct w:val="0"/>
        <w:spacing w:before="156" w:beforeLines="50" w:after="0" w:line="360" w:lineRule="auto"/>
        <w:rPr>
          <w:rFonts w:ascii="黑体" w:hAnsi="黑体" w:eastAsia="黑体"/>
          <w:szCs w:val="21"/>
        </w:rPr>
      </w:pPr>
    </w:p>
    <w:p>
      <w:pPr>
        <w:pStyle w:val="9"/>
        <w:overflowPunct w:val="0"/>
        <w:spacing w:before="156" w:beforeLines="50" w:after="0" w:line="360" w:lineRule="auto"/>
        <w:rPr>
          <w:rFonts w:ascii="黑体" w:hAnsi="黑体" w:eastAsia="黑体"/>
          <w:szCs w:val="21"/>
        </w:rPr>
      </w:pPr>
      <w:r>
        <w:rPr>
          <w:rFonts w:hint="eastAsia" w:ascii="黑体" w:hAnsi="黑体" w:eastAsia="黑体"/>
          <w:szCs w:val="21"/>
        </w:rPr>
        <w:t>注明：需提供证明资料内容详见</w:t>
      </w:r>
      <w:r>
        <w:rPr>
          <w:rFonts w:hint="eastAsia" w:ascii="黑体" w:hAnsi="黑体" w:eastAsia="黑体"/>
          <w:szCs w:val="21"/>
          <w:u w:val="single"/>
        </w:rPr>
        <w:t>（磋商文件第五部分</w:t>
      </w:r>
      <w:r>
        <w:rPr>
          <w:rFonts w:ascii="黑体" w:hAnsi="黑体" w:eastAsia="黑体"/>
          <w:szCs w:val="21"/>
          <w:u w:val="single"/>
        </w:rPr>
        <w:t xml:space="preserve"> </w:t>
      </w:r>
      <w:r>
        <w:rPr>
          <w:rFonts w:hint="eastAsia" w:ascii="黑体" w:hAnsi="黑体" w:eastAsia="黑体"/>
          <w:szCs w:val="21"/>
          <w:u w:val="single"/>
        </w:rPr>
        <w:t>评审方法、步骤、标准之</w:t>
      </w:r>
      <w:r>
        <w:rPr>
          <w:rFonts w:hint="eastAsia" w:ascii="黑体" w:hAnsi="黑体" w:eastAsia="黑体"/>
          <w:kern w:val="0"/>
          <w:szCs w:val="21"/>
          <w:u w:val="single"/>
        </w:rPr>
        <w:t>附表二</w:t>
      </w:r>
      <w:r>
        <w:rPr>
          <w:rFonts w:hint="eastAsia" w:ascii="黑体" w:hAnsi="黑体" w:eastAsia="黑体"/>
          <w:szCs w:val="21"/>
          <w:u w:val="single"/>
        </w:rPr>
        <w:t>详细评审表相对应条款）</w:t>
      </w:r>
      <w:r>
        <w:rPr>
          <w:rFonts w:ascii="黑体" w:hAnsi="黑体" w:eastAsia="黑体"/>
          <w:szCs w:val="21"/>
          <w:u w:val="single"/>
        </w:rPr>
        <w:t xml:space="preserve"> </w:t>
      </w:r>
      <w:r>
        <w:rPr>
          <w:rFonts w:hint="eastAsia" w:ascii="黑体" w:hAnsi="黑体" w:eastAsia="黑体"/>
          <w:szCs w:val="21"/>
        </w:rPr>
        <w:t>。</w:t>
      </w:r>
    </w:p>
    <w:p>
      <w:pPr>
        <w:spacing w:line="360" w:lineRule="auto"/>
        <w:rPr>
          <w:rFonts w:ascii="黑体" w:hAnsi="黑体" w:eastAsia="黑体"/>
        </w:rPr>
      </w:pPr>
    </w:p>
    <w:p>
      <w:pPr>
        <w:spacing w:line="360" w:lineRule="auto"/>
        <w:rPr>
          <w:rFonts w:ascii="黑体" w:hAnsi="黑体" w:eastAsia="黑体"/>
        </w:rPr>
      </w:pPr>
    </w:p>
    <w:p>
      <w:pPr>
        <w:spacing w:line="360" w:lineRule="auto"/>
        <w:rPr>
          <w:rFonts w:ascii="黑体" w:hAnsi="黑体" w:eastAsia="黑体"/>
        </w:rPr>
      </w:pPr>
    </w:p>
    <w:tbl>
      <w:tblPr>
        <w:tblStyle w:val="23"/>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c>
          <w:tcPr>
            <w:tcW w:w="3173" w:type="dxa"/>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3" w:type="dxa"/>
          </w:tcPr>
          <w:p>
            <w:pPr>
              <w:spacing w:line="360" w:lineRule="auto"/>
              <w:rPr>
                <w:rFonts w:ascii="黑体" w:hAnsi="黑体" w:eastAsia="黑体"/>
                <w:szCs w:val="21"/>
              </w:rPr>
            </w:pPr>
          </w:p>
        </w:tc>
      </w:tr>
    </w:tbl>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36" w:name="_Toc521951157"/>
      <w:bookmarkStart w:id="237" w:name="_Toc405313975"/>
      <w:bookmarkStart w:id="238" w:name="_Toc391627771"/>
      <w:bookmarkStart w:id="239" w:name="_Toc25918"/>
      <w:r>
        <w:rPr>
          <w:rStyle w:val="25"/>
          <w:rFonts w:hint="eastAsia" w:ascii="黑体" w:hAnsi="黑体" w:eastAsia="黑体"/>
          <w:b/>
          <w:bCs/>
          <w:spacing w:val="12"/>
          <w:sz w:val="21"/>
        </w:rPr>
        <w:t>拟担任本项目主要负责人简历表</w:t>
      </w:r>
      <w:bookmarkEnd w:id="236"/>
      <w:bookmarkEnd w:id="237"/>
      <w:bookmarkEnd w:id="238"/>
      <w:bookmarkEnd w:id="239"/>
    </w:p>
    <w:p>
      <w:pPr>
        <w:spacing w:before="624" w:beforeLines="20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拟担任本项目主要负责人简历表</w:t>
      </w:r>
    </w:p>
    <w:tbl>
      <w:tblPr>
        <w:tblStyle w:val="2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726"/>
        <w:gridCol w:w="1323"/>
        <w:gridCol w:w="317"/>
        <w:gridCol w:w="179"/>
        <w:gridCol w:w="818"/>
        <w:gridCol w:w="528"/>
        <w:gridCol w:w="14"/>
        <w:gridCol w:w="1098"/>
        <w:gridCol w:w="423"/>
        <w:gridCol w:w="629"/>
        <w:gridCol w:w="397"/>
        <w:gridCol w:w="1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13" w:type="dxa"/>
            <w:vAlign w:val="center"/>
          </w:tcPr>
          <w:p>
            <w:pPr>
              <w:jc w:val="center"/>
              <w:rPr>
                <w:rFonts w:ascii="黑体" w:hAnsi="黑体" w:eastAsia="黑体"/>
                <w:szCs w:val="21"/>
              </w:rPr>
            </w:pPr>
            <w:r>
              <w:rPr>
                <w:rFonts w:hint="eastAsia" w:ascii="黑体" w:hAnsi="黑体" w:eastAsia="黑体"/>
                <w:szCs w:val="21"/>
              </w:rPr>
              <w:t>姓名</w:t>
            </w:r>
          </w:p>
        </w:tc>
        <w:tc>
          <w:tcPr>
            <w:tcW w:w="2545" w:type="dxa"/>
            <w:gridSpan w:val="4"/>
            <w:vAlign w:val="center"/>
          </w:tcPr>
          <w:p>
            <w:pPr>
              <w:jc w:val="center"/>
              <w:rPr>
                <w:rFonts w:ascii="黑体" w:hAnsi="黑体" w:eastAsia="黑体"/>
                <w:szCs w:val="21"/>
              </w:rPr>
            </w:pPr>
          </w:p>
        </w:tc>
        <w:tc>
          <w:tcPr>
            <w:tcW w:w="818" w:type="dxa"/>
            <w:vAlign w:val="center"/>
          </w:tcPr>
          <w:p>
            <w:pPr>
              <w:jc w:val="center"/>
              <w:rPr>
                <w:rFonts w:ascii="黑体" w:hAnsi="黑体" w:eastAsia="黑体"/>
                <w:szCs w:val="21"/>
              </w:rPr>
            </w:pPr>
            <w:r>
              <w:rPr>
                <w:rFonts w:hint="eastAsia" w:ascii="黑体" w:hAnsi="黑体" w:eastAsia="黑体"/>
                <w:szCs w:val="21"/>
              </w:rPr>
              <w:t>性别</w:t>
            </w:r>
          </w:p>
        </w:tc>
        <w:tc>
          <w:tcPr>
            <w:tcW w:w="1640" w:type="dxa"/>
            <w:gridSpan w:val="3"/>
            <w:vAlign w:val="center"/>
          </w:tcPr>
          <w:p>
            <w:pPr>
              <w:jc w:val="center"/>
              <w:rPr>
                <w:rFonts w:ascii="黑体" w:hAnsi="黑体" w:eastAsia="黑体"/>
                <w:szCs w:val="21"/>
              </w:rPr>
            </w:pPr>
          </w:p>
        </w:tc>
        <w:tc>
          <w:tcPr>
            <w:tcW w:w="1052" w:type="dxa"/>
            <w:gridSpan w:val="2"/>
            <w:vAlign w:val="center"/>
          </w:tcPr>
          <w:p>
            <w:pPr>
              <w:jc w:val="center"/>
              <w:rPr>
                <w:rFonts w:ascii="黑体" w:hAnsi="黑体" w:eastAsia="黑体"/>
                <w:szCs w:val="21"/>
              </w:rPr>
            </w:pPr>
            <w:r>
              <w:rPr>
                <w:rFonts w:hint="eastAsia" w:ascii="黑体" w:hAnsi="黑体" w:eastAsia="黑体"/>
                <w:szCs w:val="21"/>
              </w:rPr>
              <w:t>年龄</w:t>
            </w:r>
          </w:p>
        </w:tc>
        <w:tc>
          <w:tcPr>
            <w:tcW w:w="1754" w:type="dxa"/>
            <w:gridSpan w:val="2"/>
            <w:vAlign w:val="center"/>
          </w:tcPr>
          <w:p>
            <w:pPr>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13" w:type="dxa"/>
            <w:vAlign w:val="center"/>
          </w:tcPr>
          <w:p>
            <w:pPr>
              <w:jc w:val="center"/>
              <w:rPr>
                <w:rFonts w:ascii="黑体" w:hAnsi="黑体" w:eastAsia="黑体"/>
                <w:szCs w:val="21"/>
              </w:rPr>
            </w:pPr>
            <w:r>
              <w:rPr>
                <w:rFonts w:hint="eastAsia" w:ascii="黑体" w:hAnsi="黑体" w:eastAsia="黑体"/>
                <w:szCs w:val="21"/>
              </w:rPr>
              <w:t>职务</w:t>
            </w:r>
          </w:p>
        </w:tc>
        <w:tc>
          <w:tcPr>
            <w:tcW w:w="2545" w:type="dxa"/>
            <w:gridSpan w:val="4"/>
            <w:vAlign w:val="center"/>
          </w:tcPr>
          <w:p>
            <w:pPr>
              <w:jc w:val="center"/>
              <w:rPr>
                <w:rFonts w:ascii="黑体" w:hAnsi="黑体" w:eastAsia="黑体"/>
                <w:szCs w:val="21"/>
              </w:rPr>
            </w:pPr>
          </w:p>
        </w:tc>
        <w:tc>
          <w:tcPr>
            <w:tcW w:w="818" w:type="dxa"/>
            <w:vAlign w:val="center"/>
          </w:tcPr>
          <w:p>
            <w:pPr>
              <w:jc w:val="center"/>
              <w:rPr>
                <w:rFonts w:ascii="黑体" w:hAnsi="黑体" w:eastAsia="黑体"/>
                <w:szCs w:val="21"/>
              </w:rPr>
            </w:pPr>
            <w:r>
              <w:rPr>
                <w:rFonts w:hint="eastAsia" w:ascii="黑体" w:hAnsi="黑体" w:eastAsia="黑体"/>
                <w:szCs w:val="21"/>
              </w:rPr>
              <w:t>职称</w:t>
            </w:r>
          </w:p>
        </w:tc>
        <w:tc>
          <w:tcPr>
            <w:tcW w:w="1640" w:type="dxa"/>
            <w:gridSpan w:val="3"/>
            <w:vAlign w:val="center"/>
          </w:tcPr>
          <w:p>
            <w:pPr>
              <w:jc w:val="center"/>
              <w:rPr>
                <w:rFonts w:ascii="黑体" w:hAnsi="黑体" w:eastAsia="黑体"/>
                <w:szCs w:val="21"/>
              </w:rPr>
            </w:pPr>
          </w:p>
        </w:tc>
        <w:tc>
          <w:tcPr>
            <w:tcW w:w="1052" w:type="dxa"/>
            <w:gridSpan w:val="2"/>
            <w:vAlign w:val="center"/>
          </w:tcPr>
          <w:p>
            <w:pPr>
              <w:jc w:val="center"/>
              <w:rPr>
                <w:rFonts w:ascii="黑体" w:hAnsi="黑体" w:eastAsia="黑体"/>
                <w:szCs w:val="21"/>
              </w:rPr>
            </w:pPr>
            <w:r>
              <w:rPr>
                <w:rFonts w:hint="eastAsia" w:ascii="黑体" w:hAnsi="黑体" w:eastAsia="黑体"/>
                <w:szCs w:val="21"/>
              </w:rPr>
              <w:t>学历</w:t>
            </w:r>
          </w:p>
        </w:tc>
        <w:tc>
          <w:tcPr>
            <w:tcW w:w="1754" w:type="dxa"/>
            <w:gridSpan w:val="2"/>
            <w:vAlign w:val="center"/>
          </w:tcPr>
          <w:p>
            <w:pPr>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762" w:type="dxa"/>
            <w:gridSpan w:val="3"/>
            <w:vAlign w:val="center"/>
          </w:tcPr>
          <w:p>
            <w:pPr>
              <w:jc w:val="center"/>
              <w:rPr>
                <w:rFonts w:ascii="黑体" w:hAnsi="黑体" w:eastAsia="黑体"/>
                <w:szCs w:val="21"/>
              </w:rPr>
            </w:pPr>
            <w:r>
              <w:rPr>
                <w:rFonts w:hint="eastAsia" w:ascii="黑体" w:hAnsi="黑体" w:eastAsia="黑体"/>
                <w:szCs w:val="21"/>
              </w:rPr>
              <w:t>参加工作时间</w:t>
            </w:r>
          </w:p>
        </w:tc>
        <w:tc>
          <w:tcPr>
            <w:tcW w:w="1842" w:type="dxa"/>
            <w:gridSpan w:val="4"/>
            <w:vAlign w:val="center"/>
          </w:tcPr>
          <w:p>
            <w:pPr>
              <w:jc w:val="center"/>
              <w:rPr>
                <w:rFonts w:ascii="黑体" w:hAnsi="黑体" w:eastAsia="黑体"/>
                <w:szCs w:val="21"/>
              </w:rPr>
            </w:pPr>
          </w:p>
        </w:tc>
        <w:tc>
          <w:tcPr>
            <w:tcW w:w="2561" w:type="dxa"/>
            <w:gridSpan w:val="5"/>
            <w:vAlign w:val="center"/>
          </w:tcPr>
          <w:p>
            <w:pPr>
              <w:jc w:val="center"/>
              <w:rPr>
                <w:rFonts w:ascii="黑体" w:hAnsi="黑体" w:eastAsia="黑体"/>
                <w:szCs w:val="21"/>
              </w:rPr>
            </w:pPr>
            <w:r>
              <w:rPr>
                <w:rFonts w:hint="eastAsia" w:ascii="黑体" w:hAnsi="黑体" w:eastAsia="黑体"/>
                <w:szCs w:val="21"/>
              </w:rPr>
              <w:t>相关经验年限</w:t>
            </w:r>
          </w:p>
        </w:tc>
        <w:tc>
          <w:tcPr>
            <w:tcW w:w="1357" w:type="dxa"/>
            <w:vAlign w:val="center"/>
          </w:tcPr>
          <w:p>
            <w:pPr>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2762" w:type="dxa"/>
            <w:gridSpan w:val="3"/>
            <w:vAlign w:val="center"/>
          </w:tcPr>
          <w:p>
            <w:pPr>
              <w:jc w:val="center"/>
              <w:rPr>
                <w:rFonts w:ascii="黑体" w:hAnsi="黑体" w:eastAsia="黑体"/>
                <w:szCs w:val="21"/>
              </w:rPr>
            </w:pPr>
            <w:r>
              <w:rPr>
                <w:rFonts w:hint="eastAsia" w:ascii="黑体" w:hAnsi="黑体" w:eastAsia="黑体"/>
                <w:szCs w:val="21"/>
              </w:rPr>
              <w:t>资格证书名称、编号</w:t>
            </w:r>
          </w:p>
        </w:tc>
        <w:tc>
          <w:tcPr>
            <w:tcW w:w="5760" w:type="dxa"/>
            <w:gridSpan w:val="10"/>
            <w:vAlign w:val="center"/>
          </w:tcPr>
          <w:p>
            <w:pPr>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522" w:type="dxa"/>
            <w:gridSpan w:val="13"/>
            <w:vAlign w:val="center"/>
          </w:tcPr>
          <w:p>
            <w:pPr>
              <w:jc w:val="center"/>
              <w:rPr>
                <w:rFonts w:ascii="黑体" w:hAnsi="黑体" w:eastAsia="黑体"/>
                <w:szCs w:val="21"/>
              </w:rPr>
            </w:pPr>
            <w:r>
              <w:rPr>
                <w:rFonts w:hint="eastAsia" w:ascii="黑体" w:hAnsi="黑体" w:eastAsia="黑体"/>
                <w:szCs w:val="21"/>
              </w:rPr>
              <w:t>目前在任及以往服务项目情况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439" w:type="dxa"/>
            <w:gridSpan w:val="2"/>
            <w:vAlign w:val="center"/>
          </w:tcPr>
          <w:p>
            <w:pPr>
              <w:jc w:val="center"/>
              <w:rPr>
                <w:rFonts w:ascii="黑体" w:hAnsi="黑体" w:eastAsia="黑体"/>
                <w:szCs w:val="21"/>
              </w:rPr>
            </w:pPr>
            <w:r>
              <w:rPr>
                <w:rFonts w:hint="eastAsia" w:ascii="黑体" w:hAnsi="黑体" w:eastAsia="黑体"/>
                <w:szCs w:val="21"/>
              </w:rPr>
              <w:t>采购人</w:t>
            </w:r>
          </w:p>
        </w:tc>
        <w:tc>
          <w:tcPr>
            <w:tcW w:w="1640" w:type="dxa"/>
            <w:gridSpan w:val="2"/>
            <w:vAlign w:val="center"/>
          </w:tcPr>
          <w:p>
            <w:pPr>
              <w:jc w:val="center"/>
              <w:rPr>
                <w:rFonts w:ascii="黑体" w:hAnsi="黑体" w:eastAsia="黑体"/>
                <w:szCs w:val="21"/>
              </w:rPr>
            </w:pPr>
            <w:r>
              <w:rPr>
                <w:rFonts w:hint="eastAsia" w:ascii="黑体" w:hAnsi="黑体" w:eastAsia="黑体"/>
                <w:szCs w:val="21"/>
              </w:rPr>
              <w:t>项目名称</w:t>
            </w:r>
          </w:p>
        </w:tc>
        <w:tc>
          <w:tcPr>
            <w:tcW w:w="1539" w:type="dxa"/>
            <w:gridSpan w:val="4"/>
            <w:vAlign w:val="center"/>
          </w:tcPr>
          <w:p>
            <w:pPr>
              <w:jc w:val="center"/>
              <w:rPr>
                <w:rFonts w:ascii="黑体" w:hAnsi="黑体" w:eastAsia="黑体"/>
                <w:szCs w:val="21"/>
              </w:rPr>
            </w:pPr>
            <w:r>
              <w:rPr>
                <w:rFonts w:hint="eastAsia" w:ascii="黑体" w:hAnsi="黑体" w:eastAsia="黑体"/>
                <w:szCs w:val="21"/>
              </w:rPr>
              <w:t>项目规模</w:t>
            </w:r>
          </w:p>
        </w:tc>
        <w:tc>
          <w:tcPr>
            <w:tcW w:w="1521" w:type="dxa"/>
            <w:gridSpan w:val="2"/>
            <w:vAlign w:val="center"/>
          </w:tcPr>
          <w:p>
            <w:pPr>
              <w:jc w:val="center"/>
              <w:rPr>
                <w:rFonts w:ascii="黑体" w:hAnsi="黑体" w:eastAsia="黑体"/>
                <w:szCs w:val="21"/>
              </w:rPr>
            </w:pPr>
            <w:r>
              <w:rPr>
                <w:rFonts w:hint="eastAsia" w:ascii="黑体" w:hAnsi="黑体" w:eastAsia="黑体"/>
                <w:szCs w:val="21"/>
              </w:rPr>
              <w:t>所任职务</w:t>
            </w:r>
          </w:p>
        </w:tc>
        <w:tc>
          <w:tcPr>
            <w:tcW w:w="2383" w:type="dxa"/>
            <w:gridSpan w:val="3"/>
            <w:vAlign w:val="center"/>
          </w:tcPr>
          <w:p>
            <w:pPr>
              <w:jc w:val="center"/>
              <w:rPr>
                <w:rFonts w:ascii="黑体" w:hAnsi="黑体" w:eastAsia="黑体"/>
                <w:szCs w:val="21"/>
              </w:rPr>
            </w:pPr>
            <w:r>
              <w:rPr>
                <w:rFonts w:hint="eastAsia" w:ascii="黑体" w:hAnsi="黑体" w:eastAsia="黑体"/>
                <w:szCs w:val="21"/>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9" w:type="dxa"/>
            <w:gridSpan w:val="2"/>
            <w:vAlign w:val="center"/>
          </w:tcPr>
          <w:p>
            <w:pPr>
              <w:jc w:val="center"/>
              <w:rPr>
                <w:rFonts w:ascii="黑体" w:hAnsi="黑体" w:eastAsia="黑体"/>
                <w:szCs w:val="21"/>
              </w:rPr>
            </w:pPr>
          </w:p>
        </w:tc>
        <w:tc>
          <w:tcPr>
            <w:tcW w:w="1640" w:type="dxa"/>
            <w:gridSpan w:val="2"/>
            <w:vAlign w:val="center"/>
          </w:tcPr>
          <w:p>
            <w:pPr>
              <w:jc w:val="center"/>
              <w:rPr>
                <w:rFonts w:ascii="黑体" w:hAnsi="黑体" w:eastAsia="黑体"/>
                <w:szCs w:val="21"/>
              </w:rPr>
            </w:pPr>
          </w:p>
        </w:tc>
        <w:tc>
          <w:tcPr>
            <w:tcW w:w="1539" w:type="dxa"/>
            <w:gridSpan w:val="4"/>
            <w:vAlign w:val="center"/>
          </w:tcPr>
          <w:p>
            <w:pPr>
              <w:jc w:val="center"/>
              <w:rPr>
                <w:rFonts w:ascii="黑体" w:hAnsi="黑体" w:eastAsia="黑体"/>
                <w:szCs w:val="21"/>
              </w:rPr>
            </w:pPr>
          </w:p>
        </w:tc>
        <w:tc>
          <w:tcPr>
            <w:tcW w:w="1521" w:type="dxa"/>
            <w:gridSpan w:val="2"/>
            <w:vAlign w:val="center"/>
          </w:tcPr>
          <w:p>
            <w:pPr>
              <w:jc w:val="center"/>
              <w:rPr>
                <w:rFonts w:ascii="黑体" w:hAnsi="黑体" w:eastAsia="黑体"/>
                <w:szCs w:val="21"/>
              </w:rPr>
            </w:pPr>
          </w:p>
        </w:tc>
        <w:tc>
          <w:tcPr>
            <w:tcW w:w="2383" w:type="dxa"/>
            <w:gridSpan w:val="3"/>
            <w:vAlign w:val="center"/>
          </w:tcPr>
          <w:p>
            <w:pPr>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9" w:type="dxa"/>
            <w:gridSpan w:val="2"/>
            <w:vAlign w:val="center"/>
          </w:tcPr>
          <w:p>
            <w:pPr>
              <w:jc w:val="center"/>
              <w:rPr>
                <w:rFonts w:ascii="黑体" w:hAnsi="黑体" w:eastAsia="黑体"/>
                <w:szCs w:val="21"/>
              </w:rPr>
            </w:pPr>
          </w:p>
        </w:tc>
        <w:tc>
          <w:tcPr>
            <w:tcW w:w="1640" w:type="dxa"/>
            <w:gridSpan w:val="2"/>
            <w:vAlign w:val="center"/>
          </w:tcPr>
          <w:p>
            <w:pPr>
              <w:jc w:val="center"/>
              <w:rPr>
                <w:rFonts w:ascii="黑体" w:hAnsi="黑体" w:eastAsia="黑体"/>
                <w:szCs w:val="21"/>
              </w:rPr>
            </w:pPr>
          </w:p>
        </w:tc>
        <w:tc>
          <w:tcPr>
            <w:tcW w:w="1539" w:type="dxa"/>
            <w:gridSpan w:val="4"/>
            <w:vAlign w:val="center"/>
          </w:tcPr>
          <w:p>
            <w:pPr>
              <w:jc w:val="center"/>
              <w:rPr>
                <w:rFonts w:ascii="黑体" w:hAnsi="黑体" w:eastAsia="黑体"/>
                <w:szCs w:val="21"/>
              </w:rPr>
            </w:pPr>
          </w:p>
        </w:tc>
        <w:tc>
          <w:tcPr>
            <w:tcW w:w="1521" w:type="dxa"/>
            <w:gridSpan w:val="2"/>
            <w:vAlign w:val="center"/>
          </w:tcPr>
          <w:p>
            <w:pPr>
              <w:jc w:val="center"/>
              <w:rPr>
                <w:rFonts w:ascii="黑体" w:hAnsi="黑体" w:eastAsia="黑体"/>
                <w:szCs w:val="21"/>
              </w:rPr>
            </w:pPr>
          </w:p>
        </w:tc>
        <w:tc>
          <w:tcPr>
            <w:tcW w:w="2383" w:type="dxa"/>
            <w:gridSpan w:val="3"/>
            <w:vAlign w:val="center"/>
          </w:tcPr>
          <w:p>
            <w:pPr>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9" w:type="dxa"/>
            <w:gridSpan w:val="2"/>
            <w:vAlign w:val="center"/>
          </w:tcPr>
          <w:p>
            <w:pPr>
              <w:jc w:val="center"/>
              <w:rPr>
                <w:rFonts w:ascii="黑体" w:hAnsi="黑体" w:eastAsia="黑体"/>
                <w:szCs w:val="21"/>
              </w:rPr>
            </w:pPr>
          </w:p>
        </w:tc>
        <w:tc>
          <w:tcPr>
            <w:tcW w:w="1640" w:type="dxa"/>
            <w:gridSpan w:val="2"/>
            <w:vAlign w:val="center"/>
          </w:tcPr>
          <w:p>
            <w:pPr>
              <w:jc w:val="center"/>
              <w:rPr>
                <w:rFonts w:ascii="黑体" w:hAnsi="黑体" w:eastAsia="黑体"/>
                <w:szCs w:val="21"/>
              </w:rPr>
            </w:pPr>
          </w:p>
        </w:tc>
        <w:tc>
          <w:tcPr>
            <w:tcW w:w="1539" w:type="dxa"/>
            <w:gridSpan w:val="4"/>
            <w:vAlign w:val="center"/>
          </w:tcPr>
          <w:p>
            <w:pPr>
              <w:jc w:val="center"/>
              <w:rPr>
                <w:rFonts w:ascii="黑体" w:hAnsi="黑体" w:eastAsia="黑体"/>
                <w:szCs w:val="21"/>
              </w:rPr>
            </w:pPr>
          </w:p>
        </w:tc>
        <w:tc>
          <w:tcPr>
            <w:tcW w:w="1521" w:type="dxa"/>
            <w:gridSpan w:val="2"/>
            <w:vAlign w:val="center"/>
          </w:tcPr>
          <w:p>
            <w:pPr>
              <w:jc w:val="center"/>
              <w:rPr>
                <w:rFonts w:ascii="黑体" w:hAnsi="黑体" w:eastAsia="黑体"/>
                <w:szCs w:val="21"/>
              </w:rPr>
            </w:pPr>
          </w:p>
        </w:tc>
        <w:tc>
          <w:tcPr>
            <w:tcW w:w="2383" w:type="dxa"/>
            <w:gridSpan w:val="3"/>
            <w:vAlign w:val="center"/>
          </w:tcPr>
          <w:p>
            <w:pPr>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9" w:type="dxa"/>
            <w:gridSpan w:val="2"/>
            <w:vAlign w:val="center"/>
          </w:tcPr>
          <w:p>
            <w:pPr>
              <w:jc w:val="center"/>
              <w:rPr>
                <w:rFonts w:ascii="黑体" w:hAnsi="黑体" w:eastAsia="黑体"/>
                <w:szCs w:val="21"/>
              </w:rPr>
            </w:pPr>
          </w:p>
        </w:tc>
        <w:tc>
          <w:tcPr>
            <w:tcW w:w="1640" w:type="dxa"/>
            <w:gridSpan w:val="2"/>
            <w:vAlign w:val="center"/>
          </w:tcPr>
          <w:p>
            <w:pPr>
              <w:jc w:val="center"/>
              <w:rPr>
                <w:rFonts w:ascii="黑体" w:hAnsi="黑体" w:eastAsia="黑体"/>
                <w:szCs w:val="21"/>
              </w:rPr>
            </w:pPr>
          </w:p>
        </w:tc>
        <w:tc>
          <w:tcPr>
            <w:tcW w:w="1539" w:type="dxa"/>
            <w:gridSpan w:val="4"/>
            <w:vAlign w:val="center"/>
          </w:tcPr>
          <w:p>
            <w:pPr>
              <w:jc w:val="center"/>
              <w:rPr>
                <w:rFonts w:ascii="黑体" w:hAnsi="黑体" w:eastAsia="黑体"/>
                <w:szCs w:val="21"/>
              </w:rPr>
            </w:pPr>
          </w:p>
        </w:tc>
        <w:tc>
          <w:tcPr>
            <w:tcW w:w="1521" w:type="dxa"/>
            <w:gridSpan w:val="2"/>
            <w:vAlign w:val="center"/>
          </w:tcPr>
          <w:p>
            <w:pPr>
              <w:jc w:val="center"/>
              <w:rPr>
                <w:rFonts w:ascii="黑体" w:hAnsi="黑体" w:eastAsia="黑体"/>
                <w:szCs w:val="21"/>
              </w:rPr>
            </w:pPr>
          </w:p>
        </w:tc>
        <w:tc>
          <w:tcPr>
            <w:tcW w:w="2383" w:type="dxa"/>
            <w:gridSpan w:val="3"/>
            <w:vAlign w:val="center"/>
          </w:tcPr>
          <w:p>
            <w:pPr>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9" w:type="dxa"/>
            <w:gridSpan w:val="2"/>
            <w:vAlign w:val="center"/>
          </w:tcPr>
          <w:p>
            <w:pPr>
              <w:jc w:val="center"/>
              <w:rPr>
                <w:rFonts w:ascii="黑体" w:hAnsi="黑体" w:eastAsia="黑体"/>
                <w:szCs w:val="21"/>
              </w:rPr>
            </w:pPr>
          </w:p>
        </w:tc>
        <w:tc>
          <w:tcPr>
            <w:tcW w:w="1640" w:type="dxa"/>
            <w:gridSpan w:val="2"/>
            <w:vAlign w:val="center"/>
          </w:tcPr>
          <w:p>
            <w:pPr>
              <w:jc w:val="center"/>
              <w:rPr>
                <w:rFonts w:ascii="黑体" w:hAnsi="黑体" w:eastAsia="黑体"/>
                <w:szCs w:val="21"/>
              </w:rPr>
            </w:pPr>
          </w:p>
        </w:tc>
        <w:tc>
          <w:tcPr>
            <w:tcW w:w="1539" w:type="dxa"/>
            <w:gridSpan w:val="4"/>
            <w:vAlign w:val="center"/>
          </w:tcPr>
          <w:p>
            <w:pPr>
              <w:jc w:val="center"/>
              <w:rPr>
                <w:rFonts w:ascii="黑体" w:hAnsi="黑体" w:eastAsia="黑体"/>
                <w:szCs w:val="21"/>
              </w:rPr>
            </w:pPr>
          </w:p>
        </w:tc>
        <w:tc>
          <w:tcPr>
            <w:tcW w:w="1521" w:type="dxa"/>
            <w:gridSpan w:val="2"/>
            <w:vAlign w:val="center"/>
          </w:tcPr>
          <w:p>
            <w:pPr>
              <w:jc w:val="center"/>
              <w:rPr>
                <w:rFonts w:ascii="黑体" w:hAnsi="黑体" w:eastAsia="黑体"/>
                <w:szCs w:val="21"/>
              </w:rPr>
            </w:pPr>
          </w:p>
        </w:tc>
        <w:tc>
          <w:tcPr>
            <w:tcW w:w="2383" w:type="dxa"/>
            <w:gridSpan w:val="3"/>
            <w:vAlign w:val="center"/>
          </w:tcPr>
          <w:p>
            <w:pPr>
              <w:jc w:val="center"/>
              <w:rPr>
                <w:rFonts w:ascii="黑体" w:hAnsi="黑体" w:eastAsia="黑体"/>
                <w:szCs w:val="21"/>
              </w:rPr>
            </w:pPr>
          </w:p>
        </w:tc>
      </w:tr>
    </w:tbl>
    <w:p>
      <w:pPr>
        <w:pStyle w:val="9"/>
        <w:overflowPunct w:val="0"/>
        <w:spacing w:before="156" w:beforeLines="50" w:after="0" w:line="360" w:lineRule="auto"/>
        <w:rPr>
          <w:rFonts w:ascii="黑体" w:hAnsi="黑体" w:eastAsia="黑体"/>
          <w:szCs w:val="21"/>
        </w:rPr>
      </w:pPr>
      <w:r>
        <w:rPr>
          <w:rFonts w:hint="eastAsia" w:ascii="黑体" w:hAnsi="黑体" w:eastAsia="黑体"/>
          <w:szCs w:val="21"/>
        </w:rPr>
        <w:t>注明：需提供证明资料内容详见</w:t>
      </w:r>
      <w:r>
        <w:rPr>
          <w:rFonts w:hint="eastAsia" w:ascii="黑体" w:hAnsi="黑体" w:eastAsia="黑体"/>
          <w:szCs w:val="21"/>
          <w:u w:val="single"/>
        </w:rPr>
        <w:t>（磋商文件第五部分</w:t>
      </w:r>
      <w:r>
        <w:rPr>
          <w:rFonts w:ascii="黑体" w:hAnsi="黑体" w:eastAsia="黑体"/>
          <w:szCs w:val="21"/>
          <w:u w:val="single"/>
        </w:rPr>
        <w:t xml:space="preserve"> </w:t>
      </w:r>
      <w:r>
        <w:rPr>
          <w:rFonts w:hint="eastAsia" w:ascii="黑体" w:hAnsi="黑体" w:eastAsia="黑体"/>
          <w:szCs w:val="21"/>
          <w:u w:val="single"/>
        </w:rPr>
        <w:t>评审方法、步骤、标准之</w:t>
      </w:r>
      <w:r>
        <w:rPr>
          <w:rFonts w:hint="eastAsia" w:ascii="黑体" w:hAnsi="黑体" w:eastAsia="黑体"/>
          <w:kern w:val="0"/>
          <w:szCs w:val="21"/>
          <w:u w:val="single"/>
        </w:rPr>
        <w:t>附表二</w:t>
      </w:r>
      <w:r>
        <w:rPr>
          <w:rFonts w:hint="eastAsia" w:ascii="黑体" w:hAnsi="黑体" w:eastAsia="黑体"/>
          <w:szCs w:val="21"/>
          <w:u w:val="single"/>
        </w:rPr>
        <w:t>详细评审表相对应条款）</w:t>
      </w:r>
      <w:r>
        <w:rPr>
          <w:rFonts w:ascii="黑体" w:hAnsi="黑体" w:eastAsia="黑体"/>
          <w:szCs w:val="21"/>
          <w:u w:val="single"/>
        </w:rPr>
        <w:t xml:space="preserve"> </w:t>
      </w:r>
      <w:r>
        <w:rPr>
          <w:rFonts w:hint="eastAsia" w:ascii="黑体" w:hAnsi="黑体" w:eastAsia="黑体"/>
          <w:szCs w:val="21"/>
        </w:rPr>
        <w:t>。</w:t>
      </w:r>
    </w:p>
    <w:p>
      <w:pPr>
        <w:spacing w:line="360" w:lineRule="auto"/>
        <w:rPr>
          <w:rFonts w:ascii="黑体" w:hAnsi="黑体" w:eastAsia="黑体"/>
          <w:szCs w:val="21"/>
        </w:rPr>
      </w:pPr>
    </w:p>
    <w:p>
      <w:pPr>
        <w:spacing w:line="360" w:lineRule="auto"/>
        <w:rPr>
          <w:rFonts w:ascii="黑体" w:hAnsi="黑体" w:eastAsia="黑体"/>
          <w:szCs w:val="21"/>
        </w:rPr>
      </w:pPr>
    </w:p>
    <w:p>
      <w:pPr>
        <w:spacing w:line="360" w:lineRule="auto"/>
        <w:rPr>
          <w:rFonts w:ascii="黑体" w:hAnsi="黑体" w:eastAsia="黑体"/>
          <w:szCs w:val="21"/>
        </w:rPr>
      </w:pPr>
    </w:p>
    <w:tbl>
      <w:tblPr>
        <w:tblStyle w:val="23"/>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c>
          <w:tcPr>
            <w:tcW w:w="3173" w:type="dxa"/>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3" w:type="dxa"/>
          </w:tcPr>
          <w:p>
            <w:pPr>
              <w:spacing w:line="360" w:lineRule="auto"/>
              <w:rPr>
                <w:rFonts w:ascii="黑体" w:hAnsi="黑体" w:eastAsia="黑体"/>
                <w:szCs w:val="21"/>
              </w:rPr>
            </w:pPr>
          </w:p>
        </w:tc>
      </w:tr>
    </w:tbl>
    <w:p>
      <w:pPr>
        <w:spacing w:line="360" w:lineRule="auto"/>
        <w:rPr>
          <w:rFonts w:ascii="黑体" w:hAnsi="黑体" w:eastAsia="黑体"/>
          <w:szCs w:val="21"/>
        </w:rPr>
      </w:pPr>
    </w:p>
    <w:p>
      <w:pPr>
        <w:spacing w:line="360" w:lineRule="auto"/>
        <w:rPr>
          <w:rFonts w:ascii="黑体" w:hAnsi="黑体" w:eastAsia="黑体"/>
          <w:szCs w:val="21"/>
        </w:rPr>
      </w:pPr>
    </w:p>
    <w:p>
      <w:pPr>
        <w:spacing w:line="360" w:lineRule="auto"/>
        <w:rPr>
          <w:rFonts w:ascii="黑体" w:hAnsi="黑体" w:eastAsia="黑体"/>
          <w:szCs w:val="21"/>
        </w:rPr>
      </w:pPr>
    </w:p>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40" w:name="_Toc90980158"/>
      <w:bookmarkStart w:id="241" w:name="_Toc24219"/>
      <w:r>
        <w:rPr>
          <w:rStyle w:val="25"/>
          <w:rFonts w:hint="eastAsia" w:ascii="黑体" w:hAnsi="黑体" w:eastAsia="黑体"/>
          <w:b/>
          <w:bCs/>
          <w:spacing w:val="12"/>
          <w:sz w:val="21"/>
        </w:rPr>
        <w:t>技术要求偏离表</w:t>
      </w:r>
      <w:bookmarkEnd w:id="240"/>
      <w:bookmarkEnd w:id="241"/>
    </w:p>
    <w:p>
      <w:pPr>
        <w:spacing w:before="312" w:beforeLines="100" w:after="468" w:afterLines="150" w:line="360" w:lineRule="auto"/>
        <w:jc w:val="center"/>
        <w:rPr>
          <w:rFonts w:ascii="黑体" w:hAnsi="黑体" w:eastAsia="黑体"/>
          <w:b/>
          <w:color w:val="00B050"/>
          <w:spacing w:val="20"/>
          <w:sz w:val="30"/>
          <w:szCs w:val="30"/>
        </w:rPr>
      </w:pPr>
      <w:r>
        <w:rPr>
          <w:rFonts w:hint="eastAsia" w:ascii="黑体" w:hAnsi="黑体" w:eastAsia="黑体"/>
          <w:b/>
          <w:spacing w:val="20"/>
          <w:sz w:val="30"/>
          <w:szCs w:val="30"/>
        </w:rPr>
        <w:t>技术要求偏离表</w:t>
      </w:r>
    </w:p>
    <w:tbl>
      <w:tblPr>
        <w:tblStyle w:val="22"/>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pPr>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序号</w:t>
            </w:r>
          </w:p>
        </w:tc>
        <w:tc>
          <w:tcPr>
            <w:tcW w:w="2352" w:type="dxa"/>
            <w:vAlign w:val="center"/>
          </w:tcPr>
          <w:p>
            <w:pPr>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磋商文件要求</w:t>
            </w:r>
          </w:p>
        </w:tc>
        <w:tc>
          <w:tcPr>
            <w:tcW w:w="2126" w:type="dxa"/>
            <w:vAlign w:val="center"/>
          </w:tcPr>
          <w:p>
            <w:pPr>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响应文件响应内容</w:t>
            </w:r>
          </w:p>
        </w:tc>
        <w:tc>
          <w:tcPr>
            <w:tcW w:w="1644" w:type="dxa"/>
            <w:vAlign w:val="center"/>
          </w:tcPr>
          <w:p>
            <w:pPr>
              <w:ind w:left="293" w:hanging="293" w:hangingChars="139"/>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偏离情况</w:t>
            </w:r>
          </w:p>
        </w:tc>
        <w:tc>
          <w:tcPr>
            <w:tcW w:w="1575" w:type="dxa"/>
            <w:vAlign w:val="center"/>
          </w:tcPr>
          <w:p>
            <w:pPr>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2352"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2126"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644"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575"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2352"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2126"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644"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575"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2352"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2126"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644"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575"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2352"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2126"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644"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575"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2352"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2126"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644"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c>
          <w:tcPr>
            <w:tcW w:w="1575" w:type="dxa"/>
            <w:vAlign w:val="center"/>
          </w:tcPr>
          <w:p>
            <w:pPr>
              <w:spacing w:line="360" w:lineRule="auto"/>
              <w:jc w:val="center"/>
              <w:rPr>
                <w:rFonts w:ascii="黑体" w:hAnsi="黑体" w:eastAsia="黑体"/>
                <w:color w:val="000000" w:themeColor="text1"/>
                <w:szCs w:val="21"/>
                <w14:textFill>
                  <w14:solidFill>
                    <w14:schemeClr w14:val="tx1"/>
                  </w14:solidFill>
                </w14:textFill>
              </w:rPr>
            </w:pPr>
          </w:p>
        </w:tc>
      </w:tr>
    </w:tbl>
    <w:p>
      <w:pPr>
        <w:spacing w:before="156" w:beforeLines="50"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注明：</w:t>
      </w:r>
    </w:p>
    <w:p>
      <w:pPr>
        <w:pStyle w:val="68"/>
        <w:numPr>
          <w:ilvl w:val="0"/>
          <w:numId w:val="116"/>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偏离情况项填写“正”、“负”或“无”，说明项中填写原因。</w:t>
      </w:r>
    </w:p>
    <w:p>
      <w:pPr>
        <w:pStyle w:val="68"/>
        <w:numPr>
          <w:ilvl w:val="0"/>
          <w:numId w:val="116"/>
        </w:numPr>
        <w:spacing w:line="360" w:lineRule="auto"/>
        <w:ind w:left="426" w:hanging="426" w:firstLineChars="0"/>
        <w:rPr>
          <w:rFonts w:ascii="黑体" w:hAnsi="黑体" w:eastAsia="黑体"/>
          <w:color w:val="000000" w:themeColor="text1"/>
          <w:szCs w:val="21"/>
          <w14:textFill>
            <w14:solidFill>
              <w14:schemeClr w14:val="tx1"/>
            </w14:solidFill>
          </w14:textFill>
        </w:rPr>
      </w:pPr>
      <w:r>
        <w:rPr>
          <w:rFonts w:hint="eastAsia" w:ascii="黑体" w:hAnsi="黑体" w:eastAsia="黑体"/>
          <w:szCs w:val="21"/>
        </w:rPr>
        <w:t>供应商应按照磋商文件要求，根据“采购需求”内容作出全面响应。对响应有偏离的，则说明偏离的内容。“采购需求”内容中若有要求提供相关证明资料的，须</w:t>
      </w:r>
      <w:r>
        <w:rPr>
          <w:rFonts w:hint="eastAsia" w:ascii="黑体" w:hAnsi="黑体" w:eastAsia="黑体"/>
          <w:color w:val="000000" w:themeColor="text1"/>
          <w:szCs w:val="21"/>
          <w14:textFill>
            <w14:solidFill>
              <w14:schemeClr w14:val="tx1"/>
            </w14:solidFill>
          </w14:textFill>
        </w:rPr>
        <w:t>按要求提供，否则视为负偏离。</w:t>
      </w:r>
    </w:p>
    <w:p>
      <w:pPr>
        <w:spacing w:line="360" w:lineRule="auto"/>
        <w:rPr>
          <w:rFonts w:ascii="黑体" w:hAnsi="黑体" w:eastAsia="黑体"/>
          <w:szCs w:val="21"/>
        </w:rPr>
      </w:pPr>
    </w:p>
    <w:p>
      <w:pPr>
        <w:spacing w:line="360" w:lineRule="auto"/>
        <w:rPr>
          <w:rFonts w:ascii="黑体" w:hAnsi="黑体" w:eastAsia="黑体"/>
          <w:szCs w:val="21"/>
        </w:rPr>
      </w:pPr>
    </w:p>
    <w:p>
      <w:pPr>
        <w:spacing w:line="360" w:lineRule="auto"/>
        <w:rPr>
          <w:rFonts w:ascii="黑体" w:hAnsi="黑体" w:eastAsia="黑体"/>
          <w:szCs w:val="21"/>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c>
          <w:tcPr>
            <w:tcW w:w="3175" w:type="dxa"/>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pPr>
              <w:spacing w:line="360" w:lineRule="auto"/>
              <w:rPr>
                <w:rFonts w:ascii="黑体" w:hAnsi="黑体" w:eastAsia="黑体"/>
                <w:szCs w:val="21"/>
              </w:rPr>
            </w:pPr>
          </w:p>
        </w:tc>
      </w:tr>
    </w:tbl>
    <w:p>
      <w:pPr>
        <w:spacing w:line="360" w:lineRule="auto"/>
        <w:rPr>
          <w:rFonts w:ascii="黑体" w:hAnsi="黑体" w:eastAsia="黑体"/>
          <w:szCs w:val="21"/>
        </w:rPr>
      </w:pPr>
    </w:p>
    <w:p>
      <w:pPr>
        <w:spacing w:line="360" w:lineRule="auto"/>
        <w:rPr>
          <w:rFonts w:ascii="黑体" w:hAnsi="黑体" w:eastAsia="黑体"/>
          <w:szCs w:val="21"/>
        </w:rPr>
      </w:pPr>
    </w:p>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42" w:name="_Toc4844"/>
      <w:r>
        <w:rPr>
          <w:rStyle w:val="25"/>
          <w:rFonts w:hint="eastAsia" w:ascii="黑体" w:hAnsi="黑体" w:eastAsia="黑体"/>
          <w:b/>
          <w:bCs/>
          <w:spacing w:val="12"/>
          <w:sz w:val="21"/>
        </w:rPr>
        <w:t>实质性响应一览表（可选）</w:t>
      </w:r>
      <w:bookmarkEnd w:id="242"/>
    </w:p>
    <w:p>
      <w:pPr>
        <w:spacing w:before="312" w:beforeLines="100" w:after="312" w:afterLines="100"/>
        <w:jc w:val="center"/>
        <w:rPr>
          <w:rFonts w:ascii="黑体" w:hAnsi="黑体" w:eastAsia="黑体"/>
          <w:sz w:val="30"/>
          <w:szCs w:val="30"/>
        </w:rPr>
      </w:pPr>
      <w:r>
        <w:rPr>
          <w:rFonts w:hint="eastAsia" w:ascii="黑体" w:hAnsi="黑体" w:eastAsia="黑体"/>
          <w:b/>
          <w:spacing w:val="20"/>
          <w:sz w:val="30"/>
          <w:szCs w:val="30"/>
        </w:rPr>
        <w:t>实质性响应一览表</w:t>
      </w:r>
    </w:p>
    <w:tbl>
      <w:tblPr>
        <w:tblStyle w:val="2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971"/>
        <w:gridCol w:w="1843"/>
        <w:gridCol w:w="1843"/>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675" w:type="dxa"/>
            <w:shd w:val="clear" w:color="auto" w:fill="auto"/>
            <w:vAlign w:val="center"/>
          </w:tcPr>
          <w:p>
            <w:pPr>
              <w:spacing w:line="360" w:lineRule="auto"/>
              <w:jc w:val="center"/>
              <w:rPr>
                <w:rFonts w:ascii="黑体" w:hAnsi="黑体" w:eastAsia="黑体"/>
              </w:rPr>
            </w:pPr>
            <w:r>
              <w:rPr>
                <w:rFonts w:hint="eastAsia" w:ascii="黑体" w:hAnsi="黑体" w:eastAsia="黑体"/>
              </w:rPr>
              <w:t>序号</w:t>
            </w:r>
          </w:p>
        </w:tc>
        <w:tc>
          <w:tcPr>
            <w:tcW w:w="2971" w:type="dxa"/>
            <w:shd w:val="clear" w:color="auto" w:fill="auto"/>
            <w:vAlign w:val="center"/>
          </w:tcPr>
          <w:p>
            <w:pPr>
              <w:spacing w:line="360" w:lineRule="auto"/>
              <w:jc w:val="center"/>
              <w:rPr>
                <w:rFonts w:ascii="黑体" w:hAnsi="黑体" w:eastAsia="黑体"/>
              </w:rPr>
            </w:pPr>
            <w:r>
              <w:rPr>
                <w:rFonts w:hint="eastAsia" w:ascii="黑体" w:hAnsi="黑体" w:eastAsia="黑体"/>
                <w:b/>
                <w:bCs/>
              </w:rPr>
              <w:t>采购需求</w:t>
            </w:r>
            <w:r>
              <w:rPr>
                <w:rFonts w:hint="eastAsia" w:ascii="黑体" w:hAnsi="黑体" w:eastAsia="黑体"/>
              </w:rPr>
              <w:t>实质性条款要求</w:t>
            </w:r>
          </w:p>
        </w:tc>
        <w:tc>
          <w:tcPr>
            <w:tcW w:w="1843" w:type="dxa"/>
            <w:shd w:val="clear" w:color="auto" w:fill="auto"/>
            <w:vAlign w:val="center"/>
          </w:tcPr>
          <w:p>
            <w:pPr>
              <w:spacing w:line="360" w:lineRule="auto"/>
              <w:jc w:val="center"/>
              <w:rPr>
                <w:rFonts w:ascii="黑体" w:hAnsi="黑体" w:eastAsia="黑体"/>
              </w:rPr>
            </w:pPr>
            <w:r>
              <w:rPr>
                <w:rFonts w:hint="eastAsia" w:ascii="黑体" w:hAnsi="黑体" w:eastAsia="黑体"/>
              </w:rPr>
              <w:t>供应商响应内容</w:t>
            </w:r>
          </w:p>
        </w:tc>
        <w:tc>
          <w:tcPr>
            <w:tcW w:w="1843" w:type="dxa"/>
            <w:shd w:val="clear" w:color="auto" w:fill="auto"/>
            <w:vAlign w:val="center"/>
          </w:tcPr>
          <w:p>
            <w:pPr>
              <w:spacing w:line="360" w:lineRule="auto"/>
              <w:jc w:val="center"/>
              <w:rPr>
                <w:rFonts w:ascii="黑体" w:hAnsi="黑体" w:eastAsia="黑体"/>
              </w:rPr>
            </w:pPr>
            <w:r>
              <w:rPr>
                <w:rFonts w:hint="eastAsia" w:ascii="黑体" w:hAnsi="黑体" w:eastAsia="黑体"/>
              </w:rPr>
              <w:t>偏离情况及说明</w:t>
            </w:r>
          </w:p>
          <w:p>
            <w:pPr>
              <w:spacing w:line="360" w:lineRule="auto"/>
              <w:jc w:val="center"/>
              <w:rPr>
                <w:rFonts w:ascii="黑体" w:hAnsi="黑体" w:eastAsia="黑体"/>
              </w:rPr>
            </w:pPr>
            <w:r>
              <w:rPr>
                <w:rFonts w:ascii="黑体" w:hAnsi="黑体" w:eastAsia="黑体"/>
              </w:rPr>
              <w:t>(正偏离/</w:t>
            </w:r>
            <w:r>
              <w:rPr>
                <w:rFonts w:hint="eastAsia" w:ascii="黑体" w:hAnsi="黑体" w:eastAsia="黑体"/>
              </w:rPr>
              <w:t>无偏离</w:t>
            </w:r>
            <w:r>
              <w:rPr>
                <w:rFonts w:ascii="黑体" w:hAnsi="黑体" w:eastAsia="黑体"/>
              </w:rPr>
              <w:t>/负偏离)</w:t>
            </w:r>
          </w:p>
        </w:tc>
        <w:tc>
          <w:tcPr>
            <w:tcW w:w="1190" w:type="dxa"/>
            <w:shd w:val="clear" w:color="auto" w:fill="auto"/>
            <w:vAlign w:val="center"/>
          </w:tcPr>
          <w:p>
            <w:pPr>
              <w:spacing w:line="360" w:lineRule="auto"/>
              <w:jc w:val="center"/>
              <w:rPr>
                <w:rFonts w:ascii="黑体" w:hAnsi="黑体" w:eastAsia="黑体"/>
              </w:rPr>
            </w:pPr>
            <w:r>
              <w:rPr>
                <w:rFonts w:hint="eastAsia" w:ascii="黑体" w:hAnsi="黑体" w:eastAsia="黑体"/>
              </w:rPr>
              <w:t>查阅</w:t>
            </w:r>
            <w:r>
              <w:rPr>
                <w:rFonts w:ascii="黑体" w:hAnsi="黑体" w:eastAsia="黑体"/>
              </w:rPr>
              <w:t>/证明文件索引页码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75" w:type="dxa"/>
            <w:shd w:val="clear" w:color="auto" w:fill="auto"/>
            <w:vAlign w:val="center"/>
          </w:tcPr>
          <w:p>
            <w:pPr>
              <w:spacing w:line="360" w:lineRule="auto"/>
              <w:jc w:val="center"/>
              <w:rPr>
                <w:rFonts w:ascii="黑体" w:hAnsi="黑体" w:eastAsia="黑体"/>
              </w:rPr>
            </w:pPr>
            <w:r>
              <w:rPr>
                <w:rFonts w:ascii="黑体" w:hAnsi="黑体" w:eastAsia="黑体"/>
              </w:rPr>
              <w:t>1</w:t>
            </w:r>
          </w:p>
        </w:tc>
        <w:tc>
          <w:tcPr>
            <w:tcW w:w="2971" w:type="dxa"/>
            <w:shd w:val="clear" w:color="auto" w:fill="auto"/>
          </w:tcPr>
          <w:p>
            <w:pPr>
              <w:spacing w:line="360" w:lineRule="auto"/>
              <w:rPr>
                <w:rFonts w:ascii="黑体" w:hAnsi="黑体" w:eastAsia="黑体"/>
              </w:rPr>
            </w:pPr>
          </w:p>
        </w:tc>
        <w:tc>
          <w:tcPr>
            <w:tcW w:w="1843" w:type="dxa"/>
            <w:shd w:val="clear" w:color="auto" w:fill="auto"/>
          </w:tcPr>
          <w:p>
            <w:pPr>
              <w:spacing w:line="360" w:lineRule="auto"/>
              <w:rPr>
                <w:rFonts w:ascii="黑体" w:hAnsi="黑体" w:eastAsia="黑体"/>
              </w:rPr>
            </w:pPr>
          </w:p>
        </w:tc>
        <w:tc>
          <w:tcPr>
            <w:tcW w:w="1843" w:type="dxa"/>
            <w:shd w:val="clear" w:color="auto" w:fill="auto"/>
          </w:tcPr>
          <w:p>
            <w:pPr>
              <w:spacing w:line="360" w:lineRule="auto"/>
              <w:rPr>
                <w:rFonts w:ascii="黑体" w:hAnsi="黑体" w:eastAsia="黑体"/>
              </w:rPr>
            </w:pPr>
          </w:p>
        </w:tc>
        <w:tc>
          <w:tcPr>
            <w:tcW w:w="1190" w:type="dxa"/>
            <w:shd w:val="clear" w:color="auto" w:fill="auto"/>
          </w:tcPr>
          <w:p>
            <w:pPr>
              <w:spacing w:line="360" w:lineRule="auto"/>
              <w:rPr>
                <w:rFonts w:ascii="黑体" w:hAns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75" w:type="dxa"/>
            <w:shd w:val="clear" w:color="auto" w:fill="auto"/>
            <w:vAlign w:val="center"/>
          </w:tcPr>
          <w:p>
            <w:pPr>
              <w:spacing w:line="360" w:lineRule="auto"/>
              <w:jc w:val="center"/>
              <w:rPr>
                <w:rFonts w:ascii="黑体" w:hAnsi="黑体" w:eastAsia="黑体"/>
              </w:rPr>
            </w:pPr>
            <w:r>
              <w:rPr>
                <w:rFonts w:ascii="黑体" w:hAnsi="黑体" w:eastAsia="黑体"/>
              </w:rPr>
              <w:t>2</w:t>
            </w:r>
          </w:p>
        </w:tc>
        <w:tc>
          <w:tcPr>
            <w:tcW w:w="2971" w:type="dxa"/>
            <w:shd w:val="clear" w:color="auto" w:fill="auto"/>
          </w:tcPr>
          <w:p>
            <w:pPr>
              <w:spacing w:line="360" w:lineRule="auto"/>
              <w:rPr>
                <w:rFonts w:ascii="黑体" w:hAnsi="黑体" w:eastAsia="黑体"/>
              </w:rPr>
            </w:pPr>
          </w:p>
        </w:tc>
        <w:tc>
          <w:tcPr>
            <w:tcW w:w="1843" w:type="dxa"/>
            <w:shd w:val="clear" w:color="auto" w:fill="auto"/>
          </w:tcPr>
          <w:p>
            <w:pPr>
              <w:spacing w:line="360" w:lineRule="auto"/>
              <w:rPr>
                <w:rFonts w:ascii="黑体" w:hAnsi="黑体" w:eastAsia="黑体"/>
              </w:rPr>
            </w:pPr>
          </w:p>
        </w:tc>
        <w:tc>
          <w:tcPr>
            <w:tcW w:w="1843" w:type="dxa"/>
            <w:shd w:val="clear" w:color="auto" w:fill="auto"/>
          </w:tcPr>
          <w:p>
            <w:pPr>
              <w:spacing w:line="360" w:lineRule="auto"/>
              <w:rPr>
                <w:rFonts w:ascii="黑体" w:hAnsi="黑体" w:eastAsia="黑体"/>
              </w:rPr>
            </w:pPr>
          </w:p>
        </w:tc>
        <w:tc>
          <w:tcPr>
            <w:tcW w:w="1190" w:type="dxa"/>
            <w:shd w:val="clear" w:color="auto" w:fill="auto"/>
          </w:tcPr>
          <w:p>
            <w:pPr>
              <w:spacing w:line="360" w:lineRule="auto"/>
              <w:rPr>
                <w:rFonts w:ascii="黑体" w:hAns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75" w:type="dxa"/>
            <w:shd w:val="clear" w:color="auto" w:fill="auto"/>
            <w:vAlign w:val="center"/>
          </w:tcPr>
          <w:p>
            <w:pPr>
              <w:spacing w:line="360" w:lineRule="auto"/>
              <w:jc w:val="center"/>
              <w:rPr>
                <w:rFonts w:ascii="黑体" w:hAnsi="黑体" w:eastAsia="黑体"/>
              </w:rPr>
            </w:pPr>
            <w:r>
              <w:rPr>
                <w:rFonts w:ascii="黑体" w:hAnsi="黑体" w:eastAsia="黑体"/>
              </w:rPr>
              <w:t>3</w:t>
            </w:r>
          </w:p>
        </w:tc>
        <w:tc>
          <w:tcPr>
            <w:tcW w:w="2971" w:type="dxa"/>
            <w:shd w:val="clear" w:color="auto" w:fill="auto"/>
          </w:tcPr>
          <w:p>
            <w:pPr>
              <w:spacing w:line="360" w:lineRule="auto"/>
              <w:rPr>
                <w:rFonts w:ascii="黑体" w:hAnsi="黑体" w:eastAsia="黑体"/>
              </w:rPr>
            </w:pPr>
          </w:p>
        </w:tc>
        <w:tc>
          <w:tcPr>
            <w:tcW w:w="1843" w:type="dxa"/>
            <w:shd w:val="clear" w:color="auto" w:fill="auto"/>
          </w:tcPr>
          <w:p>
            <w:pPr>
              <w:spacing w:line="360" w:lineRule="auto"/>
              <w:rPr>
                <w:rFonts w:ascii="黑体" w:hAnsi="黑体" w:eastAsia="黑体"/>
              </w:rPr>
            </w:pPr>
          </w:p>
        </w:tc>
        <w:tc>
          <w:tcPr>
            <w:tcW w:w="1843" w:type="dxa"/>
            <w:shd w:val="clear" w:color="auto" w:fill="auto"/>
          </w:tcPr>
          <w:p>
            <w:pPr>
              <w:spacing w:line="360" w:lineRule="auto"/>
              <w:rPr>
                <w:rFonts w:ascii="黑体" w:hAnsi="黑体" w:eastAsia="黑体"/>
              </w:rPr>
            </w:pPr>
          </w:p>
        </w:tc>
        <w:tc>
          <w:tcPr>
            <w:tcW w:w="1190" w:type="dxa"/>
            <w:shd w:val="clear" w:color="auto" w:fill="auto"/>
          </w:tcPr>
          <w:p>
            <w:pPr>
              <w:spacing w:line="360" w:lineRule="auto"/>
              <w:rPr>
                <w:rFonts w:ascii="黑体" w:hAns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75" w:type="dxa"/>
            <w:shd w:val="clear" w:color="auto" w:fill="auto"/>
            <w:vAlign w:val="center"/>
          </w:tcPr>
          <w:p>
            <w:pPr>
              <w:spacing w:line="360" w:lineRule="auto"/>
              <w:jc w:val="center"/>
              <w:rPr>
                <w:rFonts w:ascii="黑体" w:hAnsi="黑体" w:eastAsia="黑体"/>
              </w:rPr>
            </w:pPr>
            <w:r>
              <w:rPr>
                <w:rFonts w:ascii="黑体" w:hAnsi="黑体" w:eastAsia="黑体"/>
              </w:rPr>
              <w:t>4</w:t>
            </w:r>
          </w:p>
        </w:tc>
        <w:tc>
          <w:tcPr>
            <w:tcW w:w="2971" w:type="dxa"/>
            <w:shd w:val="clear" w:color="auto" w:fill="auto"/>
          </w:tcPr>
          <w:p>
            <w:pPr>
              <w:spacing w:line="360" w:lineRule="auto"/>
              <w:rPr>
                <w:rFonts w:ascii="黑体" w:hAnsi="黑体" w:eastAsia="黑体"/>
              </w:rPr>
            </w:pPr>
          </w:p>
        </w:tc>
        <w:tc>
          <w:tcPr>
            <w:tcW w:w="1843" w:type="dxa"/>
            <w:shd w:val="clear" w:color="auto" w:fill="auto"/>
          </w:tcPr>
          <w:p>
            <w:pPr>
              <w:spacing w:line="360" w:lineRule="auto"/>
              <w:rPr>
                <w:rFonts w:ascii="黑体" w:hAnsi="黑体" w:eastAsia="黑体"/>
              </w:rPr>
            </w:pPr>
          </w:p>
        </w:tc>
        <w:tc>
          <w:tcPr>
            <w:tcW w:w="1843" w:type="dxa"/>
            <w:shd w:val="clear" w:color="auto" w:fill="auto"/>
          </w:tcPr>
          <w:p>
            <w:pPr>
              <w:spacing w:line="360" w:lineRule="auto"/>
              <w:rPr>
                <w:rFonts w:ascii="黑体" w:hAnsi="黑体" w:eastAsia="黑体"/>
              </w:rPr>
            </w:pPr>
          </w:p>
        </w:tc>
        <w:tc>
          <w:tcPr>
            <w:tcW w:w="1190" w:type="dxa"/>
            <w:shd w:val="clear" w:color="auto" w:fill="auto"/>
          </w:tcPr>
          <w:p>
            <w:pPr>
              <w:spacing w:line="360" w:lineRule="auto"/>
              <w:rPr>
                <w:rFonts w:ascii="黑体" w:hAns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75" w:type="dxa"/>
            <w:shd w:val="clear" w:color="auto" w:fill="auto"/>
            <w:vAlign w:val="center"/>
          </w:tcPr>
          <w:p>
            <w:pPr>
              <w:spacing w:line="360" w:lineRule="auto"/>
              <w:jc w:val="center"/>
              <w:rPr>
                <w:rFonts w:ascii="黑体" w:hAnsi="黑体" w:eastAsia="黑体"/>
              </w:rPr>
            </w:pPr>
            <w:r>
              <w:rPr>
                <w:rFonts w:ascii="黑体" w:hAnsi="黑体" w:eastAsia="黑体"/>
              </w:rPr>
              <w:t>…</w:t>
            </w:r>
          </w:p>
        </w:tc>
        <w:tc>
          <w:tcPr>
            <w:tcW w:w="2971" w:type="dxa"/>
            <w:shd w:val="clear" w:color="auto" w:fill="auto"/>
          </w:tcPr>
          <w:p>
            <w:pPr>
              <w:spacing w:line="360" w:lineRule="auto"/>
              <w:rPr>
                <w:rFonts w:ascii="黑体" w:hAnsi="黑体" w:eastAsia="黑体"/>
              </w:rPr>
            </w:pPr>
          </w:p>
        </w:tc>
        <w:tc>
          <w:tcPr>
            <w:tcW w:w="1843" w:type="dxa"/>
            <w:shd w:val="clear" w:color="auto" w:fill="auto"/>
          </w:tcPr>
          <w:p>
            <w:pPr>
              <w:spacing w:line="360" w:lineRule="auto"/>
              <w:rPr>
                <w:rFonts w:ascii="黑体" w:hAnsi="黑体" w:eastAsia="黑体"/>
              </w:rPr>
            </w:pPr>
          </w:p>
        </w:tc>
        <w:tc>
          <w:tcPr>
            <w:tcW w:w="1843" w:type="dxa"/>
            <w:shd w:val="clear" w:color="auto" w:fill="auto"/>
          </w:tcPr>
          <w:p>
            <w:pPr>
              <w:spacing w:line="360" w:lineRule="auto"/>
              <w:rPr>
                <w:rFonts w:ascii="黑体" w:hAnsi="黑体" w:eastAsia="黑体"/>
              </w:rPr>
            </w:pPr>
          </w:p>
        </w:tc>
        <w:tc>
          <w:tcPr>
            <w:tcW w:w="1190" w:type="dxa"/>
            <w:shd w:val="clear" w:color="auto" w:fill="auto"/>
          </w:tcPr>
          <w:p>
            <w:pPr>
              <w:spacing w:line="360" w:lineRule="auto"/>
              <w:rPr>
                <w:rFonts w:ascii="黑体" w:hAnsi="黑体" w:eastAsia="黑体"/>
              </w:rPr>
            </w:pPr>
          </w:p>
        </w:tc>
      </w:tr>
    </w:tbl>
    <w:p>
      <w:pPr>
        <w:spacing w:before="156" w:beforeLines="50" w:line="360" w:lineRule="auto"/>
        <w:rPr>
          <w:rFonts w:ascii="黑体" w:hAnsi="黑体" w:eastAsia="黑体"/>
        </w:rPr>
      </w:pPr>
      <w:r>
        <w:rPr>
          <w:rFonts w:hint="eastAsia" w:ascii="黑体" w:hAnsi="黑体" w:eastAsia="黑体"/>
        </w:rPr>
        <w:t>注明：</w:t>
      </w:r>
    </w:p>
    <w:p>
      <w:pPr>
        <w:pStyle w:val="30"/>
        <w:numPr>
          <w:ilvl w:val="0"/>
          <w:numId w:val="117"/>
        </w:numPr>
        <w:spacing w:line="360" w:lineRule="auto"/>
        <w:ind w:firstLineChars="0"/>
        <w:rPr>
          <w:rFonts w:ascii="黑体" w:hAnsi="黑体" w:eastAsia="黑体"/>
        </w:rPr>
      </w:pPr>
      <w:r>
        <w:rPr>
          <w:rFonts w:hint="eastAsia" w:ascii="黑体" w:hAnsi="黑体" w:eastAsia="黑体"/>
        </w:rPr>
        <w:t>响应供应商必须对应磋商文件“采购需求”中的实质性条款</w:t>
      </w:r>
      <w:r>
        <w:rPr>
          <w:rFonts w:ascii="黑体" w:hAnsi="黑体" w:eastAsia="黑体"/>
        </w:rPr>
        <w:t>(即★号条款)逐条应答并按要求填写表格</w:t>
      </w:r>
      <w:r>
        <w:rPr>
          <w:rFonts w:hint="eastAsia" w:ascii="黑体" w:hAnsi="黑体" w:eastAsia="黑体"/>
        </w:rPr>
        <w:t>；</w:t>
      </w:r>
    </w:p>
    <w:p>
      <w:pPr>
        <w:pStyle w:val="30"/>
        <w:numPr>
          <w:ilvl w:val="0"/>
          <w:numId w:val="117"/>
        </w:numPr>
        <w:spacing w:line="360" w:lineRule="auto"/>
        <w:ind w:firstLineChars="0"/>
        <w:rPr>
          <w:rFonts w:ascii="黑体" w:hAnsi="黑体" w:eastAsia="黑体"/>
        </w:rPr>
      </w:pPr>
      <w:r>
        <w:rPr>
          <w:rFonts w:hint="eastAsia" w:ascii="黑体" w:hAnsi="黑体" w:eastAsia="黑体"/>
        </w:rPr>
        <w:t>若磋商文件“采购需求”中的实质性条款中规定须提交相关证明文件的，须按要求提供，并作为附件附于表格后。未按要求提供或未提供完整的，视为负偏离处理。</w:t>
      </w:r>
    </w:p>
    <w:p>
      <w:pPr>
        <w:spacing w:line="360" w:lineRule="auto"/>
        <w:rPr>
          <w:rFonts w:ascii="黑体" w:hAnsi="黑体" w:eastAsia="黑体"/>
          <w:szCs w:val="21"/>
        </w:rPr>
      </w:pPr>
    </w:p>
    <w:p>
      <w:pPr>
        <w:spacing w:line="360" w:lineRule="auto"/>
        <w:rPr>
          <w:rFonts w:ascii="黑体" w:hAnsi="黑体" w:eastAsia="黑体"/>
          <w:szCs w:val="21"/>
        </w:rPr>
      </w:pPr>
    </w:p>
    <w:p>
      <w:pPr>
        <w:spacing w:line="360" w:lineRule="auto"/>
        <w:rPr>
          <w:rFonts w:ascii="黑体" w:hAnsi="黑体" w:eastAsia="黑体"/>
          <w:szCs w:val="21"/>
        </w:rPr>
      </w:pPr>
    </w:p>
    <w:tbl>
      <w:tblPr>
        <w:tblStyle w:val="23"/>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c>
          <w:tcPr>
            <w:tcW w:w="3173" w:type="dxa"/>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49" w:type="dxa"/>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3" w:type="dxa"/>
          </w:tcPr>
          <w:p>
            <w:pPr>
              <w:spacing w:line="360" w:lineRule="auto"/>
              <w:rPr>
                <w:rFonts w:ascii="黑体" w:hAnsi="黑体" w:eastAsia="黑体"/>
                <w:szCs w:val="21"/>
              </w:rPr>
            </w:pPr>
          </w:p>
        </w:tc>
      </w:tr>
    </w:tbl>
    <w:p>
      <w:pPr>
        <w:spacing w:line="360" w:lineRule="auto"/>
        <w:rPr>
          <w:rFonts w:ascii="黑体" w:hAnsi="黑体" w:eastAsia="黑体"/>
          <w:szCs w:val="21"/>
        </w:rPr>
      </w:pPr>
    </w:p>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43" w:name="_Toc21550"/>
      <w:r>
        <w:rPr>
          <w:rStyle w:val="25"/>
          <w:rFonts w:hint="eastAsia" w:ascii="黑体" w:hAnsi="黑体" w:eastAsia="黑体"/>
          <w:b/>
          <w:bCs/>
          <w:spacing w:val="12"/>
          <w:sz w:val="21"/>
        </w:rPr>
        <w:t>服务条款要求扣分明细响应表（可选）</w:t>
      </w:r>
      <w:bookmarkEnd w:id="243"/>
    </w:p>
    <w:p>
      <w:pPr>
        <w:spacing w:before="312" w:beforeLines="100" w:after="312" w:afterLines="100"/>
        <w:jc w:val="center"/>
        <w:rPr>
          <w:rFonts w:ascii="黑体" w:hAnsi="黑体" w:eastAsia="黑体"/>
          <w:b/>
          <w:spacing w:val="20"/>
          <w:sz w:val="30"/>
          <w:szCs w:val="30"/>
        </w:rPr>
      </w:pPr>
      <w:r>
        <w:rPr>
          <w:rFonts w:hint="eastAsia" w:ascii="黑体" w:hAnsi="黑体" w:eastAsia="黑体"/>
          <w:b/>
          <w:spacing w:val="20"/>
          <w:sz w:val="30"/>
          <w:szCs w:val="30"/>
        </w:rPr>
        <w:t>服务条款要求扣分明细响应表</w:t>
      </w:r>
    </w:p>
    <w:tbl>
      <w:tblPr>
        <w:tblStyle w:val="22"/>
        <w:tblW w:w="86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2410"/>
        <w:gridCol w:w="2745"/>
        <w:gridCol w:w="1932"/>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6" w:hRule="atLeast"/>
          <w:jc w:val="center"/>
        </w:trPr>
        <w:tc>
          <w:tcPr>
            <w:tcW w:w="459" w:type="dxa"/>
            <w:vAlign w:val="center"/>
          </w:tcPr>
          <w:p>
            <w:pPr>
              <w:jc w:val="center"/>
              <w:rPr>
                <w:rFonts w:ascii="黑体" w:hAnsi="黑体" w:eastAsia="黑体"/>
                <w:szCs w:val="21"/>
              </w:rPr>
            </w:pPr>
            <w:r>
              <w:rPr>
                <w:rFonts w:hint="eastAsia" w:ascii="黑体" w:hAnsi="黑体" w:eastAsia="黑体"/>
                <w:szCs w:val="21"/>
              </w:rPr>
              <w:t>序号</w:t>
            </w:r>
          </w:p>
        </w:tc>
        <w:tc>
          <w:tcPr>
            <w:tcW w:w="2410" w:type="dxa"/>
            <w:vAlign w:val="center"/>
          </w:tcPr>
          <w:p>
            <w:pPr>
              <w:jc w:val="center"/>
              <w:rPr>
                <w:rFonts w:ascii="黑体" w:hAnsi="黑体" w:eastAsia="黑体"/>
                <w:szCs w:val="21"/>
              </w:rPr>
            </w:pPr>
            <w:r>
              <w:rPr>
                <w:rFonts w:hint="eastAsia" w:ascii="黑体" w:hAnsi="黑体" w:eastAsia="黑体"/>
                <w:b/>
                <w:bCs/>
              </w:rPr>
              <w:t>采购需求</w:t>
            </w:r>
            <w:r>
              <w:rPr>
                <w:rFonts w:hint="eastAsia" w:ascii="黑体" w:hAnsi="黑体" w:eastAsia="黑体"/>
              </w:rPr>
              <w:t>服务条款要求</w:t>
            </w:r>
          </w:p>
        </w:tc>
        <w:tc>
          <w:tcPr>
            <w:tcW w:w="2745" w:type="dxa"/>
            <w:vAlign w:val="center"/>
          </w:tcPr>
          <w:p>
            <w:pPr>
              <w:spacing w:line="360" w:lineRule="auto"/>
              <w:jc w:val="center"/>
              <w:rPr>
                <w:rFonts w:ascii="黑体" w:hAnsi="黑体" w:eastAsia="黑体"/>
              </w:rPr>
            </w:pPr>
            <w:r>
              <w:rPr>
                <w:rFonts w:hint="eastAsia" w:ascii="黑体" w:hAnsi="黑体" w:eastAsia="黑体"/>
              </w:rPr>
              <w:t>供应商响应内容</w:t>
            </w:r>
          </w:p>
          <w:p>
            <w:pPr>
              <w:spacing w:line="360" w:lineRule="auto"/>
              <w:jc w:val="center"/>
              <w:rPr>
                <w:rFonts w:ascii="黑体" w:hAnsi="黑体" w:eastAsia="黑体"/>
                <w:szCs w:val="21"/>
              </w:rPr>
            </w:pPr>
            <w:r>
              <w:rPr>
                <w:rFonts w:ascii="黑体" w:hAnsi="黑体" w:eastAsia="黑体"/>
              </w:rPr>
              <w:t>(应按</w:t>
            </w:r>
            <w:r>
              <w:rPr>
                <w:rFonts w:hint="eastAsia" w:ascii="黑体" w:hAnsi="黑体" w:eastAsia="黑体"/>
              </w:rPr>
              <w:t>响应时的服务实际数据填写</w:t>
            </w:r>
            <w:r>
              <w:rPr>
                <w:rFonts w:ascii="黑体" w:hAnsi="黑体" w:eastAsia="黑体"/>
              </w:rPr>
              <w:t>)</w:t>
            </w:r>
          </w:p>
        </w:tc>
        <w:tc>
          <w:tcPr>
            <w:tcW w:w="1932" w:type="dxa"/>
            <w:vAlign w:val="center"/>
          </w:tcPr>
          <w:p>
            <w:pPr>
              <w:spacing w:line="360" w:lineRule="auto"/>
              <w:jc w:val="center"/>
              <w:rPr>
                <w:rFonts w:ascii="黑体" w:hAnsi="黑体" w:eastAsia="黑体"/>
              </w:rPr>
            </w:pPr>
            <w:r>
              <w:rPr>
                <w:rFonts w:hint="eastAsia" w:ascii="黑体" w:hAnsi="黑体" w:eastAsia="黑体"/>
              </w:rPr>
              <w:t>响应情况及说明</w:t>
            </w:r>
            <w:r>
              <w:rPr>
                <w:rFonts w:ascii="黑体" w:hAnsi="黑体" w:eastAsia="黑体"/>
              </w:rPr>
              <w:t>(正偏离/无偏离/负偏离)</w:t>
            </w:r>
          </w:p>
        </w:tc>
        <w:tc>
          <w:tcPr>
            <w:tcW w:w="1115" w:type="dxa"/>
            <w:vAlign w:val="center"/>
          </w:tcPr>
          <w:p>
            <w:pPr>
              <w:spacing w:line="360" w:lineRule="auto"/>
              <w:jc w:val="center"/>
              <w:rPr>
                <w:rFonts w:ascii="黑体" w:hAnsi="黑体" w:eastAsia="黑体"/>
              </w:rPr>
            </w:pPr>
            <w:r>
              <w:rPr>
                <w:rFonts w:hint="eastAsia" w:ascii="黑体" w:hAnsi="黑体" w:eastAsia="黑体"/>
              </w:rPr>
              <w:t>查阅</w:t>
            </w:r>
            <w:r>
              <w:rPr>
                <w:rFonts w:ascii="黑体" w:hAnsi="黑体" w:eastAsia="黑体"/>
              </w:rPr>
              <w:t>/证明文件索引页码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459" w:type="dxa"/>
            <w:vAlign w:val="center"/>
          </w:tcPr>
          <w:p>
            <w:pPr>
              <w:jc w:val="center"/>
              <w:rPr>
                <w:rFonts w:ascii="黑体" w:hAnsi="黑体" w:eastAsia="黑体"/>
                <w:szCs w:val="21"/>
              </w:rPr>
            </w:pPr>
            <w:r>
              <w:rPr>
                <w:rFonts w:ascii="黑体" w:hAnsi="黑体" w:eastAsia="黑体"/>
                <w:szCs w:val="21"/>
              </w:rPr>
              <w:t>1</w:t>
            </w:r>
          </w:p>
        </w:tc>
        <w:tc>
          <w:tcPr>
            <w:tcW w:w="2410" w:type="dxa"/>
            <w:vAlign w:val="center"/>
          </w:tcPr>
          <w:p>
            <w:pPr>
              <w:jc w:val="center"/>
              <w:rPr>
                <w:rFonts w:ascii="黑体" w:hAnsi="黑体" w:eastAsia="黑体"/>
                <w:szCs w:val="21"/>
              </w:rPr>
            </w:pPr>
          </w:p>
        </w:tc>
        <w:tc>
          <w:tcPr>
            <w:tcW w:w="2745" w:type="dxa"/>
            <w:vAlign w:val="center"/>
          </w:tcPr>
          <w:p>
            <w:pPr>
              <w:jc w:val="center"/>
              <w:rPr>
                <w:rFonts w:ascii="黑体" w:hAnsi="黑体" w:eastAsia="黑体"/>
                <w:szCs w:val="21"/>
              </w:rPr>
            </w:pPr>
          </w:p>
        </w:tc>
        <w:tc>
          <w:tcPr>
            <w:tcW w:w="1932" w:type="dxa"/>
            <w:vAlign w:val="center"/>
          </w:tcPr>
          <w:p>
            <w:pPr>
              <w:jc w:val="center"/>
              <w:rPr>
                <w:rFonts w:ascii="黑体" w:hAnsi="黑体" w:eastAsia="黑体"/>
                <w:szCs w:val="21"/>
              </w:rPr>
            </w:pPr>
          </w:p>
        </w:tc>
        <w:tc>
          <w:tcPr>
            <w:tcW w:w="1115" w:type="dxa"/>
            <w:vAlign w:val="center"/>
          </w:tcPr>
          <w:p>
            <w:pPr>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459" w:type="dxa"/>
            <w:vAlign w:val="center"/>
          </w:tcPr>
          <w:p>
            <w:pPr>
              <w:jc w:val="center"/>
              <w:rPr>
                <w:rFonts w:ascii="黑体" w:hAnsi="黑体" w:eastAsia="黑体"/>
                <w:szCs w:val="21"/>
              </w:rPr>
            </w:pPr>
            <w:r>
              <w:rPr>
                <w:rFonts w:ascii="黑体" w:hAnsi="黑体" w:eastAsia="黑体"/>
                <w:szCs w:val="21"/>
              </w:rPr>
              <w:t>2</w:t>
            </w:r>
          </w:p>
        </w:tc>
        <w:tc>
          <w:tcPr>
            <w:tcW w:w="2410" w:type="dxa"/>
            <w:vAlign w:val="center"/>
          </w:tcPr>
          <w:p>
            <w:pPr>
              <w:jc w:val="center"/>
              <w:rPr>
                <w:rFonts w:ascii="黑体" w:hAnsi="黑体" w:eastAsia="黑体"/>
                <w:szCs w:val="21"/>
              </w:rPr>
            </w:pPr>
          </w:p>
        </w:tc>
        <w:tc>
          <w:tcPr>
            <w:tcW w:w="2745" w:type="dxa"/>
            <w:vAlign w:val="center"/>
          </w:tcPr>
          <w:p>
            <w:pPr>
              <w:jc w:val="center"/>
              <w:rPr>
                <w:rFonts w:ascii="黑体" w:hAnsi="黑体" w:eastAsia="黑体"/>
                <w:szCs w:val="21"/>
              </w:rPr>
            </w:pPr>
          </w:p>
        </w:tc>
        <w:tc>
          <w:tcPr>
            <w:tcW w:w="1932" w:type="dxa"/>
            <w:vAlign w:val="center"/>
          </w:tcPr>
          <w:p>
            <w:pPr>
              <w:jc w:val="center"/>
              <w:rPr>
                <w:rFonts w:ascii="黑体" w:hAnsi="黑体" w:eastAsia="黑体"/>
                <w:szCs w:val="21"/>
              </w:rPr>
            </w:pPr>
          </w:p>
        </w:tc>
        <w:tc>
          <w:tcPr>
            <w:tcW w:w="1115" w:type="dxa"/>
            <w:vAlign w:val="center"/>
          </w:tcPr>
          <w:p>
            <w:pPr>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59" w:type="dxa"/>
            <w:vAlign w:val="center"/>
          </w:tcPr>
          <w:p>
            <w:pPr>
              <w:jc w:val="center"/>
              <w:rPr>
                <w:rFonts w:ascii="黑体" w:hAnsi="黑体" w:eastAsia="黑体"/>
                <w:szCs w:val="21"/>
              </w:rPr>
            </w:pPr>
            <w:r>
              <w:rPr>
                <w:rFonts w:ascii="黑体" w:hAnsi="黑体" w:eastAsia="黑体"/>
                <w:szCs w:val="21"/>
              </w:rPr>
              <w:t>3</w:t>
            </w:r>
          </w:p>
        </w:tc>
        <w:tc>
          <w:tcPr>
            <w:tcW w:w="2410" w:type="dxa"/>
            <w:vAlign w:val="center"/>
          </w:tcPr>
          <w:p>
            <w:pPr>
              <w:jc w:val="center"/>
              <w:rPr>
                <w:rFonts w:ascii="黑体" w:hAnsi="黑体" w:eastAsia="黑体"/>
                <w:szCs w:val="21"/>
              </w:rPr>
            </w:pPr>
          </w:p>
        </w:tc>
        <w:tc>
          <w:tcPr>
            <w:tcW w:w="2745" w:type="dxa"/>
            <w:vAlign w:val="center"/>
          </w:tcPr>
          <w:p>
            <w:pPr>
              <w:jc w:val="center"/>
              <w:rPr>
                <w:rFonts w:ascii="黑体" w:hAnsi="黑体" w:eastAsia="黑体"/>
                <w:szCs w:val="21"/>
              </w:rPr>
            </w:pPr>
          </w:p>
        </w:tc>
        <w:tc>
          <w:tcPr>
            <w:tcW w:w="1932" w:type="dxa"/>
            <w:vAlign w:val="center"/>
          </w:tcPr>
          <w:p>
            <w:pPr>
              <w:jc w:val="center"/>
              <w:rPr>
                <w:rFonts w:ascii="黑体" w:hAnsi="黑体" w:eastAsia="黑体"/>
                <w:szCs w:val="21"/>
              </w:rPr>
            </w:pPr>
          </w:p>
        </w:tc>
        <w:tc>
          <w:tcPr>
            <w:tcW w:w="1115" w:type="dxa"/>
            <w:vAlign w:val="center"/>
          </w:tcPr>
          <w:p>
            <w:pPr>
              <w:jc w:val="center"/>
              <w:rPr>
                <w:rFonts w:ascii="黑体" w:hAnsi="黑体"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459" w:type="dxa"/>
            <w:vAlign w:val="center"/>
          </w:tcPr>
          <w:p>
            <w:pPr>
              <w:jc w:val="center"/>
              <w:rPr>
                <w:rFonts w:ascii="黑体" w:hAnsi="黑体" w:eastAsia="黑体"/>
                <w:szCs w:val="21"/>
              </w:rPr>
            </w:pPr>
            <w:r>
              <w:rPr>
                <w:rFonts w:ascii="黑体" w:hAnsi="黑体" w:eastAsia="黑体"/>
                <w:szCs w:val="21"/>
              </w:rPr>
              <w:t>…</w:t>
            </w:r>
          </w:p>
        </w:tc>
        <w:tc>
          <w:tcPr>
            <w:tcW w:w="2410" w:type="dxa"/>
            <w:vAlign w:val="center"/>
          </w:tcPr>
          <w:p>
            <w:pPr>
              <w:jc w:val="center"/>
              <w:rPr>
                <w:rFonts w:ascii="黑体" w:hAnsi="黑体" w:eastAsia="黑体"/>
                <w:szCs w:val="21"/>
              </w:rPr>
            </w:pPr>
          </w:p>
        </w:tc>
        <w:tc>
          <w:tcPr>
            <w:tcW w:w="2745" w:type="dxa"/>
            <w:vAlign w:val="center"/>
          </w:tcPr>
          <w:p>
            <w:pPr>
              <w:jc w:val="center"/>
              <w:rPr>
                <w:rFonts w:ascii="黑体" w:hAnsi="黑体" w:eastAsia="黑体"/>
                <w:szCs w:val="21"/>
              </w:rPr>
            </w:pPr>
          </w:p>
        </w:tc>
        <w:tc>
          <w:tcPr>
            <w:tcW w:w="1932" w:type="dxa"/>
            <w:vAlign w:val="center"/>
          </w:tcPr>
          <w:p>
            <w:pPr>
              <w:jc w:val="center"/>
              <w:rPr>
                <w:rFonts w:ascii="黑体" w:hAnsi="黑体" w:eastAsia="黑体"/>
                <w:szCs w:val="21"/>
              </w:rPr>
            </w:pPr>
          </w:p>
        </w:tc>
        <w:tc>
          <w:tcPr>
            <w:tcW w:w="1115" w:type="dxa"/>
            <w:vAlign w:val="center"/>
          </w:tcPr>
          <w:p>
            <w:pPr>
              <w:jc w:val="center"/>
              <w:rPr>
                <w:rFonts w:ascii="黑体" w:hAnsi="黑体" w:eastAsia="黑体"/>
                <w:szCs w:val="21"/>
              </w:rPr>
            </w:pPr>
          </w:p>
        </w:tc>
      </w:tr>
    </w:tbl>
    <w:p>
      <w:pPr>
        <w:spacing w:before="156" w:beforeLines="50" w:line="360" w:lineRule="auto"/>
        <w:rPr>
          <w:rFonts w:ascii="黑体" w:hAnsi="黑体" w:eastAsia="黑体"/>
        </w:rPr>
      </w:pPr>
      <w:r>
        <w:rPr>
          <w:rFonts w:hint="eastAsia" w:ascii="黑体" w:hAnsi="黑体" w:eastAsia="黑体"/>
        </w:rPr>
        <w:t>注明：</w:t>
      </w:r>
    </w:p>
    <w:p>
      <w:pPr>
        <w:pStyle w:val="30"/>
        <w:numPr>
          <w:ilvl w:val="0"/>
          <w:numId w:val="118"/>
        </w:numPr>
        <w:spacing w:line="360" w:lineRule="auto"/>
        <w:ind w:firstLineChars="0"/>
        <w:rPr>
          <w:rFonts w:ascii="黑体" w:hAnsi="黑体" w:eastAsia="黑体"/>
          <w:spacing w:val="4"/>
        </w:rPr>
      </w:pPr>
      <w:r>
        <w:rPr>
          <w:rFonts w:hint="eastAsia" w:ascii="黑体" w:hAnsi="黑体" w:eastAsia="黑体"/>
          <w:spacing w:val="4"/>
        </w:rPr>
        <w:t>响应供应商必须对应磋商文件</w:t>
      </w:r>
      <w:r>
        <w:rPr>
          <w:rFonts w:hint="eastAsia" w:ascii="黑体" w:hAnsi="黑体" w:eastAsia="黑体"/>
          <w:spacing w:val="4"/>
          <w:szCs w:val="21"/>
        </w:rPr>
        <w:t>“采购需求”要求的服务内容</w:t>
      </w:r>
      <w:r>
        <w:rPr>
          <w:rFonts w:hint="eastAsia" w:ascii="黑体" w:hAnsi="黑体" w:eastAsia="黑体"/>
          <w:spacing w:val="4"/>
        </w:rPr>
        <w:t>条款</w:t>
      </w:r>
      <w:r>
        <w:rPr>
          <w:rFonts w:ascii="黑体" w:hAnsi="黑体" w:eastAsia="黑体"/>
        </w:rPr>
        <w:t>(即▲号条款)</w:t>
      </w:r>
      <w:r>
        <w:rPr>
          <w:rFonts w:hint="eastAsia" w:ascii="黑体" w:hAnsi="黑体" w:eastAsia="黑体"/>
          <w:spacing w:val="4"/>
        </w:rPr>
        <w:t>逐条应答并按要求填写表格。</w:t>
      </w:r>
    </w:p>
    <w:p>
      <w:pPr>
        <w:pStyle w:val="30"/>
        <w:numPr>
          <w:ilvl w:val="0"/>
          <w:numId w:val="118"/>
        </w:numPr>
        <w:spacing w:line="360" w:lineRule="auto"/>
        <w:ind w:firstLineChars="0"/>
        <w:rPr>
          <w:rFonts w:ascii="黑体" w:hAnsi="黑体" w:eastAsia="黑体"/>
        </w:rPr>
      </w:pPr>
      <w:r>
        <w:rPr>
          <w:rFonts w:hint="eastAsia" w:ascii="黑体" w:hAnsi="黑体" w:eastAsia="黑体"/>
          <w:szCs w:val="21"/>
        </w:rPr>
        <w:t>需提供证明资料内容详见</w:t>
      </w:r>
      <w:r>
        <w:rPr>
          <w:rFonts w:hint="eastAsia" w:ascii="黑体" w:hAnsi="黑体" w:eastAsia="黑体"/>
          <w:szCs w:val="21"/>
          <w:u w:val="single"/>
        </w:rPr>
        <w:t>（磋商文件第五部分</w:t>
      </w:r>
      <w:r>
        <w:rPr>
          <w:rFonts w:ascii="黑体" w:hAnsi="黑体" w:eastAsia="黑体"/>
          <w:szCs w:val="21"/>
          <w:u w:val="single"/>
        </w:rPr>
        <w:t xml:space="preserve"> </w:t>
      </w:r>
      <w:r>
        <w:rPr>
          <w:rFonts w:hint="eastAsia" w:ascii="黑体" w:hAnsi="黑体" w:eastAsia="黑体"/>
          <w:szCs w:val="21"/>
          <w:u w:val="single"/>
        </w:rPr>
        <w:t>评审方法、步骤、标准之</w:t>
      </w:r>
      <w:r>
        <w:rPr>
          <w:rFonts w:hint="eastAsia" w:ascii="黑体" w:hAnsi="黑体" w:eastAsia="黑体"/>
          <w:kern w:val="0"/>
          <w:szCs w:val="21"/>
          <w:u w:val="single"/>
        </w:rPr>
        <w:t>附表二</w:t>
      </w:r>
      <w:r>
        <w:rPr>
          <w:rFonts w:hint="eastAsia" w:ascii="黑体" w:hAnsi="黑体" w:eastAsia="黑体"/>
          <w:szCs w:val="21"/>
          <w:u w:val="single"/>
        </w:rPr>
        <w:t>详细评审表相对应条款）</w:t>
      </w:r>
      <w:r>
        <w:rPr>
          <w:rFonts w:hint="eastAsia" w:ascii="黑体" w:hAnsi="黑体" w:eastAsia="黑体"/>
          <w:szCs w:val="21"/>
        </w:rPr>
        <w:t>，提供的证明资料</w:t>
      </w:r>
      <w:r>
        <w:rPr>
          <w:rFonts w:hint="eastAsia" w:ascii="黑体" w:hAnsi="黑体" w:eastAsia="黑体"/>
        </w:rPr>
        <w:t>作为附件附于表格后。未按要求提供或未提供完整的，视为负偏离处理。</w:t>
      </w:r>
    </w:p>
    <w:p>
      <w:pPr>
        <w:spacing w:line="360" w:lineRule="auto"/>
        <w:rPr>
          <w:rFonts w:ascii="黑体" w:hAnsi="黑体" w:eastAsia="黑体"/>
          <w:szCs w:val="21"/>
        </w:rPr>
      </w:pPr>
    </w:p>
    <w:p>
      <w:pPr>
        <w:spacing w:line="360" w:lineRule="auto"/>
        <w:rPr>
          <w:rFonts w:ascii="黑体" w:hAnsi="黑体" w:eastAsia="黑体"/>
          <w:szCs w:val="21"/>
        </w:rPr>
      </w:pPr>
    </w:p>
    <w:p>
      <w:pPr>
        <w:spacing w:line="360" w:lineRule="auto"/>
        <w:rPr>
          <w:rFonts w:ascii="黑体" w:hAnsi="黑体" w:eastAsia="黑体"/>
          <w:szCs w:val="21"/>
        </w:rPr>
      </w:pPr>
    </w:p>
    <w:tbl>
      <w:tblPr>
        <w:tblStyle w:val="23"/>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c>
          <w:tcPr>
            <w:tcW w:w="3173" w:type="dxa"/>
          </w:tcPr>
          <w:p>
            <w:pPr>
              <w:spacing w:line="360" w:lineRule="auto"/>
              <w:rPr>
                <w:rFonts w:ascii="黑体" w:hAnsi="黑体" w:eastAsia="黑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3" w:type="dxa"/>
          </w:tcPr>
          <w:p>
            <w:pPr>
              <w:spacing w:line="360" w:lineRule="auto"/>
              <w:rPr>
                <w:rFonts w:ascii="黑体" w:hAnsi="黑体" w:eastAsia="黑体"/>
                <w:szCs w:val="21"/>
              </w:rPr>
            </w:pPr>
          </w:p>
        </w:tc>
      </w:tr>
    </w:tbl>
    <w:p>
      <w:pPr>
        <w:spacing w:line="360" w:lineRule="auto"/>
        <w:rPr>
          <w:rFonts w:ascii="黑体" w:hAnsi="黑体" w:eastAsia="黑体"/>
          <w:szCs w:val="21"/>
        </w:rPr>
      </w:pPr>
    </w:p>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44" w:name="_Toc30585"/>
      <w:r>
        <w:rPr>
          <w:rStyle w:val="25"/>
          <w:rFonts w:hint="eastAsia" w:ascii="黑体" w:hAnsi="黑体" w:eastAsia="黑体"/>
          <w:b/>
          <w:bCs/>
          <w:spacing w:val="12"/>
          <w:sz w:val="21"/>
        </w:rPr>
        <w:t>中小企业声明函（如需）</w:t>
      </w:r>
      <w:bookmarkEnd w:id="244"/>
    </w:p>
    <w:p>
      <w:pPr>
        <w:spacing w:before="312" w:beforeLines="10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中小企业声明函（工程、服务）</w:t>
      </w:r>
    </w:p>
    <w:p>
      <w:pPr>
        <w:spacing w:line="360" w:lineRule="auto"/>
        <w:ind w:firstLine="420" w:firstLineChars="200"/>
        <w:rPr>
          <w:rFonts w:ascii="黑体" w:hAnsi="黑体" w:eastAsia="黑体"/>
          <w:szCs w:val="21"/>
        </w:rPr>
      </w:pPr>
      <w:r>
        <w:rPr>
          <w:rFonts w:hint="eastAsia" w:ascii="黑体" w:hAnsi="黑体" w:eastAsia="黑体"/>
          <w:szCs w:val="21"/>
        </w:rPr>
        <w:t>本公司（联合体）郑重声明，根据《政府采购促进中小企业发展管理办法》（财库﹝2020﹞46 号）的规定，本公司（联合体）参加</w:t>
      </w:r>
      <w:r>
        <w:rPr>
          <w:rFonts w:hint="eastAsia" w:ascii="黑体" w:hAnsi="黑体" w:eastAsia="黑体"/>
          <w:szCs w:val="21"/>
          <w:u w:val="single"/>
        </w:rPr>
        <w:t>（单位名称）</w:t>
      </w:r>
      <w:r>
        <w:rPr>
          <w:rFonts w:hint="eastAsia" w:ascii="黑体" w:hAnsi="黑体" w:eastAsia="黑体"/>
          <w:szCs w:val="21"/>
        </w:rPr>
        <w:t>的</w:t>
      </w:r>
      <w:r>
        <w:rPr>
          <w:rFonts w:hint="eastAsia" w:ascii="黑体" w:hAnsi="黑体" w:eastAsia="黑体"/>
          <w:szCs w:val="21"/>
          <w:u w:val="single"/>
        </w:rPr>
        <w:t>（项目名称）</w:t>
      </w:r>
      <w:r>
        <w:rPr>
          <w:rFonts w:hint="eastAsia" w:ascii="黑体" w:hAnsi="黑体" w:eastAsia="黑体"/>
          <w:szCs w:val="21"/>
        </w:rPr>
        <w:t>采购活动，工程的施工单位全部为符合政策要求的中小企业（或者：服务全部由符合政策要求的中小企业承接）。相关企业（含联合体中的中小企业、签订分包意向协议的中小企业）的具体情况如下：</w:t>
      </w:r>
    </w:p>
    <w:p>
      <w:pPr>
        <w:spacing w:line="360" w:lineRule="auto"/>
        <w:ind w:firstLine="420" w:firstLineChars="200"/>
        <w:rPr>
          <w:rFonts w:ascii="黑体" w:hAnsi="黑体" w:eastAsia="黑体"/>
          <w:szCs w:val="21"/>
        </w:rPr>
      </w:pPr>
      <w:r>
        <w:rPr>
          <w:rFonts w:hint="eastAsia" w:ascii="黑体" w:hAnsi="黑体" w:eastAsia="黑体"/>
          <w:szCs w:val="21"/>
        </w:rPr>
        <w:t>1.</w:t>
      </w:r>
      <w:r>
        <w:rPr>
          <w:rFonts w:hint="eastAsia" w:ascii="黑体" w:hAnsi="黑体" w:eastAsia="黑体"/>
          <w:szCs w:val="21"/>
          <w:u w:val="single"/>
        </w:rPr>
        <w:t>（标的名称）</w:t>
      </w:r>
      <w:r>
        <w:rPr>
          <w:rFonts w:hint="eastAsia" w:ascii="黑体" w:hAnsi="黑体" w:eastAsia="黑体"/>
          <w:szCs w:val="21"/>
        </w:rPr>
        <w:t>，属于</w:t>
      </w:r>
      <w:r>
        <w:rPr>
          <w:rFonts w:hint="eastAsia" w:ascii="黑体" w:hAnsi="黑体" w:eastAsia="黑体"/>
          <w:szCs w:val="21"/>
          <w:u w:val="single"/>
        </w:rPr>
        <w:t>（采购文件中明确的所属行业）</w:t>
      </w:r>
      <w:r>
        <w:rPr>
          <w:rFonts w:hint="eastAsia" w:ascii="黑体" w:hAnsi="黑体" w:eastAsia="黑体"/>
          <w:szCs w:val="21"/>
        </w:rPr>
        <w:t>；承建（承接）企业为</w:t>
      </w:r>
      <w:r>
        <w:rPr>
          <w:rFonts w:hint="eastAsia" w:ascii="黑体" w:hAnsi="黑体" w:eastAsia="黑体"/>
          <w:szCs w:val="21"/>
          <w:u w:val="single"/>
        </w:rPr>
        <w:t>（企业名称）</w:t>
      </w:r>
      <w:r>
        <w:rPr>
          <w:rFonts w:hint="eastAsia" w:ascii="黑体" w:hAnsi="黑体" w:eastAsia="黑体"/>
          <w:szCs w:val="21"/>
        </w:rPr>
        <w:t>，从业人员</w:t>
      </w:r>
      <w:r>
        <w:rPr>
          <w:rFonts w:hint="eastAsia" w:ascii="黑体" w:hAnsi="黑体" w:eastAsia="黑体"/>
          <w:szCs w:val="21"/>
          <w:u w:val="single"/>
        </w:rPr>
        <w:t xml:space="preserve">      </w:t>
      </w:r>
      <w:r>
        <w:rPr>
          <w:rFonts w:hint="eastAsia" w:ascii="黑体" w:hAnsi="黑体" w:eastAsia="黑体"/>
          <w:szCs w:val="21"/>
        </w:rPr>
        <w:t>人，营业收入为</w:t>
      </w:r>
      <w:r>
        <w:rPr>
          <w:rFonts w:hint="eastAsia" w:ascii="黑体" w:hAnsi="黑体" w:eastAsia="黑体"/>
          <w:szCs w:val="21"/>
          <w:u w:val="single"/>
        </w:rPr>
        <w:t xml:space="preserve">       </w:t>
      </w:r>
      <w:r>
        <w:rPr>
          <w:rFonts w:hint="eastAsia" w:ascii="黑体" w:hAnsi="黑体" w:eastAsia="黑体"/>
          <w:szCs w:val="21"/>
        </w:rPr>
        <w:t>万元，资产总额为</w:t>
      </w:r>
      <w:r>
        <w:rPr>
          <w:rFonts w:hint="eastAsia" w:ascii="黑体" w:hAnsi="黑体" w:eastAsia="黑体"/>
          <w:szCs w:val="21"/>
          <w:u w:val="single"/>
        </w:rPr>
        <w:t xml:space="preserve">      </w:t>
      </w:r>
      <w:r>
        <w:rPr>
          <w:rFonts w:hint="eastAsia" w:ascii="黑体" w:hAnsi="黑体" w:eastAsia="黑体"/>
          <w:szCs w:val="21"/>
        </w:rPr>
        <w:t>万元</w:t>
      </w:r>
      <w:r>
        <w:rPr>
          <w:rFonts w:hint="eastAsia" w:ascii="黑体" w:hAnsi="黑体" w:eastAsia="黑体"/>
          <w:szCs w:val="21"/>
          <w:vertAlign w:val="superscript"/>
        </w:rPr>
        <w:t>1</w:t>
      </w:r>
      <w:r>
        <w:rPr>
          <w:rFonts w:hint="eastAsia" w:ascii="黑体" w:hAnsi="黑体" w:eastAsia="黑体"/>
          <w:szCs w:val="21"/>
        </w:rPr>
        <w:t>，属于（中型企业、小型企业、微型企业）；</w:t>
      </w:r>
    </w:p>
    <w:p>
      <w:pPr>
        <w:spacing w:line="360" w:lineRule="auto"/>
        <w:ind w:firstLine="420" w:firstLineChars="200"/>
        <w:rPr>
          <w:rFonts w:ascii="黑体" w:hAnsi="黑体" w:eastAsia="黑体"/>
          <w:szCs w:val="21"/>
        </w:rPr>
      </w:pPr>
      <w:r>
        <w:rPr>
          <w:rFonts w:hint="eastAsia" w:ascii="黑体" w:hAnsi="黑体" w:eastAsia="黑体"/>
          <w:szCs w:val="21"/>
        </w:rPr>
        <w:t>2.</w:t>
      </w:r>
      <w:r>
        <w:rPr>
          <w:rFonts w:hint="eastAsia" w:ascii="黑体" w:hAnsi="黑体" w:eastAsia="黑体"/>
          <w:szCs w:val="21"/>
          <w:u w:val="single"/>
        </w:rPr>
        <w:t>（标的名称）</w:t>
      </w:r>
      <w:r>
        <w:rPr>
          <w:rFonts w:hint="eastAsia" w:ascii="黑体" w:hAnsi="黑体" w:eastAsia="黑体"/>
          <w:szCs w:val="21"/>
        </w:rPr>
        <w:t>，属于</w:t>
      </w:r>
      <w:r>
        <w:rPr>
          <w:rFonts w:hint="eastAsia" w:ascii="黑体" w:hAnsi="黑体" w:eastAsia="黑体"/>
          <w:szCs w:val="21"/>
          <w:u w:val="single"/>
        </w:rPr>
        <w:t>（采购文件中明确的所属行业）</w:t>
      </w:r>
      <w:r>
        <w:rPr>
          <w:rFonts w:hint="eastAsia" w:ascii="黑体" w:hAnsi="黑体" w:eastAsia="黑体"/>
          <w:szCs w:val="21"/>
        </w:rPr>
        <w:t>；承建（承接）企业为</w:t>
      </w:r>
      <w:r>
        <w:rPr>
          <w:rFonts w:hint="eastAsia" w:ascii="黑体" w:hAnsi="黑体" w:eastAsia="黑体"/>
          <w:szCs w:val="21"/>
          <w:u w:val="single"/>
        </w:rPr>
        <w:t>（企业名称）</w:t>
      </w:r>
      <w:r>
        <w:rPr>
          <w:rFonts w:hint="eastAsia" w:ascii="黑体" w:hAnsi="黑体" w:eastAsia="黑体"/>
          <w:szCs w:val="21"/>
        </w:rPr>
        <w:t>，从业人员</w:t>
      </w:r>
      <w:r>
        <w:rPr>
          <w:rFonts w:hint="eastAsia" w:ascii="黑体" w:hAnsi="黑体" w:eastAsia="黑体"/>
          <w:szCs w:val="21"/>
          <w:u w:val="single"/>
        </w:rPr>
        <w:t xml:space="preserve">      </w:t>
      </w:r>
      <w:r>
        <w:rPr>
          <w:rFonts w:hint="eastAsia" w:ascii="黑体" w:hAnsi="黑体" w:eastAsia="黑体"/>
          <w:szCs w:val="21"/>
        </w:rPr>
        <w:t>人，营业收入为</w:t>
      </w:r>
      <w:r>
        <w:rPr>
          <w:rFonts w:hint="eastAsia" w:ascii="黑体" w:hAnsi="黑体" w:eastAsia="黑体"/>
          <w:szCs w:val="21"/>
          <w:u w:val="single"/>
        </w:rPr>
        <w:t xml:space="preserve">      </w:t>
      </w:r>
      <w:r>
        <w:rPr>
          <w:rFonts w:hint="eastAsia" w:ascii="黑体" w:hAnsi="黑体" w:eastAsia="黑体"/>
          <w:szCs w:val="21"/>
        </w:rPr>
        <w:t>万元，资产总额为</w:t>
      </w:r>
      <w:r>
        <w:rPr>
          <w:rFonts w:hint="eastAsia" w:ascii="黑体" w:hAnsi="黑体" w:eastAsia="黑体"/>
          <w:szCs w:val="21"/>
          <w:u w:val="single"/>
        </w:rPr>
        <w:t xml:space="preserve">      </w:t>
      </w:r>
      <w:r>
        <w:rPr>
          <w:rFonts w:hint="eastAsia" w:ascii="黑体" w:hAnsi="黑体" w:eastAsia="黑体"/>
          <w:szCs w:val="21"/>
        </w:rPr>
        <w:t>万元，属于</w:t>
      </w:r>
      <w:r>
        <w:rPr>
          <w:rFonts w:hint="eastAsia" w:ascii="黑体" w:hAnsi="黑体" w:eastAsia="黑体"/>
          <w:szCs w:val="21"/>
          <w:u w:val="single"/>
        </w:rPr>
        <w:t>（中型企业、小型企业、微型企业）</w:t>
      </w:r>
      <w:r>
        <w:rPr>
          <w:rFonts w:hint="eastAsia" w:ascii="黑体" w:hAnsi="黑体" w:eastAsia="黑体"/>
          <w:szCs w:val="21"/>
        </w:rPr>
        <w:t>；</w:t>
      </w:r>
    </w:p>
    <w:p>
      <w:pPr>
        <w:spacing w:line="360" w:lineRule="auto"/>
        <w:rPr>
          <w:rFonts w:ascii="黑体" w:hAnsi="黑体" w:eastAsia="黑体"/>
          <w:szCs w:val="21"/>
        </w:rPr>
      </w:pPr>
      <w:r>
        <w:rPr>
          <w:rFonts w:hint="eastAsia" w:ascii="黑体" w:hAnsi="黑体" w:eastAsia="黑体"/>
          <w:szCs w:val="21"/>
        </w:rPr>
        <w:t>……</w:t>
      </w:r>
    </w:p>
    <w:p>
      <w:pPr>
        <w:spacing w:line="360" w:lineRule="auto"/>
        <w:ind w:firstLine="420" w:firstLineChars="200"/>
        <w:rPr>
          <w:rFonts w:ascii="黑体" w:hAnsi="黑体" w:eastAsia="黑体"/>
          <w:szCs w:val="21"/>
        </w:rPr>
      </w:pPr>
      <w:r>
        <w:rPr>
          <w:rFonts w:hint="eastAsia" w:ascii="黑体" w:hAnsi="黑体" w:eastAsia="黑体"/>
          <w:szCs w:val="21"/>
        </w:rPr>
        <w:t>以上企业，不属于大企业的分支机构，不存在控股股东为大企业的情形，也不存在与大企业的负责人为同一人的情形。</w:t>
      </w:r>
    </w:p>
    <w:p>
      <w:pPr>
        <w:spacing w:line="360" w:lineRule="auto"/>
        <w:ind w:firstLine="420" w:firstLineChars="200"/>
        <w:rPr>
          <w:rFonts w:ascii="黑体" w:hAnsi="黑体" w:eastAsia="黑体"/>
          <w:szCs w:val="21"/>
        </w:rPr>
      </w:pPr>
      <w:r>
        <w:rPr>
          <w:rFonts w:hint="eastAsia" w:ascii="黑体" w:hAnsi="黑体" w:eastAsia="黑体"/>
          <w:szCs w:val="21"/>
        </w:rPr>
        <w:t>本企业对上述声明内容的真实性负责。如有虚假，将依法承担相应责任。</w:t>
      </w:r>
    </w:p>
    <w:p>
      <w:pPr>
        <w:spacing w:line="360" w:lineRule="auto"/>
        <w:rPr>
          <w:rFonts w:ascii="黑体" w:hAnsi="黑体" w:eastAsia="黑体"/>
          <w:szCs w:val="21"/>
        </w:rPr>
      </w:pPr>
    </w:p>
    <w:p>
      <w:pPr>
        <w:spacing w:line="360" w:lineRule="auto"/>
        <w:ind w:right="420"/>
        <w:jc w:val="center"/>
        <w:rPr>
          <w:rFonts w:ascii="黑体" w:hAnsi="黑体" w:eastAsia="黑体"/>
          <w:szCs w:val="21"/>
        </w:rPr>
      </w:pPr>
    </w:p>
    <w:p>
      <w:pPr>
        <w:spacing w:before="312" w:beforeLines="100" w:line="360" w:lineRule="auto"/>
        <w:ind w:right="420"/>
        <w:jc w:val="center"/>
        <w:rPr>
          <w:rFonts w:ascii="黑体" w:hAnsi="黑体" w:eastAsia="黑体"/>
          <w:szCs w:val="21"/>
        </w:rPr>
      </w:pPr>
      <w:r>
        <w:rPr>
          <w:rFonts w:hint="eastAsia" w:ascii="黑体" w:hAnsi="黑体" w:eastAsia="黑体"/>
          <w:szCs w:val="21"/>
        </w:rPr>
        <w:t xml:space="preserve">         企业名称（盖章）：</w:t>
      </w:r>
    </w:p>
    <w:p>
      <w:pPr>
        <w:spacing w:line="360" w:lineRule="auto"/>
        <w:ind w:right="420" w:firstLine="4725" w:firstLineChars="2250"/>
        <w:rPr>
          <w:rFonts w:ascii="黑体" w:hAnsi="黑体" w:eastAsia="黑体"/>
          <w:szCs w:val="21"/>
        </w:rPr>
      </w:pPr>
      <w:r>
        <w:rPr>
          <w:rFonts w:hint="eastAsia" w:ascii="黑体" w:hAnsi="黑体" w:eastAsia="黑体"/>
          <w:szCs w:val="21"/>
        </w:rPr>
        <w:t>日期：</w:t>
      </w:r>
    </w:p>
    <w:p>
      <w:pPr>
        <w:spacing w:line="360" w:lineRule="auto"/>
        <w:ind w:right="420" w:firstLine="4725" w:firstLineChars="2250"/>
        <w:rPr>
          <w:rFonts w:ascii="黑体" w:hAnsi="黑体" w:eastAsia="黑体"/>
          <w:szCs w:val="21"/>
        </w:rPr>
      </w:pPr>
    </w:p>
    <w:p>
      <w:pPr>
        <w:spacing w:before="936" w:beforeLines="300" w:line="360" w:lineRule="auto"/>
        <w:ind w:right="-51"/>
        <w:jc w:val="left"/>
        <w:rPr>
          <w:rFonts w:ascii="黑体" w:hAnsi="黑体" w:eastAsia="黑体"/>
          <w:szCs w:val="21"/>
        </w:rPr>
      </w:pPr>
      <w:r>
        <w:rPr>
          <w:rFonts w:hint="eastAsia" w:ascii="黑体" w:hAnsi="黑体" w:eastAsia="黑体"/>
          <w:szCs w:val="21"/>
        </w:rPr>
        <w:t>1.从业人员、营业收入、资产总额填报上一年度数据，无上一年度数据的新成立企业可不填报。</w:t>
      </w:r>
    </w:p>
    <w:p>
      <w:pPr>
        <w:rPr>
          <w:rFonts w:ascii="黑体" w:hAnsi="黑体" w:eastAsia="黑体"/>
        </w:rPr>
      </w:pPr>
    </w:p>
    <w:p>
      <w:pPr>
        <w:rPr>
          <w:rFonts w:ascii="黑体" w:hAnsi="黑体" w:eastAsia="黑体"/>
        </w:rPr>
      </w:pPr>
    </w:p>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45" w:name="_Toc4946"/>
      <w:r>
        <w:rPr>
          <w:rStyle w:val="25"/>
          <w:rFonts w:hint="eastAsia" w:ascii="黑体" w:hAnsi="黑体" w:eastAsia="黑体"/>
          <w:b/>
          <w:bCs/>
          <w:spacing w:val="12"/>
          <w:sz w:val="21"/>
        </w:rPr>
        <w:t>残疾人福利性单位声明函（如需）</w:t>
      </w:r>
      <w:bookmarkEnd w:id="245"/>
    </w:p>
    <w:p>
      <w:pPr>
        <w:spacing w:before="312" w:beforeLines="10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残疾人福利性单位声明函</w:t>
      </w:r>
    </w:p>
    <w:p>
      <w:pPr>
        <w:spacing w:line="480" w:lineRule="auto"/>
        <w:ind w:firstLine="420" w:firstLineChars="200"/>
        <w:rPr>
          <w:rFonts w:ascii="黑体" w:hAnsi="黑体" w:eastAsia="黑体"/>
        </w:rPr>
      </w:pPr>
      <w:r>
        <w:rPr>
          <w:rFonts w:hint="eastAsia" w:ascii="黑体" w:hAnsi="黑体" w:eastAsia="黑体"/>
          <w:bCs/>
        </w:rPr>
        <w:t>本单位郑重声明，根据《财政部</w:t>
      </w:r>
      <w:r>
        <w:rPr>
          <w:rFonts w:ascii="黑体" w:hAnsi="黑体" w:eastAsia="黑体"/>
          <w:bCs/>
        </w:rPr>
        <w:t xml:space="preserve"> </w:t>
      </w:r>
      <w:r>
        <w:rPr>
          <w:rFonts w:hint="eastAsia" w:ascii="黑体" w:hAnsi="黑体" w:eastAsia="黑体"/>
          <w:bCs/>
        </w:rPr>
        <w:t>民政部</w:t>
      </w:r>
      <w:r>
        <w:rPr>
          <w:rFonts w:ascii="黑体" w:hAnsi="黑体" w:eastAsia="黑体"/>
          <w:bCs/>
        </w:rPr>
        <w:t xml:space="preserve"> </w:t>
      </w:r>
      <w:r>
        <w:rPr>
          <w:rFonts w:hint="eastAsia" w:ascii="黑体" w:hAnsi="黑体" w:eastAsia="黑体"/>
          <w:bCs/>
        </w:rPr>
        <w:t>中国残疾人联合会关于促进残疾人就业政府采购政策的通知》（财库〔</w:t>
      </w:r>
      <w:r>
        <w:rPr>
          <w:rFonts w:ascii="黑体" w:hAnsi="黑体" w:eastAsia="黑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rPr>
          <w:rFonts w:ascii="黑体" w:hAnsi="黑体" w:eastAsia="黑体"/>
        </w:rPr>
      </w:pPr>
      <w:r>
        <w:rPr>
          <w:rFonts w:hint="eastAsia" w:ascii="黑体" w:hAnsi="黑体" w:eastAsia="黑体"/>
        </w:rPr>
        <w:t>本单位对上述声明的真实性负责。如有虚假，将依法承担相应责任。</w:t>
      </w:r>
    </w:p>
    <w:p>
      <w:pPr>
        <w:spacing w:line="360" w:lineRule="auto"/>
        <w:rPr>
          <w:rFonts w:ascii="黑体" w:hAnsi="黑体" w:eastAsia="黑体"/>
        </w:rPr>
      </w:pPr>
    </w:p>
    <w:p>
      <w:pPr>
        <w:spacing w:line="360" w:lineRule="auto"/>
        <w:rPr>
          <w:rFonts w:ascii="黑体" w:hAnsi="黑体" w:eastAsia="黑体"/>
        </w:rPr>
      </w:pPr>
    </w:p>
    <w:p>
      <w:pPr>
        <w:spacing w:line="360" w:lineRule="auto"/>
        <w:rPr>
          <w:rFonts w:ascii="黑体" w:hAnsi="黑体" w:eastAsia="黑体"/>
        </w:rPr>
      </w:pPr>
    </w:p>
    <w:tbl>
      <w:tblPr>
        <w:tblStyle w:val="22"/>
        <w:tblW w:w="8522" w:type="dxa"/>
        <w:tblInd w:w="0" w:type="dxa"/>
        <w:tblLayout w:type="fixed"/>
        <w:tblCellMar>
          <w:top w:w="0" w:type="dxa"/>
          <w:left w:w="108" w:type="dxa"/>
          <w:bottom w:w="0" w:type="dxa"/>
          <w:right w:w="108" w:type="dxa"/>
        </w:tblCellMar>
      </w:tblPr>
      <w:tblGrid>
        <w:gridCol w:w="5349"/>
        <w:gridCol w:w="3173"/>
      </w:tblGrid>
      <w:tr>
        <w:tblPrEx>
          <w:tblCellMar>
            <w:top w:w="0" w:type="dxa"/>
            <w:left w:w="108" w:type="dxa"/>
            <w:bottom w:w="0" w:type="dxa"/>
            <w:right w:w="108" w:type="dxa"/>
          </w:tblCellMar>
        </w:tblPrEx>
        <w:tc>
          <w:tcPr>
            <w:tcW w:w="5349" w:type="dxa"/>
            <w:shd w:val="clear" w:color="auto" w:fill="auto"/>
          </w:tcPr>
          <w:p>
            <w:pPr>
              <w:overflowPunct w:val="0"/>
              <w:adjustRightInd w:val="0"/>
              <w:spacing w:line="360" w:lineRule="auto"/>
              <w:rPr>
                <w:rFonts w:ascii="黑体" w:hAnsi="黑体" w:eastAsia="黑体"/>
                <w:szCs w:val="21"/>
              </w:rPr>
            </w:pPr>
            <w:r>
              <w:rPr>
                <w:rFonts w:hint="eastAsia" w:ascii="黑体" w:hAnsi="黑体" w:eastAsia="黑体"/>
                <w:szCs w:val="21"/>
              </w:rPr>
              <w:t>响应供应商名称（加盖公章）：</w:t>
            </w:r>
            <w:r>
              <w:rPr>
                <w:rFonts w:ascii="黑体" w:hAnsi="黑体" w:eastAsia="黑体"/>
                <w:szCs w:val="21"/>
                <w:u w:val="single"/>
              </w:rPr>
              <w:t xml:space="preserve">                         </w:t>
            </w:r>
          </w:p>
        </w:tc>
        <w:tc>
          <w:tcPr>
            <w:tcW w:w="3173" w:type="dxa"/>
            <w:shd w:val="clear" w:color="auto" w:fill="auto"/>
          </w:tcPr>
          <w:p>
            <w:pPr>
              <w:spacing w:line="360" w:lineRule="auto"/>
              <w:rPr>
                <w:rFonts w:ascii="黑体" w:hAnsi="黑体" w:eastAsia="黑体"/>
                <w:szCs w:val="21"/>
              </w:rPr>
            </w:pPr>
          </w:p>
        </w:tc>
      </w:tr>
      <w:tr>
        <w:tc>
          <w:tcPr>
            <w:tcW w:w="5349" w:type="dxa"/>
            <w:shd w:val="clear" w:color="auto" w:fill="auto"/>
          </w:tcPr>
          <w:p>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3" w:type="dxa"/>
            <w:shd w:val="clear" w:color="auto" w:fill="auto"/>
          </w:tcPr>
          <w:p>
            <w:pPr>
              <w:spacing w:line="360" w:lineRule="auto"/>
              <w:rPr>
                <w:rFonts w:ascii="黑体" w:hAnsi="黑体" w:eastAsia="黑体"/>
                <w:szCs w:val="21"/>
              </w:rPr>
            </w:pPr>
          </w:p>
        </w:tc>
      </w:tr>
    </w:tbl>
    <w:p>
      <w:pPr>
        <w:rPr>
          <w:rFonts w:ascii="黑体" w:hAnsi="黑体" w:eastAsia="黑体"/>
        </w:rPr>
      </w:pPr>
    </w:p>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46" w:name="_Toc15818"/>
      <w:r>
        <w:rPr>
          <w:rStyle w:val="25"/>
          <w:rFonts w:hint="eastAsia" w:ascii="黑体" w:hAnsi="黑体" w:eastAsia="黑体"/>
          <w:b/>
          <w:bCs/>
          <w:spacing w:val="12"/>
          <w:sz w:val="21"/>
        </w:rPr>
        <w:t>监狱企业的证明文件（如需）</w:t>
      </w:r>
      <w:bookmarkEnd w:id="246"/>
    </w:p>
    <w:p>
      <w:pPr>
        <w:rPr>
          <w:rFonts w:ascii="黑体" w:hAnsi="黑体" w:eastAsia="黑体"/>
        </w:rPr>
      </w:pPr>
    </w:p>
    <w:p>
      <w:pPr>
        <w:spacing w:before="312" w:beforeLines="10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监狱企业的证明文件</w:t>
      </w:r>
    </w:p>
    <w:p>
      <w:pPr>
        <w:spacing w:line="440" w:lineRule="exact"/>
        <w:rPr>
          <w:rFonts w:ascii="黑体" w:hAnsi="黑体" w:eastAsia="黑体"/>
        </w:rPr>
      </w:pPr>
      <w:r>
        <w:rPr>
          <w:rFonts w:hint="eastAsia" w:ascii="黑体" w:hAnsi="黑体" w:eastAsia="黑体"/>
        </w:rPr>
        <w:t>说明：监狱企业参加政府采购活动时，应当提供由省级以上监狱管理局、戒毒管理局（含新疆生产建设兵团）出具的属于监狱企业的证明文件并加盖供应商公章。</w:t>
      </w:r>
    </w:p>
    <w:p>
      <w:pPr>
        <w:spacing w:line="440" w:lineRule="exact"/>
        <w:rPr>
          <w:rFonts w:ascii="黑体" w:hAnsi="黑体" w:eastAsia="黑体"/>
          <w:u w:val="single"/>
        </w:rPr>
      </w:pPr>
    </w:p>
    <w:p>
      <w:pPr>
        <w:ind w:firstLine="420" w:firstLineChars="200"/>
        <w:rPr>
          <w:rFonts w:ascii="黑体" w:hAnsi="黑体" w:eastAsia="黑体"/>
        </w:rPr>
      </w:pPr>
    </w:p>
    <w:p>
      <w:pPr>
        <w:pStyle w:val="4"/>
        <w:keepNext w:val="0"/>
        <w:keepLines w:val="0"/>
        <w:pageBreakBefore/>
        <w:numPr>
          <w:ilvl w:val="0"/>
          <w:numId w:val="109"/>
        </w:numPr>
        <w:spacing w:line="415" w:lineRule="auto"/>
        <w:jc w:val="left"/>
        <w:rPr>
          <w:rStyle w:val="25"/>
          <w:rFonts w:ascii="黑体" w:hAnsi="黑体" w:eastAsia="黑体"/>
          <w:b/>
          <w:bCs/>
          <w:spacing w:val="12"/>
          <w:sz w:val="21"/>
        </w:rPr>
      </w:pPr>
      <w:bookmarkStart w:id="247" w:name="_Toc22219"/>
      <w:bookmarkStart w:id="248" w:name="_Hlk46687984"/>
      <w:r>
        <w:rPr>
          <w:rStyle w:val="25"/>
          <w:rFonts w:hint="eastAsia" w:ascii="黑体" w:hAnsi="黑体" w:eastAsia="黑体"/>
          <w:b/>
          <w:bCs/>
          <w:spacing w:val="12"/>
          <w:sz w:val="21"/>
        </w:rPr>
        <w:t>政策适用性说明（如需）</w:t>
      </w:r>
      <w:bookmarkEnd w:id="247"/>
    </w:p>
    <w:p>
      <w:pPr>
        <w:spacing w:before="312" w:beforeLines="10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政策适用性说明</w:t>
      </w:r>
    </w:p>
    <w:p>
      <w:pPr>
        <w:spacing w:after="156" w:afterLines="50" w:line="360" w:lineRule="auto"/>
        <w:rPr>
          <w:rFonts w:ascii="黑体" w:hAnsi="黑体" w:eastAsia="黑体"/>
          <w:bCs/>
          <w:szCs w:val="21"/>
          <w:lang w:val="zh-CN"/>
        </w:rPr>
      </w:pPr>
      <w:r>
        <w:rPr>
          <w:rFonts w:hint="eastAsia" w:ascii="黑体" w:hAnsi="黑体" w:eastAsia="黑体"/>
          <w:bCs/>
          <w:szCs w:val="21"/>
          <w:lang w:val="zh-CN"/>
        </w:rPr>
        <w:t>按照政府采购有关政策的要求，在本次的技术方案中，采用符合政策的小型或微型企业产品、节能产品、环保标志产品，主要产品与核心技术介绍说明如下：</w:t>
      </w:r>
    </w:p>
    <w:tbl>
      <w:tblPr>
        <w:tblStyle w:val="2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
        <w:gridCol w:w="2124"/>
        <w:gridCol w:w="992"/>
        <w:gridCol w:w="994"/>
        <w:gridCol w:w="712"/>
        <w:gridCol w:w="852"/>
        <w:gridCol w:w="844"/>
        <w:gridCol w:w="1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392" w:type="dxa"/>
            <w:vAlign w:val="center"/>
          </w:tcPr>
          <w:p>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序号</w:t>
            </w:r>
          </w:p>
        </w:tc>
        <w:tc>
          <w:tcPr>
            <w:tcW w:w="2124" w:type="dxa"/>
            <w:vAlign w:val="center"/>
          </w:tcPr>
          <w:p>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主要产品</w:t>
            </w:r>
            <w:r>
              <w:rPr>
                <w:rFonts w:ascii="黑体" w:hAnsi="黑体" w:eastAsia="黑体"/>
                <w:szCs w:val="21"/>
                <w:lang w:val="en-GB"/>
              </w:rPr>
              <w:t>/技术名称</w:t>
            </w:r>
          </w:p>
          <w:p>
            <w:pPr>
              <w:tabs>
                <w:tab w:val="left" w:pos="1260"/>
              </w:tabs>
              <w:ind w:left="-53" w:leftChars="-25" w:right="-53" w:rightChars="-25"/>
              <w:jc w:val="center"/>
              <w:rPr>
                <w:rFonts w:ascii="黑体" w:hAnsi="黑体" w:eastAsia="黑体"/>
                <w:szCs w:val="21"/>
                <w:lang w:val="en-GB"/>
              </w:rPr>
            </w:pPr>
            <w:r>
              <w:rPr>
                <w:rFonts w:ascii="黑体" w:hAnsi="黑体" w:eastAsia="黑体"/>
                <w:spacing w:val="-6"/>
                <w:szCs w:val="21"/>
                <w:lang w:val="en-GB"/>
              </w:rPr>
              <w:t>(规格型号、注册商标)</w:t>
            </w:r>
          </w:p>
        </w:tc>
        <w:tc>
          <w:tcPr>
            <w:tcW w:w="992" w:type="dxa"/>
            <w:vAlign w:val="center"/>
          </w:tcPr>
          <w:p>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制造商</w:t>
            </w:r>
            <w:r>
              <w:rPr>
                <w:rFonts w:ascii="黑体" w:hAnsi="黑体" w:eastAsia="黑体"/>
                <w:szCs w:val="21"/>
                <w:lang w:val="en-GB"/>
              </w:rPr>
              <w:br w:type="textWrapping"/>
            </w:r>
            <w:r>
              <w:rPr>
                <w:rFonts w:ascii="黑体" w:hAnsi="黑体" w:eastAsia="黑体"/>
                <w:spacing w:val="-6"/>
                <w:szCs w:val="21"/>
                <w:lang w:val="en-GB"/>
              </w:rPr>
              <w:t>(开发商)</w:t>
            </w:r>
          </w:p>
        </w:tc>
        <w:tc>
          <w:tcPr>
            <w:tcW w:w="994" w:type="dxa"/>
            <w:vAlign w:val="center"/>
          </w:tcPr>
          <w:p>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制造商</w:t>
            </w:r>
            <w:r>
              <w:rPr>
                <w:rFonts w:ascii="黑体" w:hAnsi="黑体" w:eastAsia="黑体"/>
                <w:szCs w:val="21"/>
                <w:lang w:val="en-GB"/>
              </w:rPr>
              <w:br w:type="textWrapping"/>
            </w:r>
            <w:r>
              <w:rPr>
                <w:rFonts w:hint="eastAsia" w:ascii="黑体" w:hAnsi="黑体" w:eastAsia="黑体"/>
                <w:spacing w:val="-8"/>
                <w:szCs w:val="21"/>
                <w:lang w:val="en-GB"/>
              </w:rPr>
              <w:t>企业类型</w:t>
            </w:r>
          </w:p>
        </w:tc>
        <w:tc>
          <w:tcPr>
            <w:tcW w:w="712" w:type="dxa"/>
            <w:vAlign w:val="center"/>
          </w:tcPr>
          <w:p>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节能</w:t>
            </w:r>
            <w:r>
              <w:rPr>
                <w:rFonts w:ascii="黑体" w:hAnsi="黑体" w:eastAsia="黑体"/>
                <w:szCs w:val="21"/>
                <w:lang w:val="en-GB"/>
              </w:rPr>
              <w:br w:type="textWrapping"/>
            </w:r>
            <w:r>
              <w:rPr>
                <w:rFonts w:hint="eastAsia" w:ascii="黑体" w:hAnsi="黑体" w:eastAsia="黑体"/>
                <w:szCs w:val="21"/>
                <w:lang w:val="en-GB"/>
              </w:rPr>
              <w:t>产品</w:t>
            </w:r>
          </w:p>
        </w:tc>
        <w:tc>
          <w:tcPr>
            <w:tcW w:w="852" w:type="dxa"/>
            <w:vAlign w:val="center"/>
          </w:tcPr>
          <w:p>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环保标</w:t>
            </w:r>
          </w:p>
          <w:p>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志产品</w:t>
            </w:r>
          </w:p>
        </w:tc>
        <w:tc>
          <w:tcPr>
            <w:tcW w:w="844" w:type="dxa"/>
            <w:vAlign w:val="center"/>
          </w:tcPr>
          <w:p>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认证证</w:t>
            </w:r>
          </w:p>
          <w:p>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书编号</w:t>
            </w:r>
          </w:p>
        </w:tc>
        <w:tc>
          <w:tcPr>
            <w:tcW w:w="1612" w:type="dxa"/>
            <w:vAlign w:val="center"/>
          </w:tcPr>
          <w:p>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该产品报价在总报价中占比</w:t>
            </w:r>
            <w:r>
              <w:rPr>
                <w:rFonts w:ascii="黑体" w:hAnsi="黑体" w:eastAsia="黑体"/>
                <w:szCs w:val="21"/>
                <w:lang w:val="en-G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1</w:t>
            </w:r>
          </w:p>
        </w:tc>
        <w:tc>
          <w:tcPr>
            <w:tcW w:w="2124" w:type="dxa"/>
            <w:vAlign w:val="center"/>
          </w:tcPr>
          <w:p>
            <w:pPr>
              <w:tabs>
                <w:tab w:val="left" w:pos="1260"/>
              </w:tabs>
              <w:ind w:left="-53" w:leftChars="-25" w:right="-53" w:rightChars="-25"/>
              <w:jc w:val="center"/>
              <w:rPr>
                <w:rFonts w:ascii="黑体" w:hAnsi="黑体" w:eastAsia="黑体"/>
                <w:szCs w:val="21"/>
                <w:lang w:val="en-GB"/>
              </w:rPr>
            </w:pPr>
          </w:p>
        </w:tc>
        <w:tc>
          <w:tcPr>
            <w:tcW w:w="992" w:type="dxa"/>
            <w:vAlign w:val="center"/>
          </w:tcPr>
          <w:p>
            <w:pPr>
              <w:tabs>
                <w:tab w:val="left" w:pos="1260"/>
              </w:tabs>
              <w:ind w:left="-53" w:leftChars="-25" w:right="-53" w:rightChars="-25"/>
              <w:jc w:val="center"/>
              <w:rPr>
                <w:rFonts w:ascii="黑体" w:hAnsi="黑体" w:eastAsia="黑体"/>
                <w:szCs w:val="21"/>
                <w:lang w:val="en-GB"/>
              </w:rPr>
            </w:pPr>
          </w:p>
        </w:tc>
        <w:tc>
          <w:tcPr>
            <w:tcW w:w="994" w:type="dxa"/>
            <w:vAlign w:val="center"/>
          </w:tcPr>
          <w:p>
            <w:pPr>
              <w:tabs>
                <w:tab w:val="left" w:pos="1260"/>
              </w:tabs>
              <w:ind w:left="-53" w:leftChars="-25" w:right="-53" w:rightChars="-25"/>
              <w:jc w:val="center"/>
              <w:rPr>
                <w:rFonts w:ascii="黑体" w:hAnsi="黑体" w:eastAsia="黑体"/>
                <w:szCs w:val="21"/>
                <w:lang w:val="en-GB"/>
              </w:rPr>
            </w:pPr>
          </w:p>
        </w:tc>
        <w:tc>
          <w:tcPr>
            <w:tcW w:w="712" w:type="dxa"/>
            <w:vAlign w:val="center"/>
          </w:tcPr>
          <w:p>
            <w:pPr>
              <w:tabs>
                <w:tab w:val="left" w:pos="1260"/>
              </w:tabs>
              <w:ind w:left="-53" w:leftChars="-25" w:right="-53" w:rightChars="-25"/>
              <w:jc w:val="center"/>
              <w:rPr>
                <w:rFonts w:ascii="黑体" w:hAnsi="黑体" w:eastAsia="黑体"/>
                <w:szCs w:val="21"/>
                <w:lang w:val="en-GB"/>
              </w:rPr>
            </w:pPr>
          </w:p>
        </w:tc>
        <w:tc>
          <w:tcPr>
            <w:tcW w:w="852" w:type="dxa"/>
            <w:vAlign w:val="center"/>
          </w:tcPr>
          <w:p>
            <w:pPr>
              <w:tabs>
                <w:tab w:val="left" w:pos="1260"/>
              </w:tabs>
              <w:ind w:left="-53" w:leftChars="-25" w:right="-53" w:rightChars="-25"/>
              <w:jc w:val="center"/>
              <w:rPr>
                <w:rFonts w:ascii="黑体" w:hAnsi="黑体" w:eastAsia="黑体"/>
                <w:szCs w:val="21"/>
                <w:lang w:val="en-GB"/>
              </w:rPr>
            </w:pPr>
          </w:p>
        </w:tc>
        <w:tc>
          <w:tcPr>
            <w:tcW w:w="844" w:type="dxa"/>
            <w:vAlign w:val="center"/>
          </w:tcPr>
          <w:p>
            <w:pPr>
              <w:tabs>
                <w:tab w:val="left" w:pos="1260"/>
              </w:tabs>
              <w:ind w:left="-53" w:leftChars="-25" w:right="-53" w:rightChars="-25"/>
              <w:jc w:val="center"/>
              <w:rPr>
                <w:rFonts w:ascii="黑体" w:hAnsi="黑体" w:eastAsia="黑体"/>
                <w:szCs w:val="21"/>
                <w:lang w:val="en-GB"/>
              </w:rPr>
            </w:pPr>
          </w:p>
        </w:tc>
        <w:tc>
          <w:tcPr>
            <w:tcW w:w="1612" w:type="dxa"/>
            <w:vAlign w:val="center"/>
          </w:tcPr>
          <w:p>
            <w:pPr>
              <w:tabs>
                <w:tab w:val="left" w:pos="1260"/>
              </w:tabs>
              <w:ind w:left="-53" w:leftChars="-25" w:right="-53" w:rightChars="-25"/>
              <w:jc w:val="center"/>
              <w:rPr>
                <w:rFonts w:ascii="黑体" w:hAnsi="黑体" w:eastAsia="黑体"/>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2</w:t>
            </w:r>
          </w:p>
        </w:tc>
        <w:tc>
          <w:tcPr>
            <w:tcW w:w="2124" w:type="dxa"/>
            <w:vAlign w:val="center"/>
          </w:tcPr>
          <w:p>
            <w:pPr>
              <w:tabs>
                <w:tab w:val="left" w:pos="1260"/>
              </w:tabs>
              <w:ind w:left="-53" w:leftChars="-25" w:right="-53" w:rightChars="-25"/>
              <w:jc w:val="center"/>
              <w:rPr>
                <w:rFonts w:ascii="黑体" w:hAnsi="黑体" w:eastAsia="黑体"/>
                <w:szCs w:val="21"/>
                <w:lang w:val="en-GB"/>
              </w:rPr>
            </w:pPr>
          </w:p>
        </w:tc>
        <w:tc>
          <w:tcPr>
            <w:tcW w:w="992" w:type="dxa"/>
            <w:vAlign w:val="center"/>
          </w:tcPr>
          <w:p>
            <w:pPr>
              <w:tabs>
                <w:tab w:val="left" w:pos="1260"/>
              </w:tabs>
              <w:ind w:left="-53" w:leftChars="-25" w:right="-53" w:rightChars="-25"/>
              <w:jc w:val="center"/>
              <w:rPr>
                <w:rFonts w:ascii="黑体" w:hAnsi="黑体" w:eastAsia="黑体"/>
                <w:szCs w:val="21"/>
                <w:lang w:val="en-GB"/>
              </w:rPr>
            </w:pPr>
          </w:p>
        </w:tc>
        <w:tc>
          <w:tcPr>
            <w:tcW w:w="994" w:type="dxa"/>
            <w:vAlign w:val="center"/>
          </w:tcPr>
          <w:p>
            <w:pPr>
              <w:tabs>
                <w:tab w:val="left" w:pos="1260"/>
              </w:tabs>
              <w:ind w:left="-53" w:leftChars="-25" w:right="-53" w:rightChars="-25"/>
              <w:jc w:val="center"/>
              <w:rPr>
                <w:rFonts w:ascii="黑体" w:hAnsi="黑体" w:eastAsia="黑体"/>
                <w:szCs w:val="21"/>
                <w:lang w:val="en-GB"/>
              </w:rPr>
            </w:pPr>
          </w:p>
        </w:tc>
        <w:tc>
          <w:tcPr>
            <w:tcW w:w="712" w:type="dxa"/>
            <w:vAlign w:val="center"/>
          </w:tcPr>
          <w:p>
            <w:pPr>
              <w:tabs>
                <w:tab w:val="left" w:pos="1260"/>
              </w:tabs>
              <w:ind w:left="-53" w:leftChars="-25" w:right="-53" w:rightChars="-25"/>
              <w:jc w:val="center"/>
              <w:rPr>
                <w:rFonts w:ascii="黑体" w:hAnsi="黑体" w:eastAsia="黑体"/>
                <w:szCs w:val="21"/>
                <w:lang w:val="en-GB"/>
              </w:rPr>
            </w:pPr>
          </w:p>
        </w:tc>
        <w:tc>
          <w:tcPr>
            <w:tcW w:w="852" w:type="dxa"/>
            <w:vAlign w:val="center"/>
          </w:tcPr>
          <w:p>
            <w:pPr>
              <w:tabs>
                <w:tab w:val="left" w:pos="1260"/>
              </w:tabs>
              <w:ind w:left="-53" w:leftChars="-25" w:right="-53" w:rightChars="-25"/>
              <w:jc w:val="center"/>
              <w:rPr>
                <w:rFonts w:ascii="黑体" w:hAnsi="黑体" w:eastAsia="黑体"/>
                <w:szCs w:val="21"/>
                <w:lang w:val="en-GB"/>
              </w:rPr>
            </w:pPr>
          </w:p>
        </w:tc>
        <w:tc>
          <w:tcPr>
            <w:tcW w:w="844" w:type="dxa"/>
            <w:vAlign w:val="center"/>
          </w:tcPr>
          <w:p>
            <w:pPr>
              <w:tabs>
                <w:tab w:val="left" w:pos="1260"/>
              </w:tabs>
              <w:ind w:left="-53" w:leftChars="-25" w:right="-53" w:rightChars="-25"/>
              <w:jc w:val="center"/>
              <w:rPr>
                <w:rFonts w:ascii="黑体" w:hAnsi="黑体" w:eastAsia="黑体"/>
                <w:szCs w:val="21"/>
                <w:lang w:val="en-GB"/>
              </w:rPr>
            </w:pPr>
          </w:p>
        </w:tc>
        <w:tc>
          <w:tcPr>
            <w:tcW w:w="1612" w:type="dxa"/>
            <w:vAlign w:val="center"/>
          </w:tcPr>
          <w:p>
            <w:pPr>
              <w:tabs>
                <w:tab w:val="left" w:pos="1260"/>
              </w:tabs>
              <w:ind w:left="-53" w:leftChars="-25" w:right="-53" w:rightChars="-25"/>
              <w:jc w:val="center"/>
              <w:rPr>
                <w:rFonts w:ascii="黑体" w:hAnsi="黑体" w:eastAsia="黑体"/>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3</w:t>
            </w:r>
          </w:p>
        </w:tc>
        <w:tc>
          <w:tcPr>
            <w:tcW w:w="2124" w:type="dxa"/>
            <w:vAlign w:val="center"/>
          </w:tcPr>
          <w:p>
            <w:pPr>
              <w:tabs>
                <w:tab w:val="left" w:pos="1260"/>
              </w:tabs>
              <w:ind w:left="-53" w:leftChars="-25" w:right="-53" w:rightChars="-25"/>
              <w:jc w:val="center"/>
              <w:rPr>
                <w:rFonts w:ascii="黑体" w:hAnsi="黑体" w:eastAsia="黑体"/>
                <w:szCs w:val="21"/>
                <w:lang w:val="en-GB"/>
              </w:rPr>
            </w:pPr>
          </w:p>
        </w:tc>
        <w:tc>
          <w:tcPr>
            <w:tcW w:w="992" w:type="dxa"/>
            <w:vAlign w:val="center"/>
          </w:tcPr>
          <w:p>
            <w:pPr>
              <w:tabs>
                <w:tab w:val="left" w:pos="1260"/>
              </w:tabs>
              <w:ind w:left="-53" w:leftChars="-25" w:right="-53" w:rightChars="-25"/>
              <w:jc w:val="center"/>
              <w:rPr>
                <w:rFonts w:ascii="黑体" w:hAnsi="黑体" w:eastAsia="黑体"/>
                <w:szCs w:val="21"/>
                <w:lang w:val="en-GB"/>
              </w:rPr>
            </w:pPr>
          </w:p>
        </w:tc>
        <w:tc>
          <w:tcPr>
            <w:tcW w:w="994" w:type="dxa"/>
            <w:vAlign w:val="center"/>
          </w:tcPr>
          <w:p>
            <w:pPr>
              <w:tabs>
                <w:tab w:val="left" w:pos="1260"/>
              </w:tabs>
              <w:ind w:left="-53" w:leftChars="-25" w:right="-53" w:rightChars="-25"/>
              <w:jc w:val="center"/>
              <w:rPr>
                <w:rFonts w:ascii="黑体" w:hAnsi="黑体" w:eastAsia="黑体"/>
                <w:szCs w:val="21"/>
                <w:lang w:val="en-GB"/>
              </w:rPr>
            </w:pPr>
          </w:p>
        </w:tc>
        <w:tc>
          <w:tcPr>
            <w:tcW w:w="712" w:type="dxa"/>
            <w:vAlign w:val="center"/>
          </w:tcPr>
          <w:p>
            <w:pPr>
              <w:tabs>
                <w:tab w:val="left" w:pos="1260"/>
              </w:tabs>
              <w:ind w:left="-53" w:leftChars="-25" w:right="-53" w:rightChars="-25"/>
              <w:jc w:val="center"/>
              <w:rPr>
                <w:rFonts w:ascii="黑体" w:hAnsi="黑体" w:eastAsia="黑体"/>
                <w:szCs w:val="21"/>
                <w:lang w:val="en-GB"/>
              </w:rPr>
            </w:pPr>
          </w:p>
        </w:tc>
        <w:tc>
          <w:tcPr>
            <w:tcW w:w="852" w:type="dxa"/>
            <w:vAlign w:val="center"/>
          </w:tcPr>
          <w:p>
            <w:pPr>
              <w:tabs>
                <w:tab w:val="left" w:pos="1260"/>
              </w:tabs>
              <w:ind w:left="-53" w:leftChars="-25" w:right="-53" w:rightChars="-25"/>
              <w:jc w:val="center"/>
              <w:rPr>
                <w:rFonts w:ascii="黑体" w:hAnsi="黑体" w:eastAsia="黑体"/>
                <w:szCs w:val="21"/>
                <w:lang w:val="en-GB"/>
              </w:rPr>
            </w:pPr>
          </w:p>
        </w:tc>
        <w:tc>
          <w:tcPr>
            <w:tcW w:w="844" w:type="dxa"/>
            <w:vAlign w:val="center"/>
          </w:tcPr>
          <w:p>
            <w:pPr>
              <w:tabs>
                <w:tab w:val="left" w:pos="1260"/>
              </w:tabs>
              <w:ind w:left="-53" w:leftChars="-25" w:right="-53" w:rightChars="-25"/>
              <w:jc w:val="center"/>
              <w:rPr>
                <w:rFonts w:ascii="黑体" w:hAnsi="黑体" w:eastAsia="黑体"/>
                <w:szCs w:val="21"/>
                <w:lang w:val="en-GB"/>
              </w:rPr>
            </w:pPr>
          </w:p>
        </w:tc>
        <w:tc>
          <w:tcPr>
            <w:tcW w:w="1612" w:type="dxa"/>
            <w:vAlign w:val="center"/>
          </w:tcPr>
          <w:p>
            <w:pPr>
              <w:tabs>
                <w:tab w:val="left" w:pos="1260"/>
              </w:tabs>
              <w:ind w:left="-53" w:leftChars="-25" w:right="-53" w:rightChars="-25"/>
              <w:jc w:val="center"/>
              <w:rPr>
                <w:rFonts w:ascii="黑体" w:hAnsi="黑体" w:eastAsia="黑体"/>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4</w:t>
            </w:r>
          </w:p>
        </w:tc>
        <w:tc>
          <w:tcPr>
            <w:tcW w:w="2124" w:type="dxa"/>
            <w:vAlign w:val="center"/>
          </w:tcPr>
          <w:p>
            <w:pPr>
              <w:tabs>
                <w:tab w:val="left" w:pos="1260"/>
              </w:tabs>
              <w:ind w:left="-53" w:leftChars="-25" w:right="-53" w:rightChars="-25"/>
              <w:jc w:val="center"/>
              <w:rPr>
                <w:rFonts w:ascii="黑体" w:hAnsi="黑体" w:eastAsia="黑体"/>
                <w:szCs w:val="21"/>
                <w:lang w:val="en-GB"/>
              </w:rPr>
            </w:pPr>
          </w:p>
        </w:tc>
        <w:tc>
          <w:tcPr>
            <w:tcW w:w="992" w:type="dxa"/>
            <w:vAlign w:val="center"/>
          </w:tcPr>
          <w:p>
            <w:pPr>
              <w:tabs>
                <w:tab w:val="left" w:pos="1260"/>
              </w:tabs>
              <w:ind w:left="-53" w:leftChars="-25" w:right="-53" w:rightChars="-25"/>
              <w:jc w:val="center"/>
              <w:rPr>
                <w:rFonts w:ascii="黑体" w:hAnsi="黑体" w:eastAsia="黑体"/>
                <w:szCs w:val="21"/>
                <w:lang w:val="en-GB"/>
              </w:rPr>
            </w:pPr>
          </w:p>
        </w:tc>
        <w:tc>
          <w:tcPr>
            <w:tcW w:w="994" w:type="dxa"/>
            <w:vAlign w:val="center"/>
          </w:tcPr>
          <w:p>
            <w:pPr>
              <w:tabs>
                <w:tab w:val="left" w:pos="1260"/>
              </w:tabs>
              <w:ind w:left="-53" w:leftChars="-25" w:right="-53" w:rightChars="-25"/>
              <w:jc w:val="center"/>
              <w:rPr>
                <w:rFonts w:ascii="黑体" w:hAnsi="黑体" w:eastAsia="黑体"/>
                <w:szCs w:val="21"/>
                <w:lang w:val="en-GB"/>
              </w:rPr>
            </w:pPr>
          </w:p>
        </w:tc>
        <w:tc>
          <w:tcPr>
            <w:tcW w:w="712" w:type="dxa"/>
            <w:vAlign w:val="center"/>
          </w:tcPr>
          <w:p>
            <w:pPr>
              <w:tabs>
                <w:tab w:val="left" w:pos="1260"/>
              </w:tabs>
              <w:ind w:left="-53" w:leftChars="-25" w:right="-53" w:rightChars="-25"/>
              <w:jc w:val="center"/>
              <w:rPr>
                <w:rFonts w:ascii="黑体" w:hAnsi="黑体" w:eastAsia="黑体"/>
                <w:szCs w:val="21"/>
                <w:lang w:val="en-GB"/>
              </w:rPr>
            </w:pPr>
          </w:p>
        </w:tc>
        <w:tc>
          <w:tcPr>
            <w:tcW w:w="852" w:type="dxa"/>
            <w:vAlign w:val="center"/>
          </w:tcPr>
          <w:p>
            <w:pPr>
              <w:tabs>
                <w:tab w:val="left" w:pos="1260"/>
              </w:tabs>
              <w:ind w:left="-53" w:leftChars="-25" w:right="-53" w:rightChars="-25"/>
              <w:jc w:val="center"/>
              <w:rPr>
                <w:rFonts w:ascii="黑体" w:hAnsi="黑体" w:eastAsia="黑体"/>
                <w:szCs w:val="21"/>
                <w:lang w:val="en-GB"/>
              </w:rPr>
            </w:pPr>
          </w:p>
        </w:tc>
        <w:tc>
          <w:tcPr>
            <w:tcW w:w="844" w:type="dxa"/>
            <w:vAlign w:val="center"/>
          </w:tcPr>
          <w:p>
            <w:pPr>
              <w:tabs>
                <w:tab w:val="left" w:pos="1260"/>
              </w:tabs>
              <w:ind w:left="-53" w:leftChars="-25" w:right="-53" w:rightChars="-25"/>
              <w:jc w:val="center"/>
              <w:rPr>
                <w:rFonts w:ascii="黑体" w:hAnsi="黑体" w:eastAsia="黑体"/>
                <w:szCs w:val="21"/>
                <w:lang w:val="en-GB"/>
              </w:rPr>
            </w:pPr>
          </w:p>
        </w:tc>
        <w:tc>
          <w:tcPr>
            <w:tcW w:w="1612" w:type="dxa"/>
            <w:vAlign w:val="center"/>
          </w:tcPr>
          <w:p>
            <w:pPr>
              <w:tabs>
                <w:tab w:val="left" w:pos="1260"/>
              </w:tabs>
              <w:ind w:left="-53" w:leftChars="-25" w:right="-53" w:rightChars="-25"/>
              <w:jc w:val="center"/>
              <w:rPr>
                <w:rFonts w:ascii="黑体" w:hAnsi="黑体" w:eastAsia="黑体"/>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5</w:t>
            </w:r>
          </w:p>
        </w:tc>
        <w:tc>
          <w:tcPr>
            <w:tcW w:w="2124" w:type="dxa"/>
            <w:vAlign w:val="center"/>
          </w:tcPr>
          <w:p>
            <w:pPr>
              <w:tabs>
                <w:tab w:val="left" w:pos="1260"/>
              </w:tabs>
              <w:ind w:left="-53" w:leftChars="-25" w:right="-53" w:rightChars="-25"/>
              <w:jc w:val="center"/>
              <w:rPr>
                <w:rFonts w:ascii="黑体" w:hAnsi="黑体" w:eastAsia="黑体"/>
                <w:szCs w:val="21"/>
                <w:lang w:val="en-GB"/>
              </w:rPr>
            </w:pPr>
          </w:p>
        </w:tc>
        <w:tc>
          <w:tcPr>
            <w:tcW w:w="992" w:type="dxa"/>
            <w:vAlign w:val="center"/>
          </w:tcPr>
          <w:p>
            <w:pPr>
              <w:tabs>
                <w:tab w:val="left" w:pos="1260"/>
              </w:tabs>
              <w:ind w:left="-53" w:leftChars="-25" w:right="-53" w:rightChars="-25"/>
              <w:jc w:val="center"/>
              <w:rPr>
                <w:rFonts w:ascii="黑体" w:hAnsi="黑体" w:eastAsia="黑体"/>
                <w:szCs w:val="21"/>
                <w:lang w:val="en-GB"/>
              </w:rPr>
            </w:pPr>
          </w:p>
        </w:tc>
        <w:tc>
          <w:tcPr>
            <w:tcW w:w="994" w:type="dxa"/>
            <w:vAlign w:val="center"/>
          </w:tcPr>
          <w:p>
            <w:pPr>
              <w:tabs>
                <w:tab w:val="left" w:pos="1260"/>
              </w:tabs>
              <w:ind w:left="-53" w:leftChars="-25" w:right="-53" w:rightChars="-25"/>
              <w:jc w:val="center"/>
              <w:rPr>
                <w:rFonts w:ascii="黑体" w:hAnsi="黑体" w:eastAsia="黑体"/>
                <w:szCs w:val="21"/>
                <w:lang w:val="en-GB"/>
              </w:rPr>
            </w:pPr>
          </w:p>
        </w:tc>
        <w:tc>
          <w:tcPr>
            <w:tcW w:w="712" w:type="dxa"/>
            <w:vAlign w:val="center"/>
          </w:tcPr>
          <w:p>
            <w:pPr>
              <w:tabs>
                <w:tab w:val="left" w:pos="1260"/>
              </w:tabs>
              <w:ind w:left="-53" w:leftChars="-25" w:right="-53" w:rightChars="-25"/>
              <w:jc w:val="center"/>
              <w:rPr>
                <w:rFonts w:ascii="黑体" w:hAnsi="黑体" w:eastAsia="黑体"/>
                <w:szCs w:val="21"/>
                <w:lang w:val="en-GB"/>
              </w:rPr>
            </w:pPr>
          </w:p>
        </w:tc>
        <w:tc>
          <w:tcPr>
            <w:tcW w:w="852" w:type="dxa"/>
            <w:vAlign w:val="center"/>
          </w:tcPr>
          <w:p>
            <w:pPr>
              <w:tabs>
                <w:tab w:val="left" w:pos="1260"/>
              </w:tabs>
              <w:ind w:left="-53" w:leftChars="-25" w:right="-53" w:rightChars="-25"/>
              <w:jc w:val="center"/>
              <w:rPr>
                <w:rFonts w:ascii="黑体" w:hAnsi="黑体" w:eastAsia="黑体"/>
                <w:szCs w:val="21"/>
                <w:lang w:val="en-GB"/>
              </w:rPr>
            </w:pPr>
          </w:p>
        </w:tc>
        <w:tc>
          <w:tcPr>
            <w:tcW w:w="844" w:type="dxa"/>
            <w:vAlign w:val="center"/>
          </w:tcPr>
          <w:p>
            <w:pPr>
              <w:tabs>
                <w:tab w:val="left" w:pos="1260"/>
              </w:tabs>
              <w:ind w:left="-53" w:leftChars="-25" w:right="-53" w:rightChars="-25"/>
              <w:jc w:val="center"/>
              <w:rPr>
                <w:rFonts w:ascii="黑体" w:hAnsi="黑体" w:eastAsia="黑体"/>
                <w:szCs w:val="21"/>
                <w:lang w:val="en-GB"/>
              </w:rPr>
            </w:pPr>
          </w:p>
        </w:tc>
        <w:tc>
          <w:tcPr>
            <w:tcW w:w="1612" w:type="dxa"/>
            <w:vAlign w:val="center"/>
          </w:tcPr>
          <w:p>
            <w:pPr>
              <w:tabs>
                <w:tab w:val="left" w:pos="1260"/>
              </w:tabs>
              <w:ind w:left="-53" w:leftChars="-25" w:right="-53" w:rightChars="-25"/>
              <w:jc w:val="center"/>
              <w:rPr>
                <w:rFonts w:ascii="黑体" w:hAnsi="黑体" w:eastAsia="黑体"/>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w:t>
            </w:r>
          </w:p>
        </w:tc>
        <w:tc>
          <w:tcPr>
            <w:tcW w:w="2124" w:type="dxa"/>
            <w:vAlign w:val="center"/>
          </w:tcPr>
          <w:p>
            <w:pPr>
              <w:tabs>
                <w:tab w:val="left" w:pos="1260"/>
              </w:tabs>
              <w:ind w:left="-53" w:leftChars="-25" w:right="-53" w:rightChars="-25"/>
              <w:jc w:val="center"/>
              <w:rPr>
                <w:rFonts w:ascii="黑体" w:hAnsi="黑体" w:eastAsia="黑体"/>
                <w:szCs w:val="21"/>
                <w:lang w:val="en-GB"/>
              </w:rPr>
            </w:pPr>
          </w:p>
        </w:tc>
        <w:tc>
          <w:tcPr>
            <w:tcW w:w="992" w:type="dxa"/>
            <w:vAlign w:val="center"/>
          </w:tcPr>
          <w:p>
            <w:pPr>
              <w:tabs>
                <w:tab w:val="left" w:pos="1260"/>
              </w:tabs>
              <w:ind w:left="-53" w:leftChars="-25" w:right="-53" w:rightChars="-25"/>
              <w:jc w:val="center"/>
              <w:rPr>
                <w:rFonts w:ascii="黑体" w:hAnsi="黑体" w:eastAsia="黑体"/>
                <w:szCs w:val="21"/>
                <w:lang w:val="en-GB"/>
              </w:rPr>
            </w:pPr>
          </w:p>
        </w:tc>
        <w:tc>
          <w:tcPr>
            <w:tcW w:w="994" w:type="dxa"/>
            <w:vAlign w:val="center"/>
          </w:tcPr>
          <w:p>
            <w:pPr>
              <w:tabs>
                <w:tab w:val="left" w:pos="1260"/>
              </w:tabs>
              <w:ind w:left="-53" w:leftChars="-25" w:right="-53" w:rightChars="-25"/>
              <w:jc w:val="center"/>
              <w:rPr>
                <w:rFonts w:ascii="黑体" w:hAnsi="黑体" w:eastAsia="黑体"/>
                <w:szCs w:val="21"/>
                <w:lang w:val="en-GB"/>
              </w:rPr>
            </w:pPr>
          </w:p>
        </w:tc>
        <w:tc>
          <w:tcPr>
            <w:tcW w:w="712" w:type="dxa"/>
            <w:vAlign w:val="center"/>
          </w:tcPr>
          <w:p>
            <w:pPr>
              <w:tabs>
                <w:tab w:val="left" w:pos="1260"/>
              </w:tabs>
              <w:ind w:left="-53" w:leftChars="-25" w:right="-53" w:rightChars="-25"/>
              <w:jc w:val="center"/>
              <w:rPr>
                <w:rFonts w:ascii="黑体" w:hAnsi="黑体" w:eastAsia="黑体"/>
                <w:szCs w:val="21"/>
                <w:lang w:val="en-GB"/>
              </w:rPr>
            </w:pPr>
          </w:p>
        </w:tc>
        <w:tc>
          <w:tcPr>
            <w:tcW w:w="852" w:type="dxa"/>
            <w:vAlign w:val="center"/>
          </w:tcPr>
          <w:p>
            <w:pPr>
              <w:tabs>
                <w:tab w:val="left" w:pos="1260"/>
              </w:tabs>
              <w:ind w:left="-53" w:leftChars="-25" w:right="-53" w:rightChars="-25"/>
              <w:jc w:val="center"/>
              <w:rPr>
                <w:rFonts w:ascii="黑体" w:hAnsi="黑体" w:eastAsia="黑体"/>
                <w:szCs w:val="21"/>
                <w:lang w:val="en-GB"/>
              </w:rPr>
            </w:pPr>
          </w:p>
        </w:tc>
        <w:tc>
          <w:tcPr>
            <w:tcW w:w="844" w:type="dxa"/>
            <w:vAlign w:val="center"/>
          </w:tcPr>
          <w:p>
            <w:pPr>
              <w:tabs>
                <w:tab w:val="left" w:pos="1260"/>
              </w:tabs>
              <w:ind w:left="-53" w:leftChars="-25" w:right="-53" w:rightChars="-25"/>
              <w:jc w:val="center"/>
              <w:rPr>
                <w:rFonts w:ascii="黑体" w:hAnsi="黑体" w:eastAsia="黑体"/>
                <w:szCs w:val="21"/>
                <w:lang w:val="en-GB"/>
              </w:rPr>
            </w:pPr>
          </w:p>
        </w:tc>
        <w:tc>
          <w:tcPr>
            <w:tcW w:w="1612" w:type="dxa"/>
            <w:vAlign w:val="center"/>
          </w:tcPr>
          <w:p>
            <w:pPr>
              <w:tabs>
                <w:tab w:val="left" w:pos="1260"/>
              </w:tabs>
              <w:ind w:left="-53" w:leftChars="-25" w:right="-53" w:rightChars="-25"/>
              <w:jc w:val="center"/>
              <w:rPr>
                <w:rFonts w:ascii="黑体" w:hAnsi="黑体" w:eastAsia="黑体"/>
                <w:szCs w:val="21"/>
                <w:lang w:val="en-GB"/>
              </w:rPr>
            </w:pPr>
          </w:p>
        </w:tc>
      </w:tr>
    </w:tbl>
    <w:p>
      <w:pPr>
        <w:spacing w:before="156" w:beforeLines="50" w:line="360" w:lineRule="auto"/>
        <w:rPr>
          <w:rFonts w:ascii="黑体" w:hAnsi="黑体" w:eastAsia="黑体"/>
          <w:bCs/>
          <w:szCs w:val="21"/>
          <w:lang w:val="en-GB"/>
        </w:rPr>
      </w:pPr>
      <w:r>
        <w:rPr>
          <w:rFonts w:hint="eastAsia" w:ascii="黑体" w:hAnsi="黑体" w:eastAsia="黑体"/>
          <w:bCs/>
          <w:szCs w:val="21"/>
          <w:lang w:val="en-GB"/>
        </w:rPr>
        <w:t>注明：</w:t>
      </w:r>
    </w:p>
    <w:p>
      <w:pPr>
        <w:pStyle w:val="30"/>
        <w:numPr>
          <w:ilvl w:val="0"/>
          <w:numId w:val="119"/>
        </w:numPr>
        <w:spacing w:line="360" w:lineRule="auto"/>
        <w:ind w:firstLineChars="0"/>
        <w:rPr>
          <w:rFonts w:ascii="黑体" w:hAnsi="黑体" w:eastAsia="黑体"/>
          <w:bCs/>
          <w:szCs w:val="21"/>
          <w:lang w:val="en-GB"/>
        </w:rPr>
      </w:pPr>
      <w:r>
        <w:rPr>
          <w:rFonts w:hint="eastAsia" w:ascii="黑体" w:hAnsi="黑体" w:eastAsia="黑体"/>
          <w:bCs/>
          <w:szCs w:val="21"/>
          <w:lang w:val="en-GB"/>
        </w:rPr>
        <w:t>制造商为小型或微型企业时才需要填“制造商企业类型”栏，填写内容为“小型”或“微型”；</w:t>
      </w:r>
    </w:p>
    <w:p>
      <w:pPr>
        <w:pStyle w:val="30"/>
        <w:numPr>
          <w:ilvl w:val="0"/>
          <w:numId w:val="119"/>
        </w:numPr>
        <w:tabs>
          <w:tab w:val="left" w:pos="142"/>
        </w:tabs>
        <w:spacing w:line="360" w:lineRule="auto"/>
        <w:ind w:left="424" w:leftChars="2" w:hangingChars="200"/>
        <w:rPr>
          <w:rFonts w:ascii="黑体" w:hAnsi="黑体" w:eastAsia="黑体"/>
          <w:bCs/>
          <w:szCs w:val="21"/>
          <w:lang w:val="en-GB"/>
        </w:rPr>
      </w:pPr>
      <w:r>
        <w:rPr>
          <w:rFonts w:hint="eastAsia" w:ascii="黑体" w:hAnsi="黑体" w:eastAsia="黑体"/>
          <w:bCs/>
          <w:szCs w:val="21"/>
          <w:lang w:val="en-GB"/>
        </w:rPr>
        <w:t>节能产品须填写认证证书编号，并提供所投产品的节能产品认证证书复印件加盖供应商公章；</w:t>
      </w:r>
    </w:p>
    <w:p>
      <w:pPr>
        <w:pStyle w:val="30"/>
        <w:numPr>
          <w:ilvl w:val="0"/>
          <w:numId w:val="119"/>
        </w:numPr>
        <w:spacing w:line="360" w:lineRule="auto"/>
        <w:ind w:firstLineChars="0"/>
        <w:rPr>
          <w:rFonts w:ascii="黑体" w:hAnsi="黑体" w:eastAsia="黑体"/>
          <w:bCs/>
          <w:szCs w:val="21"/>
          <w:lang w:val="en-GB"/>
        </w:rPr>
      </w:pPr>
      <w:r>
        <w:rPr>
          <w:rFonts w:hint="eastAsia" w:ascii="黑体" w:hAnsi="黑体" w:eastAsia="黑体"/>
          <w:bCs/>
          <w:szCs w:val="21"/>
          <w:lang w:val="en-GB"/>
        </w:rPr>
        <w:t>环保标志产品须填写认证证书编号，并提供所投产品的环保标志产品认证证书复印件加盖供应商公章。</w:t>
      </w:r>
    </w:p>
    <w:p>
      <w:pPr>
        <w:pStyle w:val="30"/>
        <w:numPr>
          <w:ilvl w:val="0"/>
          <w:numId w:val="119"/>
        </w:numPr>
        <w:spacing w:line="360" w:lineRule="auto"/>
        <w:ind w:firstLineChars="0"/>
        <w:rPr>
          <w:rFonts w:ascii="黑体" w:hAnsi="黑体" w:eastAsia="黑体"/>
          <w:bCs/>
          <w:szCs w:val="21"/>
          <w:lang w:val="en-GB"/>
        </w:rPr>
      </w:pPr>
      <w:r>
        <w:rPr>
          <w:rFonts w:hint="eastAsia" w:ascii="黑体" w:hAnsi="黑体" w:eastAsia="黑体"/>
          <w:bCs/>
          <w:szCs w:val="21"/>
          <w:lang w:val="en-GB"/>
        </w:rPr>
        <w:t>以上证明资料未按要求提供或未提供完整的，视为未提供处理。</w:t>
      </w:r>
    </w:p>
    <w:p>
      <w:pPr>
        <w:spacing w:line="360" w:lineRule="auto"/>
        <w:rPr>
          <w:rFonts w:ascii="黑体" w:hAnsi="黑体" w:eastAsia="黑体"/>
          <w:bCs/>
          <w:szCs w:val="21"/>
          <w:lang w:val="en-GB"/>
        </w:rPr>
      </w:pPr>
    </w:p>
    <w:tbl>
      <w:tblPr>
        <w:tblStyle w:val="22"/>
        <w:tblW w:w="8522" w:type="dxa"/>
        <w:tblInd w:w="0" w:type="dxa"/>
        <w:tblLayout w:type="fixed"/>
        <w:tblCellMar>
          <w:top w:w="0" w:type="dxa"/>
          <w:left w:w="108" w:type="dxa"/>
          <w:bottom w:w="0" w:type="dxa"/>
          <w:right w:w="108" w:type="dxa"/>
        </w:tblCellMar>
      </w:tblPr>
      <w:tblGrid>
        <w:gridCol w:w="5987"/>
        <w:gridCol w:w="2535"/>
      </w:tblGrid>
      <w:tr>
        <w:tblPrEx>
          <w:tblCellMar>
            <w:top w:w="0" w:type="dxa"/>
            <w:left w:w="108" w:type="dxa"/>
            <w:bottom w:w="0" w:type="dxa"/>
            <w:right w:w="108" w:type="dxa"/>
          </w:tblCellMar>
        </w:tblPrEx>
        <w:tc>
          <w:tcPr>
            <w:tcW w:w="5987" w:type="dxa"/>
            <w:shd w:val="clear" w:color="auto" w:fill="auto"/>
          </w:tcPr>
          <w:p>
            <w:pPr>
              <w:overflowPunct w:val="0"/>
              <w:adjustRightInd w:val="0"/>
              <w:spacing w:line="360" w:lineRule="auto"/>
              <w:rPr>
                <w:rFonts w:ascii="黑体" w:hAnsi="黑体" w:eastAsia="黑体"/>
                <w:szCs w:val="21"/>
              </w:rPr>
            </w:pPr>
            <w:r>
              <w:rPr>
                <w:rFonts w:hint="eastAsia" w:ascii="黑体" w:hAnsi="黑体" w:eastAsia="黑体"/>
                <w:szCs w:val="21"/>
              </w:rPr>
              <w:t xml:space="preserve">响应供应商名称（加盖公章）： </w:t>
            </w:r>
            <w:r>
              <w:rPr>
                <w:rFonts w:ascii="黑体" w:hAnsi="黑体" w:eastAsia="黑体"/>
                <w:szCs w:val="21"/>
                <w:u w:val="single"/>
              </w:rPr>
              <w:t xml:space="preserve">                        </w:t>
            </w:r>
          </w:p>
        </w:tc>
        <w:tc>
          <w:tcPr>
            <w:tcW w:w="2535" w:type="dxa"/>
            <w:shd w:val="clear" w:color="auto" w:fill="auto"/>
          </w:tcPr>
          <w:p>
            <w:pPr>
              <w:overflowPunct w:val="0"/>
              <w:adjustRightInd w:val="0"/>
              <w:spacing w:line="360" w:lineRule="auto"/>
              <w:rPr>
                <w:rFonts w:ascii="黑体" w:hAnsi="黑体" w:eastAsia="黑体"/>
                <w:szCs w:val="21"/>
              </w:rPr>
            </w:pPr>
          </w:p>
        </w:tc>
      </w:tr>
      <w:tr>
        <w:tblPrEx>
          <w:tblCellMar>
            <w:top w:w="0" w:type="dxa"/>
            <w:left w:w="108" w:type="dxa"/>
            <w:bottom w:w="0" w:type="dxa"/>
            <w:right w:w="108" w:type="dxa"/>
          </w:tblCellMar>
        </w:tblPrEx>
        <w:tc>
          <w:tcPr>
            <w:tcW w:w="5987" w:type="dxa"/>
            <w:shd w:val="clear" w:color="auto" w:fill="auto"/>
          </w:tcPr>
          <w:p>
            <w:pPr>
              <w:overflowPunct w:val="0"/>
              <w:adjustRightInd w:val="0"/>
              <w:spacing w:line="360" w:lineRule="auto"/>
              <w:rPr>
                <w:rFonts w:ascii="黑体" w:hAnsi="黑体" w:eastAsia="黑体"/>
                <w:szCs w:val="21"/>
                <w:u w:val="single"/>
              </w:rPr>
            </w:pPr>
            <w:r>
              <w:rPr>
                <w:rFonts w:hint="eastAsia" w:ascii="黑体" w:hAnsi="黑体" w:eastAsia="黑体"/>
                <w:szCs w:val="21"/>
              </w:rPr>
              <w:t>日期：</w:t>
            </w:r>
            <w:r>
              <w:rPr>
                <w:rFonts w:ascii="黑体" w:hAnsi="黑体" w:eastAsia="黑体"/>
                <w:szCs w:val="21"/>
              </w:rPr>
              <w:t xml:space="preserve"> </w:t>
            </w:r>
            <w:r>
              <w:rPr>
                <w:rFonts w:ascii="黑体" w:hAnsi="黑体" w:eastAsia="黑体"/>
                <w:szCs w:val="21"/>
                <w:u w:val="single"/>
              </w:rPr>
              <w:t xml:space="preserve">            年           月            日</w:t>
            </w:r>
          </w:p>
        </w:tc>
        <w:tc>
          <w:tcPr>
            <w:tcW w:w="2535" w:type="dxa"/>
            <w:shd w:val="clear" w:color="auto" w:fill="auto"/>
          </w:tcPr>
          <w:p>
            <w:pPr>
              <w:overflowPunct w:val="0"/>
              <w:adjustRightInd w:val="0"/>
              <w:spacing w:line="360" w:lineRule="auto"/>
              <w:rPr>
                <w:rFonts w:ascii="黑体" w:hAnsi="黑体" w:eastAsia="黑体"/>
                <w:szCs w:val="21"/>
                <w:u w:val="single"/>
              </w:rPr>
            </w:pPr>
          </w:p>
        </w:tc>
      </w:tr>
      <w:bookmarkEnd w:id="248"/>
    </w:tbl>
    <w:p>
      <w:pPr>
        <w:spacing w:line="360" w:lineRule="auto"/>
        <w:rPr>
          <w:rFonts w:ascii="黑体" w:hAnsi="黑体" w:eastAsia="黑体"/>
        </w:rPr>
      </w:pPr>
    </w:p>
    <w:sectPr>
      <w:headerReference r:id="rId3" w:type="default"/>
      <w:footerReference r:id="rId4" w:type="default"/>
      <w:pgSz w:w="11906" w:h="16838"/>
      <w:pgMar w:top="1440" w:right="1274" w:bottom="851" w:left="1800" w:header="851" w:footer="596"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20323671"/>
    </w:sdtPr>
    <w:sdtContent>
      <w:p>
        <w:pPr>
          <w:pStyle w:val="14"/>
          <w:jc w:val="center"/>
        </w:pPr>
        <w:r>
          <w:fldChar w:fldCharType="begin"/>
        </w:r>
        <w:r>
          <w:instrText xml:space="preserve">PAGE   \* MERGEFORMAT</w:instrText>
        </w:r>
        <w:r>
          <w:fldChar w:fldCharType="separate"/>
        </w:r>
        <w:r>
          <w:rPr>
            <w:lang w:val="zh-CN"/>
          </w:rPr>
          <w:t>47</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rPr>
        <w:color w:val="FF0000"/>
      </w:rPr>
    </w:pPr>
    <w:r>
      <w:rPr>
        <w:rFonts w:ascii="黑体" w:hAnsi="黑体" w:eastAsia="黑体"/>
        <w:sz w:val="21"/>
        <w:szCs w:val="21"/>
      </w:rPr>
      <w:drawing>
        <wp:inline distT="0" distB="0" distL="0" distR="0">
          <wp:extent cx="838200" cy="257175"/>
          <wp:effectExtent l="19050" t="0" r="0" b="0"/>
          <wp:docPr id="15" name="图片 1" descr="F:\东莞分公司（内部综合）\东莞分公司（各类事项表格）\东莞分公司（LOGO）\有德横向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descr="F:\东莞分公司（内部综合）\东莞分公司（各类事项表格）\东莞分公司（LOGO）\有德横向LOGO.jpg"/>
                  <pic:cNvPicPr>
                    <a:picLocks noChangeAspect="1" noChangeArrowheads="1"/>
                  </pic:cNvPicPr>
                </pic:nvPicPr>
                <pic:blipFill>
                  <a:blip r:embed="rId1"/>
                  <a:srcRect/>
                  <a:stretch>
                    <a:fillRect/>
                  </a:stretch>
                </pic:blipFill>
                <pic:spPr>
                  <a:xfrm>
                    <a:off x="0" y="0"/>
                    <a:ext cx="838200" cy="257175"/>
                  </a:xfrm>
                  <a:prstGeom prst="rect">
                    <a:avLst/>
                  </a:prstGeom>
                  <a:noFill/>
                  <a:ln w="9525">
                    <a:noFill/>
                    <a:miter lim="800000"/>
                    <a:headEnd/>
                    <a:tailEnd/>
                  </a:ln>
                </pic:spPr>
              </pic:pic>
            </a:graphicData>
          </a:graphic>
        </wp:inline>
      </w:drawing>
    </w:r>
    <w:r>
      <w:rPr>
        <w:rFonts w:hint="eastAsia" w:ascii="黑体" w:hAnsi="黑体" w:eastAsia="黑体"/>
        <w:sz w:val="21"/>
        <w:szCs w:val="21"/>
      </w:rPr>
      <w:t xml:space="preserve">                                   </w:t>
    </w:r>
    <w:r>
      <w:rPr>
        <w:rFonts w:hint="eastAsia" w:ascii="黑体" w:hAnsi="黑体" w:eastAsia="黑体"/>
        <w:color w:val="FF0000"/>
        <w:sz w:val="21"/>
        <w:szCs w:val="21"/>
      </w:rPr>
      <w:t xml:space="preserve">          </w:t>
    </w:r>
    <w:r>
      <w:rPr>
        <w:rFonts w:ascii="黑体" w:hAnsi="黑体" w:eastAsia="黑体"/>
        <w:color w:val="FF0000"/>
        <w:sz w:val="21"/>
        <w:szCs w:val="21"/>
      </w:rPr>
      <w:t xml:space="preserve">     </w:t>
    </w:r>
    <w:r>
      <w:rPr>
        <w:rFonts w:hint="eastAsia" w:ascii="黑体" w:hAnsi="黑体" w:eastAsia="黑体"/>
        <w:color w:val="FF0000"/>
      </w:rPr>
      <w:t>广东有德招标采购有限公司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3E91EC"/>
    <w:multiLevelType w:val="singleLevel"/>
    <w:tmpl w:val="9E3E91EC"/>
    <w:lvl w:ilvl="0" w:tentative="0">
      <w:start w:val="1"/>
      <w:numFmt w:val="decimal"/>
      <w:lvlText w:val="(%1)"/>
      <w:lvlJc w:val="left"/>
      <w:pPr>
        <w:ind w:left="425" w:hanging="425"/>
      </w:pPr>
      <w:rPr>
        <w:rFonts w:hint="default"/>
      </w:rPr>
    </w:lvl>
  </w:abstractNum>
  <w:abstractNum w:abstractNumId="1">
    <w:nsid w:val="A8BCFE22"/>
    <w:multiLevelType w:val="singleLevel"/>
    <w:tmpl w:val="A8BCFE22"/>
    <w:lvl w:ilvl="0" w:tentative="0">
      <w:start w:val="1"/>
      <w:numFmt w:val="decimal"/>
      <w:lvlText w:val="(%1)"/>
      <w:lvlJc w:val="left"/>
      <w:pPr>
        <w:ind w:left="425" w:hanging="425"/>
      </w:pPr>
      <w:rPr>
        <w:rFonts w:hint="default"/>
      </w:rPr>
    </w:lvl>
  </w:abstractNum>
  <w:abstractNum w:abstractNumId="2">
    <w:nsid w:val="ABF739BA"/>
    <w:multiLevelType w:val="singleLevel"/>
    <w:tmpl w:val="ABF739BA"/>
    <w:lvl w:ilvl="0" w:tentative="0">
      <w:start w:val="1"/>
      <w:numFmt w:val="decimal"/>
      <w:lvlText w:val="(%1)"/>
      <w:lvlJc w:val="left"/>
      <w:pPr>
        <w:ind w:left="425" w:hanging="425"/>
      </w:pPr>
      <w:rPr>
        <w:rFonts w:hint="default"/>
      </w:rPr>
    </w:lvl>
  </w:abstractNum>
  <w:abstractNum w:abstractNumId="3">
    <w:nsid w:val="DE5EB3F2"/>
    <w:multiLevelType w:val="multilevel"/>
    <w:tmpl w:val="DE5EB3F2"/>
    <w:lvl w:ilvl="0" w:tentative="0">
      <w:start w:val="1"/>
      <w:numFmt w:val="decimal"/>
      <w:lvlText w:val="（%1）"/>
      <w:lvlJc w:val="left"/>
      <w:pPr>
        <w:ind w:left="704" w:hanging="420"/>
      </w:pPr>
      <w:rPr>
        <w:rFonts w:hint="eastAsia"/>
        <w:b w:val="0"/>
        <w:i w:val="0"/>
        <w:sz w:val="21"/>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4">
    <w:nsid w:val="F1BE1256"/>
    <w:multiLevelType w:val="singleLevel"/>
    <w:tmpl w:val="F1BE1256"/>
    <w:lvl w:ilvl="0" w:tentative="0">
      <w:start w:val="1"/>
      <w:numFmt w:val="decimal"/>
      <w:lvlText w:val="%1."/>
      <w:lvlJc w:val="left"/>
      <w:pPr>
        <w:ind w:left="425" w:hanging="425"/>
      </w:pPr>
      <w:rPr>
        <w:rFonts w:hint="default"/>
        <w:b w:val="0"/>
        <w:bCs w:val="0"/>
      </w:rPr>
    </w:lvl>
  </w:abstractNum>
  <w:abstractNum w:abstractNumId="5">
    <w:nsid w:val="F929B1EE"/>
    <w:multiLevelType w:val="singleLevel"/>
    <w:tmpl w:val="F929B1EE"/>
    <w:lvl w:ilvl="0" w:tentative="0">
      <w:start w:val="1"/>
      <w:numFmt w:val="decimal"/>
      <w:lvlText w:val="(%1)"/>
      <w:lvlJc w:val="left"/>
      <w:pPr>
        <w:ind w:left="425" w:hanging="425"/>
      </w:pPr>
      <w:rPr>
        <w:rFonts w:hint="default"/>
      </w:rPr>
    </w:lvl>
  </w:abstractNum>
  <w:abstractNum w:abstractNumId="6">
    <w:nsid w:val="00846E1A"/>
    <w:multiLevelType w:val="multilevel"/>
    <w:tmpl w:val="00846E1A"/>
    <w:lvl w:ilvl="0" w:tentative="0">
      <w:start w:val="1"/>
      <w:numFmt w:val="decimal"/>
      <w:lvlText w:val="10.%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23F54AB"/>
    <w:multiLevelType w:val="multilevel"/>
    <w:tmpl w:val="023F54AB"/>
    <w:lvl w:ilvl="0" w:tentative="0">
      <w:start w:val="1"/>
      <w:numFmt w:val="decimal"/>
      <w:lvlText w:val="19.%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3E690AD"/>
    <w:multiLevelType w:val="singleLevel"/>
    <w:tmpl w:val="03E690AD"/>
    <w:lvl w:ilvl="0" w:tentative="0">
      <w:start w:val="1"/>
      <w:numFmt w:val="decimal"/>
      <w:lvlText w:val="(%1)"/>
      <w:lvlJc w:val="left"/>
      <w:pPr>
        <w:ind w:left="425" w:hanging="425"/>
      </w:pPr>
      <w:rPr>
        <w:rFonts w:hint="default"/>
      </w:rPr>
    </w:lvl>
  </w:abstractNum>
  <w:abstractNum w:abstractNumId="9">
    <w:nsid w:val="08710D53"/>
    <w:multiLevelType w:val="multilevel"/>
    <w:tmpl w:val="08710D53"/>
    <w:lvl w:ilvl="0" w:tentative="0">
      <w:start w:val="1"/>
      <w:numFmt w:val="decimal"/>
      <w:lvlText w:val="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EA57532"/>
    <w:multiLevelType w:val="multilevel"/>
    <w:tmpl w:val="0EA57532"/>
    <w:lvl w:ilvl="0" w:tentative="0">
      <w:start w:val="1"/>
      <w:numFmt w:val="decimalEnclosedCircle"/>
      <w:lvlText w:val="%1"/>
      <w:lvlJc w:val="left"/>
      <w:pPr>
        <w:ind w:left="840" w:hanging="420"/>
      </w:pPr>
      <w:rPr>
        <w:rFonts w:hint="eastAsia"/>
        <w:sz w:val="21"/>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2">
    <w:nsid w:val="0EE76AD9"/>
    <w:multiLevelType w:val="multilevel"/>
    <w:tmpl w:val="0EE76AD9"/>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037309E"/>
    <w:multiLevelType w:val="multilevel"/>
    <w:tmpl w:val="1037309E"/>
    <w:lvl w:ilvl="0" w:tentative="0">
      <w:start w:val="1"/>
      <w:numFmt w:val="decimal"/>
      <w:lvlText w:val="3.%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0A3618F"/>
    <w:multiLevelType w:val="multilevel"/>
    <w:tmpl w:val="10A3618F"/>
    <w:lvl w:ilvl="0" w:tentative="0">
      <w:start w:val="1"/>
      <w:numFmt w:val="decimal"/>
      <w:lvlText w:val="29.3.%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29506DD"/>
    <w:multiLevelType w:val="multilevel"/>
    <w:tmpl w:val="129506DD"/>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49F4E85"/>
    <w:multiLevelType w:val="multilevel"/>
    <w:tmpl w:val="149F4E85"/>
    <w:lvl w:ilvl="0" w:tentative="0">
      <w:start w:val="1"/>
      <w:numFmt w:val="decimal"/>
      <w:lvlText w:val="17.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56F6570"/>
    <w:multiLevelType w:val="multilevel"/>
    <w:tmpl w:val="156F6570"/>
    <w:lvl w:ilvl="0" w:tentative="0">
      <w:start w:val="1"/>
      <w:numFmt w:val="decimal"/>
      <w:lvlText w:val="16.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58212C3"/>
    <w:multiLevelType w:val="singleLevel"/>
    <w:tmpl w:val="158212C3"/>
    <w:lvl w:ilvl="0" w:tentative="0">
      <w:start w:val="1"/>
      <w:numFmt w:val="decimal"/>
      <w:lvlText w:val="%1."/>
      <w:lvlJc w:val="left"/>
      <w:pPr>
        <w:ind w:left="425" w:hanging="425"/>
      </w:pPr>
      <w:rPr>
        <w:rFonts w:hint="default"/>
        <w:b/>
        <w:bCs/>
      </w:rPr>
    </w:lvl>
  </w:abstractNum>
  <w:abstractNum w:abstractNumId="19">
    <w:nsid w:val="15B73587"/>
    <w:multiLevelType w:val="multilevel"/>
    <w:tmpl w:val="15B73587"/>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72A5829"/>
    <w:multiLevelType w:val="multilevel"/>
    <w:tmpl w:val="172A5829"/>
    <w:lvl w:ilvl="0" w:tentative="0">
      <w:start w:val="1"/>
      <w:numFmt w:val="decimal"/>
      <w:lvlText w:val="31.%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94E6A3C"/>
    <w:multiLevelType w:val="multilevel"/>
    <w:tmpl w:val="194E6A3C"/>
    <w:lvl w:ilvl="0" w:tentative="0">
      <w:start w:val="1"/>
      <w:numFmt w:val="decimal"/>
      <w:lvlText w:val="20.%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A770F3C"/>
    <w:multiLevelType w:val="multilevel"/>
    <w:tmpl w:val="1A770F3C"/>
    <w:lvl w:ilvl="0" w:tentative="0">
      <w:start w:val="1"/>
      <w:numFmt w:val="decimal"/>
      <w:lvlText w:val="8.%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AAA2AA7"/>
    <w:multiLevelType w:val="multilevel"/>
    <w:tmpl w:val="1AAA2AA7"/>
    <w:lvl w:ilvl="0" w:tentative="0">
      <w:start w:val="1"/>
      <w:numFmt w:val="lowerLetter"/>
      <w:lvlText w:val="%1)"/>
      <w:lvlJc w:val="left"/>
      <w:pPr>
        <w:ind w:left="840" w:hanging="420"/>
      </w:pPr>
      <w:rPr>
        <w:rFonts w:hint="eastAsia"/>
        <w:sz w:val="21"/>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4">
    <w:nsid w:val="1B193CA5"/>
    <w:multiLevelType w:val="multilevel"/>
    <w:tmpl w:val="1B193CA5"/>
    <w:lvl w:ilvl="0" w:tentative="0">
      <w:start w:val="1"/>
      <w:numFmt w:val="decimal"/>
      <w:lvlText w:val="29.1.%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B3C712D"/>
    <w:multiLevelType w:val="multilevel"/>
    <w:tmpl w:val="1B3C712D"/>
    <w:lvl w:ilvl="0" w:tentative="0">
      <w:start w:val="1"/>
      <w:numFmt w:val="decimal"/>
      <w:lvlText w:val="29.%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7">
    <w:nsid w:val="1C54010D"/>
    <w:multiLevelType w:val="multilevel"/>
    <w:tmpl w:val="1C54010D"/>
    <w:lvl w:ilvl="0" w:tentative="0">
      <w:start w:val="1"/>
      <w:numFmt w:val="decimal"/>
      <w:lvlText w:val="18.%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1D075D75"/>
    <w:multiLevelType w:val="multilevel"/>
    <w:tmpl w:val="1D075D75"/>
    <w:lvl w:ilvl="0" w:tentative="0">
      <w:start w:val="1"/>
      <w:numFmt w:val="decimal"/>
      <w:lvlText w:val="32.%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1D6C6899"/>
    <w:multiLevelType w:val="multilevel"/>
    <w:tmpl w:val="1D6C6899"/>
    <w:lvl w:ilvl="0" w:tentative="0">
      <w:start w:val="1"/>
      <w:numFmt w:val="lowerLetter"/>
      <w:lvlText w:val="%1)"/>
      <w:lvlJc w:val="left"/>
      <w:pPr>
        <w:ind w:left="704" w:hanging="420"/>
      </w:pPr>
      <w:rPr>
        <w:rFonts w:hint="eastAsia"/>
        <w:sz w:val="21"/>
        <w:lang w:val="en-US"/>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30">
    <w:nsid w:val="1E0D1363"/>
    <w:multiLevelType w:val="multilevel"/>
    <w:tmpl w:val="1E0D1363"/>
    <w:lvl w:ilvl="0" w:tentative="0">
      <w:start w:val="1"/>
      <w:numFmt w:val="decimal"/>
      <w:lvlText w:val="9.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1E7BA7D7"/>
    <w:multiLevelType w:val="multilevel"/>
    <w:tmpl w:val="1E7BA7D7"/>
    <w:lvl w:ilvl="0" w:tentative="0">
      <w:start w:val="1"/>
      <w:numFmt w:val="decimalEnclosedCircle"/>
      <w:lvlText w:val="%1"/>
      <w:lvlJc w:val="left"/>
      <w:pPr>
        <w:ind w:left="840" w:hanging="420"/>
      </w:pPr>
      <w:rPr>
        <w:rFonts w:hint="eastAsia"/>
        <w:sz w:val="21"/>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2">
    <w:nsid w:val="1FFA7C45"/>
    <w:multiLevelType w:val="multilevel"/>
    <w:tmpl w:val="1FFA7C45"/>
    <w:lvl w:ilvl="0" w:tentative="0">
      <w:start w:val="1"/>
      <w:numFmt w:val="decimal"/>
      <w:lvlText w:val="26.12.%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9.%2"/>
      <w:lvlJc w:val="left"/>
      <w:pPr>
        <w:ind w:left="567" w:hanging="567"/>
      </w:pPr>
      <w:rPr>
        <w:rFonts w:hint="eastAsia"/>
        <w:b/>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4">
    <w:nsid w:val="231D3E80"/>
    <w:multiLevelType w:val="multilevel"/>
    <w:tmpl w:val="231D3E80"/>
    <w:lvl w:ilvl="0" w:tentative="0">
      <w:start w:val="13"/>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1.1.%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5">
    <w:nsid w:val="23E96464"/>
    <w:multiLevelType w:val="multilevel"/>
    <w:tmpl w:val="23E96464"/>
    <w:lvl w:ilvl="0" w:tentative="0">
      <w:start w:val="1"/>
      <w:numFmt w:val="decimal"/>
      <w:lvlText w:val="%1."/>
      <w:lvlJc w:val="left"/>
      <w:pPr>
        <w:ind w:left="360" w:hanging="36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26012801"/>
    <w:multiLevelType w:val="multilevel"/>
    <w:tmpl w:val="26012801"/>
    <w:lvl w:ilvl="0" w:tentative="0">
      <w:start w:val="1"/>
      <w:numFmt w:val="decimal"/>
      <w:lvlText w:val="5.%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6791B2D"/>
    <w:multiLevelType w:val="multilevel"/>
    <w:tmpl w:val="26791B2D"/>
    <w:lvl w:ilvl="0" w:tentative="0">
      <w:start w:val="1"/>
      <w:numFmt w:val="chineseCountingThousand"/>
      <w:lvlText w:val="%1 "/>
      <w:lvlJc w:val="left"/>
      <w:pPr>
        <w:ind w:left="509" w:hanging="420"/>
      </w:pPr>
      <w:rPr>
        <w:rFonts w:hint="eastAsia"/>
        <w:b/>
        <w:i w:val="0"/>
        <w:color w:val="auto"/>
        <w:sz w:val="21"/>
      </w:rPr>
    </w:lvl>
    <w:lvl w:ilvl="1" w:tentative="0">
      <w:start w:val="1"/>
      <w:numFmt w:val="lowerLetter"/>
      <w:lvlText w:val="%2)"/>
      <w:lvlJc w:val="left"/>
      <w:pPr>
        <w:ind w:left="929" w:hanging="420"/>
      </w:pPr>
    </w:lvl>
    <w:lvl w:ilvl="2" w:tentative="0">
      <w:start w:val="1"/>
      <w:numFmt w:val="lowerRoman"/>
      <w:lvlText w:val="%3."/>
      <w:lvlJc w:val="right"/>
      <w:pPr>
        <w:ind w:left="1349" w:hanging="420"/>
      </w:pPr>
    </w:lvl>
    <w:lvl w:ilvl="3" w:tentative="0">
      <w:start w:val="1"/>
      <w:numFmt w:val="decimal"/>
      <w:lvlText w:val="%4."/>
      <w:lvlJc w:val="left"/>
      <w:pPr>
        <w:ind w:left="1769" w:hanging="420"/>
      </w:pPr>
    </w:lvl>
    <w:lvl w:ilvl="4" w:tentative="0">
      <w:start w:val="1"/>
      <w:numFmt w:val="lowerLetter"/>
      <w:lvlText w:val="%5)"/>
      <w:lvlJc w:val="left"/>
      <w:pPr>
        <w:ind w:left="2189" w:hanging="420"/>
      </w:pPr>
    </w:lvl>
    <w:lvl w:ilvl="5" w:tentative="0">
      <w:start w:val="1"/>
      <w:numFmt w:val="lowerRoman"/>
      <w:lvlText w:val="%6."/>
      <w:lvlJc w:val="right"/>
      <w:pPr>
        <w:ind w:left="2609" w:hanging="420"/>
      </w:pPr>
    </w:lvl>
    <w:lvl w:ilvl="6" w:tentative="0">
      <w:start w:val="1"/>
      <w:numFmt w:val="decimal"/>
      <w:lvlText w:val="%7."/>
      <w:lvlJc w:val="left"/>
      <w:pPr>
        <w:ind w:left="3029" w:hanging="420"/>
      </w:pPr>
    </w:lvl>
    <w:lvl w:ilvl="7" w:tentative="0">
      <w:start w:val="1"/>
      <w:numFmt w:val="lowerLetter"/>
      <w:lvlText w:val="%8)"/>
      <w:lvlJc w:val="left"/>
      <w:pPr>
        <w:ind w:left="3449" w:hanging="420"/>
      </w:pPr>
    </w:lvl>
    <w:lvl w:ilvl="8" w:tentative="0">
      <w:start w:val="1"/>
      <w:numFmt w:val="lowerRoman"/>
      <w:lvlText w:val="%9."/>
      <w:lvlJc w:val="right"/>
      <w:pPr>
        <w:ind w:left="3869" w:hanging="420"/>
      </w:pPr>
    </w:lvl>
  </w:abstractNum>
  <w:abstractNum w:abstractNumId="38">
    <w:nsid w:val="273AD4BF"/>
    <w:multiLevelType w:val="multilevel"/>
    <w:tmpl w:val="273AD4B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285CDF6C"/>
    <w:multiLevelType w:val="singleLevel"/>
    <w:tmpl w:val="285CDF6C"/>
    <w:lvl w:ilvl="0" w:tentative="0">
      <w:start w:val="1"/>
      <w:numFmt w:val="decimal"/>
      <w:lvlText w:val="%1."/>
      <w:lvlJc w:val="left"/>
      <w:pPr>
        <w:ind w:left="425" w:hanging="425"/>
      </w:pPr>
      <w:rPr>
        <w:rFonts w:hint="default"/>
        <w:b w:val="0"/>
        <w:bCs w:val="0"/>
      </w:rPr>
    </w:lvl>
  </w:abstractNum>
  <w:abstractNum w:abstractNumId="40">
    <w:nsid w:val="2B57F603"/>
    <w:multiLevelType w:val="multilevel"/>
    <w:tmpl w:val="2B57F603"/>
    <w:lvl w:ilvl="0" w:tentative="0">
      <w:start w:val="1"/>
      <w:numFmt w:val="decimalEnclosedCircle"/>
      <w:lvlText w:val="%1"/>
      <w:lvlJc w:val="left"/>
      <w:pPr>
        <w:ind w:left="840" w:hanging="420"/>
      </w:pPr>
      <w:rPr>
        <w:rFonts w:hint="eastAsia"/>
        <w:sz w:val="21"/>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1">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2CDF2549"/>
    <w:multiLevelType w:val="multilevel"/>
    <w:tmpl w:val="2CDF2549"/>
    <w:lvl w:ilvl="0" w:tentative="0">
      <w:start w:val="1"/>
      <w:numFmt w:val="decimal"/>
      <w:lvlText w:val="17.8.%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2F8426FB"/>
    <w:multiLevelType w:val="multilevel"/>
    <w:tmpl w:val="2F8426F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2FBF77FE"/>
    <w:multiLevelType w:val="multilevel"/>
    <w:tmpl w:val="2FBF77FE"/>
    <w:lvl w:ilvl="0" w:tentative="0">
      <w:start w:val="1"/>
      <w:numFmt w:val="decimal"/>
      <w:lvlText w:val="29.4.%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2AF1A01"/>
    <w:multiLevelType w:val="multilevel"/>
    <w:tmpl w:val="32AF1A01"/>
    <w:lvl w:ilvl="0" w:tentative="0">
      <w:start w:val="1"/>
      <w:numFmt w:val="decimal"/>
      <w:lvlText w:val="21.%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44A28ED"/>
    <w:multiLevelType w:val="multilevel"/>
    <w:tmpl w:val="344A28E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46F47EE"/>
    <w:multiLevelType w:val="multilevel"/>
    <w:tmpl w:val="346F47EE"/>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34CE7977"/>
    <w:multiLevelType w:val="multilevel"/>
    <w:tmpl w:val="34CE7977"/>
    <w:lvl w:ilvl="0" w:tentative="0">
      <w:start w:val="1"/>
      <w:numFmt w:val="decimal"/>
      <w:lvlText w:val="%1."/>
      <w:lvlJc w:val="left"/>
      <w:pPr>
        <w:ind w:left="360" w:hanging="36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39B75748"/>
    <w:multiLevelType w:val="multilevel"/>
    <w:tmpl w:val="39B75748"/>
    <w:lvl w:ilvl="0" w:tentative="0">
      <w:start w:val="1"/>
      <w:numFmt w:val="decimal"/>
      <w:lvlText w:val="（%1）"/>
      <w:lvlJc w:val="left"/>
      <w:pPr>
        <w:ind w:left="704" w:hanging="420"/>
      </w:pPr>
      <w:rPr>
        <w:rFonts w:hint="eastAsia"/>
        <w:b w:val="0"/>
        <w:i w:val="0"/>
        <w:sz w:val="21"/>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52">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3B5975ED"/>
    <w:multiLevelType w:val="multilevel"/>
    <w:tmpl w:val="3B5975ED"/>
    <w:lvl w:ilvl="0" w:tentative="0">
      <w:start w:val="1"/>
      <w:numFmt w:val="decimal"/>
      <w:lvlText w:val="7.%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3B846991"/>
    <w:multiLevelType w:val="multilevel"/>
    <w:tmpl w:val="3B846991"/>
    <w:lvl w:ilvl="0" w:tentative="0">
      <w:start w:val="1"/>
      <w:numFmt w:val="chineseCountingThousand"/>
      <w:lvlText w:val="(%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3B933DAC"/>
    <w:multiLevelType w:val="multilevel"/>
    <w:tmpl w:val="3B933DAC"/>
    <w:lvl w:ilvl="0" w:tentative="0">
      <w:start w:val="1"/>
      <w:numFmt w:val="decimal"/>
      <w:lvlText w:val="33.%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7">
    <w:nsid w:val="3D952BC2"/>
    <w:multiLevelType w:val="multilevel"/>
    <w:tmpl w:val="3D952BC2"/>
    <w:lvl w:ilvl="0" w:tentative="0">
      <w:start w:val="1"/>
      <w:numFmt w:val="decimal"/>
      <w:lvlText w:val="9.%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3DB62F28"/>
    <w:multiLevelType w:val="multilevel"/>
    <w:tmpl w:val="3DB62F28"/>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3DDC6F26"/>
    <w:multiLevelType w:val="multilevel"/>
    <w:tmpl w:val="3DDC6F26"/>
    <w:lvl w:ilvl="0" w:tentative="0">
      <w:start w:val="1"/>
      <w:numFmt w:val="decimal"/>
      <w:lvlText w:val="%1."/>
      <w:lvlJc w:val="left"/>
      <w:pPr>
        <w:ind w:left="420" w:hanging="420"/>
      </w:pPr>
      <w:rPr>
        <w:rFonts w:ascii="黑体" w:hAnsi="黑体" w:eastAsia="黑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3E685289"/>
    <w:multiLevelType w:val="multilevel"/>
    <w:tmpl w:val="3E685289"/>
    <w:lvl w:ilvl="0" w:tentative="0">
      <w:start w:val="1"/>
      <w:numFmt w:val="decimal"/>
      <w:lvlText w:val="5.3.%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3EDA68BD"/>
    <w:multiLevelType w:val="multilevel"/>
    <w:tmpl w:val="3EDA68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417743F0"/>
    <w:multiLevelType w:val="multilevel"/>
    <w:tmpl w:val="417743F0"/>
    <w:lvl w:ilvl="0" w:tentative="0">
      <w:start w:val="1"/>
      <w:numFmt w:val="decimal"/>
      <w:lvlText w:val="1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42685EEA"/>
    <w:multiLevelType w:val="multilevel"/>
    <w:tmpl w:val="42685EEA"/>
    <w:lvl w:ilvl="0" w:tentative="0">
      <w:start w:val="1"/>
      <w:numFmt w:val="decimal"/>
      <w:lvlText w:val="14.%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43666FBA"/>
    <w:multiLevelType w:val="multilevel"/>
    <w:tmpl w:val="43666FBA"/>
    <w:lvl w:ilvl="0" w:tentative="0">
      <w:start w:val="1"/>
      <w:numFmt w:val="decimal"/>
      <w:lvlText w:val="14.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44B04D63"/>
    <w:multiLevelType w:val="multilevel"/>
    <w:tmpl w:val="44B04D63"/>
    <w:lvl w:ilvl="0" w:tentative="0">
      <w:start w:val="1"/>
      <w:numFmt w:val="decimal"/>
      <w:lvlText w:val="17.%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44EF59BE"/>
    <w:multiLevelType w:val="multilevel"/>
    <w:tmpl w:val="44EF59B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44FC465A"/>
    <w:multiLevelType w:val="multilevel"/>
    <w:tmpl w:val="44FC465A"/>
    <w:lvl w:ilvl="0" w:tentative="0">
      <w:start w:val="1"/>
      <w:numFmt w:val="decimal"/>
      <w:lvlText w:val="29.2.%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4735047F"/>
    <w:multiLevelType w:val="multilevel"/>
    <w:tmpl w:val="4735047F"/>
    <w:lvl w:ilvl="0" w:tentative="0">
      <w:start w:val="1"/>
      <w:numFmt w:val="decimal"/>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69">
    <w:nsid w:val="47C1706D"/>
    <w:multiLevelType w:val="singleLevel"/>
    <w:tmpl w:val="47C1706D"/>
    <w:lvl w:ilvl="0" w:tentative="0">
      <w:start w:val="1"/>
      <w:numFmt w:val="decimal"/>
      <w:lvlText w:val="%1."/>
      <w:lvlJc w:val="left"/>
      <w:pPr>
        <w:ind w:left="425" w:hanging="425"/>
      </w:pPr>
      <w:rPr>
        <w:rFonts w:hint="default"/>
      </w:rPr>
    </w:lvl>
  </w:abstractNum>
  <w:abstractNum w:abstractNumId="70">
    <w:nsid w:val="48B74B2E"/>
    <w:multiLevelType w:val="multilevel"/>
    <w:tmpl w:val="48B74B2E"/>
    <w:lvl w:ilvl="0" w:tentative="0">
      <w:start w:val="1"/>
      <w:numFmt w:val="decimalEnclosedCircle"/>
      <w:lvlText w:val="%1"/>
      <w:lvlJc w:val="left"/>
      <w:pPr>
        <w:ind w:left="840" w:hanging="420"/>
      </w:pPr>
      <w:rPr>
        <w:rFonts w:hint="eastAsia"/>
        <w:sz w:val="21"/>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1">
    <w:nsid w:val="49186EAC"/>
    <w:multiLevelType w:val="multilevel"/>
    <w:tmpl w:val="49186EAC"/>
    <w:lvl w:ilvl="0" w:tentative="0">
      <w:start w:val="1"/>
      <w:numFmt w:val="decimal"/>
      <w:lvlText w:val="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493095AB"/>
    <w:multiLevelType w:val="multilevel"/>
    <w:tmpl w:val="493095A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4D1A18FB"/>
    <w:multiLevelType w:val="multilevel"/>
    <w:tmpl w:val="4D1A18FB"/>
    <w:lvl w:ilvl="0" w:tentative="0">
      <w:start w:val="1"/>
      <w:numFmt w:val="decimalEnclosedCircle"/>
      <w:lvlText w:val="%1"/>
      <w:lvlJc w:val="left"/>
      <w:pPr>
        <w:ind w:left="840" w:hanging="420"/>
      </w:pPr>
      <w:rPr>
        <w:rFonts w:hint="eastAsia"/>
        <w:sz w:val="21"/>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5">
    <w:nsid w:val="4F3973FA"/>
    <w:multiLevelType w:val="singleLevel"/>
    <w:tmpl w:val="4F3973FA"/>
    <w:lvl w:ilvl="0" w:tentative="0">
      <w:start w:val="1"/>
      <w:numFmt w:val="decimal"/>
      <w:lvlText w:val="%1"/>
      <w:lvlJc w:val="left"/>
      <w:pPr>
        <w:tabs>
          <w:tab w:val="left" w:pos="420"/>
        </w:tabs>
        <w:ind w:left="425" w:hanging="425"/>
      </w:pPr>
      <w:rPr>
        <w:rFonts w:hint="default"/>
      </w:rPr>
    </w:lvl>
  </w:abstractNum>
  <w:abstractNum w:abstractNumId="76">
    <w:nsid w:val="51242382"/>
    <w:multiLevelType w:val="multilevel"/>
    <w:tmpl w:val="51242382"/>
    <w:lvl w:ilvl="0" w:tentative="0">
      <w:start w:val="1"/>
      <w:numFmt w:val="decimal"/>
      <w:lvlText w:val="%1"/>
      <w:lvlJc w:val="left"/>
      <w:pPr>
        <w:tabs>
          <w:tab w:val="left" w:pos="360"/>
        </w:tabs>
        <w:ind w:left="360" w:hanging="360"/>
      </w:pPr>
      <w:rPr>
        <w:rFonts w:hint="eastAsia" w:ascii="黑体" w:hAnsi="黑体" w:eastAsia="黑体" w:cs="Times New Roman"/>
        <w:b/>
        <w:color w:val="auto"/>
      </w:rPr>
    </w:lvl>
    <w:lvl w:ilvl="1" w:tentative="0">
      <w:start w:val="1"/>
      <w:numFmt w:val="decimal"/>
      <w:lvlText w:val="1.%2"/>
      <w:lvlJc w:val="left"/>
      <w:pPr>
        <w:tabs>
          <w:tab w:val="left" w:pos="360"/>
        </w:tabs>
        <w:ind w:left="360" w:hanging="360"/>
      </w:pPr>
      <w:rPr>
        <w:rFonts w:hint="eastAsia"/>
        <w:b w:val="0"/>
        <w:strike w:val="0"/>
        <w:color w:val="auto"/>
        <w:sz w:val="21"/>
        <w:szCs w:val="21"/>
      </w:rPr>
    </w:lvl>
    <w:lvl w:ilvl="2" w:tentative="0">
      <w:start w:val="1"/>
      <w:numFmt w:val="decimal"/>
      <w:lvlText w:val="26.10.%3"/>
      <w:lvlJc w:val="left"/>
      <w:pPr>
        <w:tabs>
          <w:tab w:val="left" w:pos="720"/>
        </w:tabs>
        <w:ind w:left="720" w:hanging="720"/>
      </w:pPr>
      <w:rPr>
        <w:rFonts w:hint="eastAsia"/>
        <w:b w:val="0"/>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77">
    <w:nsid w:val="51317BD4"/>
    <w:multiLevelType w:val="multilevel"/>
    <w:tmpl w:val="51317BD4"/>
    <w:lvl w:ilvl="0" w:tentative="0">
      <w:start w:val="1"/>
      <w:numFmt w:val="decimalEnclosedCircle"/>
      <w:lvlText w:val="%1"/>
      <w:lvlJc w:val="left"/>
      <w:pPr>
        <w:ind w:left="840" w:hanging="420"/>
      </w:pPr>
      <w:rPr>
        <w:rFonts w:hint="eastAsia"/>
        <w:sz w:val="21"/>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8">
    <w:nsid w:val="52595965"/>
    <w:multiLevelType w:val="multilevel"/>
    <w:tmpl w:val="52595965"/>
    <w:lvl w:ilvl="0" w:tentative="0">
      <w:start w:val="1"/>
      <w:numFmt w:val="decimal"/>
      <w:lvlText w:val="34.3.%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0">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1">
    <w:nsid w:val="53331BC6"/>
    <w:multiLevelType w:val="multilevel"/>
    <w:tmpl w:val="53331BC6"/>
    <w:lvl w:ilvl="0" w:tentative="0">
      <w:start w:val="3"/>
      <w:numFmt w:val="decimal"/>
      <w:lvlText w:val="%1"/>
      <w:lvlJc w:val="left"/>
      <w:pPr>
        <w:ind w:left="425" w:hanging="425"/>
      </w:pPr>
      <w:rPr>
        <w:rFonts w:hint="eastAsia"/>
      </w:rPr>
    </w:lvl>
    <w:lvl w:ilvl="1" w:tentative="0">
      <w:start w:val="1"/>
      <w:numFmt w:val="decimal"/>
      <w:lvlText w:val="3.%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2">
    <w:nsid w:val="55CF31B5"/>
    <w:multiLevelType w:val="multilevel"/>
    <w:tmpl w:val="55CF31B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57CD21EA"/>
    <w:multiLevelType w:val="multilevel"/>
    <w:tmpl w:val="57CD21EA"/>
    <w:lvl w:ilvl="0" w:tentative="0">
      <w:start w:val="1"/>
      <w:numFmt w:val="decimalEnclosedCircle"/>
      <w:lvlText w:val="%1"/>
      <w:lvlJc w:val="left"/>
      <w:pPr>
        <w:ind w:left="840" w:hanging="420"/>
      </w:pPr>
      <w:rPr>
        <w:rFonts w:hint="eastAsia"/>
        <w:sz w:val="21"/>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4">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57FB7867"/>
    <w:multiLevelType w:val="multilevel"/>
    <w:tmpl w:val="57FB7867"/>
    <w:lvl w:ilvl="0" w:tentative="0">
      <w:start w:val="1"/>
      <w:numFmt w:val="decimal"/>
      <w:lvlText w:val="23.%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58870023"/>
    <w:multiLevelType w:val="multilevel"/>
    <w:tmpl w:val="58870023"/>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592B198C"/>
    <w:multiLevelType w:val="multilevel"/>
    <w:tmpl w:val="592B198C"/>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59850387"/>
    <w:multiLevelType w:val="multilevel"/>
    <w:tmpl w:val="5985038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5CA45995"/>
    <w:multiLevelType w:val="multilevel"/>
    <w:tmpl w:val="5CA45995"/>
    <w:lvl w:ilvl="0" w:tentative="0">
      <w:start w:val="1"/>
      <w:numFmt w:val="decimal"/>
      <w:lvlText w:val="24.%1"/>
      <w:lvlJc w:val="left"/>
      <w:pPr>
        <w:ind w:left="704"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5E8E3207"/>
    <w:multiLevelType w:val="multilevel"/>
    <w:tmpl w:val="5E8E3207"/>
    <w:lvl w:ilvl="0" w:tentative="0">
      <w:start w:val="1"/>
      <w:numFmt w:val="decimal"/>
      <w:lvlText w:val="1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600B5310"/>
    <w:multiLevelType w:val="multilevel"/>
    <w:tmpl w:val="600B5310"/>
    <w:lvl w:ilvl="0" w:tentative="0">
      <w:start w:val="4"/>
      <w:numFmt w:val="decimal"/>
      <w:lvlText w:val="%1"/>
      <w:lvlJc w:val="left"/>
      <w:pPr>
        <w:ind w:left="425" w:hanging="425"/>
      </w:pPr>
      <w:rPr>
        <w:rFonts w:hint="eastAsia"/>
      </w:rPr>
    </w:lvl>
    <w:lvl w:ilvl="1" w:tentative="0">
      <w:start w:val="1"/>
      <w:numFmt w:val="decimal"/>
      <w:lvlText w:val="4.%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2">
    <w:nsid w:val="617D546B"/>
    <w:multiLevelType w:val="multilevel"/>
    <w:tmpl w:val="617D546B"/>
    <w:lvl w:ilvl="0" w:tentative="0">
      <w:start w:val="1"/>
      <w:numFmt w:val="decimal"/>
      <w:lvlText w:val="6.%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633F2C99"/>
    <w:multiLevelType w:val="multilevel"/>
    <w:tmpl w:val="633F2C99"/>
    <w:lvl w:ilvl="0" w:tentative="0">
      <w:start w:val="13"/>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3"/>
      <w:numFmt w:val="decimal"/>
      <w:lvlText w:val="%1.2.1"/>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4">
    <w:nsid w:val="63BC7DAF"/>
    <w:multiLevelType w:val="multilevel"/>
    <w:tmpl w:val="63BC7DA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6474018C"/>
    <w:multiLevelType w:val="multilevel"/>
    <w:tmpl w:val="6474018C"/>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678E7457"/>
    <w:multiLevelType w:val="multilevel"/>
    <w:tmpl w:val="678E7457"/>
    <w:lvl w:ilvl="0" w:tentative="0">
      <w:start w:val="1"/>
      <w:numFmt w:val="decimal"/>
      <w:lvlText w:val="3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8">
    <w:nsid w:val="691A4CFD"/>
    <w:multiLevelType w:val="multilevel"/>
    <w:tmpl w:val="691A4CFD"/>
    <w:lvl w:ilvl="0" w:tentative="0">
      <w:start w:val="1"/>
      <w:numFmt w:val="decimal"/>
      <w:lvlText w:val="1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9">
    <w:nsid w:val="6AF74230"/>
    <w:multiLevelType w:val="multilevel"/>
    <w:tmpl w:val="6AF7423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0">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1">
    <w:nsid w:val="6C1370DA"/>
    <w:multiLevelType w:val="multilevel"/>
    <w:tmpl w:val="6C1370DA"/>
    <w:lvl w:ilvl="0" w:tentative="0">
      <w:start w:val="1"/>
      <w:numFmt w:val="decimal"/>
      <w:lvlText w:val="26.%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6D4664F7"/>
    <w:multiLevelType w:val="multilevel"/>
    <w:tmpl w:val="6D4664F7"/>
    <w:lvl w:ilvl="0" w:tentative="0">
      <w:start w:val="1"/>
      <w:numFmt w:val="decimal"/>
      <w:lvlText w:val="13.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3">
    <w:nsid w:val="6D89625E"/>
    <w:multiLevelType w:val="multilevel"/>
    <w:tmpl w:val="6D89625E"/>
    <w:lvl w:ilvl="0" w:tentative="0">
      <w:start w:val="1"/>
      <w:numFmt w:val="decimal"/>
      <w:lvlText w:val="13.%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4">
    <w:nsid w:val="6E644347"/>
    <w:multiLevelType w:val="multilevel"/>
    <w:tmpl w:val="6E644347"/>
    <w:lvl w:ilvl="0" w:tentative="0">
      <w:start w:val="1"/>
      <w:numFmt w:val="decimal"/>
      <w:lvlText w:val="27.%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5">
    <w:nsid w:val="6F6308E9"/>
    <w:multiLevelType w:val="multilevel"/>
    <w:tmpl w:val="6F6308E9"/>
    <w:lvl w:ilvl="0" w:tentative="0">
      <w:start w:val="1"/>
      <w:numFmt w:val="decimal"/>
      <w:lvlText w:val="19.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6">
    <w:nsid w:val="70D90D58"/>
    <w:multiLevelType w:val="multilevel"/>
    <w:tmpl w:val="70D90D58"/>
    <w:lvl w:ilvl="0" w:tentative="0">
      <w:start w:val="1"/>
      <w:numFmt w:val="decimal"/>
      <w:lvlText w:val="28.%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7">
    <w:nsid w:val="714D6726"/>
    <w:multiLevelType w:val="multilevel"/>
    <w:tmpl w:val="714D6726"/>
    <w:lvl w:ilvl="0" w:tentative="0">
      <w:start w:val="1"/>
      <w:numFmt w:val="decimal"/>
      <w:lvlText w:val="30.%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8">
    <w:nsid w:val="73BE0AFC"/>
    <w:multiLevelType w:val="multilevel"/>
    <w:tmpl w:val="73BE0AF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9">
    <w:nsid w:val="74FF2A46"/>
    <w:multiLevelType w:val="multilevel"/>
    <w:tmpl w:val="74FF2A46"/>
    <w:lvl w:ilvl="0" w:tentative="0">
      <w:start w:val="1"/>
      <w:numFmt w:val="decimal"/>
      <w:lvlText w:val="16.%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0">
    <w:nsid w:val="79C9728E"/>
    <w:multiLevelType w:val="multilevel"/>
    <w:tmpl w:val="79C9728E"/>
    <w:lvl w:ilvl="0" w:tentative="0">
      <w:start w:val="1"/>
      <w:numFmt w:val="decimal"/>
      <w:lvlText w:val="3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1">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2">
    <w:nsid w:val="7C5F1F86"/>
    <w:multiLevelType w:val="multilevel"/>
    <w:tmpl w:val="7C5F1F86"/>
    <w:lvl w:ilvl="0" w:tentative="0">
      <w:start w:val="1"/>
      <w:numFmt w:val="decimal"/>
      <w:lvlText w:val="35.%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3">
    <w:nsid w:val="7C9C2E3E"/>
    <w:multiLevelType w:val="multilevel"/>
    <w:tmpl w:val="7C9C2E3E"/>
    <w:lvl w:ilvl="0" w:tentative="0">
      <w:start w:val="2"/>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4">
    <w:nsid w:val="7D4753CF"/>
    <w:multiLevelType w:val="multilevel"/>
    <w:tmpl w:val="7D4753C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5">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6">
    <w:nsid w:val="7E8F7E29"/>
    <w:multiLevelType w:val="multilevel"/>
    <w:tmpl w:val="7E8F7E29"/>
    <w:lvl w:ilvl="0" w:tentative="0">
      <w:start w:val="1"/>
      <w:numFmt w:val="decimal"/>
      <w:lvlText w:val="3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7">
    <w:nsid w:val="7F1C23A6"/>
    <w:multiLevelType w:val="multilevel"/>
    <w:tmpl w:val="7F1C23A6"/>
    <w:lvl w:ilvl="0" w:tentative="0">
      <w:start w:val="1"/>
      <w:numFmt w:val="decimal"/>
      <w:lvlText w:val="4.%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8">
    <w:nsid w:val="7FA93BD6"/>
    <w:multiLevelType w:val="multilevel"/>
    <w:tmpl w:val="7FA93BD6"/>
    <w:lvl w:ilvl="0" w:tentative="0">
      <w:start w:val="1"/>
      <w:numFmt w:val="decimal"/>
      <w:lvlText w:val="25.%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8"/>
  </w:num>
  <w:num w:numId="2">
    <w:abstractNumId w:val="50"/>
  </w:num>
  <w:num w:numId="3">
    <w:abstractNumId w:val="75"/>
  </w:num>
  <w:num w:numId="4">
    <w:abstractNumId w:val="12"/>
  </w:num>
  <w:num w:numId="5">
    <w:abstractNumId w:val="45"/>
  </w:num>
  <w:num w:numId="6">
    <w:abstractNumId w:val="10"/>
  </w:num>
  <w:num w:numId="7">
    <w:abstractNumId w:val="111"/>
  </w:num>
  <w:num w:numId="8">
    <w:abstractNumId w:val="95"/>
  </w:num>
  <w:num w:numId="9">
    <w:abstractNumId w:val="114"/>
  </w:num>
  <w:num w:numId="10">
    <w:abstractNumId w:val="88"/>
  </w:num>
  <w:num w:numId="11">
    <w:abstractNumId w:val="39"/>
  </w:num>
  <w:num w:numId="12">
    <w:abstractNumId w:val="54"/>
  </w:num>
  <w:num w:numId="13">
    <w:abstractNumId w:val="18"/>
  </w:num>
  <w:num w:numId="14">
    <w:abstractNumId w:val="72"/>
  </w:num>
  <w:num w:numId="15">
    <w:abstractNumId w:val="40"/>
  </w:num>
  <w:num w:numId="16">
    <w:abstractNumId w:val="4"/>
  </w:num>
  <w:num w:numId="17">
    <w:abstractNumId w:val="47"/>
  </w:num>
  <w:num w:numId="18">
    <w:abstractNumId w:val="11"/>
  </w:num>
  <w:num w:numId="19">
    <w:abstractNumId w:val="77"/>
  </w:num>
  <w:num w:numId="20">
    <w:abstractNumId w:val="70"/>
  </w:num>
  <w:num w:numId="21">
    <w:abstractNumId w:val="74"/>
  </w:num>
  <w:num w:numId="22">
    <w:abstractNumId w:val="38"/>
  </w:num>
  <w:num w:numId="23">
    <w:abstractNumId w:val="83"/>
  </w:num>
  <w:num w:numId="24">
    <w:abstractNumId w:val="35"/>
  </w:num>
  <w:num w:numId="25">
    <w:abstractNumId w:val="69"/>
  </w:num>
  <w:num w:numId="26">
    <w:abstractNumId w:val="51"/>
  </w:num>
  <w:num w:numId="27">
    <w:abstractNumId w:val="3"/>
  </w:num>
  <w:num w:numId="28">
    <w:abstractNumId w:val="31"/>
  </w:num>
  <w:num w:numId="29">
    <w:abstractNumId w:val="29"/>
  </w:num>
  <w:num w:numId="30">
    <w:abstractNumId w:val="23"/>
  </w:num>
  <w:num w:numId="31">
    <w:abstractNumId w:val="68"/>
  </w:num>
  <w:num w:numId="32">
    <w:abstractNumId w:val="37"/>
  </w:num>
  <w:num w:numId="33">
    <w:abstractNumId w:val="76"/>
  </w:num>
  <w:num w:numId="34">
    <w:abstractNumId w:val="71"/>
  </w:num>
  <w:num w:numId="35">
    <w:abstractNumId w:val="15"/>
  </w:num>
  <w:num w:numId="36">
    <w:abstractNumId w:val="13"/>
  </w:num>
  <w:num w:numId="37">
    <w:abstractNumId w:val="117"/>
  </w:num>
  <w:num w:numId="38">
    <w:abstractNumId w:val="36"/>
  </w:num>
  <w:num w:numId="39">
    <w:abstractNumId w:val="60"/>
  </w:num>
  <w:num w:numId="40">
    <w:abstractNumId w:val="92"/>
  </w:num>
  <w:num w:numId="41">
    <w:abstractNumId w:val="53"/>
  </w:num>
  <w:num w:numId="42">
    <w:abstractNumId w:val="22"/>
  </w:num>
  <w:num w:numId="43">
    <w:abstractNumId w:val="57"/>
  </w:num>
  <w:num w:numId="44">
    <w:abstractNumId w:val="30"/>
  </w:num>
  <w:num w:numId="45">
    <w:abstractNumId w:val="6"/>
  </w:num>
  <w:num w:numId="46">
    <w:abstractNumId w:val="98"/>
  </w:num>
  <w:num w:numId="47">
    <w:abstractNumId w:val="90"/>
  </w:num>
  <w:num w:numId="48">
    <w:abstractNumId w:val="103"/>
  </w:num>
  <w:num w:numId="49">
    <w:abstractNumId w:val="102"/>
  </w:num>
  <w:num w:numId="50">
    <w:abstractNumId w:val="63"/>
  </w:num>
  <w:num w:numId="51">
    <w:abstractNumId w:val="64"/>
  </w:num>
  <w:num w:numId="52">
    <w:abstractNumId w:val="62"/>
  </w:num>
  <w:num w:numId="53">
    <w:abstractNumId w:val="109"/>
  </w:num>
  <w:num w:numId="54">
    <w:abstractNumId w:val="17"/>
  </w:num>
  <w:num w:numId="55">
    <w:abstractNumId w:val="65"/>
  </w:num>
  <w:num w:numId="56">
    <w:abstractNumId w:val="16"/>
  </w:num>
  <w:num w:numId="57">
    <w:abstractNumId w:val="42"/>
  </w:num>
  <w:num w:numId="58">
    <w:abstractNumId w:val="27"/>
  </w:num>
  <w:num w:numId="59">
    <w:abstractNumId w:val="7"/>
  </w:num>
  <w:num w:numId="60">
    <w:abstractNumId w:val="105"/>
  </w:num>
  <w:num w:numId="61">
    <w:abstractNumId w:val="21"/>
  </w:num>
  <w:num w:numId="62">
    <w:abstractNumId w:val="46"/>
  </w:num>
  <w:num w:numId="63">
    <w:abstractNumId w:val="19"/>
  </w:num>
  <w:num w:numId="64">
    <w:abstractNumId w:val="85"/>
  </w:num>
  <w:num w:numId="65">
    <w:abstractNumId w:val="89"/>
  </w:num>
  <w:num w:numId="66">
    <w:abstractNumId w:val="118"/>
  </w:num>
  <w:num w:numId="67">
    <w:abstractNumId w:val="101"/>
  </w:num>
  <w:num w:numId="68">
    <w:abstractNumId w:val="32"/>
  </w:num>
  <w:num w:numId="69">
    <w:abstractNumId w:val="104"/>
  </w:num>
  <w:num w:numId="70">
    <w:abstractNumId w:val="106"/>
  </w:num>
  <w:num w:numId="71">
    <w:abstractNumId w:val="25"/>
  </w:num>
  <w:num w:numId="72">
    <w:abstractNumId w:val="24"/>
  </w:num>
  <w:num w:numId="73">
    <w:abstractNumId w:val="67"/>
  </w:num>
  <w:num w:numId="74">
    <w:abstractNumId w:val="14"/>
  </w:num>
  <w:num w:numId="75">
    <w:abstractNumId w:val="44"/>
  </w:num>
  <w:num w:numId="76">
    <w:abstractNumId w:val="107"/>
  </w:num>
  <w:num w:numId="77">
    <w:abstractNumId w:val="20"/>
  </w:num>
  <w:num w:numId="78">
    <w:abstractNumId w:val="28"/>
  </w:num>
  <w:num w:numId="79">
    <w:abstractNumId w:val="55"/>
  </w:num>
  <w:num w:numId="80">
    <w:abstractNumId w:val="116"/>
  </w:num>
  <w:num w:numId="81">
    <w:abstractNumId w:val="78"/>
  </w:num>
  <w:num w:numId="82">
    <w:abstractNumId w:val="112"/>
  </w:num>
  <w:num w:numId="83">
    <w:abstractNumId w:val="96"/>
  </w:num>
  <w:num w:numId="84">
    <w:abstractNumId w:val="110"/>
  </w:num>
  <w:num w:numId="85">
    <w:abstractNumId w:val="49"/>
  </w:num>
  <w:num w:numId="86">
    <w:abstractNumId w:val="87"/>
  </w:num>
  <w:num w:numId="87">
    <w:abstractNumId w:val="84"/>
  </w:num>
  <w:num w:numId="88">
    <w:abstractNumId w:val="79"/>
  </w:num>
  <w:num w:numId="89">
    <w:abstractNumId w:val="56"/>
  </w:num>
  <w:num w:numId="90">
    <w:abstractNumId w:val="113"/>
  </w:num>
  <w:num w:numId="91">
    <w:abstractNumId w:val="81"/>
  </w:num>
  <w:num w:numId="92">
    <w:abstractNumId w:val="91"/>
  </w:num>
  <w:num w:numId="93">
    <w:abstractNumId w:val="33"/>
  </w:num>
  <w:num w:numId="94">
    <w:abstractNumId w:val="80"/>
  </w:num>
  <w:num w:numId="95">
    <w:abstractNumId w:val="93"/>
  </w:num>
  <w:num w:numId="96">
    <w:abstractNumId w:val="34"/>
  </w:num>
  <w:num w:numId="97">
    <w:abstractNumId w:val="100"/>
  </w:num>
  <w:num w:numId="98">
    <w:abstractNumId w:val="26"/>
  </w:num>
  <w:num w:numId="99">
    <w:abstractNumId w:val="99"/>
  </w:num>
  <w:num w:numId="100">
    <w:abstractNumId w:val="2"/>
  </w:num>
  <w:num w:numId="101">
    <w:abstractNumId w:val="1"/>
  </w:num>
  <w:num w:numId="102">
    <w:abstractNumId w:val="0"/>
  </w:num>
  <w:num w:numId="103">
    <w:abstractNumId w:val="8"/>
  </w:num>
  <w:num w:numId="104">
    <w:abstractNumId w:val="5"/>
  </w:num>
  <w:num w:numId="105">
    <w:abstractNumId w:val="58"/>
  </w:num>
  <w:num w:numId="106">
    <w:abstractNumId w:val="108"/>
  </w:num>
  <w:num w:numId="107">
    <w:abstractNumId w:val="97"/>
  </w:num>
  <w:num w:numId="108">
    <w:abstractNumId w:val="94"/>
  </w:num>
  <w:num w:numId="109">
    <w:abstractNumId w:val="59"/>
  </w:num>
  <w:num w:numId="110">
    <w:abstractNumId w:val="41"/>
  </w:num>
  <w:num w:numId="111">
    <w:abstractNumId w:val="86"/>
  </w:num>
  <w:num w:numId="112">
    <w:abstractNumId w:val="52"/>
  </w:num>
  <w:num w:numId="113">
    <w:abstractNumId w:val="115"/>
  </w:num>
  <w:num w:numId="114">
    <w:abstractNumId w:val="9"/>
  </w:num>
  <w:num w:numId="115">
    <w:abstractNumId w:val="73"/>
  </w:num>
  <w:num w:numId="116">
    <w:abstractNumId w:val="66"/>
  </w:num>
  <w:num w:numId="117">
    <w:abstractNumId w:val="61"/>
  </w:num>
  <w:num w:numId="118">
    <w:abstractNumId w:val="82"/>
  </w:num>
  <w:num w:numId="11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g0MzMyNGJiMDEzODc5ODNlMGVjODViOWRkZjg1MDgifQ=="/>
  </w:docVars>
  <w:rsids>
    <w:rsidRoot w:val="00817D3C"/>
    <w:rsid w:val="00002C57"/>
    <w:rsid w:val="000068E5"/>
    <w:rsid w:val="00006EF9"/>
    <w:rsid w:val="000147DB"/>
    <w:rsid w:val="00015225"/>
    <w:rsid w:val="00015A0E"/>
    <w:rsid w:val="000176A3"/>
    <w:rsid w:val="00017714"/>
    <w:rsid w:val="00022CEB"/>
    <w:rsid w:val="00023652"/>
    <w:rsid w:val="0003306B"/>
    <w:rsid w:val="00042059"/>
    <w:rsid w:val="00042E69"/>
    <w:rsid w:val="00044364"/>
    <w:rsid w:val="00045399"/>
    <w:rsid w:val="000521CC"/>
    <w:rsid w:val="00060DE3"/>
    <w:rsid w:val="000617C3"/>
    <w:rsid w:val="00064A83"/>
    <w:rsid w:val="00071B85"/>
    <w:rsid w:val="00077F04"/>
    <w:rsid w:val="000801C1"/>
    <w:rsid w:val="00085646"/>
    <w:rsid w:val="00085C38"/>
    <w:rsid w:val="00085F09"/>
    <w:rsid w:val="00086123"/>
    <w:rsid w:val="000875A8"/>
    <w:rsid w:val="00091610"/>
    <w:rsid w:val="00092A1E"/>
    <w:rsid w:val="00093F93"/>
    <w:rsid w:val="000941DF"/>
    <w:rsid w:val="000972F8"/>
    <w:rsid w:val="000A162E"/>
    <w:rsid w:val="000A59E3"/>
    <w:rsid w:val="000B0104"/>
    <w:rsid w:val="000B0FB0"/>
    <w:rsid w:val="000B7826"/>
    <w:rsid w:val="000B7B7E"/>
    <w:rsid w:val="000C56D3"/>
    <w:rsid w:val="000D45A8"/>
    <w:rsid w:val="000D66A6"/>
    <w:rsid w:val="000D6E41"/>
    <w:rsid w:val="000D7416"/>
    <w:rsid w:val="000E3BE0"/>
    <w:rsid w:val="000E40DF"/>
    <w:rsid w:val="000E5C05"/>
    <w:rsid w:val="000F35EA"/>
    <w:rsid w:val="001024B8"/>
    <w:rsid w:val="00105A6A"/>
    <w:rsid w:val="0010621B"/>
    <w:rsid w:val="001062E6"/>
    <w:rsid w:val="001124BC"/>
    <w:rsid w:val="0011431B"/>
    <w:rsid w:val="00114D51"/>
    <w:rsid w:val="001168DC"/>
    <w:rsid w:val="00116CC3"/>
    <w:rsid w:val="00121681"/>
    <w:rsid w:val="00126D9F"/>
    <w:rsid w:val="00132290"/>
    <w:rsid w:val="00135885"/>
    <w:rsid w:val="00135DE2"/>
    <w:rsid w:val="00136A06"/>
    <w:rsid w:val="001374EF"/>
    <w:rsid w:val="00140BF8"/>
    <w:rsid w:val="00142875"/>
    <w:rsid w:val="00143BFC"/>
    <w:rsid w:val="00145362"/>
    <w:rsid w:val="001469B4"/>
    <w:rsid w:val="00153A88"/>
    <w:rsid w:val="00156BE4"/>
    <w:rsid w:val="00157144"/>
    <w:rsid w:val="00160F28"/>
    <w:rsid w:val="00161686"/>
    <w:rsid w:val="001758D6"/>
    <w:rsid w:val="00177E7E"/>
    <w:rsid w:val="0018187E"/>
    <w:rsid w:val="00186D68"/>
    <w:rsid w:val="001A388D"/>
    <w:rsid w:val="001A65C8"/>
    <w:rsid w:val="001B3C4F"/>
    <w:rsid w:val="001B3DB0"/>
    <w:rsid w:val="001B6B6B"/>
    <w:rsid w:val="001C441F"/>
    <w:rsid w:val="001D0923"/>
    <w:rsid w:val="001D1CDA"/>
    <w:rsid w:val="001D2F30"/>
    <w:rsid w:val="001D3C7D"/>
    <w:rsid w:val="001D76BB"/>
    <w:rsid w:val="001E1FFF"/>
    <w:rsid w:val="001F2D81"/>
    <w:rsid w:val="00201B79"/>
    <w:rsid w:val="0020589D"/>
    <w:rsid w:val="002066A5"/>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C0420"/>
    <w:rsid w:val="002C23AD"/>
    <w:rsid w:val="002C655A"/>
    <w:rsid w:val="002D09E6"/>
    <w:rsid w:val="002D1BC8"/>
    <w:rsid w:val="002D6A01"/>
    <w:rsid w:val="002D6C2E"/>
    <w:rsid w:val="002E3AC3"/>
    <w:rsid w:val="002E621C"/>
    <w:rsid w:val="002E7A32"/>
    <w:rsid w:val="002F108F"/>
    <w:rsid w:val="002F2D21"/>
    <w:rsid w:val="00300248"/>
    <w:rsid w:val="00304EC8"/>
    <w:rsid w:val="00306513"/>
    <w:rsid w:val="003218BE"/>
    <w:rsid w:val="00323D0E"/>
    <w:rsid w:val="0033001E"/>
    <w:rsid w:val="00332AFE"/>
    <w:rsid w:val="00332E83"/>
    <w:rsid w:val="00340D1E"/>
    <w:rsid w:val="00342904"/>
    <w:rsid w:val="00342BC3"/>
    <w:rsid w:val="0034379B"/>
    <w:rsid w:val="00350612"/>
    <w:rsid w:val="00356EAD"/>
    <w:rsid w:val="0035701F"/>
    <w:rsid w:val="00362BCE"/>
    <w:rsid w:val="00365135"/>
    <w:rsid w:val="00365C6A"/>
    <w:rsid w:val="00365D30"/>
    <w:rsid w:val="00371EE4"/>
    <w:rsid w:val="00372DB2"/>
    <w:rsid w:val="00376B7A"/>
    <w:rsid w:val="00383735"/>
    <w:rsid w:val="00383778"/>
    <w:rsid w:val="003845D9"/>
    <w:rsid w:val="003850FB"/>
    <w:rsid w:val="00387329"/>
    <w:rsid w:val="003903FD"/>
    <w:rsid w:val="0039193B"/>
    <w:rsid w:val="00391B61"/>
    <w:rsid w:val="003937AD"/>
    <w:rsid w:val="00394783"/>
    <w:rsid w:val="00395BED"/>
    <w:rsid w:val="00397AE8"/>
    <w:rsid w:val="00397BD3"/>
    <w:rsid w:val="003A6549"/>
    <w:rsid w:val="003A6E1D"/>
    <w:rsid w:val="003B7334"/>
    <w:rsid w:val="003C3F7E"/>
    <w:rsid w:val="003C489E"/>
    <w:rsid w:val="003C5B9B"/>
    <w:rsid w:val="003D3E3F"/>
    <w:rsid w:val="003D4709"/>
    <w:rsid w:val="003D5C4C"/>
    <w:rsid w:val="003E01FE"/>
    <w:rsid w:val="003E0503"/>
    <w:rsid w:val="003E66A4"/>
    <w:rsid w:val="003F3DAD"/>
    <w:rsid w:val="00400609"/>
    <w:rsid w:val="004020AF"/>
    <w:rsid w:val="00407202"/>
    <w:rsid w:val="00410F8C"/>
    <w:rsid w:val="0041249C"/>
    <w:rsid w:val="0041788E"/>
    <w:rsid w:val="00430B16"/>
    <w:rsid w:val="004326EB"/>
    <w:rsid w:val="004375E8"/>
    <w:rsid w:val="004403BA"/>
    <w:rsid w:val="00441773"/>
    <w:rsid w:val="00453BDB"/>
    <w:rsid w:val="00465DFC"/>
    <w:rsid w:val="00466210"/>
    <w:rsid w:val="00470EC4"/>
    <w:rsid w:val="00471BB1"/>
    <w:rsid w:val="0047792F"/>
    <w:rsid w:val="00480B78"/>
    <w:rsid w:val="00481805"/>
    <w:rsid w:val="00481877"/>
    <w:rsid w:val="00483E53"/>
    <w:rsid w:val="00495D9B"/>
    <w:rsid w:val="00496B7B"/>
    <w:rsid w:val="004A5CD5"/>
    <w:rsid w:val="004A6443"/>
    <w:rsid w:val="004B202D"/>
    <w:rsid w:val="004B295C"/>
    <w:rsid w:val="004B4890"/>
    <w:rsid w:val="004C1078"/>
    <w:rsid w:val="004C2666"/>
    <w:rsid w:val="004C5AF9"/>
    <w:rsid w:val="004C7BA7"/>
    <w:rsid w:val="004E602E"/>
    <w:rsid w:val="004E7856"/>
    <w:rsid w:val="004E7D02"/>
    <w:rsid w:val="004F2F3D"/>
    <w:rsid w:val="004F2FEC"/>
    <w:rsid w:val="00505437"/>
    <w:rsid w:val="00506ECF"/>
    <w:rsid w:val="00507FA0"/>
    <w:rsid w:val="005122C9"/>
    <w:rsid w:val="00512BDD"/>
    <w:rsid w:val="00514CBA"/>
    <w:rsid w:val="00515B18"/>
    <w:rsid w:val="00516DF0"/>
    <w:rsid w:val="0052016F"/>
    <w:rsid w:val="005249A8"/>
    <w:rsid w:val="00524E7B"/>
    <w:rsid w:val="00533E8E"/>
    <w:rsid w:val="00535752"/>
    <w:rsid w:val="00540303"/>
    <w:rsid w:val="00542E7F"/>
    <w:rsid w:val="005501F8"/>
    <w:rsid w:val="0056166D"/>
    <w:rsid w:val="005620DE"/>
    <w:rsid w:val="005662E0"/>
    <w:rsid w:val="00567F56"/>
    <w:rsid w:val="00570392"/>
    <w:rsid w:val="00573B52"/>
    <w:rsid w:val="0057601E"/>
    <w:rsid w:val="00580BB0"/>
    <w:rsid w:val="005821E7"/>
    <w:rsid w:val="005823C4"/>
    <w:rsid w:val="00584F31"/>
    <w:rsid w:val="00585A40"/>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1410A"/>
    <w:rsid w:val="00616D5D"/>
    <w:rsid w:val="00622A0D"/>
    <w:rsid w:val="00623A12"/>
    <w:rsid w:val="006310A1"/>
    <w:rsid w:val="006339F8"/>
    <w:rsid w:val="00644D51"/>
    <w:rsid w:val="006509EA"/>
    <w:rsid w:val="00650C2A"/>
    <w:rsid w:val="006625F5"/>
    <w:rsid w:val="00665395"/>
    <w:rsid w:val="00665DC4"/>
    <w:rsid w:val="00677727"/>
    <w:rsid w:val="00691EEC"/>
    <w:rsid w:val="00692175"/>
    <w:rsid w:val="00693A0E"/>
    <w:rsid w:val="006A2ABC"/>
    <w:rsid w:val="006A45FE"/>
    <w:rsid w:val="006B37F4"/>
    <w:rsid w:val="006B4392"/>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661B"/>
    <w:rsid w:val="00742085"/>
    <w:rsid w:val="0074214D"/>
    <w:rsid w:val="00744BDE"/>
    <w:rsid w:val="00747F7E"/>
    <w:rsid w:val="00752455"/>
    <w:rsid w:val="0075271F"/>
    <w:rsid w:val="007533F5"/>
    <w:rsid w:val="007605E8"/>
    <w:rsid w:val="007622A5"/>
    <w:rsid w:val="00764083"/>
    <w:rsid w:val="00766E20"/>
    <w:rsid w:val="00766E3C"/>
    <w:rsid w:val="00767FA8"/>
    <w:rsid w:val="0077056C"/>
    <w:rsid w:val="007715A7"/>
    <w:rsid w:val="00771C43"/>
    <w:rsid w:val="00773E29"/>
    <w:rsid w:val="0078299A"/>
    <w:rsid w:val="00784843"/>
    <w:rsid w:val="0079617D"/>
    <w:rsid w:val="007A1441"/>
    <w:rsid w:val="007A1997"/>
    <w:rsid w:val="007A30C8"/>
    <w:rsid w:val="007A51BA"/>
    <w:rsid w:val="007A51C0"/>
    <w:rsid w:val="007A69C2"/>
    <w:rsid w:val="007B0691"/>
    <w:rsid w:val="007B4561"/>
    <w:rsid w:val="007B5214"/>
    <w:rsid w:val="007C04DA"/>
    <w:rsid w:val="007C61EF"/>
    <w:rsid w:val="007D24D6"/>
    <w:rsid w:val="007D5F16"/>
    <w:rsid w:val="007E6F1F"/>
    <w:rsid w:val="007F3E19"/>
    <w:rsid w:val="007F4B72"/>
    <w:rsid w:val="007F4F15"/>
    <w:rsid w:val="007F51F3"/>
    <w:rsid w:val="00803A4F"/>
    <w:rsid w:val="008040F3"/>
    <w:rsid w:val="00811FA3"/>
    <w:rsid w:val="008123B6"/>
    <w:rsid w:val="00817BC9"/>
    <w:rsid w:val="00817D3C"/>
    <w:rsid w:val="0082307E"/>
    <w:rsid w:val="008274E3"/>
    <w:rsid w:val="008300E5"/>
    <w:rsid w:val="00830CA1"/>
    <w:rsid w:val="00842B12"/>
    <w:rsid w:val="00842DD8"/>
    <w:rsid w:val="008437F3"/>
    <w:rsid w:val="00843FBE"/>
    <w:rsid w:val="00860D3A"/>
    <w:rsid w:val="008611AF"/>
    <w:rsid w:val="00861947"/>
    <w:rsid w:val="008625F1"/>
    <w:rsid w:val="008626FA"/>
    <w:rsid w:val="00862F94"/>
    <w:rsid w:val="00870CB0"/>
    <w:rsid w:val="008713F2"/>
    <w:rsid w:val="00871F73"/>
    <w:rsid w:val="008769F4"/>
    <w:rsid w:val="00881901"/>
    <w:rsid w:val="00881CE5"/>
    <w:rsid w:val="00882FD6"/>
    <w:rsid w:val="00893A82"/>
    <w:rsid w:val="00893B27"/>
    <w:rsid w:val="008A161C"/>
    <w:rsid w:val="008A3B5B"/>
    <w:rsid w:val="008B0D82"/>
    <w:rsid w:val="008B169F"/>
    <w:rsid w:val="008B3FF2"/>
    <w:rsid w:val="008B49A2"/>
    <w:rsid w:val="008B4B5B"/>
    <w:rsid w:val="008B4C16"/>
    <w:rsid w:val="008B724F"/>
    <w:rsid w:val="008C56E5"/>
    <w:rsid w:val="008D1883"/>
    <w:rsid w:val="008D3362"/>
    <w:rsid w:val="008D4719"/>
    <w:rsid w:val="008D612F"/>
    <w:rsid w:val="008D6D5D"/>
    <w:rsid w:val="008E0A55"/>
    <w:rsid w:val="008E4CC4"/>
    <w:rsid w:val="008E5F5E"/>
    <w:rsid w:val="008F0B87"/>
    <w:rsid w:val="008F29B0"/>
    <w:rsid w:val="008F5B58"/>
    <w:rsid w:val="008F752F"/>
    <w:rsid w:val="009003C8"/>
    <w:rsid w:val="00904615"/>
    <w:rsid w:val="009049B1"/>
    <w:rsid w:val="00906912"/>
    <w:rsid w:val="0092182F"/>
    <w:rsid w:val="009221CD"/>
    <w:rsid w:val="009308F4"/>
    <w:rsid w:val="00934A8D"/>
    <w:rsid w:val="009377E7"/>
    <w:rsid w:val="00946AAD"/>
    <w:rsid w:val="00947407"/>
    <w:rsid w:val="0096438E"/>
    <w:rsid w:val="0096454F"/>
    <w:rsid w:val="00964BA7"/>
    <w:rsid w:val="00966BAA"/>
    <w:rsid w:val="00970A51"/>
    <w:rsid w:val="00975449"/>
    <w:rsid w:val="00976323"/>
    <w:rsid w:val="00980E8B"/>
    <w:rsid w:val="00984046"/>
    <w:rsid w:val="0099210C"/>
    <w:rsid w:val="00995395"/>
    <w:rsid w:val="00996C50"/>
    <w:rsid w:val="00997067"/>
    <w:rsid w:val="009B0106"/>
    <w:rsid w:val="009B43FF"/>
    <w:rsid w:val="009B76AE"/>
    <w:rsid w:val="009B7E5A"/>
    <w:rsid w:val="009C3B16"/>
    <w:rsid w:val="009C454F"/>
    <w:rsid w:val="009C6B28"/>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531D"/>
    <w:rsid w:val="00A52797"/>
    <w:rsid w:val="00A54E88"/>
    <w:rsid w:val="00A6440B"/>
    <w:rsid w:val="00A648C1"/>
    <w:rsid w:val="00A64F91"/>
    <w:rsid w:val="00A65673"/>
    <w:rsid w:val="00A673DF"/>
    <w:rsid w:val="00A6751B"/>
    <w:rsid w:val="00A7099D"/>
    <w:rsid w:val="00A71BDE"/>
    <w:rsid w:val="00A71FB4"/>
    <w:rsid w:val="00A76874"/>
    <w:rsid w:val="00A832A0"/>
    <w:rsid w:val="00A864A6"/>
    <w:rsid w:val="00A864A7"/>
    <w:rsid w:val="00A90FEA"/>
    <w:rsid w:val="00A933D1"/>
    <w:rsid w:val="00A938E8"/>
    <w:rsid w:val="00A938FB"/>
    <w:rsid w:val="00A94182"/>
    <w:rsid w:val="00AA00EE"/>
    <w:rsid w:val="00AA254D"/>
    <w:rsid w:val="00AA7325"/>
    <w:rsid w:val="00AB046A"/>
    <w:rsid w:val="00AB184A"/>
    <w:rsid w:val="00AB7637"/>
    <w:rsid w:val="00AB7D0C"/>
    <w:rsid w:val="00AC774B"/>
    <w:rsid w:val="00AE1C7B"/>
    <w:rsid w:val="00AF4574"/>
    <w:rsid w:val="00AF54E0"/>
    <w:rsid w:val="00B06E5A"/>
    <w:rsid w:val="00B1085B"/>
    <w:rsid w:val="00B1278D"/>
    <w:rsid w:val="00B15127"/>
    <w:rsid w:val="00B16405"/>
    <w:rsid w:val="00B17392"/>
    <w:rsid w:val="00B25526"/>
    <w:rsid w:val="00B37B7E"/>
    <w:rsid w:val="00B45286"/>
    <w:rsid w:val="00B457FA"/>
    <w:rsid w:val="00B45E64"/>
    <w:rsid w:val="00B4797A"/>
    <w:rsid w:val="00B515F1"/>
    <w:rsid w:val="00B53E7E"/>
    <w:rsid w:val="00B55DD4"/>
    <w:rsid w:val="00B634C0"/>
    <w:rsid w:val="00B641ED"/>
    <w:rsid w:val="00B64260"/>
    <w:rsid w:val="00B66553"/>
    <w:rsid w:val="00B700DB"/>
    <w:rsid w:val="00B7164D"/>
    <w:rsid w:val="00B75F30"/>
    <w:rsid w:val="00B82DB4"/>
    <w:rsid w:val="00B83984"/>
    <w:rsid w:val="00B844E9"/>
    <w:rsid w:val="00B865C5"/>
    <w:rsid w:val="00B92EC6"/>
    <w:rsid w:val="00B93FAA"/>
    <w:rsid w:val="00B97401"/>
    <w:rsid w:val="00BA1207"/>
    <w:rsid w:val="00BA5F11"/>
    <w:rsid w:val="00BB07AB"/>
    <w:rsid w:val="00BB1066"/>
    <w:rsid w:val="00BB12B2"/>
    <w:rsid w:val="00BB722A"/>
    <w:rsid w:val="00BD0879"/>
    <w:rsid w:val="00BD3010"/>
    <w:rsid w:val="00BD550C"/>
    <w:rsid w:val="00BE4DC2"/>
    <w:rsid w:val="00BF10BB"/>
    <w:rsid w:val="00BF316F"/>
    <w:rsid w:val="00BF359A"/>
    <w:rsid w:val="00C020CA"/>
    <w:rsid w:val="00C02D53"/>
    <w:rsid w:val="00C03D8C"/>
    <w:rsid w:val="00C047CF"/>
    <w:rsid w:val="00C104CA"/>
    <w:rsid w:val="00C12EE2"/>
    <w:rsid w:val="00C1659C"/>
    <w:rsid w:val="00C170E5"/>
    <w:rsid w:val="00C1746B"/>
    <w:rsid w:val="00C34504"/>
    <w:rsid w:val="00C3488A"/>
    <w:rsid w:val="00C37FCF"/>
    <w:rsid w:val="00C43B1F"/>
    <w:rsid w:val="00C450B2"/>
    <w:rsid w:val="00C46E26"/>
    <w:rsid w:val="00C5296F"/>
    <w:rsid w:val="00C640B1"/>
    <w:rsid w:val="00C66F61"/>
    <w:rsid w:val="00C721FA"/>
    <w:rsid w:val="00C72800"/>
    <w:rsid w:val="00C75E3C"/>
    <w:rsid w:val="00C76424"/>
    <w:rsid w:val="00C812CC"/>
    <w:rsid w:val="00C85F58"/>
    <w:rsid w:val="00C900B2"/>
    <w:rsid w:val="00C91164"/>
    <w:rsid w:val="00C95B1F"/>
    <w:rsid w:val="00C960CE"/>
    <w:rsid w:val="00CA00FE"/>
    <w:rsid w:val="00CB672B"/>
    <w:rsid w:val="00CB696E"/>
    <w:rsid w:val="00CB7AEC"/>
    <w:rsid w:val="00CB7D00"/>
    <w:rsid w:val="00CC1DE3"/>
    <w:rsid w:val="00CC30BB"/>
    <w:rsid w:val="00CC324E"/>
    <w:rsid w:val="00CC40EB"/>
    <w:rsid w:val="00CC415D"/>
    <w:rsid w:val="00CC453B"/>
    <w:rsid w:val="00CE1127"/>
    <w:rsid w:val="00CE16A0"/>
    <w:rsid w:val="00CE654F"/>
    <w:rsid w:val="00CF103A"/>
    <w:rsid w:val="00CF4ABA"/>
    <w:rsid w:val="00CF677C"/>
    <w:rsid w:val="00D02936"/>
    <w:rsid w:val="00D057A4"/>
    <w:rsid w:val="00D10531"/>
    <w:rsid w:val="00D1211F"/>
    <w:rsid w:val="00D12EAC"/>
    <w:rsid w:val="00D15411"/>
    <w:rsid w:val="00D16CCA"/>
    <w:rsid w:val="00D21DF7"/>
    <w:rsid w:val="00D27067"/>
    <w:rsid w:val="00D271D9"/>
    <w:rsid w:val="00D2798C"/>
    <w:rsid w:val="00D33AC2"/>
    <w:rsid w:val="00D3450C"/>
    <w:rsid w:val="00D42E0A"/>
    <w:rsid w:val="00D5180E"/>
    <w:rsid w:val="00D535D4"/>
    <w:rsid w:val="00D54F00"/>
    <w:rsid w:val="00D649F8"/>
    <w:rsid w:val="00D663B0"/>
    <w:rsid w:val="00D67D5F"/>
    <w:rsid w:val="00D7112C"/>
    <w:rsid w:val="00D7609E"/>
    <w:rsid w:val="00D77872"/>
    <w:rsid w:val="00D81AA8"/>
    <w:rsid w:val="00D85641"/>
    <w:rsid w:val="00D86E95"/>
    <w:rsid w:val="00D90CAB"/>
    <w:rsid w:val="00D925AD"/>
    <w:rsid w:val="00D94C8F"/>
    <w:rsid w:val="00D953AC"/>
    <w:rsid w:val="00DA0A1B"/>
    <w:rsid w:val="00DA1EE3"/>
    <w:rsid w:val="00DB11AC"/>
    <w:rsid w:val="00DB3FDA"/>
    <w:rsid w:val="00DB405D"/>
    <w:rsid w:val="00DC158D"/>
    <w:rsid w:val="00DC4F10"/>
    <w:rsid w:val="00DD69D3"/>
    <w:rsid w:val="00DE1CDC"/>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5C0F"/>
    <w:rsid w:val="00E47532"/>
    <w:rsid w:val="00E50DF8"/>
    <w:rsid w:val="00E61DBD"/>
    <w:rsid w:val="00E6336E"/>
    <w:rsid w:val="00E64CF5"/>
    <w:rsid w:val="00E70C5C"/>
    <w:rsid w:val="00E71912"/>
    <w:rsid w:val="00E72275"/>
    <w:rsid w:val="00E75EF6"/>
    <w:rsid w:val="00E816DB"/>
    <w:rsid w:val="00E828DA"/>
    <w:rsid w:val="00E8367D"/>
    <w:rsid w:val="00E8649A"/>
    <w:rsid w:val="00E932BE"/>
    <w:rsid w:val="00E933E1"/>
    <w:rsid w:val="00E96AB8"/>
    <w:rsid w:val="00E972D3"/>
    <w:rsid w:val="00E978CE"/>
    <w:rsid w:val="00EA0FF4"/>
    <w:rsid w:val="00EA23E4"/>
    <w:rsid w:val="00EA3136"/>
    <w:rsid w:val="00EA7D3C"/>
    <w:rsid w:val="00EB15D7"/>
    <w:rsid w:val="00EB2278"/>
    <w:rsid w:val="00EB2691"/>
    <w:rsid w:val="00EB3F63"/>
    <w:rsid w:val="00EB70DA"/>
    <w:rsid w:val="00EC15FA"/>
    <w:rsid w:val="00EC54F6"/>
    <w:rsid w:val="00EC721F"/>
    <w:rsid w:val="00EE02EB"/>
    <w:rsid w:val="00EE1EF1"/>
    <w:rsid w:val="00EE1F08"/>
    <w:rsid w:val="00EF08CF"/>
    <w:rsid w:val="00EF181F"/>
    <w:rsid w:val="00EF6400"/>
    <w:rsid w:val="00EF64C1"/>
    <w:rsid w:val="00F0131B"/>
    <w:rsid w:val="00F02B5E"/>
    <w:rsid w:val="00F0421C"/>
    <w:rsid w:val="00F05246"/>
    <w:rsid w:val="00F0673B"/>
    <w:rsid w:val="00F070A8"/>
    <w:rsid w:val="00F07F01"/>
    <w:rsid w:val="00F102E2"/>
    <w:rsid w:val="00F11D2D"/>
    <w:rsid w:val="00F143F0"/>
    <w:rsid w:val="00F147DD"/>
    <w:rsid w:val="00F208FD"/>
    <w:rsid w:val="00F34173"/>
    <w:rsid w:val="00F37016"/>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A0690"/>
    <w:rsid w:val="00FA531B"/>
    <w:rsid w:val="00FB363D"/>
    <w:rsid w:val="00FB606F"/>
    <w:rsid w:val="00FB7AEC"/>
    <w:rsid w:val="00FC2154"/>
    <w:rsid w:val="00FC4E9D"/>
    <w:rsid w:val="00FC7D3E"/>
    <w:rsid w:val="00FD520A"/>
    <w:rsid w:val="00FE1A90"/>
    <w:rsid w:val="00FE48B2"/>
    <w:rsid w:val="00FF602C"/>
    <w:rsid w:val="00FF6455"/>
    <w:rsid w:val="00FF6FF5"/>
    <w:rsid w:val="011F48B7"/>
    <w:rsid w:val="02946FFA"/>
    <w:rsid w:val="046F0622"/>
    <w:rsid w:val="06643E92"/>
    <w:rsid w:val="07EE54B7"/>
    <w:rsid w:val="0AC81281"/>
    <w:rsid w:val="0BA75B69"/>
    <w:rsid w:val="10071369"/>
    <w:rsid w:val="11647A4F"/>
    <w:rsid w:val="11B928CB"/>
    <w:rsid w:val="13A44AE8"/>
    <w:rsid w:val="156461A8"/>
    <w:rsid w:val="17593AA1"/>
    <w:rsid w:val="182E01A8"/>
    <w:rsid w:val="18976EEF"/>
    <w:rsid w:val="19780C73"/>
    <w:rsid w:val="1AC75128"/>
    <w:rsid w:val="1F784938"/>
    <w:rsid w:val="21414920"/>
    <w:rsid w:val="253043DD"/>
    <w:rsid w:val="266225F6"/>
    <w:rsid w:val="27D52D46"/>
    <w:rsid w:val="27F009E7"/>
    <w:rsid w:val="2E3D0F6B"/>
    <w:rsid w:val="33581EED"/>
    <w:rsid w:val="36C05D98"/>
    <w:rsid w:val="3AD62850"/>
    <w:rsid w:val="3D1A72A9"/>
    <w:rsid w:val="3DCC7B36"/>
    <w:rsid w:val="3EC55A59"/>
    <w:rsid w:val="3EE918FC"/>
    <w:rsid w:val="41C12137"/>
    <w:rsid w:val="4210035E"/>
    <w:rsid w:val="4245123D"/>
    <w:rsid w:val="42F807AC"/>
    <w:rsid w:val="43760FB2"/>
    <w:rsid w:val="43FA542D"/>
    <w:rsid w:val="45D82E7C"/>
    <w:rsid w:val="47850132"/>
    <w:rsid w:val="47B60184"/>
    <w:rsid w:val="49A4496C"/>
    <w:rsid w:val="4A56349A"/>
    <w:rsid w:val="4C045886"/>
    <w:rsid w:val="4D0D66BC"/>
    <w:rsid w:val="4D8331E2"/>
    <w:rsid w:val="4F0F079A"/>
    <w:rsid w:val="4F2A1CC8"/>
    <w:rsid w:val="506D728C"/>
    <w:rsid w:val="51965659"/>
    <w:rsid w:val="52E773D0"/>
    <w:rsid w:val="596D554E"/>
    <w:rsid w:val="5A022810"/>
    <w:rsid w:val="62ED0DF6"/>
    <w:rsid w:val="635D533B"/>
    <w:rsid w:val="638C48B6"/>
    <w:rsid w:val="65B17A4E"/>
    <w:rsid w:val="660D08E9"/>
    <w:rsid w:val="66CC684C"/>
    <w:rsid w:val="69EB063B"/>
    <w:rsid w:val="6D927D32"/>
    <w:rsid w:val="6FBF9311"/>
    <w:rsid w:val="70114CEC"/>
    <w:rsid w:val="725F3C53"/>
    <w:rsid w:val="7386246E"/>
    <w:rsid w:val="73C5104D"/>
    <w:rsid w:val="73F97926"/>
    <w:rsid w:val="75E734AF"/>
    <w:rsid w:val="75EB1BC8"/>
    <w:rsid w:val="77C912FA"/>
    <w:rsid w:val="787A7F08"/>
    <w:rsid w:val="7C5F1143"/>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3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41"/>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2"/>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6">
    <w:name w:val="heading 4"/>
    <w:basedOn w:val="1"/>
    <w:next w:val="1"/>
    <w:link w:val="43"/>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customStyle="1" w:styleId="2">
    <w:name w:val="_Style 5"/>
    <w:basedOn w:val="1"/>
    <w:qFormat/>
    <w:uiPriority w:val="0"/>
    <w:pPr>
      <w:ind w:firstLine="420" w:firstLineChars="200"/>
    </w:pPr>
  </w:style>
  <w:style w:type="paragraph" w:styleId="7">
    <w:name w:val="Document Map"/>
    <w:basedOn w:val="1"/>
    <w:link w:val="61"/>
    <w:unhideWhenUsed/>
    <w:qFormat/>
    <w:uiPriority w:val="99"/>
    <w:rPr>
      <w:rFonts w:ascii="宋体" w:hAnsiTheme="minorHAnsi" w:cstheme="minorBidi"/>
      <w:sz w:val="18"/>
      <w:szCs w:val="18"/>
    </w:rPr>
  </w:style>
  <w:style w:type="paragraph" w:styleId="8">
    <w:name w:val="annotation text"/>
    <w:basedOn w:val="1"/>
    <w:link w:val="32"/>
    <w:unhideWhenUsed/>
    <w:qFormat/>
    <w:uiPriority w:val="0"/>
    <w:pPr>
      <w:jc w:val="left"/>
    </w:pPr>
  </w:style>
  <w:style w:type="paragraph" w:styleId="9">
    <w:name w:val="Body Text"/>
    <w:basedOn w:val="1"/>
    <w:link w:val="54"/>
    <w:qFormat/>
    <w:uiPriority w:val="0"/>
    <w:pPr>
      <w:spacing w:after="120"/>
    </w:pPr>
    <w:rPr>
      <w:rFonts w:ascii="Times New Roman" w:hAnsi="Times New Roman"/>
      <w:szCs w:val="24"/>
    </w:rPr>
  </w:style>
  <w:style w:type="paragraph" w:styleId="10">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1">
    <w:name w:val="Plain Text"/>
    <w:basedOn w:val="1"/>
    <w:link w:val="49"/>
    <w:qFormat/>
    <w:uiPriority w:val="0"/>
    <w:rPr>
      <w:rFonts w:ascii="宋体" w:hAnsi="Courier New" w:cstheme="minorBidi"/>
      <w:szCs w:val="24"/>
    </w:rPr>
  </w:style>
  <w:style w:type="paragraph" w:styleId="12">
    <w:name w:val="Date"/>
    <w:basedOn w:val="1"/>
    <w:next w:val="1"/>
    <w:link w:val="44"/>
    <w:unhideWhenUsed/>
    <w:qFormat/>
    <w:uiPriority w:val="0"/>
    <w:pPr>
      <w:ind w:left="100" w:leftChars="2500"/>
    </w:pPr>
    <w:rPr>
      <w:rFonts w:asciiTheme="minorHAnsi" w:hAnsiTheme="minorHAnsi" w:eastAsiaTheme="minorEastAsia" w:cstheme="minorBidi"/>
    </w:rPr>
  </w:style>
  <w:style w:type="paragraph" w:styleId="13">
    <w:name w:val="Balloon Text"/>
    <w:basedOn w:val="1"/>
    <w:link w:val="29"/>
    <w:autoRedefine/>
    <w:unhideWhenUsed/>
    <w:qFormat/>
    <w:uiPriority w:val="99"/>
    <w:rPr>
      <w:sz w:val="18"/>
      <w:szCs w:val="18"/>
    </w:rPr>
  </w:style>
  <w:style w:type="paragraph" w:styleId="14">
    <w:name w:val="footer"/>
    <w:basedOn w:val="1"/>
    <w:link w:val="34"/>
    <w:unhideWhenUsed/>
    <w:qFormat/>
    <w:uiPriority w:val="99"/>
    <w:pPr>
      <w:tabs>
        <w:tab w:val="center" w:pos="4153"/>
        <w:tab w:val="right" w:pos="8306"/>
      </w:tabs>
      <w:snapToGrid w:val="0"/>
      <w:jc w:val="left"/>
    </w:pPr>
    <w:rPr>
      <w:sz w:val="18"/>
      <w:szCs w:val="18"/>
    </w:rPr>
  </w:style>
  <w:style w:type="paragraph" w:styleId="15">
    <w:name w:val="header"/>
    <w:basedOn w:val="1"/>
    <w:link w:val="3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7">
    <w:name w:val="toc 2"/>
    <w:basedOn w:val="1"/>
    <w:next w:val="1"/>
    <w:autoRedefine/>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autoRedefine/>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4"/>
    <w:autoRedefine/>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38"/>
    <w:autoRedefine/>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8"/>
    <w:next w:val="8"/>
    <w:link w:val="39"/>
    <w:autoRedefine/>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Hyperlink"/>
    <w:autoRedefine/>
    <w:qFormat/>
    <w:uiPriority w:val="99"/>
    <w:rPr>
      <w:color w:val="0000FF"/>
      <w:u w:val="single"/>
    </w:rPr>
  </w:style>
  <w:style w:type="character" w:styleId="28">
    <w:name w:val="annotation reference"/>
    <w:autoRedefine/>
    <w:unhideWhenUsed/>
    <w:qFormat/>
    <w:uiPriority w:val="0"/>
    <w:rPr>
      <w:sz w:val="21"/>
      <w:szCs w:val="21"/>
    </w:rPr>
  </w:style>
  <w:style w:type="character" w:customStyle="1" w:styleId="29">
    <w:name w:val="批注框文本 字符"/>
    <w:basedOn w:val="24"/>
    <w:link w:val="13"/>
    <w:autoRedefine/>
    <w:semiHidden/>
    <w:qFormat/>
    <w:uiPriority w:val="99"/>
    <w:rPr>
      <w:rFonts w:ascii="Calibri" w:hAnsi="Calibri" w:eastAsia="宋体" w:cs="Times New Roman"/>
      <w:sz w:val="18"/>
      <w:szCs w:val="18"/>
    </w:rPr>
  </w:style>
  <w:style w:type="paragraph" w:customStyle="1" w:styleId="30">
    <w:name w:val="列表段落1"/>
    <w:basedOn w:val="1"/>
    <w:link w:val="31"/>
    <w:qFormat/>
    <w:uiPriority w:val="34"/>
    <w:pPr>
      <w:ind w:firstLine="420" w:firstLineChars="200"/>
    </w:pPr>
  </w:style>
  <w:style w:type="character" w:customStyle="1" w:styleId="31">
    <w:name w:val="列表段落 字符"/>
    <w:link w:val="30"/>
    <w:autoRedefine/>
    <w:qFormat/>
    <w:uiPriority w:val="34"/>
    <w:rPr>
      <w:rFonts w:ascii="Calibri" w:hAnsi="Calibri" w:eastAsia="宋体" w:cs="Times New Roman"/>
    </w:rPr>
  </w:style>
  <w:style w:type="character" w:customStyle="1" w:styleId="32">
    <w:name w:val="批注文字 字符"/>
    <w:basedOn w:val="24"/>
    <w:link w:val="8"/>
    <w:autoRedefine/>
    <w:qFormat/>
    <w:uiPriority w:val="0"/>
    <w:rPr>
      <w:rFonts w:ascii="Calibri" w:hAnsi="Calibri" w:eastAsia="宋体" w:cs="Times New Roman"/>
    </w:rPr>
  </w:style>
  <w:style w:type="character" w:customStyle="1" w:styleId="33">
    <w:name w:val="页眉 字符"/>
    <w:basedOn w:val="24"/>
    <w:link w:val="15"/>
    <w:autoRedefine/>
    <w:qFormat/>
    <w:uiPriority w:val="99"/>
    <w:rPr>
      <w:rFonts w:ascii="Calibri" w:hAnsi="Calibri" w:eastAsia="宋体" w:cs="Times New Roman"/>
      <w:sz w:val="18"/>
      <w:szCs w:val="18"/>
    </w:rPr>
  </w:style>
  <w:style w:type="character" w:customStyle="1" w:styleId="34">
    <w:name w:val="页脚 字符"/>
    <w:basedOn w:val="24"/>
    <w:link w:val="14"/>
    <w:autoRedefine/>
    <w:qFormat/>
    <w:uiPriority w:val="99"/>
    <w:rPr>
      <w:rFonts w:ascii="Calibri" w:hAnsi="Calibri" w:eastAsia="宋体" w:cs="Times New Roman"/>
      <w:sz w:val="18"/>
      <w:szCs w:val="18"/>
    </w:rPr>
  </w:style>
  <w:style w:type="character" w:customStyle="1" w:styleId="35">
    <w:name w:val="标题 1 字符"/>
    <w:basedOn w:val="24"/>
    <w:link w:val="3"/>
    <w:autoRedefine/>
    <w:qFormat/>
    <w:uiPriority w:val="9"/>
    <w:rPr>
      <w:rFonts w:ascii="Calibri" w:hAnsi="Calibri" w:eastAsia="宋体" w:cs="Times New Roman"/>
      <w:b/>
      <w:bCs/>
      <w:kern w:val="44"/>
      <w:sz w:val="44"/>
      <w:szCs w:val="44"/>
    </w:rPr>
  </w:style>
  <w:style w:type="paragraph" w:customStyle="1" w:styleId="36">
    <w:name w:val="列出段落1"/>
    <w:basedOn w:val="1"/>
    <w:qFormat/>
    <w:uiPriority w:val="34"/>
    <w:pPr>
      <w:ind w:firstLine="420" w:firstLineChars="200"/>
    </w:pPr>
    <w:rPr>
      <w:rFonts w:cs="黑体"/>
    </w:rPr>
  </w:style>
  <w:style w:type="paragraph" w:customStyle="1" w:styleId="37">
    <w:name w:val="样式4"/>
    <w:basedOn w:val="1"/>
    <w:autoRedefine/>
    <w:qFormat/>
    <w:uiPriority w:val="0"/>
    <w:pPr>
      <w:tabs>
        <w:tab w:val="left" w:pos="2328"/>
      </w:tabs>
      <w:ind w:left="2328" w:hanging="708"/>
    </w:pPr>
    <w:rPr>
      <w:rFonts w:ascii="Times New Roman" w:hAnsi="Times New Roman"/>
      <w:szCs w:val="24"/>
    </w:rPr>
  </w:style>
  <w:style w:type="character" w:customStyle="1" w:styleId="38">
    <w:name w:val="标题 字符"/>
    <w:basedOn w:val="24"/>
    <w:link w:val="20"/>
    <w:autoRedefine/>
    <w:qFormat/>
    <w:uiPriority w:val="0"/>
    <w:rPr>
      <w:rFonts w:ascii="Cambria" w:hAnsi="Cambria" w:eastAsia="宋体" w:cs="Times New Roman"/>
      <w:b/>
      <w:bCs/>
      <w:kern w:val="0"/>
      <w:sz w:val="32"/>
      <w:szCs w:val="32"/>
    </w:rPr>
  </w:style>
  <w:style w:type="character" w:customStyle="1" w:styleId="39">
    <w:name w:val="批注主题 字符"/>
    <w:basedOn w:val="32"/>
    <w:link w:val="21"/>
    <w:semiHidden/>
    <w:qFormat/>
    <w:uiPriority w:val="99"/>
    <w:rPr>
      <w:rFonts w:ascii="Calibri" w:hAnsi="Calibri" w:eastAsia="宋体" w:cs="Times New Roman"/>
      <w:b/>
      <w:bCs/>
    </w:rPr>
  </w:style>
  <w:style w:type="character" w:customStyle="1" w:styleId="40">
    <w:name w:val="批注文字 Char"/>
    <w:basedOn w:val="24"/>
    <w:qFormat/>
    <w:uiPriority w:val="0"/>
  </w:style>
  <w:style w:type="character" w:customStyle="1" w:styleId="41">
    <w:name w:val="标题 2 字符"/>
    <w:basedOn w:val="24"/>
    <w:link w:val="4"/>
    <w:autoRedefine/>
    <w:qFormat/>
    <w:uiPriority w:val="9"/>
    <w:rPr>
      <w:rFonts w:asciiTheme="majorHAnsi" w:hAnsiTheme="majorHAnsi" w:eastAsiaTheme="majorEastAsia" w:cstheme="majorBidi"/>
      <w:b/>
      <w:bCs/>
      <w:sz w:val="32"/>
      <w:szCs w:val="32"/>
    </w:rPr>
  </w:style>
  <w:style w:type="character" w:customStyle="1" w:styleId="42">
    <w:name w:val="标题 3 字符"/>
    <w:basedOn w:val="24"/>
    <w:link w:val="5"/>
    <w:autoRedefine/>
    <w:semiHidden/>
    <w:qFormat/>
    <w:uiPriority w:val="9"/>
    <w:rPr>
      <w:b/>
      <w:bCs/>
      <w:sz w:val="32"/>
      <w:szCs w:val="32"/>
    </w:rPr>
  </w:style>
  <w:style w:type="character" w:customStyle="1" w:styleId="43">
    <w:name w:val="标题 4 字符"/>
    <w:basedOn w:val="24"/>
    <w:link w:val="6"/>
    <w:autoRedefine/>
    <w:semiHidden/>
    <w:qFormat/>
    <w:uiPriority w:val="9"/>
    <w:rPr>
      <w:rFonts w:asciiTheme="majorHAnsi" w:hAnsiTheme="majorHAnsi" w:eastAsiaTheme="majorEastAsia" w:cstheme="majorBidi"/>
      <w:b/>
      <w:bCs/>
      <w:sz w:val="28"/>
      <w:szCs w:val="28"/>
    </w:rPr>
  </w:style>
  <w:style w:type="character" w:customStyle="1" w:styleId="44">
    <w:name w:val="日期 字符"/>
    <w:basedOn w:val="24"/>
    <w:link w:val="12"/>
    <w:autoRedefine/>
    <w:qFormat/>
    <w:uiPriority w:val="99"/>
  </w:style>
  <w:style w:type="character" w:customStyle="1" w:styleId="45">
    <w:name w:val="p141"/>
    <w:autoRedefine/>
    <w:qFormat/>
    <w:uiPriority w:val="0"/>
    <w:rPr>
      <w:sz w:val="21"/>
      <w:szCs w:val="21"/>
    </w:rPr>
  </w:style>
  <w:style w:type="paragraph" w:customStyle="1" w:styleId="4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7">
    <w:name w:val="正文缩进2格"/>
    <w:basedOn w:val="1"/>
    <w:link w:val="48"/>
    <w:autoRedefine/>
    <w:qFormat/>
    <w:uiPriority w:val="0"/>
    <w:pPr>
      <w:spacing w:line="600" w:lineRule="exact"/>
      <w:ind w:firstLine="639" w:firstLineChars="206"/>
    </w:pPr>
    <w:rPr>
      <w:rFonts w:ascii="仿宋_GB2312" w:hAnsi="宋体" w:eastAsia="仿宋_GB2312"/>
      <w:sz w:val="31"/>
      <w:szCs w:val="28"/>
    </w:rPr>
  </w:style>
  <w:style w:type="character" w:customStyle="1" w:styleId="48">
    <w:name w:val="正文缩进2格 Char"/>
    <w:link w:val="47"/>
    <w:autoRedefine/>
    <w:qFormat/>
    <w:uiPriority w:val="0"/>
    <w:rPr>
      <w:rFonts w:ascii="仿宋_GB2312" w:hAnsi="宋体" w:eastAsia="仿宋_GB2312" w:cs="Times New Roman"/>
      <w:sz w:val="31"/>
      <w:szCs w:val="28"/>
    </w:rPr>
  </w:style>
  <w:style w:type="character" w:customStyle="1" w:styleId="49">
    <w:name w:val="纯文本 字符"/>
    <w:basedOn w:val="24"/>
    <w:link w:val="11"/>
    <w:autoRedefine/>
    <w:qFormat/>
    <w:uiPriority w:val="0"/>
    <w:rPr>
      <w:rFonts w:ascii="宋体" w:hAnsi="Courier New" w:eastAsia="宋体"/>
      <w:szCs w:val="24"/>
    </w:rPr>
  </w:style>
  <w:style w:type="character" w:customStyle="1" w:styleId="50">
    <w:name w:val="纯文本 字符1"/>
    <w:basedOn w:val="24"/>
    <w:autoRedefine/>
    <w:semiHidden/>
    <w:qFormat/>
    <w:uiPriority w:val="99"/>
    <w:rPr>
      <w:rFonts w:hAnsi="Courier New" w:cs="Courier New" w:asciiTheme="minorEastAsia"/>
    </w:rPr>
  </w:style>
  <w:style w:type="character" w:customStyle="1" w:styleId="51">
    <w:name w:val="纯文本 Char"/>
    <w:basedOn w:val="24"/>
    <w:semiHidden/>
    <w:qFormat/>
    <w:uiPriority w:val="99"/>
    <w:rPr>
      <w:rFonts w:ascii="宋体" w:hAnsi="Courier New" w:eastAsia="宋体" w:cs="Courier New"/>
      <w:szCs w:val="21"/>
    </w:rPr>
  </w:style>
  <w:style w:type="character" w:customStyle="1" w:styleId="52">
    <w:name w:val="正文缩进2格 Char Char"/>
    <w:basedOn w:val="24"/>
    <w:autoRedefine/>
    <w:qFormat/>
    <w:uiPriority w:val="0"/>
    <w:rPr>
      <w:rFonts w:ascii="仿宋_GB2312" w:hAnsi="宋体" w:eastAsia="仿宋_GB2312"/>
      <w:kern w:val="2"/>
      <w:sz w:val="31"/>
      <w:szCs w:val="28"/>
      <w:lang w:val="en-US" w:eastAsia="zh-CN" w:bidi="ar-SA"/>
    </w:rPr>
  </w:style>
  <w:style w:type="paragraph" w:customStyle="1" w:styleId="53">
    <w:name w:val="正文缩进4格"/>
    <w:basedOn w:val="47"/>
    <w:autoRedefine/>
    <w:qFormat/>
    <w:uiPriority w:val="0"/>
    <w:pPr>
      <w:spacing w:line="340" w:lineRule="exact"/>
      <w:ind w:firstLine="315" w:firstLineChars="0"/>
    </w:pPr>
    <w:rPr>
      <w:rFonts w:ascii="宋体" w:eastAsia="宋体"/>
      <w:sz w:val="24"/>
      <w:szCs w:val="24"/>
    </w:rPr>
  </w:style>
  <w:style w:type="character" w:customStyle="1" w:styleId="54">
    <w:name w:val="正文文本 字符"/>
    <w:basedOn w:val="24"/>
    <w:link w:val="9"/>
    <w:qFormat/>
    <w:uiPriority w:val="0"/>
    <w:rPr>
      <w:rFonts w:ascii="Times New Roman" w:hAnsi="Times New Roman" w:eastAsia="宋体" w:cs="Times New Roman"/>
      <w:szCs w:val="24"/>
    </w:rPr>
  </w:style>
  <w:style w:type="character" w:customStyle="1" w:styleId="55">
    <w:name w:val="正文文本 Char"/>
    <w:basedOn w:val="24"/>
    <w:autoRedefine/>
    <w:semiHidden/>
    <w:qFormat/>
    <w:uiPriority w:val="99"/>
  </w:style>
  <w:style w:type="paragraph" w:customStyle="1" w:styleId="56">
    <w:name w:val="保留正文"/>
    <w:basedOn w:val="9"/>
    <w:autoRedefine/>
    <w:qFormat/>
    <w:uiPriority w:val="0"/>
    <w:pPr>
      <w:keepNext/>
      <w:spacing w:after="160"/>
    </w:pPr>
  </w:style>
  <w:style w:type="paragraph" w:customStyle="1" w:styleId="57">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8">
    <w:name w:val="_Style 202"/>
    <w:basedOn w:val="1"/>
    <w:autoRedefine/>
    <w:qFormat/>
    <w:uiPriority w:val="0"/>
    <w:pPr>
      <w:tabs>
        <w:tab w:val="left" w:pos="360"/>
      </w:tabs>
    </w:pPr>
    <w:rPr>
      <w:rFonts w:ascii="Times New Roman" w:hAnsi="Times New Roman"/>
      <w:szCs w:val="24"/>
    </w:rPr>
  </w:style>
  <w:style w:type="paragraph" w:customStyle="1" w:styleId="59">
    <w:name w:val="Char1 Char Char Char"/>
    <w:basedOn w:val="1"/>
    <w:qFormat/>
    <w:uiPriority w:val="0"/>
    <w:rPr>
      <w:rFonts w:ascii="黑体" w:hAnsi="Verdana" w:eastAsia="黑体"/>
      <w:kern w:val="0"/>
      <w:sz w:val="32"/>
      <w:szCs w:val="32"/>
      <w:lang w:eastAsia="en-US"/>
    </w:rPr>
  </w:style>
  <w:style w:type="paragraph" w:customStyle="1" w:styleId="60">
    <w:name w:val="1 Char Char Char Char"/>
    <w:basedOn w:val="1"/>
    <w:qFormat/>
    <w:uiPriority w:val="0"/>
    <w:pPr>
      <w:spacing w:after="160" w:line="240" w:lineRule="exact"/>
    </w:pPr>
    <w:rPr>
      <w:rFonts w:ascii="Times New Roman" w:hAnsi="Times New Roman"/>
      <w:szCs w:val="24"/>
    </w:rPr>
  </w:style>
  <w:style w:type="character" w:customStyle="1" w:styleId="61">
    <w:name w:val="文档结构图 字符"/>
    <w:basedOn w:val="24"/>
    <w:link w:val="7"/>
    <w:autoRedefine/>
    <w:semiHidden/>
    <w:qFormat/>
    <w:uiPriority w:val="99"/>
    <w:rPr>
      <w:rFonts w:ascii="宋体" w:eastAsia="宋体"/>
      <w:sz w:val="18"/>
      <w:szCs w:val="18"/>
    </w:rPr>
  </w:style>
  <w:style w:type="paragraph" w:customStyle="1" w:styleId="62">
    <w:name w:val="Char Char Char Char Char Char Char Char Char Char Char Char1 Char Char Char Char"/>
    <w:basedOn w:val="1"/>
    <w:autoRedefine/>
    <w:qFormat/>
    <w:uiPriority w:val="0"/>
    <w:pPr>
      <w:widowControl/>
      <w:spacing w:after="160" w:line="240" w:lineRule="exact"/>
      <w:jc w:val="center"/>
    </w:pPr>
    <w:rPr>
      <w:rFonts w:ascii="黑体" w:hAnsi="Verdana" w:eastAsia="黑体"/>
      <w:kern w:val="0"/>
      <w:sz w:val="32"/>
      <w:szCs w:val="32"/>
      <w:lang w:eastAsia="en-US"/>
    </w:rPr>
  </w:style>
  <w:style w:type="paragraph" w:customStyle="1" w:styleId="63">
    <w:name w:val="："/>
    <w:basedOn w:val="1"/>
    <w:autoRedefine/>
    <w:qFormat/>
    <w:uiPriority w:val="0"/>
    <w:rPr>
      <w:rFonts w:ascii="Times New Roman" w:hAnsi="Times New Roman"/>
      <w:szCs w:val="24"/>
    </w:rPr>
  </w:style>
  <w:style w:type="character" w:customStyle="1" w:styleId="64">
    <w:name w:val="普通(网站) 字符"/>
    <w:link w:val="19"/>
    <w:autoRedefine/>
    <w:qFormat/>
    <w:uiPriority w:val="99"/>
    <w:rPr>
      <w:rFonts w:ascii="宋体" w:hAnsi="宋体" w:eastAsia="宋体" w:cs="Times New Roman"/>
      <w:kern w:val="0"/>
      <w:sz w:val="24"/>
      <w:szCs w:val="24"/>
    </w:rPr>
  </w:style>
  <w:style w:type="paragraph" w:customStyle="1" w:styleId="65">
    <w:name w:val="表正文"/>
    <w:basedOn w:val="1"/>
    <w:next w:val="19"/>
    <w:autoRedefine/>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6">
    <w:name w:val="修订2"/>
    <w:autoRedefine/>
    <w:hidden/>
    <w:semiHidden/>
    <w:qFormat/>
    <w:uiPriority w:val="99"/>
    <w:rPr>
      <w:rFonts w:ascii="Calibri" w:hAnsi="Calibri" w:eastAsia="宋体" w:cs="Times New Roman"/>
      <w:kern w:val="2"/>
      <w:sz w:val="21"/>
      <w:szCs w:val="22"/>
      <w:lang w:val="en-US" w:eastAsia="zh-CN" w:bidi="ar-SA"/>
    </w:rPr>
  </w:style>
  <w:style w:type="paragraph" w:customStyle="1" w:styleId="67">
    <w:name w:val="修订3"/>
    <w:autoRedefine/>
    <w:hidden/>
    <w:semiHidden/>
    <w:qFormat/>
    <w:uiPriority w:val="99"/>
    <w:rPr>
      <w:rFonts w:ascii="Calibri" w:hAnsi="Calibri" w:eastAsia="宋体" w:cs="Times New Roman"/>
      <w:kern w:val="2"/>
      <w:sz w:val="21"/>
      <w:szCs w:val="22"/>
      <w:lang w:val="en-US" w:eastAsia="zh-CN" w:bidi="ar-SA"/>
    </w:rPr>
  </w:style>
  <w:style w:type="paragraph" w:styleId="68">
    <w:name w:val="List Paragraph"/>
    <w:basedOn w:val="1"/>
    <w:link w:val="69"/>
    <w:qFormat/>
    <w:uiPriority w:val="34"/>
    <w:pPr>
      <w:ind w:firstLine="420" w:firstLineChars="200"/>
    </w:pPr>
  </w:style>
  <w:style w:type="character" w:customStyle="1" w:styleId="69">
    <w:name w:val="列出段落 字符"/>
    <w:link w:val="68"/>
    <w:autoRedefine/>
    <w:qFormat/>
    <w:uiPriority w:val="0"/>
    <w:rPr>
      <w:rFonts w:ascii="Calibri" w:hAnsi="Calibri"/>
      <w:kern w:val="2"/>
      <w:sz w:val="21"/>
      <w:szCs w:val="22"/>
    </w:rPr>
  </w:style>
  <w:style w:type="paragraph" w:customStyle="1" w:styleId="70">
    <w:name w:val="p_text_indent_2"/>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71">
    <w:name w:val="font01"/>
    <w:basedOn w:val="24"/>
    <w:autoRedefine/>
    <w:qFormat/>
    <w:uiPriority w:val="0"/>
    <w:rPr>
      <w:rFonts w:hint="eastAsia" w:ascii="宋体" w:hAnsi="宋体" w:eastAsia="宋体" w:cs="宋体"/>
      <w:b/>
      <w:bCs/>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71</Pages>
  <Words>6255</Words>
  <Characters>35660</Characters>
  <Lines>297</Lines>
  <Paragraphs>83</Paragraphs>
  <TotalTime>5</TotalTime>
  <ScaleCrop>false</ScaleCrop>
  <LinksUpToDate>false</LinksUpToDate>
  <CharactersWithSpaces>41832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2022-11-18T04:31:00Z</dcterms:created>
  <dc:creator>administrator-pc</dc:creator>
  <cp:lastModifiedBy>WPS_1506954528</cp:lastModifiedBy>
  <cp:lastPrinted>2025-02-26T07:06:00Z</cp:lastPrinted>
  <dcterms:modified xsi:type="dcterms:W3CDTF">2025-02-28T10:49:45Z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KSOTemplateDocerSaveRecord">
    <vt:lpwstr>eyJoZGlkIjoiYTQ1ZjFkZmI1YzQxODdhNDliMzQzYjVkODFiYTIxNWEiLCJ1c2VySWQiOiIzOTA4NDUzMjcifQ==</vt:lpwstr>
  </property>
  <property fmtid="{D5CDD505-2E9C-101B-9397-08002B2CF9AE}" pid="4" name="ICV">
    <vt:lpwstr>E61308F937194E7291E7B4D128402B74_12</vt:lpwstr>
  </property>
</Properties>
</file>