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009439">
      <w:pPr>
        <w:spacing w:before="312" w:beforeLines="100"/>
        <w:jc w:val="center"/>
        <w:rPr>
          <w:rFonts w:hint="eastAsia" w:ascii="黑体" w:hAnsi="黑体" w:eastAsia="黑体" w:cs="黑体"/>
          <w:b/>
          <w:color w:val="auto"/>
          <w:spacing w:val="40"/>
          <w:sz w:val="104"/>
          <w:szCs w:val="104"/>
          <w:highlight w:val="none"/>
        </w:rPr>
      </w:pPr>
      <w:r>
        <w:rPr>
          <w:rFonts w:hint="eastAsia" w:ascii="黑体" w:hAnsi="黑体" w:eastAsia="黑体" w:cs="黑体"/>
          <w:b/>
          <w:color w:val="auto"/>
          <w:spacing w:val="40"/>
          <w:sz w:val="104"/>
          <w:szCs w:val="104"/>
          <w:highlight w:val="none"/>
        </w:rPr>
        <w:t>公开招标文件</w:t>
      </w:r>
    </w:p>
    <w:p w14:paraId="33434E76">
      <w:pPr>
        <w:jc w:val="center"/>
        <w:rPr>
          <w:rFonts w:hint="eastAsia" w:ascii="黑体" w:hAnsi="黑体" w:eastAsia="黑体" w:cs="黑体"/>
          <w:color w:val="auto"/>
          <w:highlight w:val="none"/>
        </w:rPr>
      </w:pPr>
      <w:r>
        <w:rPr>
          <w:rFonts w:hint="eastAsia" w:ascii="黑体" w:hAnsi="黑体" w:eastAsia="黑体" w:cs="黑体"/>
          <w:b/>
          <w:bCs/>
          <w:color w:val="auto"/>
          <w:sz w:val="32"/>
          <w:szCs w:val="32"/>
          <w:highlight w:val="none"/>
        </w:rPr>
        <w:drawing>
          <wp:inline distT="0" distB="0" distL="0" distR="0">
            <wp:extent cx="3797300" cy="4088130"/>
            <wp:effectExtent l="0" t="0" r="0" b="7620"/>
            <wp:docPr id="3" name="图片 1" descr="有德LOGO(小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有德LOGO(小版)"/>
                    <pic:cNvPicPr>
                      <a:picLocks noChangeAspect="1" noChangeArrowheads="1"/>
                    </pic:cNvPicPr>
                  </pic:nvPicPr>
                  <pic:blipFill>
                    <a:blip r:embed="rId7" cstate="print"/>
                    <a:srcRect/>
                    <a:stretch>
                      <a:fillRect/>
                    </a:stretch>
                  </pic:blipFill>
                  <pic:spPr>
                    <a:xfrm>
                      <a:off x="0" y="0"/>
                      <a:ext cx="3803383" cy="4094778"/>
                    </a:xfrm>
                    <a:prstGeom prst="rect">
                      <a:avLst/>
                    </a:prstGeom>
                    <a:noFill/>
                    <a:ln w="9525">
                      <a:noFill/>
                      <a:miter lim="800000"/>
                      <a:headEnd/>
                      <a:tailEnd/>
                    </a:ln>
                  </pic:spPr>
                </pic:pic>
              </a:graphicData>
            </a:graphic>
          </wp:inline>
        </w:drawing>
      </w:r>
    </w:p>
    <w:tbl>
      <w:tblPr>
        <w:tblStyle w:val="20"/>
        <w:tblW w:w="995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544"/>
        <w:gridCol w:w="6412"/>
      </w:tblGrid>
      <w:tr w14:paraId="10E26D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8" w:hRule="atLeast"/>
          <w:jc w:val="center"/>
        </w:trPr>
        <w:tc>
          <w:tcPr>
            <w:tcW w:w="3544" w:type="dxa"/>
          </w:tcPr>
          <w:p w14:paraId="1E200B79">
            <w:pPr>
              <w:spacing w:before="468" w:beforeLines="150"/>
              <w:ind w:left="683" w:leftChars="325" w:firstLine="769" w:firstLineChars="213"/>
              <w:jc w:val="center"/>
              <w:rPr>
                <w:rFonts w:hint="eastAsia" w:ascii="黑体" w:hAnsi="黑体" w:eastAsia="黑体" w:cs="黑体"/>
                <w:b/>
                <w:color w:val="auto"/>
                <w:spacing w:val="40"/>
                <w:sz w:val="28"/>
                <w:szCs w:val="28"/>
                <w:highlight w:val="none"/>
              </w:rPr>
            </w:pPr>
            <w:r>
              <w:rPr>
                <w:rFonts w:hint="eastAsia" w:ascii="黑体" w:hAnsi="黑体" w:eastAsia="黑体" w:cs="黑体"/>
                <w:b/>
                <w:color w:val="auto"/>
                <w:spacing w:val="40"/>
                <w:sz w:val="28"/>
                <w:szCs w:val="28"/>
                <w:highlight w:val="none"/>
              </w:rPr>
              <w:t>项目名称：</w:t>
            </w:r>
          </w:p>
        </w:tc>
        <w:tc>
          <w:tcPr>
            <w:tcW w:w="6412" w:type="dxa"/>
          </w:tcPr>
          <w:p w14:paraId="4E64ECEF">
            <w:pPr>
              <w:tabs>
                <w:tab w:val="left" w:pos="-108"/>
              </w:tabs>
              <w:spacing w:before="468" w:beforeLines="150"/>
              <w:ind w:left="-107" w:leftChars="-51" w:firstLine="3"/>
              <w:jc w:val="left"/>
              <w:rPr>
                <w:rFonts w:hint="eastAsia" w:ascii="黑体" w:hAnsi="黑体" w:eastAsia="黑体" w:cs="黑体"/>
                <w:b/>
                <w:color w:val="auto"/>
                <w:sz w:val="28"/>
                <w:szCs w:val="28"/>
                <w:highlight w:val="none"/>
                <w:lang w:eastAsia="zh-CN"/>
              </w:rPr>
            </w:pPr>
            <w:r>
              <w:rPr>
                <w:rFonts w:hint="eastAsia" w:ascii="黑体" w:hAnsi="黑体" w:eastAsia="黑体" w:cs="黑体"/>
                <w:b/>
                <w:color w:val="auto"/>
                <w:sz w:val="28"/>
                <w:szCs w:val="28"/>
                <w:highlight w:val="none"/>
                <w:lang w:eastAsia="zh-CN"/>
              </w:rPr>
              <w:t>东莞市中医院消毒供应中心精细化天轨密集管理架采购项目（重新采购）</w:t>
            </w:r>
          </w:p>
        </w:tc>
      </w:tr>
      <w:tr w14:paraId="56F17F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0" w:hRule="atLeast"/>
          <w:jc w:val="center"/>
        </w:trPr>
        <w:tc>
          <w:tcPr>
            <w:tcW w:w="3544" w:type="dxa"/>
          </w:tcPr>
          <w:p w14:paraId="59978D46">
            <w:pPr>
              <w:ind w:left="683" w:leftChars="325" w:firstLine="769" w:firstLineChars="213"/>
              <w:jc w:val="center"/>
              <w:rPr>
                <w:rFonts w:hint="eastAsia" w:ascii="黑体" w:hAnsi="黑体" w:eastAsia="黑体" w:cs="黑体"/>
                <w:b/>
                <w:color w:val="auto"/>
                <w:sz w:val="28"/>
                <w:szCs w:val="28"/>
                <w:highlight w:val="none"/>
              </w:rPr>
            </w:pPr>
            <w:r>
              <w:rPr>
                <w:rFonts w:hint="eastAsia" w:ascii="黑体" w:hAnsi="黑体" w:eastAsia="黑体" w:cs="黑体"/>
                <w:b/>
                <w:color w:val="auto"/>
                <w:spacing w:val="40"/>
                <w:sz w:val="28"/>
                <w:szCs w:val="28"/>
                <w:highlight w:val="none"/>
              </w:rPr>
              <w:t>项目编号：</w:t>
            </w:r>
          </w:p>
        </w:tc>
        <w:tc>
          <w:tcPr>
            <w:tcW w:w="6412" w:type="dxa"/>
          </w:tcPr>
          <w:p w14:paraId="26138C13">
            <w:pPr>
              <w:tabs>
                <w:tab w:val="left" w:pos="-108"/>
              </w:tabs>
              <w:ind w:left="-107" w:leftChars="-51" w:firstLine="3"/>
              <w:jc w:val="left"/>
              <w:rPr>
                <w:rFonts w:hint="eastAsia" w:ascii="黑体" w:hAnsi="黑体" w:eastAsia="黑体" w:cs="黑体"/>
                <w:b/>
                <w:color w:val="auto"/>
                <w:sz w:val="28"/>
                <w:szCs w:val="28"/>
                <w:highlight w:val="none"/>
                <w:lang w:eastAsia="zh-CN"/>
              </w:rPr>
            </w:pPr>
            <w:r>
              <w:rPr>
                <w:rFonts w:hint="eastAsia" w:ascii="黑体" w:hAnsi="黑体" w:eastAsia="黑体" w:cs="黑体"/>
                <w:b/>
                <w:color w:val="auto"/>
                <w:sz w:val="28"/>
                <w:szCs w:val="28"/>
                <w:highlight w:val="none"/>
                <w:lang w:eastAsia="zh-CN"/>
              </w:rPr>
              <w:t>YDZB25DGZC0157-1</w:t>
            </w:r>
          </w:p>
        </w:tc>
      </w:tr>
      <w:tr w14:paraId="4549BD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0" w:hRule="atLeast"/>
          <w:jc w:val="center"/>
        </w:trPr>
        <w:tc>
          <w:tcPr>
            <w:tcW w:w="3544" w:type="dxa"/>
          </w:tcPr>
          <w:p w14:paraId="09C79A2D">
            <w:pPr>
              <w:ind w:left="683" w:leftChars="325" w:firstLine="769" w:firstLineChars="213"/>
              <w:jc w:val="center"/>
              <w:rPr>
                <w:rFonts w:hint="eastAsia" w:ascii="黑体" w:hAnsi="黑体" w:eastAsia="黑体" w:cs="黑体"/>
                <w:b/>
                <w:color w:val="auto"/>
                <w:sz w:val="28"/>
                <w:szCs w:val="28"/>
                <w:highlight w:val="none"/>
              </w:rPr>
            </w:pPr>
            <w:r>
              <w:rPr>
                <w:rFonts w:hint="eastAsia" w:ascii="黑体" w:hAnsi="黑体" w:eastAsia="黑体" w:cs="黑体"/>
                <w:b/>
                <w:color w:val="auto"/>
                <w:spacing w:val="40"/>
                <w:sz w:val="28"/>
                <w:szCs w:val="28"/>
                <w:highlight w:val="none"/>
              </w:rPr>
              <w:t>采购单位：</w:t>
            </w:r>
          </w:p>
        </w:tc>
        <w:tc>
          <w:tcPr>
            <w:tcW w:w="6412" w:type="dxa"/>
          </w:tcPr>
          <w:p w14:paraId="49726998">
            <w:pPr>
              <w:tabs>
                <w:tab w:val="left" w:pos="-108"/>
              </w:tabs>
              <w:ind w:left="-107" w:leftChars="-51" w:firstLine="3"/>
              <w:jc w:val="left"/>
              <w:rPr>
                <w:rFonts w:hint="eastAsia" w:ascii="黑体" w:hAnsi="黑体" w:eastAsia="黑体" w:cs="黑体"/>
                <w:b/>
                <w:color w:val="auto"/>
                <w:sz w:val="28"/>
                <w:szCs w:val="28"/>
                <w:highlight w:val="none"/>
              </w:rPr>
            </w:pPr>
            <w:r>
              <w:rPr>
                <w:rFonts w:hint="eastAsia" w:ascii="黑体" w:hAnsi="黑体" w:eastAsia="黑体" w:cs="黑体"/>
                <w:b/>
                <w:color w:val="auto"/>
                <w:sz w:val="28"/>
                <w:szCs w:val="28"/>
                <w:highlight w:val="none"/>
              </w:rPr>
              <w:t>东莞市中医院</w:t>
            </w:r>
          </w:p>
        </w:tc>
      </w:tr>
      <w:tr w14:paraId="47227A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jc w:val="center"/>
        </w:trPr>
        <w:tc>
          <w:tcPr>
            <w:tcW w:w="3544" w:type="dxa"/>
          </w:tcPr>
          <w:p w14:paraId="38F28E20">
            <w:pPr>
              <w:ind w:left="683" w:leftChars="325" w:firstLine="770" w:firstLineChars="295"/>
              <w:jc w:val="center"/>
              <w:rPr>
                <w:rFonts w:hint="eastAsia" w:ascii="黑体" w:hAnsi="黑体" w:eastAsia="黑体" w:cs="黑体"/>
                <w:b/>
                <w:color w:val="auto"/>
                <w:sz w:val="28"/>
                <w:szCs w:val="28"/>
                <w:highlight w:val="none"/>
              </w:rPr>
            </w:pPr>
            <w:r>
              <w:rPr>
                <w:rFonts w:hint="eastAsia" w:ascii="黑体" w:hAnsi="黑体" w:eastAsia="黑体" w:cs="黑体"/>
                <w:b/>
                <w:color w:val="auto"/>
                <w:spacing w:val="-10"/>
                <w:sz w:val="28"/>
                <w:szCs w:val="28"/>
                <w:highlight w:val="none"/>
              </w:rPr>
              <w:t>采购代理机构</w:t>
            </w:r>
            <w:r>
              <w:rPr>
                <w:rFonts w:hint="eastAsia" w:ascii="黑体" w:hAnsi="黑体" w:eastAsia="黑体" w:cs="黑体"/>
                <w:b/>
                <w:color w:val="auto"/>
                <w:sz w:val="28"/>
                <w:szCs w:val="28"/>
                <w:highlight w:val="none"/>
              </w:rPr>
              <w:t>：</w:t>
            </w:r>
          </w:p>
        </w:tc>
        <w:tc>
          <w:tcPr>
            <w:tcW w:w="6412" w:type="dxa"/>
          </w:tcPr>
          <w:p w14:paraId="4C432655">
            <w:pPr>
              <w:tabs>
                <w:tab w:val="left" w:pos="-108"/>
              </w:tabs>
              <w:ind w:left="-107" w:leftChars="-51" w:firstLine="3"/>
              <w:jc w:val="left"/>
              <w:rPr>
                <w:rFonts w:hint="eastAsia" w:ascii="黑体" w:hAnsi="黑体" w:eastAsia="黑体" w:cs="黑体"/>
                <w:b/>
                <w:color w:val="auto"/>
                <w:spacing w:val="4"/>
                <w:sz w:val="28"/>
                <w:szCs w:val="28"/>
                <w:highlight w:val="none"/>
              </w:rPr>
            </w:pPr>
            <w:r>
              <w:rPr>
                <w:rFonts w:hint="eastAsia" w:ascii="黑体" w:hAnsi="黑体" w:eastAsia="黑体" w:cs="黑体"/>
                <w:b/>
                <w:color w:val="auto"/>
                <w:spacing w:val="4"/>
                <w:sz w:val="28"/>
                <w:szCs w:val="28"/>
                <w:highlight w:val="none"/>
              </w:rPr>
              <w:t>广东有德招标采购有限公司</w:t>
            </w:r>
          </w:p>
        </w:tc>
      </w:tr>
    </w:tbl>
    <w:p w14:paraId="10BD7325">
      <w:pPr>
        <w:jc w:val="center"/>
        <w:rPr>
          <w:rFonts w:hint="eastAsia" w:ascii="黑体" w:hAnsi="黑体" w:eastAsia="黑体" w:cs="黑体"/>
          <w:b/>
          <w:color w:val="auto"/>
          <w:sz w:val="32"/>
          <w:szCs w:val="32"/>
          <w:highlight w:val="none"/>
        </w:rPr>
      </w:pPr>
    </w:p>
    <w:p w14:paraId="4EF703BE">
      <w:pPr>
        <w:spacing w:before="156" w:beforeLines="50" w:line="360" w:lineRule="auto"/>
        <w:jc w:val="center"/>
        <w:rPr>
          <w:rFonts w:hint="eastAsia" w:ascii="黑体" w:hAnsi="黑体" w:eastAsia="黑体" w:cs="黑体"/>
          <w:b/>
          <w:color w:val="auto"/>
          <w:spacing w:val="60"/>
          <w:sz w:val="28"/>
          <w:szCs w:val="28"/>
          <w:highlight w:val="none"/>
        </w:rPr>
      </w:pPr>
      <w:r>
        <w:rPr>
          <w:rFonts w:hint="eastAsia" w:ascii="黑体" w:hAnsi="黑体" w:eastAsia="黑体" w:cs="黑体"/>
          <w:b/>
          <w:color w:val="auto"/>
          <w:spacing w:val="60"/>
          <w:sz w:val="28"/>
          <w:szCs w:val="28"/>
          <w:highlight w:val="none"/>
        </w:rPr>
        <w:t>二〇二</w:t>
      </w:r>
      <w:r>
        <w:rPr>
          <w:rFonts w:hint="eastAsia" w:ascii="黑体" w:hAnsi="黑体" w:eastAsia="黑体" w:cs="黑体"/>
          <w:b/>
          <w:color w:val="auto"/>
          <w:spacing w:val="60"/>
          <w:sz w:val="28"/>
          <w:szCs w:val="28"/>
          <w:highlight w:val="none"/>
          <w:lang w:val="en-US" w:eastAsia="zh-CN"/>
        </w:rPr>
        <w:t>五</w:t>
      </w:r>
      <w:r>
        <w:rPr>
          <w:rFonts w:hint="eastAsia" w:ascii="黑体" w:hAnsi="黑体" w:eastAsia="黑体" w:cs="黑体"/>
          <w:b/>
          <w:color w:val="auto"/>
          <w:spacing w:val="60"/>
          <w:sz w:val="28"/>
          <w:szCs w:val="28"/>
          <w:highlight w:val="none"/>
        </w:rPr>
        <w:t>年</w:t>
      </w:r>
      <w:r>
        <w:rPr>
          <w:rFonts w:hint="eastAsia" w:ascii="黑体" w:hAnsi="黑体" w:eastAsia="黑体" w:cs="黑体"/>
          <w:b/>
          <w:color w:val="auto"/>
          <w:spacing w:val="60"/>
          <w:sz w:val="28"/>
          <w:szCs w:val="28"/>
          <w:highlight w:val="none"/>
          <w:lang w:val="en-US" w:eastAsia="zh-CN"/>
        </w:rPr>
        <w:t>十二</w:t>
      </w:r>
      <w:r>
        <w:rPr>
          <w:rFonts w:hint="eastAsia" w:ascii="黑体" w:hAnsi="黑体" w:eastAsia="黑体" w:cs="黑体"/>
          <w:b/>
          <w:color w:val="auto"/>
          <w:spacing w:val="60"/>
          <w:sz w:val="28"/>
          <w:szCs w:val="28"/>
          <w:highlight w:val="none"/>
        </w:rPr>
        <w:t>月</w:t>
      </w:r>
    </w:p>
    <w:p w14:paraId="75577DCA">
      <w:pPr>
        <w:pageBreakBefore/>
        <w:spacing w:before="156" w:beforeLines="50" w:after="312" w:afterLines="100" w:line="480" w:lineRule="auto"/>
        <w:jc w:val="center"/>
        <w:rPr>
          <w:rFonts w:hint="eastAsia" w:ascii="黑体" w:hAnsi="黑体" w:eastAsia="黑体" w:cs="黑体"/>
          <w:b/>
          <w:color w:val="auto"/>
          <w:spacing w:val="60"/>
          <w:sz w:val="44"/>
          <w:szCs w:val="44"/>
          <w:highlight w:val="none"/>
        </w:rPr>
      </w:pPr>
      <w:r>
        <w:rPr>
          <w:rFonts w:hint="eastAsia" w:ascii="黑体" w:hAnsi="黑体" w:eastAsia="黑体" w:cs="黑体"/>
          <w:b/>
          <w:color w:val="auto"/>
          <w:spacing w:val="60"/>
          <w:sz w:val="44"/>
          <w:szCs w:val="44"/>
          <w:highlight w:val="none"/>
        </w:rPr>
        <w:t>温馨提示</w:t>
      </w:r>
    </w:p>
    <w:p w14:paraId="3881B28F">
      <w:pPr>
        <w:pStyle w:val="29"/>
        <w:numPr>
          <w:ilvl w:val="0"/>
          <w:numId w:val="1"/>
        </w:numPr>
        <w:spacing w:line="600" w:lineRule="exact"/>
        <w:ind w:firstLineChars="0"/>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投标截止时间一到，本公司不接收任何投标文件，因此，请适当提前到达。</w:t>
      </w:r>
    </w:p>
    <w:p w14:paraId="62ABDB4F">
      <w:pPr>
        <w:pStyle w:val="29"/>
        <w:numPr>
          <w:ilvl w:val="0"/>
          <w:numId w:val="1"/>
        </w:numPr>
        <w:spacing w:line="600" w:lineRule="exact"/>
        <w:ind w:firstLineChars="0"/>
        <w:jc w:val="left"/>
        <w:rPr>
          <w:rFonts w:hint="eastAsia" w:ascii="黑体" w:hAnsi="黑体" w:eastAsia="黑体" w:cs="黑体"/>
          <w:color w:val="auto"/>
          <w:highlight w:val="none"/>
        </w:rPr>
      </w:pPr>
      <w:r>
        <w:rPr>
          <w:rFonts w:hint="eastAsia" w:ascii="黑体" w:hAnsi="黑体" w:eastAsia="黑体" w:cs="黑体"/>
          <w:color w:val="auto"/>
          <w:highlight w:val="none"/>
        </w:rPr>
        <w:t>请正确填写《开标一览表》。多包项目请仔细检查包组号，包组号跟包组名称必须一致。</w:t>
      </w:r>
    </w:p>
    <w:p w14:paraId="76094AD9">
      <w:pPr>
        <w:pStyle w:val="29"/>
        <w:numPr>
          <w:ilvl w:val="0"/>
          <w:numId w:val="1"/>
        </w:numPr>
        <w:spacing w:line="600" w:lineRule="exact"/>
        <w:ind w:firstLineChars="0"/>
        <w:jc w:val="left"/>
        <w:rPr>
          <w:rFonts w:hint="eastAsia" w:ascii="黑体" w:hAnsi="黑体" w:eastAsia="黑体" w:cs="黑体"/>
          <w:color w:val="auto"/>
          <w:highlight w:val="none"/>
        </w:rPr>
      </w:pPr>
      <w:r>
        <w:rPr>
          <w:rFonts w:hint="eastAsia" w:ascii="黑体" w:hAnsi="黑体" w:eastAsia="黑体" w:cs="黑体"/>
          <w:color w:val="auto"/>
          <w:highlight w:val="none"/>
        </w:rPr>
        <w:t>请仔细检查投标文件是否已按招标文件盖章、签名(或盖私章)、签署日期。</w:t>
      </w:r>
    </w:p>
    <w:p w14:paraId="5D896F46">
      <w:pPr>
        <w:pStyle w:val="29"/>
        <w:numPr>
          <w:ilvl w:val="0"/>
          <w:numId w:val="1"/>
        </w:numPr>
        <w:spacing w:line="600" w:lineRule="exact"/>
        <w:ind w:firstLineChars="0"/>
        <w:jc w:val="left"/>
        <w:rPr>
          <w:rFonts w:hint="eastAsia" w:ascii="黑体" w:hAnsi="黑体" w:eastAsia="黑体" w:cs="黑体"/>
          <w:color w:val="auto"/>
          <w:highlight w:val="none"/>
        </w:rPr>
      </w:pPr>
      <w:r>
        <w:rPr>
          <w:rFonts w:hint="eastAsia" w:ascii="黑体" w:hAnsi="黑体" w:eastAsia="黑体" w:cs="黑体"/>
          <w:color w:val="auto"/>
          <w:highlight w:val="none"/>
        </w:rPr>
        <w:t>加★号的条款必须一一响应。</w:t>
      </w:r>
    </w:p>
    <w:p w14:paraId="7C7EC7C9">
      <w:pPr>
        <w:pStyle w:val="29"/>
        <w:numPr>
          <w:ilvl w:val="0"/>
          <w:numId w:val="1"/>
        </w:numPr>
        <w:spacing w:line="600" w:lineRule="exact"/>
        <w:ind w:firstLineChars="0"/>
        <w:jc w:val="left"/>
        <w:rPr>
          <w:rFonts w:hint="eastAsia" w:ascii="黑体" w:hAnsi="黑体" w:eastAsia="黑体" w:cs="黑体"/>
          <w:color w:val="auto"/>
          <w:highlight w:val="none"/>
        </w:rPr>
      </w:pPr>
      <w:r>
        <w:rPr>
          <w:rFonts w:hint="eastAsia" w:ascii="黑体" w:hAnsi="黑体" w:eastAsia="黑体" w:cs="黑体"/>
          <w:color w:val="auto"/>
          <w:highlight w:val="none"/>
        </w:rPr>
        <w:t>投标文件应按顺序编制页码。</w:t>
      </w:r>
    </w:p>
    <w:p w14:paraId="33D726F9">
      <w:pPr>
        <w:numPr>
          <w:ilvl w:val="0"/>
          <w:numId w:val="1"/>
        </w:numPr>
        <w:tabs>
          <w:tab w:val="left" w:pos="709"/>
        </w:tabs>
        <w:spacing w:line="600" w:lineRule="exact"/>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投标人如需对项目提出询问或质疑，应按招标文件附件中的询问函和质疑函的格式提交。</w:t>
      </w:r>
    </w:p>
    <w:p w14:paraId="50F33C05">
      <w:pPr>
        <w:tabs>
          <w:tab w:val="left" w:pos="709"/>
        </w:tabs>
        <w:spacing w:before="156" w:beforeLines="50" w:line="600" w:lineRule="exact"/>
        <w:jc w:val="center"/>
        <w:rPr>
          <w:rFonts w:hint="eastAsia" w:ascii="黑体" w:hAnsi="黑体" w:eastAsia="黑体" w:cs="黑体"/>
          <w:b/>
          <w:color w:val="auto"/>
          <w:highlight w:val="none"/>
        </w:rPr>
      </w:pPr>
      <w:r>
        <w:rPr>
          <w:rFonts w:hint="eastAsia" w:ascii="黑体" w:hAnsi="黑体" w:eastAsia="黑体" w:cs="黑体"/>
          <w:b/>
          <w:color w:val="auto"/>
          <w:highlight w:val="none"/>
        </w:rPr>
        <w:t xml:space="preserve"> (本提示内容非招标文件的组成部分，仅为善意提醒。如有不一致，以招标文件为准。)</w:t>
      </w:r>
    </w:p>
    <w:p w14:paraId="5C7F93C4">
      <w:pPr>
        <w:tabs>
          <w:tab w:val="left" w:pos="709"/>
        </w:tabs>
        <w:spacing w:before="156" w:beforeLines="50" w:line="600" w:lineRule="exact"/>
        <w:jc w:val="center"/>
        <w:rPr>
          <w:rFonts w:hint="eastAsia" w:ascii="黑体" w:hAnsi="黑体" w:eastAsia="黑体" w:cs="黑体"/>
          <w:b/>
          <w:color w:val="auto"/>
          <w:sz w:val="24"/>
          <w:szCs w:val="24"/>
          <w:highlight w:val="none"/>
        </w:rPr>
      </w:pPr>
      <w:r>
        <w:rPr>
          <w:rFonts w:hint="eastAsia" w:ascii="黑体" w:hAnsi="黑体" w:eastAsia="黑体" w:cs="黑体"/>
          <w:b/>
          <w:color w:val="auto"/>
          <w:sz w:val="24"/>
          <w:szCs w:val="24"/>
          <w:highlight w:val="none"/>
        </w:rPr>
        <w:t>使用微信扫描二维码在线获取招标文件</w:t>
      </w:r>
    </w:p>
    <w:p w14:paraId="2554BE2A">
      <w:pPr>
        <w:tabs>
          <w:tab w:val="left" w:pos="709"/>
        </w:tabs>
        <w:spacing w:before="156" w:beforeLines="50" w:line="600" w:lineRule="exact"/>
        <w:jc w:val="center"/>
        <w:rPr>
          <w:rFonts w:hint="eastAsia" w:ascii="黑体" w:hAnsi="黑体" w:eastAsia="黑体" w:cs="黑体"/>
          <w:b/>
          <w:color w:val="auto"/>
          <w:sz w:val="32"/>
          <w:szCs w:val="32"/>
          <w:highlight w:val="none"/>
        </w:rPr>
      </w:pPr>
      <w:r>
        <w:rPr>
          <w:rFonts w:hint="eastAsia" w:ascii="黑体" w:hAnsi="黑体" w:eastAsia="黑体" w:cs="黑体"/>
          <w:b/>
          <w:color w:val="auto"/>
          <w:sz w:val="32"/>
          <w:szCs w:val="32"/>
          <w:highlight w:val="none"/>
        </w:rPr>
        <w:drawing>
          <wp:anchor distT="0" distB="0" distL="114300" distR="114300" simplePos="0" relativeHeight="251659264" behindDoc="0" locked="0" layoutInCell="1" allowOverlap="1">
            <wp:simplePos x="0" y="0"/>
            <wp:positionH relativeFrom="column">
              <wp:posOffset>1411605</wp:posOffset>
            </wp:positionH>
            <wp:positionV relativeFrom="paragraph">
              <wp:posOffset>146685</wp:posOffset>
            </wp:positionV>
            <wp:extent cx="2712085" cy="2576195"/>
            <wp:effectExtent l="0" t="0" r="0" b="0"/>
            <wp:wrapNone/>
            <wp:docPr id="6" name="图片 2" descr="C:\Users\ADMINI~1\AppData\Local\Temp\WeChat Files\6b2d4e1d76675bde2c43827105fa8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descr="C:\Users\ADMINI~1\AppData\Local\Temp\WeChat Files\6b2d4e1d76675bde2c43827105fa874.jpg"/>
                    <pic:cNvPicPr>
                      <a:picLocks noChangeAspect="1" noChangeArrowheads="1"/>
                    </pic:cNvPicPr>
                  </pic:nvPicPr>
                  <pic:blipFill>
                    <a:blip r:embed="rId8" cstate="print"/>
                    <a:srcRect/>
                    <a:stretch>
                      <a:fillRect/>
                    </a:stretch>
                  </pic:blipFill>
                  <pic:spPr>
                    <a:xfrm>
                      <a:off x="0" y="0"/>
                      <a:ext cx="2712378" cy="2575909"/>
                    </a:xfrm>
                    <a:prstGeom prst="rect">
                      <a:avLst/>
                    </a:prstGeom>
                    <a:noFill/>
                    <a:ln w="9525">
                      <a:noFill/>
                      <a:miter lim="800000"/>
                      <a:headEnd/>
                      <a:tailEnd/>
                    </a:ln>
                  </pic:spPr>
                </pic:pic>
              </a:graphicData>
            </a:graphic>
          </wp:anchor>
        </w:drawing>
      </w:r>
    </w:p>
    <w:p w14:paraId="3F1023AE">
      <w:pPr>
        <w:tabs>
          <w:tab w:val="left" w:pos="709"/>
        </w:tabs>
        <w:spacing w:before="156" w:beforeLines="50" w:line="600" w:lineRule="exact"/>
        <w:rPr>
          <w:rFonts w:hint="eastAsia" w:ascii="黑体" w:hAnsi="黑体" w:eastAsia="黑体" w:cs="黑体"/>
          <w:b/>
          <w:color w:val="auto"/>
          <w:highlight w:val="none"/>
        </w:rPr>
      </w:pPr>
    </w:p>
    <w:p w14:paraId="5D457D7A">
      <w:pPr>
        <w:rPr>
          <w:rFonts w:hint="eastAsia" w:ascii="黑体" w:hAnsi="黑体" w:eastAsia="黑体" w:cs="黑体"/>
          <w:color w:val="auto"/>
          <w:highlight w:val="none"/>
        </w:rPr>
      </w:pPr>
    </w:p>
    <w:p w14:paraId="6082D2D9">
      <w:pPr>
        <w:jc w:val="right"/>
        <w:rPr>
          <w:rFonts w:hint="eastAsia" w:ascii="黑体" w:hAnsi="黑体" w:eastAsia="黑体" w:cs="黑体"/>
          <w:color w:val="auto"/>
          <w:highlight w:val="none"/>
        </w:rPr>
      </w:pPr>
    </w:p>
    <w:sdt>
      <w:sdtPr>
        <w:rPr>
          <w:rFonts w:hint="eastAsia" w:ascii="黑体" w:hAnsi="黑体" w:eastAsia="黑体" w:cs="黑体"/>
          <w:b w:val="0"/>
          <w:bCs w:val="0"/>
          <w:color w:val="auto"/>
          <w:kern w:val="2"/>
          <w:sz w:val="21"/>
          <w:szCs w:val="22"/>
          <w:highlight w:val="none"/>
          <w:lang w:val="zh-CN"/>
        </w:rPr>
        <w:id w:val="-671422043"/>
        <w:docPartObj>
          <w:docPartGallery w:val="Table of Contents"/>
          <w:docPartUnique/>
        </w:docPartObj>
      </w:sdtPr>
      <w:sdtEndPr>
        <w:rPr>
          <w:rFonts w:hint="eastAsia" w:ascii="黑体" w:hAnsi="黑体" w:eastAsia="黑体" w:cs="黑体"/>
          <w:b w:val="0"/>
          <w:bCs w:val="0"/>
          <w:color w:val="auto"/>
          <w:kern w:val="2"/>
          <w:sz w:val="21"/>
          <w:szCs w:val="22"/>
          <w:highlight w:val="none"/>
          <w:lang w:val="zh-CN"/>
        </w:rPr>
      </w:sdtEndPr>
      <w:sdtContent>
        <w:p w14:paraId="69359C8E">
          <w:pPr>
            <w:pStyle w:val="34"/>
            <w:keepNext w:val="0"/>
            <w:keepLines w:val="0"/>
            <w:pageBreakBefore/>
            <w:widowControl w:val="0"/>
            <w:spacing w:before="0" w:line="360" w:lineRule="auto"/>
            <w:jc w:val="center"/>
            <w:rPr>
              <w:rFonts w:hint="eastAsia" w:ascii="黑体" w:hAnsi="黑体" w:eastAsia="黑体" w:cs="黑体"/>
              <w:color w:val="auto"/>
              <w:highlight w:val="none"/>
            </w:rPr>
          </w:pPr>
          <w:bookmarkStart w:id="0" w:name="_Toc405313951"/>
          <w:bookmarkStart w:id="1" w:name="_Toc391627747"/>
          <w:bookmarkStart w:id="2" w:name="_Toc391367873"/>
          <w:r>
            <w:rPr>
              <w:rFonts w:hint="eastAsia" w:ascii="黑体" w:hAnsi="黑体" w:eastAsia="黑体" w:cs="黑体"/>
              <w:color w:val="auto"/>
              <w:highlight w:val="none"/>
              <w:lang w:val="zh-CN"/>
            </w:rPr>
            <w:t>目   录</w:t>
          </w:r>
        </w:p>
        <w:p w14:paraId="70C11552">
          <w:pPr>
            <w:pStyle w:val="15"/>
            <w:tabs>
              <w:tab w:val="right" w:leader="dot" w:pos="8306"/>
              <w:tab w:val="clear" w:pos="8273"/>
            </w:tabs>
            <w:rPr>
              <w:rFonts w:hint="eastAsia" w:ascii="黑体" w:hAnsi="黑体" w:eastAsia="黑体" w:cs="黑体"/>
              <w:color w:val="auto"/>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TOC \o "1-3" \h \z \u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_Toc26594 </w:instrText>
          </w:r>
          <w:r>
            <w:rPr>
              <w:rFonts w:hint="eastAsia" w:ascii="黑体" w:hAnsi="黑体" w:eastAsia="黑体" w:cs="黑体"/>
              <w:color w:val="auto"/>
              <w:highlight w:val="none"/>
            </w:rPr>
            <w:fldChar w:fldCharType="separate"/>
          </w:r>
          <w:r>
            <w:rPr>
              <w:rFonts w:hint="eastAsia" w:ascii="黑体" w:hAnsi="黑体" w:eastAsia="黑体" w:cs="黑体"/>
              <w:color w:val="auto"/>
              <w:spacing w:val="20"/>
              <w:szCs w:val="32"/>
              <w:highlight w:val="none"/>
            </w:rPr>
            <w:t>第一部分 投标邀请</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_Toc26594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4</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733CFC72">
          <w:pPr>
            <w:pStyle w:val="15"/>
            <w:tabs>
              <w:tab w:val="right" w:leader="dot" w:pos="8306"/>
              <w:tab w:val="clear" w:pos="8273"/>
            </w:tabs>
            <w:rPr>
              <w:rFonts w:hint="eastAsia" w:ascii="黑体" w:hAnsi="黑体" w:eastAsia="黑体" w:cs="黑体"/>
              <w:color w:val="auto"/>
              <w:highlight w:val="none"/>
            </w:rPr>
          </w:pPr>
          <w:r>
            <w:rPr>
              <w:rFonts w:hint="eastAsia" w:ascii="黑体" w:hAnsi="黑体" w:eastAsia="黑体" w:cs="黑体"/>
              <w:bCs/>
              <w:color w:val="auto"/>
              <w:highlight w:val="none"/>
              <w:lang w:val="zh-CN"/>
            </w:rPr>
            <w:fldChar w:fldCharType="begin"/>
          </w:r>
          <w:r>
            <w:rPr>
              <w:rFonts w:hint="eastAsia" w:ascii="黑体" w:hAnsi="黑体" w:eastAsia="黑体" w:cs="黑体"/>
              <w:bCs/>
              <w:color w:val="auto"/>
              <w:highlight w:val="none"/>
              <w:lang w:val="zh-CN"/>
            </w:rPr>
            <w:instrText xml:space="preserve"> HYPERLINK \l _Toc17952 </w:instrText>
          </w:r>
          <w:r>
            <w:rPr>
              <w:rFonts w:hint="eastAsia" w:ascii="黑体" w:hAnsi="黑体" w:eastAsia="黑体" w:cs="黑体"/>
              <w:bCs/>
              <w:color w:val="auto"/>
              <w:highlight w:val="none"/>
              <w:lang w:val="zh-CN"/>
            </w:rPr>
            <w:fldChar w:fldCharType="separate"/>
          </w:r>
          <w:r>
            <w:rPr>
              <w:rFonts w:hint="eastAsia" w:ascii="黑体" w:hAnsi="黑体" w:eastAsia="黑体" w:cs="黑体"/>
              <w:color w:val="auto"/>
              <w:spacing w:val="20"/>
              <w:szCs w:val="32"/>
              <w:highlight w:val="none"/>
            </w:rPr>
            <w:t>第二部分 采购需求</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_Toc17952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8</w:t>
          </w:r>
          <w:r>
            <w:rPr>
              <w:rFonts w:hint="eastAsia" w:ascii="黑体" w:hAnsi="黑体" w:eastAsia="黑体" w:cs="黑体"/>
              <w:color w:val="auto"/>
              <w:highlight w:val="none"/>
            </w:rPr>
            <w:fldChar w:fldCharType="end"/>
          </w:r>
          <w:r>
            <w:rPr>
              <w:rFonts w:hint="eastAsia" w:ascii="黑体" w:hAnsi="黑体" w:eastAsia="黑体" w:cs="黑体"/>
              <w:bCs/>
              <w:color w:val="auto"/>
              <w:highlight w:val="none"/>
              <w:lang w:val="zh-CN"/>
            </w:rPr>
            <w:fldChar w:fldCharType="end"/>
          </w:r>
        </w:p>
        <w:p w14:paraId="59F7A4F1">
          <w:pPr>
            <w:pStyle w:val="15"/>
            <w:tabs>
              <w:tab w:val="right" w:leader="dot" w:pos="8306"/>
              <w:tab w:val="clear" w:pos="8273"/>
            </w:tabs>
            <w:rPr>
              <w:rFonts w:hint="eastAsia" w:ascii="黑体" w:hAnsi="黑体" w:eastAsia="黑体" w:cs="黑体"/>
              <w:color w:val="auto"/>
              <w:highlight w:val="none"/>
            </w:rPr>
          </w:pPr>
          <w:r>
            <w:rPr>
              <w:rFonts w:hint="eastAsia" w:ascii="黑体" w:hAnsi="黑体" w:eastAsia="黑体" w:cs="黑体"/>
              <w:bCs/>
              <w:color w:val="auto"/>
              <w:highlight w:val="none"/>
              <w:lang w:val="zh-CN"/>
            </w:rPr>
            <w:fldChar w:fldCharType="begin"/>
          </w:r>
          <w:r>
            <w:rPr>
              <w:rFonts w:hint="eastAsia" w:ascii="黑体" w:hAnsi="黑体" w:eastAsia="黑体" w:cs="黑体"/>
              <w:bCs/>
              <w:color w:val="auto"/>
              <w:highlight w:val="none"/>
              <w:lang w:val="zh-CN"/>
            </w:rPr>
            <w:instrText xml:space="preserve"> HYPERLINK \l _Toc26024 </w:instrText>
          </w:r>
          <w:r>
            <w:rPr>
              <w:rFonts w:hint="eastAsia" w:ascii="黑体" w:hAnsi="黑体" w:eastAsia="黑体" w:cs="黑体"/>
              <w:bCs/>
              <w:color w:val="auto"/>
              <w:highlight w:val="none"/>
              <w:lang w:val="zh-CN"/>
            </w:rPr>
            <w:fldChar w:fldCharType="separate"/>
          </w:r>
          <w:r>
            <w:rPr>
              <w:rFonts w:hint="eastAsia" w:ascii="黑体" w:hAnsi="黑体" w:eastAsia="黑体" w:cs="黑体"/>
              <w:color w:val="auto"/>
              <w:spacing w:val="20"/>
              <w:szCs w:val="32"/>
              <w:highlight w:val="none"/>
            </w:rPr>
            <w:t>第三部分 投标人须知前附表</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_Toc26024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13</w:t>
          </w:r>
          <w:r>
            <w:rPr>
              <w:rFonts w:hint="eastAsia" w:ascii="黑体" w:hAnsi="黑体" w:eastAsia="黑体" w:cs="黑体"/>
              <w:color w:val="auto"/>
              <w:highlight w:val="none"/>
            </w:rPr>
            <w:fldChar w:fldCharType="end"/>
          </w:r>
          <w:r>
            <w:rPr>
              <w:rFonts w:hint="eastAsia" w:ascii="黑体" w:hAnsi="黑体" w:eastAsia="黑体" w:cs="黑体"/>
              <w:bCs/>
              <w:color w:val="auto"/>
              <w:highlight w:val="none"/>
              <w:lang w:val="zh-CN"/>
            </w:rPr>
            <w:fldChar w:fldCharType="end"/>
          </w:r>
        </w:p>
        <w:p w14:paraId="60B6DCED">
          <w:pPr>
            <w:pStyle w:val="15"/>
            <w:tabs>
              <w:tab w:val="right" w:leader="dot" w:pos="8306"/>
              <w:tab w:val="clear" w:pos="8273"/>
            </w:tabs>
            <w:rPr>
              <w:rFonts w:hint="eastAsia" w:ascii="黑体" w:hAnsi="黑体" w:eastAsia="黑体" w:cs="黑体"/>
              <w:color w:val="auto"/>
              <w:highlight w:val="none"/>
            </w:rPr>
          </w:pPr>
          <w:r>
            <w:rPr>
              <w:rFonts w:hint="eastAsia" w:ascii="黑体" w:hAnsi="黑体" w:eastAsia="黑体" w:cs="黑体"/>
              <w:bCs/>
              <w:color w:val="auto"/>
              <w:highlight w:val="none"/>
              <w:lang w:val="zh-CN"/>
            </w:rPr>
            <w:fldChar w:fldCharType="begin"/>
          </w:r>
          <w:r>
            <w:rPr>
              <w:rFonts w:hint="eastAsia" w:ascii="黑体" w:hAnsi="黑体" w:eastAsia="黑体" w:cs="黑体"/>
              <w:bCs/>
              <w:color w:val="auto"/>
              <w:highlight w:val="none"/>
              <w:lang w:val="zh-CN"/>
            </w:rPr>
            <w:instrText xml:space="preserve"> HYPERLINK \l _Toc14645 </w:instrText>
          </w:r>
          <w:r>
            <w:rPr>
              <w:rFonts w:hint="eastAsia" w:ascii="黑体" w:hAnsi="黑体" w:eastAsia="黑体" w:cs="黑体"/>
              <w:bCs/>
              <w:color w:val="auto"/>
              <w:highlight w:val="none"/>
              <w:lang w:val="zh-CN"/>
            </w:rPr>
            <w:fldChar w:fldCharType="separate"/>
          </w:r>
          <w:r>
            <w:rPr>
              <w:rFonts w:hint="eastAsia" w:ascii="黑体" w:hAnsi="黑体" w:eastAsia="黑体" w:cs="黑体"/>
              <w:color w:val="auto"/>
              <w:spacing w:val="20"/>
              <w:szCs w:val="32"/>
              <w:highlight w:val="none"/>
            </w:rPr>
            <w:t>第四部分 投标人须知</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_Toc14645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15</w:t>
          </w:r>
          <w:r>
            <w:rPr>
              <w:rFonts w:hint="eastAsia" w:ascii="黑体" w:hAnsi="黑体" w:eastAsia="黑体" w:cs="黑体"/>
              <w:color w:val="auto"/>
              <w:highlight w:val="none"/>
            </w:rPr>
            <w:fldChar w:fldCharType="end"/>
          </w:r>
          <w:r>
            <w:rPr>
              <w:rFonts w:hint="eastAsia" w:ascii="黑体" w:hAnsi="黑体" w:eastAsia="黑体" w:cs="黑体"/>
              <w:bCs/>
              <w:color w:val="auto"/>
              <w:highlight w:val="none"/>
              <w:lang w:val="zh-CN"/>
            </w:rPr>
            <w:fldChar w:fldCharType="end"/>
          </w:r>
        </w:p>
        <w:p w14:paraId="1BF93B6C">
          <w:pPr>
            <w:pStyle w:val="15"/>
            <w:tabs>
              <w:tab w:val="right" w:leader="dot" w:pos="8306"/>
              <w:tab w:val="clear" w:pos="8273"/>
            </w:tabs>
            <w:rPr>
              <w:rFonts w:hint="eastAsia" w:ascii="黑体" w:hAnsi="黑体" w:eastAsia="黑体" w:cs="黑体"/>
              <w:color w:val="auto"/>
              <w:highlight w:val="none"/>
            </w:rPr>
          </w:pPr>
          <w:r>
            <w:rPr>
              <w:rFonts w:hint="eastAsia" w:ascii="黑体" w:hAnsi="黑体" w:eastAsia="黑体" w:cs="黑体"/>
              <w:bCs/>
              <w:color w:val="auto"/>
              <w:highlight w:val="none"/>
              <w:lang w:val="zh-CN"/>
            </w:rPr>
            <w:fldChar w:fldCharType="begin"/>
          </w:r>
          <w:r>
            <w:rPr>
              <w:rFonts w:hint="eastAsia" w:ascii="黑体" w:hAnsi="黑体" w:eastAsia="黑体" w:cs="黑体"/>
              <w:bCs/>
              <w:color w:val="auto"/>
              <w:highlight w:val="none"/>
              <w:lang w:val="zh-CN"/>
            </w:rPr>
            <w:instrText xml:space="preserve"> HYPERLINK \l _Toc17743 </w:instrText>
          </w:r>
          <w:r>
            <w:rPr>
              <w:rFonts w:hint="eastAsia" w:ascii="黑体" w:hAnsi="黑体" w:eastAsia="黑体" w:cs="黑体"/>
              <w:bCs/>
              <w:color w:val="auto"/>
              <w:highlight w:val="none"/>
              <w:lang w:val="zh-CN"/>
            </w:rPr>
            <w:fldChar w:fldCharType="separate"/>
          </w:r>
          <w:r>
            <w:rPr>
              <w:rFonts w:hint="eastAsia" w:ascii="黑体" w:hAnsi="黑体" w:eastAsia="黑体" w:cs="黑体"/>
              <w:color w:val="auto"/>
              <w:spacing w:val="20"/>
              <w:szCs w:val="32"/>
              <w:highlight w:val="none"/>
            </w:rPr>
            <w:t>第五部分 评标方法、步骤、标准</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_Toc17743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32</w:t>
          </w:r>
          <w:r>
            <w:rPr>
              <w:rFonts w:hint="eastAsia" w:ascii="黑体" w:hAnsi="黑体" w:eastAsia="黑体" w:cs="黑体"/>
              <w:color w:val="auto"/>
              <w:highlight w:val="none"/>
            </w:rPr>
            <w:fldChar w:fldCharType="end"/>
          </w:r>
          <w:r>
            <w:rPr>
              <w:rFonts w:hint="eastAsia" w:ascii="黑体" w:hAnsi="黑体" w:eastAsia="黑体" w:cs="黑体"/>
              <w:bCs/>
              <w:color w:val="auto"/>
              <w:highlight w:val="none"/>
              <w:lang w:val="zh-CN"/>
            </w:rPr>
            <w:fldChar w:fldCharType="end"/>
          </w:r>
        </w:p>
        <w:p w14:paraId="14F1193E">
          <w:pPr>
            <w:pStyle w:val="15"/>
            <w:tabs>
              <w:tab w:val="right" w:leader="dot" w:pos="8306"/>
              <w:tab w:val="clear" w:pos="8273"/>
            </w:tabs>
            <w:rPr>
              <w:rFonts w:hint="eastAsia" w:ascii="黑体" w:hAnsi="黑体" w:eastAsia="黑体" w:cs="黑体"/>
              <w:color w:val="auto"/>
              <w:highlight w:val="none"/>
            </w:rPr>
          </w:pPr>
          <w:r>
            <w:rPr>
              <w:rFonts w:hint="eastAsia" w:ascii="黑体" w:hAnsi="黑体" w:eastAsia="黑体" w:cs="黑体"/>
              <w:bCs/>
              <w:color w:val="auto"/>
              <w:highlight w:val="none"/>
              <w:lang w:val="zh-CN"/>
            </w:rPr>
            <w:fldChar w:fldCharType="begin"/>
          </w:r>
          <w:r>
            <w:rPr>
              <w:rFonts w:hint="eastAsia" w:ascii="黑体" w:hAnsi="黑体" w:eastAsia="黑体" w:cs="黑体"/>
              <w:bCs/>
              <w:color w:val="auto"/>
              <w:highlight w:val="none"/>
              <w:lang w:val="zh-CN"/>
            </w:rPr>
            <w:instrText xml:space="preserve"> HYPERLINK \l _Toc30003 </w:instrText>
          </w:r>
          <w:r>
            <w:rPr>
              <w:rFonts w:hint="eastAsia" w:ascii="黑体" w:hAnsi="黑体" w:eastAsia="黑体" w:cs="黑体"/>
              <w:bCs/>
              <w:color w:val="auto"/>
              <w:highlight w:val="none"/>
              <w:lang w:val="zh-CN"/>
            </w:rPr>
            <w:fldChar w:fldCharType="separate"/>
          </w:r>
          <w:r>
            <w:rPr>
              <w:rFonts w:hint="eastAsia" w:ascii="黑体" w:hAnsi="黑体" w:eastAsia="黑体" w:cs="黑体"/>
              <w:color w:val="auto"/>
              <w:spacing w:val="20"/>
              <w:szCs w:val="32"/>
              <w:highlight w:val="none"/>
            </w:rPr>
            <w:t>第六部分 合同书格式</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_Toc30003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42</w:t>
          </w:r>
          <w:r>
            <w:rPr>
              <w:rFonts w:hint="eastAsia" w:ascii="黑体" w:hAnsi="黑体" w:eastAsia="黑体" w:cs="黑体"/>
              <w:color w:val="auto"/>
              <w:highlight w:val="none"/>
            </w:rPr>
            <w:fldChar w:fldCharType="end"/>
          </w:r>
          <w:r>
            <w:rPr>
              <w:rFonts w:hint="eastAsia" w:ascii="黑体" w:hAnsi="黑体" w:eastAsia="黑体" w:cs="黑体"/>
              <w:bCs/>
              <w:color w:val="auto"/>
              <w:highlight w:val="none"/>
              <w:lang w:val="zh-CN"/>
            </w:rPr>
            <w:fldChar w:fldCharType="end"/>
          </w:r>
        </w:p>
        <w:p w14:paraId="7A2821B1">
          <w:pPr>
            <w:pStyle w:val="15"/>
            <w:tabs>
              <w:tab w:val="right" w:leader="dot" w:pos="8306"/>
              <w:tab w:val="clear" w:pos="8273"/>
            </w:tabs>
            <w:rPr>
              <w:rFonts w:hint="eastAsia" w:ascii="黑体" w:hAnsi="黑体" w:eastAsia="黑体" w:cs="黑体"/>
              <w:color w:val="auto"/>
              <w:highlight w:val="none"/>
            </w:rPr>
          </w:pPr>
          <w:r>
            <w:rPr>
              <w:rFonts w:hint="eastAsia" w:ascii="黑体" w:hAnsi="黑体" w:eastAsia="黑体" w:cs="黑体"/>
              <w:bCs/>
              <w:color w:val="auto"/>
              <w:highlight w:val="none"/>
              <w:lang w:val="zh-CN"/>
            </w:rPr>
            <w:fldChar w:fldCharType="begin"/>
          </w:r>
          <w:r>
            <w:rPr>
              <w:rFonts w:hint="eastAsia" w:ascii="黑体" w:hAnsi="黑体" w:eastAsia="黑体" w:cs="黑体"/>
              <w:bCs/>
              <w:color w:val="auto"/>
              <w:highlight w:val="none"/>
              <w:lang w:val="zh-CN"/>
            </w:rPr>
            <w:instrText xml:space="preserve"> HYPERLINK \l _Toc28575 </w:instrText>
          </w:r>
          <w:r>
            <w:rPr>
              <w:rFonts w:hint="eastAsia" w:ascii="黑体" w:hAnsi="黑体" w:eastAsia="黑体" w:cs="黑体"/>
              <w:bCs/>
              <w:color w:val="auto"/>
              <w:highlight w:val="none"/>
              <w:lang w:val="zh-CN"/>
            </w:rPr>
            <w:fldChar w:fldCharType="separate"/>
          </w:r>
          <w:r>
            <w:rPr>
              <w:rFonts w:hint="eastAsia" w:ascii="黑体" w:hAnsi="黑体" w:eastAsia="黑体" w:cs="黑体"/>
              <w:color w:val="auto"/>
              <w:spacing w:val="20"/>
              <w:szCs w:val="32"/>
              <w:highlight w:val="none"/>
            </w:rPr>
            <w:t>第七部分 投标文件格式</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_Toc28575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49</w:t>
          </w:r>
          <w:r>
            <w:rPr>
              <w:rFonts w:hint="eastAsia" w:ascii="黑体" w:hAnsi="黑体" w:eastAsia="黑体" w:cs="黑体"/>
              <w:color w:val="auto"/>
              <w:highlight w:val="none"/>
            </w:rPr>
            <w:fldChar w:fldCharType="end"/>
          </w:r>
          <w:r>
            <w:rPr>
              <w:rFonts w:hint="eastAsia" w:ascii="黑体" w:hAnsi="黑体" w:eastAsia="黑体" w:cs="黑体"/>
              <w:bCs/>
              <w:color w:val="auto"/>
              <w:highlight w:val="none"/>
              <w:lang w:val="zh-CN"/>
            </w:rPr>
            <w:fldChar w:fldCharType="end"/>
          </w:r>
        </w:p>
        <w:p w14:paraId="11C9268B">
          <w:pPr>
            <w:spacing w:line="348" w:lineRule="auto"/>
            <w:rPr>
              <w:rFonts w:hint="eastAsia" w:ascii="黑体" w:hAnsi="黑体" w:eastAsia="黑体" w:cs="黑体"/>
              <w:color w:val="auto"/>
              <w:highlight w:val="none"/>
            </w:rPr>
          </w:pPr>
          <w:r>
            <w:rPr>
              <w:rFonts w:hint="eastAsia" w:ascii="黑体" w:hAnsi="黑体" w:eastAsia="黑体" w:cs="黑体"/>
              <w:bCs/>
              <w:color w:val="auto"/>
              <w:highlight w:val="none"/>
              <w:lang w:val="zh-CN"/>
            </w:rPr>
            <w:fldChar w:fldCharType="end"/>
          </w:r>
        </w:p>
      </w:sdtContent>
    </w:sdt>
    <w:p w14:paraId="6CD86DF2">
      <w:pPr>
        <w:pStyle w:val="2"/>
        <w:keepNext w:val="0"/>
        <w:keepLines w:val="0"/>
        <w:pageBreakBefore/>
        <w:spacing w:before="120" w:after="120" w:line="360" w:lineRule="auto"/>
        <w:jc w:val="center"/>
        <w:rPr>
          <w:rFonts w:hint="eastAsia" w:ascii="黑体" w:hAnsi="黑体" w:eastAsia="黑体" w:cs="黑体"/>
          <w:color w:val="auto"/>
          <w:spacing w:val="20"/>
          <w:sz w:val="32"/>
          <w:szCs w:val="32"/>
          <w:highlight w:val="none"/>
        </w:rPr>
      </w:pPr>
      <w:bookmarkStart w:id="3" w:name="_Toc26594"/>
      <w:r>
        <w:rPr>
          <w:rFonts w:hint="eastAsia" w:ascii="黑体" w:hAnsi="黑体" w:eastAsia="黑体" w:cs="黑体"/>
          <w:color w:val="auto"/>
          <w:spacing w:val="20"/>
          <w:sz w:val="32"/>
          <w:szCs w:val="32"/>
          <w:highlight w:val="none"/>
        </w:rPr>
        <w:t>第一部分 投标邀请</w:t>
      </w:r>
      <w:bookmarkEnd w:id="0"/>
      <w:bookmarkEnd w:id="1"/>
      <w:bookmarkEnd w:id="2"/>
      <w:bookmarkEnd w:id="3"/>
    </w:p>
    <w:p w14:paraId="45FED9BF">
      <w:pPr>
        <w:widowControl/>
        <w:spacing w:before="156" w:beforeLines="50" w:after="156" w:afterLines="50" w:line="360" w:lineRule="atLeast"/>
        <w:jc w:val="left"/>
        <w:rPr>
          <w:rFonts w:hint="eastAsia" w:ascii="黑体" w:hAnsi="黑体" w:eastAsia="黑体" w:cs="黑体"/>
          <w:b/>
          <w:color w:val="auto"/>
          <w:kern w:val="0"/>
          <w:sz w:val="24"/>
          <w:szCs w:val="24"/>
          <w:highlight w:val="none"/>
        </w:rPr>
      </w:pPr>
      <w:bookmarkStart w:id="110" w:name="_GoBack"/>
      <w:r>
        <w:rPr>
          <w:rFonts w:hint="eastAsia" w:ascii="黑体" w:hAnsi="黑体" w:eastAsia="黑体" w:cs="黑体"/>
          <w:b/>
          <w:color w:val="auto"/>
          <w:kern w:val="0"/>
          <w:sz w:val="24"/>
          <w:szCs w:val="24"/>
          <w:highlight w:val="none"/>
        </w:rPr>
        <w:t>项目概况</w:t>
      </w:r>
    </w:p>
    <w:p w14:paraId="5CF43F8A">
      <w:pPr>
        <w:tabs>
          <w:tab w:val="left" w:pos="426"/>
        </w:tabs>
        <w:spacing w:before="312" w:beforeLines="100"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kern w:val="0"/>
          <w:szCs w:val="21"/>
          <w:highlight w:val="none"/>
          <w:u w:val="single"/>
          <w:lang w:eastAsia="zh-CN"/>
        </w:rPr>
        <w:t>东莞市中医院消毒供应中心精细化天轨密集管理架采购项目（重新采购）</w:t>
      </w:r>
      <w:r>
        <w:rPr>
          <w:rFonts w:hint="eastAsia" w:ascii="黑体" w:hAnsi="黑体" w:eastAsia="黑体" w:cs="黑体"/>
          <w:color w:val="auto"/>
          <w:kern w:val="0"/>
          <w:szCs w:val="21"/>
          <w:highlight w:val="none"/>
        </w:rPr>
        <w:t>的潜在投标人应在</w:t>
      </w:r>
      <w:r>
        <w:rPr>
          <w:rFonts w:hint="eastAsia" w:ascii="黑体" w:hAnsi="黑体" w:eastAsia="黑体" w:cs="黑体"/>
          <w:color w:val="auto"/>
          <w:kern w:val="0"/>
          <w:szCs w:val="21"/>
          <w:highlight w:val="none"/>
          <w:u w:val="single"/>
        </w:rPr>
        <w:t>东莞市东城街道新源路海德琥珀台6栋1703室（有德招标）或使用微信扫描二维码进行获取（二维码详见招标文件温馨提示）或微信搜索公众号“有德招标东莞分公司”</w:t>
      </w:r>
      <w:r>
        <w:rPr>
          <w:rFonts w:hint="eastAsia" w:ascii="黑体" w:hAnsi="黑体" w:eastAsia="黑体" w:cs="黑体"/>
          <w:color w:val="auto"/>
          <w:kern w:val="0"/>
          <w:szCs w:val="21"/>
          <w:highlight w:val="none"/>
        </w:rPr>
        <w:t>获取招标文件，并于</w:t>
      </w:r>
      <w:r>
        <w:rPr>
          <w:rFonts w:hint="eastAsia" w:ascii="黑体" w:hAnsi="黑体" w:eastAsia="黑体" w:cs="黑体"/>
          <w:color w:val="auto"/>
          <w:kern w:val="0"/>
          <w:szCs w:val="21"/>
          <w:highlight w:val="none"/>
          <w:u w:val="single"/>
          <w:lang w:val="en-US" w:eastAsia="zh-CN"/>
        </w:rPr>
        <w:t>2026</w:t>
      </w:r>
      <w:r>
        <w:rPr>
          <w:rFonts w:hint="eastAsia" w:ascii="黑体" w:hAnsi="黑体" w:eastAsia="黑体" w:cs="黑体"/>
          <w:color w:val="auto"/>
          <w:kern w:val="0"/>
          <w:szCs w:val="21"/>
          <w:highlight w:val="none"/>
        </w:rPr>
        <w:t>年</w:t>
      </w:r>
      <w:r>
        <w:rPr>
          <w:rFonts w:hint="eastAsia" w:ascii="黑体" w:hAnsi="黑体" w:eastAsia="黑体" w:cs="黑体"/>
          <w:color w:val="auto"/>
          <w:kern w:val="0"/>
          <w:szCs w:val="21"/>
          <w:highlight w:val="none"/>
          <w:u w:val="single"/>
          <w:lang w:val="en-US" w:eastAsia="zh-CN"/>
        </w:rPr>
        <w:t>1</w:t>
      </w:r>
      <w:r>
        <w:rPr>
          <w:rFonts w:hint="eastAsia" w:ascii="黑体" w:hAnsi="黑体" w:eastAsia="黑体" w:cs="黑体"/>
          <w:color w:val="auto"/>
          <w:kern w:val="0"/>
          <w:szCs w:val="21"/>
          <w:highlight w:val="none"/>
        </w:rPr>
        <w:t>月</w:t>
      </w:r>
      <w:r>
        <w:rPr>
          <w:rFonts w:hint="eastAsia" w:ascii="黑体" w:hAnsi="黑体" w:eastAsia="黑体" w:cs="黑体"/>
          <w:color w:val="auto"/>
          <w:kern w:val="0"/>
          <w:szCs w:val="21"/>
          <w:highlight w:val="none"/>
          <w:u w:val="single"/>
          <w:lang w:val="en-US" w:eastAsia="zh-CN"/>
        </w:rPr>
        <w:t>19</w:t>
      </w:r>
      <w:r>
        <w:rPr>
          <w:rFonts w:hint="eastAsia" w:ascii="黑体" w:hAnsi="黑体" w:eastAsia="黑体" w:cs="黑体"/>
          <w:color w:val="auto"/>
          <w:kern w:val="0"/>
          <w:szCs w:val="21"/>
          <w:highlight w:val="none"/>
        </w:rPr>
        <w:t>日</w:t>
      </w:r>
      <w:r>
        <w:rPr>
          <w:rFonts w:hint="eastAsia" w:ascii="黑体" w:hAnsi="黑体" w:eastAsia="黑体" w:cs="黑体"/>
          <w:color w:val="auto"/>
          <w:kern w:val="0"/>
          <w:szCs w:val="21"/>
          <w:highlight w:val="none"/>
          <w:u w:val="single"/>
          <w:lang w:val="en-US" w:eastAsia="zh-CN"/>
        </w:rPr>
        <w:t>14</w:t>
      </w:r>
      <w:r>
        <w:rPr>
          <w:rFonts w:hint="eastAsia" w:ascii="黑体" w:hAnsi="黑体" w:eastAsia="黑体" w:cs="黑体"/>
          <w:color w:val="auto"/>
          <w:kern w:val="0"/>
          <w:szCs w:val="21"/>
          <w:highlight w:val="none"/>
        </w:rPr>
        <w:t>点</w:t>
      </w:r>
      <w:r>
        <w:rPr>
          <w:rFonts w:hint="eastAsia" w:ascii="黑体" w:hAnsi="黑体" w:eastAsia="黑体" w:cs="黑体"/>
          <w:color w:val="auto"/>
          <w:kern w:val="0"/>
          <w:szCs w:val="21"/>
          <w:highlight w:val="none"/>
          <w:u w:val="single"/>
          <w:lang w:val="en-US" w:eastAsia="zh-CN"/>
        </w:rPr>
        <w:t>30</w:t>
      </w:r>
      <w:r>
        <w:rPr>
          <w:rFonts w:hint="eastAsia" w:ascii="黑体" w:hAnsi="黑体" w:eastAsia="黑体" w:cs="黑体"/>
          <w:color w:val="auto"/>
          <w:kern w:val="0"/>
          <w:szCs w:val="21"/>
          <w:highlight w:val="none"/>
        </w:rPr>
        <w:t>分（北京时间）前递交投标文件。</w:t>
      </w:r>
    </w:p>
    <w:p w14:paraId="21367218">
      <w:pPr>
        <w:pStyle w:val="29"/>
        <w:numPr>
          <w:ilvl w:val="0"/>
          <w:numId w:val="2"/>
        </w:numPr>
        <w:tabs>
          <w:tab w:val="left" w:pos="426"/>
        </w:tabs>
        <w:spacing w:before="312" w:beforeLines="100" w:line="360" w:lineRule="auto"/>
        <w:ind w:firstLineChars="0"/>
        <w:rPr>
          <w:rFonts w:hint="eastAsia" w:ascii="黑体" w:hAnsi="黑体" w:eastAsia="黑体" w:cs="黑体"/>
          <w:color w:val="auto"/>
          <w:szCs w:val="21"/>
          <w:highlight w:val="none"/>
        </w:rPr>
      </w:pPr>
      <w:r>
        <w:rPr>
          <w:rFonts w:hint="eastAsia" w:ascii="黑体" w:hAnsi="黑体" w:eastAsia="黑体" w:cs="黑体"/>
          <w:b/>
          <w:color w:val="auto"/>
          <w:szCs w:val="21"/>
          <w:highlight w:val="none"/>
        </w:rPr>
        <w:t>项目基本情况：</w:t>
      </w:r>
    </w:p>
    <w:p w14:paraId="40C3B7D8">
      <w:pPr>
        <w:tabs>
          <w:tab w:val="left" w:pos="426"/>
        </w:tabs>
        <w:spacing w:line="360" w:lineRule="auto"/>
        <w:ind w:left="420" w:hanging="420" w:hangingChars="200"/>
        <w:rPr>
          <w:rFonts w:hint="eastAsia" w:ascii="黑体" w:hAnsi="黑体" w:eastAsia="黑体" w:cs="黑体"/>
          <w:color w:val="auto"/>
          <w:szCs w:val="21"/>
          <w:highlight w:val="none"/>
          <w:u w:val="single"/>
          <w:lang w:eastAsia="zh-CN"/>
        </w:rPr>
      </w:pPr>
      <w:r>
        <w:rPr>
          <w:rFonts w:hint="eastAsia" w:ascii="黑体" w:hAnsi="黑体" w:eastAsia="黑体" w:cs="黑体"/>
          <w:color w:val="auto"/>
          <w:szCs w:val="21"/>
          <w:highlight w:val="none"/>
        </w:rPr>
        <w:t>项目编号：</w:t>
      </w:r>
      <w:r>
        <w:rPr>
          <w:rFonts w:hint="eastAsia" w:ascii="黑体" w:hAnsi="黑体" w:eastAsia="黑体" w:cs="黑体"/>
          <w:color w:val="auto"/>
          <w:szCs w:val="21"/>
          <w:highlight w:val="none"/>
          <w:lang w:eastAsia="zh-CN"/>
        </w:rPr>
        <w:t>YDZB25DGZC0157-1</w:t>
      </w:r>
    </w:p>
    <w:p w14:paraId="2F70AAFE">
      <w:pPr>
        <w:tabs>
          <w:tab w:val="left" w:pos="426"/>
        </w:tabs>
        <w:spacing w:line="360" w:lineRule="auto"/>
        <w:ind w:left="420" w:hanging="420" w:hangingChars="200"/>
        <w:rPr>
          <w:rFonts w:hint="eastAsia" w:ascii="黑体" w:hAnsi="黑体" w:eastAsia="黑体" w:cs="黑体"/>
          <w:color w:val="auto"/>
          <w:szCs w:val="21"/>
          <w:highlight w:val="none"/>
          <w:lang w:eastAsia="zh-CN"/>
        </w:rPr>
      </w:pPr>
      <w:r>
        <w:rPr>
          <w:rFonts w:hint="eastAsia" w:ascii="黑体" w:hAnsi="黑体" w:eastAsia="黑体" w:cs="黑体"/>
          <w:color w:val="auto"/>
          <w:szCs w:val="21"/>
          <w:highlight w:val="none"/>
        </w:rPr>
        <w:t>项目名称：</w:t>
      </w:r>
      <w:r>
        <w:rPr>
          <w:rFonts w:hint="eastAsia" w:ascii="黑体" w:hAnsi="黑体" w:eastAsia="黑体" w:cs="黑体"/>
          <w:color w:val="auto"/>
          <w:szCs w:val="21"/>
          <w:highlight w:val="none"/>
          <w:lang w:eastAsia="zh-CN"/>
        </w:rPr>
        <w:t>东莞市中医院消毒供应中心精细化天轨密集管理架采购项目（重新采购）</w:t>
      </w:r>
    </w:p>
    <w:p w14:paraId="647CBBC8">
      <w:pPr>
        <w:tabs>
          <w:tab w:val="left" w:pos="426"/>
        </w:tabs>
        <w:spacing w:line="360" w:lineRule="auto"/>
        <w:ind w:left="420" w:hanging="420" w:hangingChars="200"/>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rPr>
        <w:t>采购方式：</w:t>
      </w:r>
      <w:r>
        <w:rPr>
          <w:rFonts w:hint="eastAsia" w:ascii="黑体" w:hAnsi="黑体" w:eastAsia="黑体" w:cs="黑体"/>
          <w:color w:val="auto"/>
          <w:szCs w:val="21"/>
          <w:highlight w:val="none"/>
          <w:lang w:val="en-US" w:eastAsia="zh-CN"/>
        </w:rPr>
        <w:t>公开招标</w:t>
      </w:r>
    </w:p>
    <w:p w14:paraId="105C9DBB">
      <w:pPr>
        <w:tabs>
          <w:tab w:val="left" w:pos="426"/>
        </w:tabs>
        <w:spacing w:line="360" w:lineRule="auto"/>
        <w:ind w:left="420" w:hanging="420" w:hanging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预算金额：449</w:t>
      </w:r>
      <w:r>
        <w:rPr>
          <w:rFonts w:hint="eastAsia" w:ascii="黑体" w:hAnsi="黑体" w:eastAsia="黑体" w:cs="黑体"/>
          <w:color w:val="auto"/>
          <w:szCs w:val="21"/>
          <w:highlight w:val="none"/>
          <w:lang w:val="en-US" w:eastAsia="zh-CN"/>
        </w:rPr>
        <w:t>,</w:t>
      </w:r>
      <w:r>
        <w:rPr>
          <w:rFonts w:hint="eastAsia" w:ascii="黑体" w:hAnsi="黑体" w:eastAsia="黑体" w:cs="黑体"/>
          <w:color w:val="auto"/>
          <w:szCs w:val="21"/>
          <w:highlight w:val="none"/>
        </w:rPr>
        <w:t>000.00元</w:t>
      </w:r>
    </w:p>
    <w:p w14:paraId="5F7CADA2">
      <w:pPr>
        <w:tabs>
          <w:tab w:val="left" w:pos="426"/>
        </w:tabs>
        <w:spacing w:line="360" w:lineRule="auto"/>
        <w:ind w:left="422" w:hanging="422" w:hangingChars="200"/>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采购需求：</w:t>
      </w:r>
    </w:p>
    <w:tbl>
      <w:tblPr>
        <w:tblStyle w:val="19"/>
        <w:tblW w:w="4972" w:type="pct"/>
        <w:tblInd w:w="0" w:type="dxa"/>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665"/>
        <w:gridCol w:w="1364"/>
        <w:gridCol w:w="2913"/>
        <w:gridCol w:w="874"/>
        <w:gridCol w:w="2902"/>
      </w:tblGrid>
      <w:tr w14:paraId="1766C10D">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1" w:type="pct"/>
            <w:vAlign w:val="center"/>
          </w:tcPr>
          <w:p w14:paraId="5B8AB445">
            <w:pPr>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包号</w:t>
            </w:r>
          </w:p>
        </w:tc>
        <w:tc>
          <w:tcPr>
            <w:tcW w:w="782" w:type="pct"/>
            <w:vAlign w:val="center"/>
          </w:tcPr>
          <w:p w14:paraId="73329654">
            <w:pPr>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标的名称</w:t>
            </w:r>
          </w:p>
        </w:tc>
        <w:tc>
          <w:tcPr>
            <w:tcW w:w="1670" w:type="pct"/>
            <w:vAlign w:val="center"/>
          </w:tcPr>
          <w:p w14:paraId="70CC9B06">
            <w:pPr>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采购包预算金额（元）</w:t>
            </w:r>
          </w:p>
        </w:tc>
        <w:tc>
          <w:tcPr>
            <w:tcW w:w="501" w:type="pct"/>
            <w:vAlign w:val="center"/>
          </w:tcPr>
          <w:p w14:paraId="746437ED">
            <w:pPr>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数量</w:t>
            </w:r>
          </w:p>
        </w:tc>
        <w:tc>
          <w:tcPr>
            <w:tcW w:w="1663" w:type="pct"/>
            <w:vAlign w:val="center"/>
          </w:tcPr>
          <w:p w14:paraId="43C27DF4">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简要技术需求或服务要求</w:t>
            </w:r>
          </w:p>
        </w:tc>
      </w:tr>
      <w:tr w14:paraId="1DA7F943">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1" w:type="pct"/>
            <w:vAlign w:val="center"/>
          </w:tcPr>
          <w:p w14:paraId="5C08C72B">
            <w:pPr>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1</w:t>
            </w:r>
          </w:p>
        </w:tc>
        <w:tc>
          <w:tcPr>
            <w:tcW w:w="782" w:type="pct"/>
            <w:vAlign w:val="center"/>
          </w:tcPr>
          <w:p w14:paraId="57CDA658">
            <w:pPr>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精细化天轨密集管理架</w:t>
            </w:r>
          </w:p>
        </w:tc>
        <w:tc>
          <w:tcPr>
            <w:tcW w:w="1670" w:type="pct"/>
            <w:vAlign w:val="center"/>
          </w:tcPr>
          <w:p w14:paraId="07736320">
            <w:pPr>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449,000.00</w:t>
            </w:r>
          </w:p>
        </w:tc>
        <w:tc>
          <w:tcPr>
            <w:tcW w:w="501" w:type="pct"/>
            <w:vAlign w:val="center"/>
          </w:tcPr>
          <w:p w14:paraId="70AE7E57">
            <w:pPr>
              <w:jc w:val="center"/>
              <w:rPr>
                <w:rFonts w:hint="eastAsia" w:ascii="黑体" w:hAnsi="黑体" w:eastAsia="黑体" w:cs="黑体"/>
                <w:bCs/>
                <w:color w:val="auto"/>
                <w:szCs w:val="21"/>
                <w:highlight w:val="none"/>
                <w:lang w:val="en-US" w:eastAsia="zh-CN"/>
              </w:rPr>
            </w:pPr>
            <w:r>
              <w:rPr>
                <w:rFonts w:hint="eastAsia" w:ascii="黑体" w:hAnsi="黑体" w:eastAsia="黑体" w:cs="黑体"/>
                <w:bCs/>
                <w:color w:val="auto"/>
                <w:szCs w:val="21"/>
                <w:highlight w:val="none"/>
                <w:lang w:val="en-US" w:eastAsia="zh-CN"/>
              </w:rPr>
              <w:t>1套</w:t>
            </w:r>
          </w:p>
        </w:tc>
        <w:tc>
          <w:tcPr>
            <w:tcW w:w="1663" w:type="pct"/>
            <w:vAlign w:val="center"/>
          </w:tcPr>
          <w:p w14:paraId="7131C6E3">
            <w:pPr>
              <w:jc w:val="center"/>
              <w:rPr>
                <w:rFonts w:hint="eastAsia" w:ascii="黑体" w:hAnsi="黑体" w:eastAsia="黑体" w:cs="黑体"/>
                <w:color w:val="auto"/>
                <w:kern w:val="0"/>
                <w:szCs w:val="21"/>
                <w:highlight w:val="none"/>
              </w:rPr>
            </w:pPr>
            <w:r>
              <w:rPr>
                <w:rFonts w:hint="eastAsia" w:ascii="黑体" w:hAnsi="黑体" w:eastAsia="黑体" w:cs="黑体"/>
                <w:color w:val="auto"/>
                <w:kern w:val="0"/>
                <w:szCs w:val="21"/>
                <w:highlight w:val="none"/>
              </w:rPr>
              <w:t>详见招标文件采购需求</w:t>
            </w:r>
          </w:p>
        </w:tc>
      </w:tr>
    </w:tbl>
    <w:p w14:paraId="3813B76D">
      <w:pPr>
        <w:tabs>
          <w:tab w:val="left" w:pos="284"/>
        </w:tabs>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合同履行期限：中标人须在签订合同后30个工作日内将所有材料安装到指定地点（东莞市中医院骨伤中心3F手术室无菌区）。</w:t>
      </w:r>
    </w:p>
    <w:p w14:paraId="6770A63D">
      <w:pPr>
        <w:tabs>
          <w:tab w:val="left" w:pos="284"/>
        </w:tabs>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本项目</w:t>
      </w:r>
      <w:r>
        <w:rPr>
          <w:rFonts w:hint="eastAsia" w:ascii="黑体" w:hAnsi="黑体" w:eastAsia="黑体" w:cs="黑体"/>
          <w:color w:val="auto"/>
          <w:szCs w:val="21"/>
          <w:highlight w:val="none"/>
          <w:lang w:val="en-US" w:eastAsia="zh-CN"/>
        </w:rPr>
        <w:t>不</w:t>
      </w:r>
      <w:r>
        <w:rPr>
          <w:rFonts w:hint="eastAsia" w:ascii="黑体" w:hAnsi="黑体" w:eastAsia="黑体" w:cs="黑体"/>
          <w:color w:val="auto"/>
          <w:szCs w:val="21"/>
          <w:highlight w:val="none"/>
        </w:rPr>
        <w:t>接受联合体投标。</w:t>
      </w:r>
    </w:p>
    <w:p w14:paraId="67A66399">
      <w:pPr>
        <w:pStyle w:val="29"/>
        <w:numPr>
          <w:ilvl w:val="0"/>
          <w:numId w:val="2"/>
        </w:numPr>
        <w:tabs>
          <w:tab w:val="left" w:pos="426"/>
        </w:tabs>
        <w:spacing w:line="360" w:lineRule="auto"/>
        <w:ind w:firstLineChars="0"/>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申请人的资格要求</w:t>
      </w:r>
    </w:p>
    <w:p w14:paraId="38CBB223">
      <w:pPr>
        <w:pStyle w:val="29"/>
        <w:numPr>
          <w:ilvl w:val="0"/>
          <w:numId w:val="3"/>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投标供应商应具备《中华人民共和国政府采购法》第二十二条规定的条件，提供下列材料：</w:t>
      </w:r>
    </w:p>
    <w:p w14:paraId="6B2CE913">
      <w:pPr>
        <w:pStyle w:val="29"/>
        <w:widowControl/>
        <w:numPr>
          <w:ilvl w:val="0"/>
          <w:numId w:val="4"/>
        </w:numPr>
        <w:shd w:val="clear" w:color="auto" w:fill="FFFFFF"/>
        <w:spacing w:line="360" w:lineRule="auto"/>
        <w:ind w:firstLineChars="0"/>
        <w:textAlignment w:val="baseline"/>
        <w:rPr>
          <w:rFonts w:hint="eastAsia" w:ascii="黑体" w:hAnsi="黑体" w:eastAsia="黑体" w:cs="黑体"/>
          <w:color w:val="auto"/>
          <w:kern w:val="0"/>
          <w:szCs w:val="21"/>
          <w:highlight w:val="none"/>
        </w:rPr>
      </w:pPr>
      <w:r>
        <w:rPr>
          <w:rFonts w:hint="eastAsia" w:ascii="黑体" w:hAnsi="黑体" w:eastAsia="黑体" w:cs="黑体"/>
          <w:color w:val="auto"/>
          <w:kern w:val="0"/>
          <w:szCs w:val="21"/>
          <w:highlight w:val="none"/>
        </w:rPr>
        <w:t>具有独立承担民事责任的能力：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14:paraId="34F66BD3">
      <w:pPr>
        <w:pStyle w:val="29"/>
        <w:widowControl/>
        <w:numPr>
          <w:ilvl w:val="0"/>
          <w:numId w:val="4"/>
        </w:numPr>
        <w:shd w:val="clear" w:color="auto" w:fill="FFFFFF"/>
        <w:spacing w:line="360" w:lineRule="auto"/>
        <w:ind w:firstLineChars="0"/>
        <w:textAlignment w:val="baseline"/>
        <w:rPr>
          <w:rFonts w:hint="eastAsia" w:ascii="黑体" w:hAnsi="黑体" w:eastAsia="黑体" w:cs="黑体"/>
          <w:color w:val="auto"/>
          <w:kern w:val="0"/>
          <w:szCs w:val="21"/>
          <w:highlight w:val="none"/>
        </w:rPr>
      </w:pPr>
      <w:r>
        <w:rPr>
          <w:rFonts w:hint="eastAsia" w:ascii="黑体" w:hAnsi="黑体" w:eastAsia="黑体" w:cs="黑体"/>
          <w:color w:val="auto"/>
          <w:kern w:val="0"/>
          <w:szCs w:val="21"/>
          <w:highlight w:val="none"/>
        </w:rPr>
        <w:t>有依法缴纳税收和社会保障资金的良好记录，提供资格声明函，详见投标文件格式。</w:t>
      </w:r>
    </w:p>
    <w:p w14:paraId="6C93431C">
      <w:pPr>
        <w:pStyle w:val="29"/>
        <w:widowControl/>
        <w:numPr>
          <w:ilvl w:val="0"/>
          <w:numId w:val="4"/>
        </w:numPr>
        <w:shd w:val="clear" w:color="auto" w:fill="FFFFFF"/>
        <w:spacing w:line="360" w:lineRule="auto"/>
        <w:ind w:firstLineChars="0"/>
        <w:textAlignment w:val="baseline"/>
        <w:rPr>
          <w:rFonts w:hint="eastAsia" w:ascii="黑体" w:hAnsi="黑体" w:eastAsia="黑体" w:cs="黑体"/>
          <w:color w:val="auto"/>
          <w:kern w:val="0"/>
          <w:szCs w:val="21"/>
          <w:highlight w:val="none"/>
        </w:rPr>
      </w:pPr>
      <w:bookmarkStart w:id="4" w:name="_Hlk90659088"/>
      <w:r>
        <w:rPr>
          <w:rFonts w:hint="eastAsia" w:ascii="黑体" w:hAnsi="黑体" w:eastAsia="黑体" w:cs="黑体"/>
          <w:color w:val="auto"/>
          <w:kern w:val="0"/>
          <w:szCs w:val="21"/>
          <w:highlight w:val="none"/>
        </w:rPr>
        <w:t>具有良好的商业信誉和健全的财务会计制度</w:t>
      </w:r>
      <w:bookmarkEnd w:id="4"/>
      <w:r>
        <w:rPr>
          <w:rFonts w:hint="eastAsia" w:ascii="黑体" w:hAnsi="黑体" w:eastAsia="黑体" w:cs="黑体"/>
          <w:color w:val="auto"/>
          <w:kern w:val="0"/>
          <w:szCs w:val="21"/>
          <w:highlight w:val="none"/>
        </w:rPr>
        <w:t>，提供资格声明函，详见投标文件格式。</w:t>
      </w:r>
    </w:p>
    <w:p w14:paraId="6882719F">
      <w:pPr>
        <w:pStyle w:val="29"/>
        <w:widowControl/>
        <w:numPr>
          <w:ilvl w:val="0"/>
          <w:numId w:val="4"/>
        </w:numPr>
        <w:shd w:val="clear" w:color="auto" w:fill="FFFFFF"/>
        <w:spacing w:line="360" w:lineRule="auto"/>
        <w:ind w:firstLineChars="0"/>
        <w:textAlignment w:val="baseline"/>
        <w:rPr>
          <w:rFonts w:hint="eastAsia" w:ascii="黑体" w:hAnsi="黑体" w:eastAsia="黑体" w:cs="黑体"/>
          <w:color w:val="auto"/>
          <w:kern w:val="0"/>
          <w:szCs w:val="21"/>
          <w:highlight w:val="none"/>
        </w:rPr>
      </w:pPr>
      <w:r>
        <w:rPr>
          <w:rFonts w:hint="eastAsia" w:ascii="黑体" w:hAnsi="黑体" w:eastAsia="黑体" w:cs="黑体"/>
          <w:color w:val="auto"/>
          <w:kern w:val="0"/>
          <w:szCs w:val="21"/>
          <w:highlight w:val="none"/>
          <w:lang w:eastAsia="zh-CN"/>
        </w:rPr>
        <w:t>履行合同所必需的设备和专业技术能力</w:t>
      </w:r>
      <w:r>
        <w:rPr>
          <w:rFonts w:hint="eastAsia" w:ascii="黑体" w:hAnsi="黑体" w:eastAsia="黑体" w:cs="黑体"/>
          <w:color w:val="auto"/>
          <w:kern w:val="0"/>
          <w:szCs w:val="21"/>
          <w:highlight w:val="none"/>
        </w:rPr>
        <w:t>：</w:t>
      </w:r>
      <w:bookmarkStart w:id="5" w:name="_Hlk90659431"/>
      <w:r>
        <w:rPr>
          <w:rFonts w:hint="eastAsia" w:ascii="黑体" w:hAnsi="黑体" w:eastAsia="黑体" w:cs="黑体"/>
          <w:color w:val="auto"/>
          <w:kern w:val="0"/>
          <w:szCs w:val="21"/>
          <w:highlight w:val="none"/>
        </w:rPr>
        <w:t>提供资格声明函，详见投标文件格式。</w:t>
      </w:r>
      <w:bookmarkEnd w:id="5"/>
    </w:p>
    <w:p w14:paraId="6F4DC2B1">
      <w:pPr>
        <w:pStyle w:val="29"/>
        <w:widowControl/>
        <w:numPr>
          <w:ilvl w:val="0"/>
          <w:numId w:val="4"/>
        </w:numPr>
        <w:shd w:val="clear" w:color="auto" w:fill="FFFFFF"/>
        <w:spacing w:line="360" w:lineRule="auto"/>
        <w:ind w:firstLineChars="0"/>
        <w:textAlignment w:val="baseline"/>
        <w:rPr>
          <w:rFonts w:hint="eastAsia" w:ascii="黑体" w:hAnsi="黑体" w:eastAsia="黑体" w:cs="黑体"/>
          <w:color w:val="auto"/>
          <w:kern w:val="0"/>
          <w:szCs w:val="21"/>
          <w:highlight w:val="none"/>
        </w:rPr>
      </w:pPr>
      <w:bookmarkStart w:id="6" w:name="_Hlk81177175"/>
      <w:r>
        <w:rPr>
          <w:rFonts w:hint="eastAsia" w:ascii="黑体" w:hAnsi="黑体" w:eastAsia="黑体" w:cs="黑体"/>
          <w:color w:val="auto"/>
          <w:kern w:val="0"/>
          <w:szCs w:val="21"/>
          <w:highlight w:val="none"/>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bookmarkEnd w:id="6"/>
      <w:r>
        <w:rPr>
          <w:rFonts w:hint="eastAsia" w:ascii="黑体" w:hAnsi="黑体" w:eastAsia="黑体" w:cs="黑体"/>
          <w:color w:val="auto"/>
          <w:kern w:val="0"/>
          <w:szCs w:val="21"/>
          <w:highlight w:val="none"/>
        </w:rPr>
        <w:t>提供资格声明函，详见投标文件格式。</w:t>
      </w:r>
    </w:p>
    <w:p w14:paraId="1532E9A7">
      <w:pPr>
        <w:pStyle w:val="29"/>
        <w:widowControl/>
        <w:numPr>
          <w:ilvl w:val="0"/>
          <w:numId w:val="4"/>
        </w:numPr>
        <w:shd w:val="clear" w:color="auto" w:fill="FFFFFF"/>
        <w:spacing w:line="360" w:lineRule="auto"/>
        <w:ind w:firstLineChars="0"/>
        <w:textAlignment w:val="baseline"/>
        <w:rPr>
          <w:rFonts w:hint="eastAsia" w:ascii="黑体" w:hAnsi="黑体" w:eastAsia="黑体" w:cs="黑体"/>
          <w:color w:val="auto"/>
          <w:kern w:val="0"/>
          <w:szCs w:val="21"/>
          <w:highlight w:val="none"/>
        </w:rPr>
      </w:pPr>
      <w:r>
        <w:rPr>
          <w:rFonts w:hint="eastAsia" w:ascii="黑体" w:hAnsi="黑体" w:eastAsia="黑体" w:cs="黑体"/>
          <w:color w:val="auto"/>
          <w:kern w:val="0"/>
          <w:szCs w:val="21"/>
          <w:highlight w:val="none"/>
        </w:rPr>
        <w:t>信用记录：供应商未被列入“信用中国”网站(www.creditchina.gov.cn)“失信被执行人或重大税收违法失信主体或政府采购严重违法失信行为记录名单”；不处于中国政府采购网(www.ccgp.gov.cn)“政府采购严重违法失信行为信息记录”中的禁止参加政府采购活动期间。（以采购代理机构于投标截止时间当天在“信用中国”网站（www.creditchina.gov.cn）及中国政府采购网（http://www.ccgp.gov.cn/）查询结果为准，如相关失信记录已失效，供应商需提供相关证明资料）。</w:t>
      </w:r>
    </w:p>
    <w:p w14:paraId="7C55305A">
      <w:pPr>
        <w:pStyle w:val="29"/>
        <w:numPr>
          <w:ilvl w:val="0"/>
          <w:numId w:val="3"/>
        </w:numPr>
        <w:spacing w:line="360" w:lineRule="auto"/>
        <w:ind w:firstLineChars="0"/>
        <w:rPr>
          <w:rFonts w:hint="eastAsia" w:ascii="黑体" w:hAnsi="黑体" w:eastAsia="黑体" w:cs="黑体"/>
          <w:color w:val="auto"/>
          <w:kern w:val="0"/>
          <w:szCs w:val="21"/>
          <w:highlight w:val="none"/>
        </w:rPr>
      </w:pPr>
      <w:r>
        <w:rPr>
          <w:rFonts w:hint="eastAsia" w:ascii="黑体" w:hAnsi="黑体" w:eastAsia="黑体" w:cs="黑体"/>
          <w:color w:val="auto"/>
          <w:kern w:val="0"/>
          <w:szCs w:val="21"/>
          <w:highlight w:val="none"/>
        </w:rPr>
        <w:t>供应商必须符合法律、行政法规规定的其他条件：单位负责人为同一人或者存在直接控股、管理关系的不同供应商，不得同时参加本采购项目（或采购包）投标。为本项目提供整体设计、规范编制或者项目管理、监理、检测等服务的供应商，不得再参与本项目投标。</w:t>
      </w:r>
      <w:bookmarkStart w:id="7" w:name="_Hlk81178057"/>
      <w:r>
        <w:rPr>
          <w:rFonts w:hint="eastAsia" w:ascii="黑体" w:hAnsi="黑体" w:eastAsia="黑体" w:cs="黑体"/>
          <w:color w:val="auto"/>
          <w:kern w:val="0"/>
          <w:szCs w:val="21"/>
          <w:highlight w:val="none"/>
        </w:rPr>
        <w:t>提供资格声明函，详见投标文件格式。</w:t>
      </w:r>
      <w:bookmarkEnd w:id="7"/>
    </w:p>
    <w:p w14:paraId="467F874F">
      <w:pPr>
        <w:pStyle w:val="29"/>
        <w:numPr>
          <w:ilvl w:val="0"/>
          <w:numId w:val="3"/>
        </w:numPr>
        <w:spacing w:line="360" w:lineRule="auto"/>
        <w:ind w:firstLineChars="0"/>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落实政府采购政策需满足的资格要求：</w:t>
      </w:r>
      <w:r>
        <w:rPr>
          <w:rFonts w:hint="eastAsia" w:ascii="黑体" w:hAnsi="黑体" w:eastAsia="黑体" w:cs="黑体"/>
          <w:b/>
          <w:bCs/>
          <w:color w:val="auto"/>
          <w:highlight w:val="none"/>
        </w:rPr>
        <w:t>本项目为专门面向中小企业采购项目，参与的供应商提供的货物全部由符合政策要求的中小企业制造，以提供《中小企业声明函》为准。（监狱企业及残疾人福利性单位视同小微企业，以提供的监狱企业证明文件或残疾人福利性单位声明函为准。）相关格式详见投标文件格式与要求。</w:t>
      </w:r>
    </w:p>
    <w:p w14:paraId="2576C415">
      <w:pPr>
        <w:pStyle w:val="29"/>
        <w:numPr>
          <w:ilvl w:val="0"/>
          <w:numId w:val="3"/>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本项目的特定资格要求：</w:t>
      </w:r>
      <w:r>
        <w:rPr>
          <w:rFonts w:hint="eastAsia" w:ascii="黑体" w:hAnsi="黑体" w:eastAsia="黑体" w:cs="黑体"/>
          <w:color w:val="auto"/>
          <w:szCs w:val="21"/>
          <w:highlight w:val="none"/>
          <w:lang w:val="en-US" w:eastAsia="zh-CN"/>
        </w:rPr>
        <w:t>无。</w:t>
      </w:r>
    </w:p>
    <w:p w14:paraId="7827B92A">
      <w:pPr>
        <w:pStyle w:val="29"/>
        <w:numPr>
          <w:ilvl w:val="0"/>
          <w:numId w:val="2"/>
        </w:numPr>
        <w:tabs>
          <w:tab w:val="left" w:pos="426"/>
        </w:tabs>
        <w:spacing w:line="360" w:lineRule="auto"/>
        <w:ind w:firstLineChars="0"/>
        <w:rPr>
          <w:rFonts w:hint="eastAsia" w:ascii="黑体" w:hAnsi="黑体" w:eastAsia="黑体" w:cs="黑体"/>
          <w:b/>
          <w:color w:val="auto"/>
          <w:szCs w:val="21"/>
          <w:highlight w:val="none"/>
        </w:rPr>
      </w:pPr>
      <w:bookmarkStart w:id="8" w:name="_Hlk58185024"/>
      <w:bookmarkStart w:id="9" w:name="_Hlk90918431"/>
      <w:r>
        <w:rPr>
          <w:rFonts w:hint="eastAsia" w:ascii="黑体" w:hAnsi="黑体" w:eastAsia="黑体" w:cs="黑体"/>
          <w:b/>
          <w:color w:val="auto"/>
          <w:szCs w:val="21"/>
          <w:highlight w:val="none"/>
        </w:rPr>
        <w:t>获取招标文件</w:t>
      </w:r>
    </w:p>
    <w:bookmarkEnd w:id="8"/>
    <w:p w14:paraId="26F78196">
      <w:pPr>
        <w:pStyle w:val="29"/>
        <w:spacing w:line="360" w:lineRule="auto"/>
        <w:ind w:left="420" w:firstLine="0"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时间：</w:t>
      </w:r>
      <w:r>
        <w:rPr>
          <w:rFonts w:hint="eastAsia" w:ascii="黑体" w:hAnsi="黑体" w:eastAsia="黑体" w:cs="黑体"/>
          <w:color w:val="auto"/>
          <w:szCs w:val="21"/>
          <w:highlight w:val="none"/>
          <w:u w:val="single"/>
          <w:lang w:val="en-US" w:eastAsia="zh-CN"/>
        </w:rPr>
        <w:t>2025</w:t>
      </w:r>
      <w:r>
        <w:rPr>
          <w:rFonts w:hint="eastAsia" w:ascii="黑体" w:hAnsi="黑体" w:eastAsia="黑体" w:cs="黑体"/>
          <w:color w:val="auto"/>
          <w:szCs w:val="21"/>
          <w:highlight w:val="none"/>
          <w:u w:val="single"/>
        </w:rPr>
        <w:t>年</w:t>
      </w:r>
      <w:r>
        <w:rPr>
          <w:rFonts w:hint="eastAsia" w:ascii="黑体" w:hAnsi="黑体" w:eastAsia="黑体" w:cs="黑体"/>
          <w:color w:val="auto"/>
          <w:szCs w:val="21"/>
          <w:highlight w:val="none"/>
          <w:u w:val="single"/>
          <w:lang w:val="en-US" w:eastAsia="zh-CN"/>
        </w:rPr>
        <w:t>12</w:t>
      </w:r>
      <w:r>
        <w:rPr>
          <w:rFonts w:hint="eastAsia" w:ascii="黑体" w:hAnsi="黑体" w:eastAsia="黑体" w:cs="黑体"/>
          <w:color w:val="auto"/>
          <w:szCs w:val="21"/>
          <w:highlight w:val="none"/>
          <w:u w:val="single"/>
        </w:rPr>
        <w:t>月</w:t>
      </w:r>
      <w:r>
        <w:rPr>
          <w:rFonts w:hint="eastAsia" w:ascii="黑体" w:hAnsi="黑体" w:eastAsia="黑体" w:cs="黑体"/>
          <w:color w:val="auto"/>
          <w:szCs w:val="21"/>
          <w:highlight w:val="none"/>
          <w:u w:val="single"/>
          <w:lang w:val="en-US" w:eastAsia="zh-CN"/>
        </w:rPr>
        <w:t>29</w:t>
      </w:r>
      <w:r>
        <w:rPr>
          <w:rFonts w:hint="eastAsia" w:ascii="黑体" w:hAnsi="黑体" w:eastAsia="黑体" w:cs="黑体"/>
          <w:color w:val="auto"/>
          <w:szCs w:val="21"/>
          <w:highlight w:val="none"/>
          <w:u w:val="single"/>
        </w:rPr>
        <w:t>日</w:t>
      </w:r>
      <w:r>
        <w:rPr>
          <w:rFonts w:hint="eastAsia" w:ascii="黑体" w:hAnsi="黑体" w:eastAsia="黑体" w:cs="黑体"/>
          <w:color w:val="auto"/>
          <w:szCs w:val="21"/>
          <w:highlight w:val="none"/>
        </w:rPr>
        <w:t>至</w:t>
      </w:r>
      <w:r>
        <w:rPr>
          <w:rFonts w:hint="eastAsia" w:ascii="黑体" w:hAnsi="黑体" w:eastAsia="黑体" w:cs="黑体"/>
          <w:color w:val="auto"/>
          <w:szCs w:val="21"/>
          <w:highlight w:val="none"/>
          <w:u w:val="single"/>
          <w:lang w:val="en-US" w:eastAsia="zh-CN"/>
        </w:rPr>
        <w:t>2026</w:t>
      </w:r>
      <w:r>
        <w:rPr>
          <w:rFonts w:hint="eastAsia" w:ascii="黑体" w:hAnsi="黑体" w:eastAsia="黑体" w:cs="黑体"/>
          <w:color w:val="auto"/>
          <w:szCs w:val="21"/>
          <w:highlight w:val="none"/>
          <w:u w:val="single"/>
        </w:rPr>
        <w:t>年</w:t>
      </w:r>
      <w:r>
        <w:rPr>
          <w:rFonts w:hint="eastAsia" w:ascii="黑体" w:hAnsi="黑体" w:eastAsia="黑体" w:cs="黑体"/>
          <w:color w:val="auto"/>
          <w:szCs w:val="21"/>
          <w:highlight w:val="none"/>
          <w:u w:val="single"/>
          <w:lang w:val="en-US" w:eastAsia="zh-CN"/>
        </w:rPr>
        <w:t>1</w:t>
      </w:r>
      <w:r>
        <w:rPr>
          <w:rFonts w:hint="eastAsia" w:ascii="黑体" w:hAnsi="黑体" w:eastAsia="黑体" w:cs="黑体"/>
          <w:color w:val="auto"/>
          <w:szCs w:val="21"/>
          <w:highlight w:val="none"/>
          <w:u w:val="single"/>
        </w:rPr>
        <w:t>月</w:t>
      </w:r>
      <w:r>
        <w:rPr>
          <w:rFonts w:hint="eastAsia" w:ascii="黑体" w:hAnsi="黑体" w:eastAsia="黑体" w:cs="黑体"/>
          <w:color w:val="auto"/>
          <w:szCs w:val="21"/>
          <w:highlight w:val="none"/>
          <w:u w:val="single"/>
          <w:lang w:val="en-US" w:eastAsia="zh-CN"/>
        </w:rPr>
        <w:t>6</w:t>
      </w:r>
      <w:r>
        <w:rPr>
          <w:rFonts w:hint="eastAsia" w:ascii="黑体" w:hAnsi="黑体" w:eastAsia="黑体" w:cs="黑体"/>
          <w:color w:val="auto"/>
          <w:szCs w:val="21"/>
          <w:highlight w:val="none"/>
          <w:u w:val="single"/>
        </w:rPr>
        <w:t>日</w:t>
      </w:r>
      <w:r>
        <w:rPr>
          <w:rFonts w:hint="eastAsia" w:ascii="黑体" w:hAnsi="黑体" w:eastAsia="黑体" w:cs="黑体"/>
          <w:iCs/>
          <w:color w:val="auto"/>
          <w:szCs w:val="21"/>
          <w:highlight w:val="none"/>
          <w:u w:val="single"/>
        </w:rPr>
        <w:t>（</w:t>
      </w:r>
      <w:r>
        <w:rPr>
          <w:rFonts w:hint="eastAsia" w:ascii="黑体" w:hAnsi="黑体" w:eastAsia="黑体" w:cs="黑体"/>
          <w:color w:val="auto"/>
          <w:szCs w:val="21"/>
          <w:highlight w:val="none"/>
          <w:u w:val="single"/>
        </w:rPr>
        <w:t>提供期限自本公告发布之日起不得少于5个工作日</w:t>
      </w:r>
      <w:r>
        <w:rPr>
          <w:rFonts w:hint="eastAsia" w:ascii="黑体" w:hAnsi="黑体" w:eastAsia="黑体" w:cs="黑体"/>
          <w:iCs/>
          <w:color w:val="auto"/>
          <w:szCs w:val="21"/>
          <w:highlight w:val="none"/>
          <w:u w:val="single"/>
        </w:rPr>
        <w:t>）</w:t>
      </w:r>
      <w:r>
        <w:rPr>
          <w:rFonts w:hint="eastAsia" w:ascii="黑体" w:hAnsi="黑体" w:eastAsia="黑体" w:cs="黑体"/>
          <w:color w:val="auto"/>
          <w:szCs w:val="21"/>
          <w:highlight w:val="none"/>
        </w:rPr>
        <w:t>，每天上午9：00至 12：00，下午2：30至5：30（北京时间，法定节假日除外）</w:t>
      </w:r>
    </w:p>
    <w:p w14:paraId="00331EC1">
      <w:pPr>
        <w:pStyle w:val="29"/>
        <w:spacing w:line="360" w:lineRule="auto"/>
        <w:ind w:left="420" w:firstLine="4" w:firstLineChars="2"/>
        <w:rPr>
          <w:rFonts w:hint="eastAsia" w:ascii="黑体" w:hAnsi="黑体" w:eastAsia="黑体" w:cs="黑体"/>
          <w:color w:val="auto"/>
          <w:szCs w:val="21"/>
          <w:highlight w:val="none"/>
        </w:rPr>
      </w:pPr>
      <w:r>
        <w:rPr>
          <w:rFonts w:hint="eastAsia" w:ascii="黑体" w:hAnsi="黑体" w:eastAsia="黑体" w:cs="黑体"/>
          <w:color w:val="auto"/>
          <w:szCs w:val="21"/>
          <w:highlight w:val="none"/>
        </w:rPr>
        <w:t>地点：到东莞市东城街道新源路海德琥珀台6栋1703室（有德招标）进行获取或使用微信扫描二维码进行获取（二维码详见招标文件温馨提示）或微信搜索公众号“有德招标东莞分公司”进行获取。</w:t>
      </w:r>
    </w:p>
    <w:p w14:paraId="442F7BA0">
      <w:pPr>
        <w:pStyle w:val="29"/>
        <w:spacing w:line="360" w:lineRule="auto"/>
        <w:ind w:left="420" w:firstLine="0" w:firstLineChars="0"/>
        <w:rPr>
          <w:rFonts w:hint="eastAsia" w:ascii="黑体" w:hAnsi="黑体" w:eastAsia="黑体" w:cs="黑体"/>
          <w:color w:val="auto"/>
          <w:szCs w:val="21"/>
          <w:highlight w:val="none"/>
          <w:u w:val="single"/>
        </w:rPr>
      </w:pPr>
      <w:r>
        <w:rPr>
          <w:rFonts w:hint="eastAsia" w:ascii="黑体" w:hAnsi="黑体" w:eastAsia="黑体" w:cs="黑体"/>
          <w:color w:val="auto"/>
          <w:szCs w:val="21"/>
          <w:highlight w:val="none"/>
        </w:rPr>
        <w:t>方式：现场或线上获取</w:t>
      </w:r>
    </w:p>
    <w:p w14:paraId="6CA674BA">
      <w:pPr>
        <w:pStyle w:val="29"/>
        <w:spacing w:line="360" w:lineRule="auto"/>
        <w:ind w:left="420" w:firstLine="0"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售价：￥</w:t>
      </w:r>
      <w:r>
        <w:rPr>
          <w:rFonts w:hint="eastAsia" w:ascii="黑体" w:hAnsi="黑体" w:eastAsia="黑体" w:cs="黑体"/>
          <w:color w:val="auto"/>
          <w:szCs w:val="21"/>
          <w:highlight w:val="none"/>
          <w:lang w:val="en-US" w:eastAsia="zh-CN"/>
        </w:rPr>
        <w:t>200</w:t>
      </w:r>
      <w:r>
        <w:rPr>
          <w:rFonts w:hint="eastAsia" w:ascii="黑体" w:hAnsi="黑体" w:eastAsia="黑体" w:cs="黑体"/>
          <w:color w:val="auto"/>
          <w:szCs w:val="21"/>
          <w:highlight w:val="none"/>
        </w:rPr>
        <w:t>元</w:t>
      </w:r>
    </w:p>
    <w:bookmarkEnd w:id="9"/>
    <w:p w14:paraId="48D8F65C">
      <w:pPr>
        <w:pStyle w:val="29"/>
        <w:numPr>
          <w:ilvl w:val="0"/>
          <w:numId w:val="2"/>
        </w:numPr>
        <w:tabs>
          <w:tab w:val="left" w:pos="426"/>
        </w:tabs>
        <w:spacing w:line="360" w:lineRule="auto"/>
        <w:ind w:left="0" w:firstLine="0" w:firstLineChars="0"/>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提交投标文件截止时间、开标时间和地点</w:t>
      </w:r>
    </w:p>
    <w:p w14:paraId="46700BC0">
      <w:pPr>
        <w:tabs>
          <w:tab w:val="left" w:pos="284"/>
          <w:tab w:val="left" w:pos="426"/>
        </w:tabs>
        <w:spacing w:line="360" w:lineRule="auto"/>
        <w:ind w:left="420" w:hanging="420" w:hanging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 xml:space="preserve">    </w:t>
      </w:r>
      <w:r>
        <w:rPr>
          <w:rFonts w:hint="eastAsia" w:ascii="黑体" w:hAnsi="黑体" w:eastAsia="黑体" w:cs="黑体"/>
          <w:color w:val="auto"/>
          <w:szCs w:val="21"/>
          <w:highlight w:val="none"/>
          <w:u w:val="single"/>
          <w:lang w:val="en-US" w:eastAsia="zh-CN"/>
        </w:rPr>
        <w:t>2026</w:t>
      </w:r>
      <w:r>
        <w:rPr>
          <w:rFonts w:hint="eastAsia" w:ascii="黑体" w:hAnsi="黑体" w:eastAsia="黑体" w:cs="黑体"/>
          <w:color w:val="auto"/>
          <w:szCs w:val="21"/>
          <w:highlight w:val="none"/>
          <w:u w:val="single"/>
        </w:rPr>
        <w:t>年</w:t>
      </w:r>
      <w:r>
        <w:rPr>
          <w:rFonts w:hint="eastAsia" w:ascii="黑体" w:hAnsi="黑体" w:eastAsia="黑体" w:cs="黑体"/>
          <w:color w:val="auto"/>
          <w:szCs w:val="21"/>
          <w:highlight w:val="none"/>
          <w:u w:val="single"/>
          <w:lang w:val="en-US" w:eastAsia="zh-CN"/>
        </w:rPr>
        <w:t>1</w:t>
      </w:r>
      <w:r>
        <w:rPr>
          <w:rFonts w:hint="eastAsia" w:ascii="黑体" w:hAnsi="黑体" w:eastAsia="黑体" w:cs="黑体"/>
          <w:color w:val="auto"/>
          <w:szCs w:val="21"/>
          <w:highlight w:val="none"/>
          <w:u w:val="single"/>
        </w:rPr>
        <w:t>月</w:t>
      </w:r>
      <w:r>
        <w:rPr>
          <w:rFonts w:hint="eastAsia" w:ascii="黑体" w:hAnsi="黑体" w:eastAsia="黑体" w:cs="黑体"/>
          <w:color w:val="auto"/>
          <w:szCs w:val="21"/>
          <w:highlight w:val="none"/>
          <w:u w:val="single"/>
          <w:lang w:val="en-US" w:eastAsia="zh-CN"/>
        </w:rPr>
        <w:t>19</w:t>
      </w:r>
      <w:r>
        <w:rPr>
          <w:rFonts w:hint="eastAsia" w:ascii="黑体" w:hAnsi="黑体" w:eastAsia="黑体" w:cs="黑体"/>
          <w:color w:val="auto"/>
          <w:szCs w:val="21"/>
          <w:highlight w:val="none"/>
          <w:u w:val="single"/>
        </w:rPr>
        <w:t>日</w:t>
      </w:r>
      <w:r>
        <w:rPr>
          <w:rFonts w:hint="eastAsia" w:ascii="黑体" w:hAnsi="黑体" w:eastAsia="黑体" w:cs="黑体"/>
          <w:color w:val="auto"/>
          <w:szCs w:val="21"/>
          <w:highlight w:val="none"/>
          <w:u w:val="single"/>
          <w:lang w:val="en-US" w:eastAsia="zh-CN"/>
        </w:rPr>
        <w:t>14</w:t>
      </w:r>
      <w:r>
        <w:rPr>
          <w:rFonts w:hint="eastAsia" w:ascii="黑体" w:hAnsi="黑体" w:eastAsia="黑体" w:cs="黑体"/>
          <w:color w:val="auto"/>
          <w:szCs w:val="21"/>
          <w:highlight w:val="none"/>
          <w:u w:val="single"/>
        </w:rPr>
        <w:t>点</w:t>
      </w:r>
      <w:r>
        <w:rPr>
          <w:rFonts w:hint="eastAsia" w:ascii="黑体" w:hAnsi="黑体" w:eastAsia="黑体" w:cs="黑体"/>
          <w:color w:val="auto"/>
          <w:szCs w:val="21"/>
          <w:highlight w:val="none"/>
          <w:u w:val="single"/>
          <w:lang w:val="en-US" w:eastAsia="zh-CN"/>
        </w:rPr>
        <w:t>30</w:t>
      </w:r>
      <w:r>
        <w:rPr>
          <w:rFonts w:hint="eastAsia" w:ascii="黑体" w:hAnsi="黑体" w:eastAsia="黑体" w:cs="黑体"/>
          <w:color w:val="auto"/>
          <w:szCs w:val="21"/>
          <w:highlight w:val="none"/>
          <w:u w:val="single"/>
        </w:rPr>
        <w:t>分</w:t>
      </w:r>
      <w:r>
        <w:rPr>
          <w:rFonts w:hint="eastAsia" w:ascii="黑体" w:hAnsi="黑体" w:eastAsia="黑体" w:cs="黑体"/>
          <w:color w:val="auto"/>
          <w:szCs w:val="21"/>
          <w:highlight w:val="none"/>
        </w:rPr>
        <w:t>（北京时间）（自招标文件开始发出之日起至投标人提交投标文件截止之日止，不得少于20日）</w:t>
      </w:r>
    </w:p>
    <w:p w14:paraId="537FA6E8">
      <w:pPr>
        <w:pStyle w:val="29"/>
        <w:tabs>
          <w:tab w:val="left" w:pos="426"/>
        </w:tabs>
        <w:spacing w:line="360" w:lineRule="auto"/>
        <w:ind w:left="420" w:firstLine="0"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地点：</w:t>
      </w:r>
      <w:r>
        <w:rPr>
          <w:rFonts w:hint="eastAsia" w:ascii="黑体" w:hAnsi="黑体" w:eastAsia="黑体" w:cs="黑体"/>
          <w:color w:val="auto"/>
          <w:highlight w:val="none"/>
        </w:rPr>
        <w:t>东莞市东城街道新源路海德琥珀台6栋1703室</w:t>
      </w:r>
    </w:p>
    <w:p w14:paraId="6332EA2C">
      <w:pPr>
        <w:pStyle w:val="29"/>
        <w:numPr>
          <w:ilvl w:val="0"/>
          <w:numId w:val="2"/>
        </w:numPr>
        <w:tabs>
          <w:tab w:val="left" w:pos="426"/>
        </w:tabs>
        <w:spacing w:line="360" w:lineRule="auto"/>
        <w:ind w:left="-2" w:leftChars="-1" w:firstLine="1" w:firstLineChars="0"/>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公告期限</w:t>
      </w:r>
    </w:p>
    <w:p w14:paraId="334E764C">
      <w:pPr>
        <w:pStyle w:val="29"/>
        <w:tabs>
          <w:tab w:val="left" w:pos="426"/>
        </w:tabs>
        <w:spacing w:line="360" w:lineRule="auto"/>
        <w:ind w:left="420" w:firstLine="0"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自本公告发布之日起5个工作日。</w:t>
      </w:r>
    </w:p>
    <w:p w14:paraId="641D130E">
      <w:pPr>
        <w:pStyle w:val="29"/>
        <w:numPr>
          <w:ilvl w:val="0"/>
          <w:numId w:val="2"/>
        </w:numPr>
        <w:tabs>
          <w:tab w:val="left" w:pos="426"/>
        </w:tabs>
        <w:spacing w:line="360" w:lineRule="auto"/>
        <w:ind w:firstLineChars="0"/>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其他补充事宜</w:t>
      </w:r>
    </w:p>
    <w:p w14:paraId="764178EC">
      <w:pPr>
        <w:pStyle w:val="29"/>
        <w:numPr>
          <w:ilvl w:val="0"/>
          <w:numId w:val="5"/>
        </w:numPr>
        <w:tabs>
          <w:tab w:val="left" w:pos="709"/>
        </w:tabs>
        <w:spacing w:line="360" w:lineRule="auto"/>
        <w:ind w:firstLineChars="0"/>
        <w:rPr>
          <w:rFonts w:hint="eastAsia" w:ascii="黑体" w:hAnsi="黑体" w:eastAsia="黑体" w:cs="黑体"/>
          <w:bCs/>
          <w:color w:val="auto"/>
          <w:szCs w:val="21"/>
          <w:highlight w:val="none"/>
        </w:rPr>
      </w:pPr>
      <w:bookmarkStart w:id="10" w:name="_Hlk90919351"/>
      <w:r>
        <w:rPr>
          <w:rFonts w:hint="eastAsia" w:ascii="黑体" w:hAnsi="黑体" w:eastAsia="黑体" w:cs="黑体"/>
          <w:bCs/>
          <w:color w:val="auto"/>
          <w:szCs w:val="21"/>
          <w:highlight w:val="none"/>
        </w:rPr>
        <w:t>需要落实的政府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市场监管总局关于调整优化节能产品、环境标志产品政府采购执行机制的通知》（财库〔2019〕9号）、《关于印发〈商品包装政府采购需求标准（试行）〉、〈快递包装政府采购需求标准（试行）〉的通知》等。</w:t>
      </w:r>
    </w:p>
    <w:p w14:paraId="48C8EAFF">
      <w:pPr>
        <w:pStyle w:val="29"/>
        <w:numPr>
          <w:ilvl w:val="0"/>
          <w:numId w:val="5"/>
        </w:numPr>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本项目采购标的所属行业为</w:t>
      </w:r>
      <w:r>
        <w:rPr>
          <w:rFonts w:hint="eastAsia" w:ascii="黑体" w:hAnsi="黑体" w:eastAsia="黑体" w:cs="黑体"/>
          <w:bCs/>
          <w:color w:val="auto"/>
          <w:szCs w:val="21"/>
          <w:highlight w:val="none"/>
          <w:u w:val="single"/>
        </w:rPr>
        <w:t xml:space="preserve"> </w:t>
      </w:r>
      <w:r>
        <w:rPr>
          <w:rFonts w:hint="eastAsia" w:ascii="黑体" w:hAnsi="黑体" w:eastAsia="黑体" w:cs="黑体"/>
          <w:bCs/>
          <w:color w:val="auto"/>
          <w:szCs w:val="21"/>
          <w:highlight w:val="none"/>
          <w:u w:val="single"/>
          <w:lang w:val="en-US" w:eastAsia="zh-CN"/>
        </w:rPr>
        <w:t>工业</w:t>
      </w:r>
      <w:r>
        <w:rPr>
          <w:rFonts w:hint="eastAsia" w:ascii="黑体" w:hAnsi="黑体" w:eastAsia="黑体" w:cs="黑体"/>
          <w:bCs/>
          <w:color w:val="auto"/>
          <w:szCs w:val="21"/>
          <w:highlight w:val="none"/>
          <w:u w:val="single"/>
        </w:rPr>
        <w:t xml:space="preserve"> </w:t>
      </w:r>
      <w:r>
        <w:rPr>
          <w:rFonts w:hint="eastAsia" w:ascii="黑体" w:hAnsi="黑体" w:eastAsia="黑体" w:cs="黑体"/>
          <w:bCs/>
          <w:color w:val="auto"/>
          <w:szCs w:val="21"/>
          <w:highlight w:val="none"/>
        </w:rPr>
        <w:t>。</w:t>
      </w:r>
    </w:p>
    <w:p w14:paraId="1A968624">
      <w:pPr>
        <w:pStyle w:val="29"/>
        <w:numPr>
          <w:ilvl w:val="0"/>
          <w:numId w:val="5"/>
        </w:numPr>
        <w:tabs>
          <w:tab w:val="left" w:pos="709"/>
        </w:tabs>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招标文件公示/下载媒体</w:t>
      </w:r>
    </w:p>
    <w:p w14:paraId="5DC1B022">
      <w:pPr>
        <w:pStyle w:val="29"/>
        <w:tabs>
          <w:tab w:val="left" w:pos="709"/>
        </w:tabs>
        <w:spacing w:line="360" w:lineRule="auto"/>
        <w:ind w:left="420" w:firstLine="0" w:firstLineChars="0"/>
        <w:rPr>
          <w:rFonts w:hint="eastAsia" w:ascii="黑体" w:hAnsi="黑体" w:eastAsia="黑体" w:cs="黑体"/>
          <w:bCs/>
          <w:color w:val="auto"/>
          <w:szCs w:val="21"/>
          <w:highlight w:val="none"/>
        </w:rPr>
      </w:pPr>
      <w:r>
        <w:rPr>
          <w:rFonts w:hint="eastAsia" w:ascii="黑体" w:hAnsi="黑体" w:eastAsia="黑体" w:cs="黑体"/>
          <w:color w:val="auto"/>
          <w:spacing w:val="-4"/>
          <w:szCs w:val="21"/>
          <w:highlight w:val="none"/>
        </w:rPr>
        <w:t>中国采购与招标网（</w:t>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"http://www.chinabidding.com.cn/" </w:instrText>
      </w:r>
      <w:r>
        <w:rPr>
          <w:rFonts w:hint="eastAsia" w:ascii="黑体" w:hAnsi="黑体" w:eastAsia="黑体" w:cs="黑体"/>
          <w:color w:val="auto"/>
          <w:highlight w:val="none"/>
        </w:rPr>
        <w:fldChar w:fldCharType="separate"/>
      </w:r>
      <w:r>
        <w:rPr>
          <w:rStyle w:val="25"/>
          <w:rFonts w:hint="eastAsia" w:ascii="黑体" w:hAnsi="黑体" w:eastAsia="黑体" w:cs="黑体"/>
          <w:color w:val="auto"/>
          <w:highlight w:val="none"/>
        </w:rPr>
        <w:t>http://www.chinabidding.com.cn/</w:t>
      </w:r>
      <w:r>
        <w:rPr>
          <w:rStyle w:val="25"/>
          <w:rFonts w:hint="eastAsia" w:ascii="黑体" w:hAnsi="黑体" w:eastAsia="黑体" w:cs="黑体"/>
          <w:color w:val="auto"/>
          <w:highlight w:val="none"/>
        </w:rPr>
        <w:fldChar w:fldCharType="end"/>
      </w:r>
      <w:r>
        <w:rPr>
          <w:rFonts w:hint="eastAsia" w:ascii="黑体" w:hAnsi="黑体" w:eastAsia="黑体" w:cs="黑体"/>
          <w:color w:val="auto"/>
          <w:highlight w:val="none"/>
        </w:rPr>
        <w:t>）、</w:t>
      </w:r>
      <w:r>
        <w:rPr>
          <w:rFonts w:hint="eastAsia" w:ascii="黑体" w:hAnsi="黑体" w:eastAsia="黑体" w:cs="黑体"/>
          <w:bCs/>
          <w:color w:val="auto"/>
          <w:szCs w:val="21"/>
          <w:highlight w:val="none"/>
        </w:rPr>
        <w:t>广东有德招标采购有限公司网站</w:t>
      </w:r>
      <w:r>
        <w:rPr>
          <w:rFonts w:hint="eastAsia" w:ascii="黑体" w:hAnsi="黑体" w:eastAsia="黑体" w:cs="黑体"/>
          <w:bCs/>
          <w:color w:val="auto"/>
          <w:szCs w:val="21"/>
          <w:highlight w:val="none"/>
          <w:u w:val="single"/>
        </w:rPr>
        <w:t>(http://www.youde.net/)</w:t>
      </w:r>
    </w:p>
    <w:p w14:paraId="59704373">
      <w:pPr>
        <w:pStyle w:val="29"/>
        <w:numPr>
          <w:ilvl w:val="0"/>
          <w:numId w:val="5"/>
        </w:numPr>
        <w:tabs>
          <w:tab w:val="left" w:pos="709"/>
        </w:tabs>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拟参加本项目的潜在投标人须在规定时间内按要求获取招标文件后方可参与本项目的投标。获取招标文件后而不参加投标的潜在投标人，请在开标日期三日前以书面形式通知采购代理机构。</w:t>
      </w:r>
    </w:p>
    <w:p w14:paraId="42D88664">
      <w:pPr>
        <w:pStyle w:val="29"/>
        <w:numPr>
          <w:ilvl w:val="0"/>
          <w:numId w:val="5"/>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 xml:space="preserve">获取招标文件联系人及联系方式：范小姐（0769）23362836 </w:t>
      </w:r>
      <w:bookmarkStart w:id="11" w:name="_Hlk90986682"/>
      <w:r>
        <w:rPr>
          <w:rFonts w:hint="eastAsia" w:ascii="黑体" w:hAnsi="黑体" w:eastAsia="黑体" w:cs="黑体"/>
          <w:bCs/>
          <w:color w:val="auto"/>
          <w:szCs w:val="21"/>
          <w:highlight w:val="none"/>
        </w:rPr>
        <w:t>邮箱：</w:t>
      </w:r>
      <w:r>
        <w:rPr>
          <w:rFonts w:hint="eastAsia" w:ascii="黑体" w:hAnsi="黑体" w:eastAsia="黑体" w:cs="黑体"/>
          <w:color w:val="auto"/>
          <w:highlight w:val="none"/>
        </w:rPr>
        <w:t>youdedg@163.com</w:t>
      </w:r>
      <w:r>
        <w:rPr>
          <w:rFonts w:hint="eastAsia" w:ascii="黑体" w:hAnsi="黑体" w:eastAsia="黑体" w:cs="黑体"/>
          <w:bCs/>
          <w:color w:val="auto"/>
          <w:szCs w:val="21"/>
          <w:highlight w:val="none"/>
        </w:rPr>
        <w:t>。</w:t>
      </w:r>
      <w:bookmarkEnd w:id="11"/>
    </w:p>
    <w:bookmarkEnd w:id="10"/>
    <w:p w14:paraId="07A88E96">
      <w:pPr>
        <w:pStyle w:val="29"/>
        <w:numPr>
          <w:ilvl w:val="0"/>
          <w:numId w:val="2"/>
        </w:numPr>
        <w:tabs>
          <w:tab w:val="left" w:pos="567"/>
        </w:tabs>
        <w:spacing w:before="156" w:beforeLines="50" w:line="360" w:lineRule="auto"/>
        <w:ind w:firstLineChars="0"/>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对本次招标提出询问，请按以下方式联系。</w:t>
      </w:r>
    </w:p>
    <w:p w14:paraId="6872C551">
      <w:pPr>
        <w:pStyle w:val="29"/>
        <w:numPr>
          <w:ilvl w:val="0"/>
          <w:numId w:val="6"/>
        </w:numPr>
        <w:tabs>
          <w:tab w:val="left" w:pos="567"/>
        </w:tabs>
        <w:spacing w:line="360" w:lineRule="auto"/>
        <w:ind w:firstLineChars="0"/>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采购人信息</w:t>
      </w:r>
    </w:p>
    <w:p w14:paraId="16089071">
      <w:pPr>
        <w:tabs>
          <w:tab w:val="left" w:pos="567"/>
        </w:tabs>
        <w:spacing w:line="360" w:lineRule="auto"/>
        <w:ind w:left="424" w:leftChars="202"/>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名</w:t>
      </w:r>
      <w:r>
        <w:rPr>
          <w:rFonts w:hint="eastAsia" w:ascii="黑体" w:hAnsi="黑体" w:eastAsia="黑体" w:cs="黑体"/>
          <w:bCs/>
          <w:color w:val="auto"/>
          <w:szCs w:val="21"/>
          <w:highlight w:val="none"/>
          <w:lang w:val="en-US" w:eastAsia="zh-CN"/>
        </w:rPr>
        <w:t xml:space="preserve">  </w:t>
      </w:r>
      <w:r>
        <w:rPr>
          <w:rFonts w:hint="eastAsia" w:ascii="黑体" w:hAnsi="黑体" w:eastAsia="黑体" w:cs="黑体"/>
          <w:bCs/>
          <w:color w:val="auto"/>
          <w:szCs w:val="21"/>
          <w:highlight w:val="none"/>
        </w:rPr>
        <w:t>称：</w:t>
      </w:r>
      <w:r>
        <w:rPr>
          <w:rFonts w:hint="eastAsia" w:ascii="黑体" w:hAnsi="黑体" w:eastAsia="黑体" w:cs="黑体"/>
          <w:bCs/>
          <w:color w:val="auto"/>
          <w:highlight w:val="none"/>
        </w:rPr>
        <w:t>东莞市中医院</w:t>
      </w:r>
    </w:p>
    <w:p w14:paraId="6199F49F">
      <w:pPr>
        <w:tabs>
          <w:tab w:val="left" w:pos="567"/>
        </w:tabs>
        <w:spacing w:line="360" w:lineRule="auto"/>
        <w:ind w:left="424" w:leftChars="202"/>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地</w:t>
      </w:r>
      <w:r>
        <w:rPr>
          <w:rFonts w:hint="eastAsia" w:ascii="黑体" w:hAnsi="黑体" w:eastAsia="黑体" w:cs="黑体"/>
          <w:bCs/>
          <w:color w:val="auto"/>
          <w:szCs w:val="21"/>
          <w:highlight w:val="none"/>
          <w:lang w:val="en-US" w:eastAsia="zh-CN"/>
        </w:rPr>
        <w:t xml:space="preserve">  </w:t>
      </w:r>
      <w:r>
        <w:rPr>
          <w:rFonts w:hint="eastAsia" w:ascii="黑体" w:hAnsi="黑体" w:eastAsia="黑体" w:cs="黑体"/>
          <w:bCs/>
          <w:color w:val="auto"/>
          <w:szCs w:val="21"/>
          <w:highlight w:val="none"/>
        </w:rPr>
        <w:t>址：</w:t>
      </w:r>
      <w:r>
        <w:rPr>
          <w:rFonts w:hint="eastAsia" w:ascii="黑体" w:hAnsi="黑体" w:eastAsia="黑体" w:cs="黑体"/>
          <w:bCs/>
          <w:color w:val="auto"/>
          <w:highlight w:val="none"/>
        </w:rPr>
        <w:t>东莞市东城街道松山湖大道东城段3号</w:t>
      </w:r>
    </w:p>
    <w:p w14:paraId="6A4A7317">
      <w:pPr>
        <w:tabs>
          <w:tab w:val="left" w:pos="567"/>
        </w:tabs>
        <w:spacing w:line="360" w:lineRule="auto"/>
        <w:ind w:left="424" w:leftChars="202"/>
        <w:rPr>
          <w:rFonts w:hint="eastAsia" w:ascii="黑体" w:hAnsi="黑体" w:eastAsia="黑体" w:cs="黑体"/>
          <w:b/>
          <w:color w:val="auto"/>
          <w:szCs w:val="21"/>
          <w:highlight w:val="none"/>
          <w:lang w:val="en-US" w:eastAsia="zh-CN"/>
        </w:rPr>
      </w:pPr>
      <w:r>
        <w:rPr>
          <w:rFonts w:hint="eastAsia" w:ascii="黑体" w:hAnsi="黑体" w:eastAsia="黑体" w:cs="黑体"/>
          <w:bCs/>
          <w:color w:val="auto"/>
          <w:szCs w:val="21"/>
          <w:highlight w:val="none"/>
        </w:rPr>
        <w:t>联系方式：</w:t>
      </w:r>
      <w:r>
        <w:rPr>
          <w:rFonts w:hint="eastAsia" w:ascii="黑体" w:hAnsi="黑体" w:eastAsia="黑体" w:cs="黑体"/>
          <w:color w:val="auto"/>
          <w:highlight w:val="none"/>
        </w:rPr>
        <w:t>（0769）</w:t>
      </w:r>
      <w:r>
        <w:rPr>
          <w:rFonts w:hint="eastAsia" w:ascii="黑体" w:hAnsi="黑体" w:eastAsia="黑体" w:cs="黑体"/>
          <w:color w:val="auto"/>
          <w:highlight w:val="none"/>
          <w:lang w:val="en-US" w:eastAsia="zh-CN"/>
        </w:rPr>
        <w:t>26385133</w:t>
      </w:r>
    </w:p>
    <w:p w14:paraId="452E38CF">
      <w:pPr>
        <w:pStyle w:val="29"/>
        <w:numPr>
          <w:ilvl w:val="0"/>
          <w:numId w:val="6"/>
        </w:numPr>
        <w:tabs>
          <w:tab w:val="left" w:pos="567"/>
        </w:tabs>
        <w:spacing w:line="360" w:lineRule="auto"/>
        <w:ind w:firstLineChars="0"/>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采购代理机构信息</w:t>
      </w:r>
    </w:p>
    <w:p w14:paraId="194635EB">
      <w:pPr>
        <w:tabs>
          <w:tab w:val="left" w:pos="567"/>
        </w:tabs>
        <w:spacing w:line="360" w:lineRule="auto"/>
        <w:ind w:left="424" w:leftChars="202"/>
        <w:rPr>
          <w:rFonts w:hint="eastAsia" w:ascii="黑体" w:hAnsi="黑体" w:eastAsia="黑体" w:cs="黑体"/>
          <w:bCs/>
          <w:color w:val="auto"/>
          <w:szCs w:val="21"/>
          <w:highlight w:val="none"/>
        </w:rPr>
      </w:pPr>
      <w:bookmarkStart w:id="12" w:name="_Hlk90986307"/>
      <w:r>
        <w:rPr>
          <w:rFonts w:hint="eastAsia" w:ascii="黑体" w:hAnsi="黑体" w:eastAsia="黑体" w:cs="黑体"/>
          <w:bCs/>
          <w:color w:val="auto"/>
          <w:szCs w:val="21"/>
          <w:highlight w:val="none"/>
        </w:rPr>
        <w:t>名  称：</w:t>
      </w:r>
      <w:bookmarkStart w:id="13" w:name="_Hlk58184619"/>
      <w:r>
        <w:rPr>
          <w:rFonts w:hint="eastAsia" w:ascii="黑体" w:hAnsi="黑体" w:eastAsia="黑体" w:cs="黑体"/>
          <w:bCs/>
          <w:color w:val="auto"/>
          <w:szCs w:val="21"/>
          <w:highlight w:val="none"/>
        </w:rPr>
        <w:t>广东有德招标采购有限公司</w:t>
      </w:r>
      <w:bookmarkEnd w:id="13"/>
    </w:p>
    <w:p w14:paraId="358F2E3F">
      <w:pPr>
        <w:tabs>
          <w:tab w:val="left" w:pos="567"/>
        </w:tabs>
        <w:spacing w:line="360" w:lineRule="auto"/>
        <w:ind w:left="424" w:leftChars="202"/>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地</w:t>
      </w:r>
      <w:r>
        <w:rPr>
          <w:rFonts w:hint="eastAsia" w:ascii="黑体" w:hAnsi="黑体" w:eastAsia="黑体" w:cs="黑体"/>
          <w:bCs/>
          <w:color w:val="auto"/>
          <w:szCs w:val="21"/>
          <w:highlight w:val="none"/>
          <w:lang w:val="en-US" w:eastAsia="zh-CN"/>
        </w:rPr>
        <w:t xml:space="preserve">  </w:t>
      </w:r>
      <w:r>
        <w:rPr>
          <w:rFonts w:hint="eastAsia" w:ascii="黑体" w:hAnsi="黑体" w:eastAsia="黑体" w:cs="黑体"/>
          <w:bCs/>
          <w:color w:val="auto"/>
          <w:szCs w:val="21"/>
          <w:highlight w:val="none"/>
        </w:rPr>
        <w:t>址：</w:t>
      </w:r>
      <w:r>
        <w:rPr>
          <w:rFonts w:hint="eastAsia" w:ascii="黑体" w:hAnsi="黑体" w:eastAsia="黑体" w:cs="黑体"/>
          <w:color w:val="auto"/>
          <w:highlight w:val="none"/>
        </w:rPr>
        <w:t>东莞市东城街道新源路海德琥珀台6栋1703室</w:t>
      </w:r>
    </w:p>
    <w:p w14:paraId="50EDF15D">
      <w:pPr>
        <w:tabs>
          <w:tab w:val="left" w:pos="567"/>
        </w:tabs>
        <w:spacing w:line="360" w:lineRule="auto"/>
        <w:ind w:left="424" w:leftChars="202"/>
        <w:rPr>
          <w:rFonts w:hint="eastAsia" w:ascii="黑体" w:hAnsi="黑体" w:eastAsia="黑体" w:cs="黑体"/>
          <w:b/>
          <w:color w:val="auto"/>
          <w:szCs w:val="21"/>
          <w:highlight w:val="none"/>
        </w:rPr>
      </w:pPr>
      <w:r>
        <w:rPr>
          <w:rFonts w:hint="eastAsia" w:ascii="黑体" w:hAnsi="黑体" w:eastAsia="黑体" w:cs="黑体"/>
          <w:bCs/>
          <w:color w:val="auto"/>
          <w:szCs w:val="21"/>
          <w:highlight w:val="none"/>
        </w:rPr>
        <w:t>联系方式：</w:t>
      </w:r>
      <w:r>
        <w:rPr>
          <w:rFonts w:hint="eastAsia" w:ascii="黑体" w:hAnsi="黑体" w:eastAsia="黑体" w:cs="黑体"/>
          <w:color w:val="auto"/>
          <w:highlight w:val="none"/>
        </w:rPr>
        <w:t>（0769）23362836-8018</w:t>
      </w:r>
    </w:p>
    <w:bookmarkEnd w:id="12"/>
    <w:p w14:paraId="53516BC1">
      <w:pPr>
        <w:pStyle w:val="29"/>
        <w:numPr>
          <w:ilvl w:val="0"/>
          <w:numId w:val="6"/>
        </w:numPr>
        <w:tabs>
          <w:tab w:val="left" w:pos="567"/>
        </w:tabs>
        <w:spacing w:line="360" w:lineRule="auto"/>
        <w:ind w:firstLineChars="0"/>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项目联系方式</w:t>
      </w:r>
    </w:p>
    <w:p w14:paraId="759FA553">
      <w:pPr>
        <w:tabs>
          <w:tab w:val="left" w:pos="567"/>
        </w:tabs>
        <w:spacing w:line="360" w:lineRule="auto"/>
        <w:ind w:left="283" w:leftChars="135" w:firstLine="142" w:firstLineChars="68"/>
        <w:rPr>
          <w:rFonts w:hint="eastAsia" w:ascii="黑体" w:hAnsi="黑体" w:eastAsia="黑体" w:cs="黑体"/>
          <w:bCs/>
          <w:color w:val="auto"/>
          <w:szCs w:val="21"/>
          <w:highlight w:val="none"/>
          <w:lang w:eastAsia="zh-CN"/>
        </w:rPr>
      </w:pPr>
      <w:r>
        <w:rPr>
          <w:rFonts w:hint="eastAsia" w:ascii="黑体" w:hAnsi="黑体" w:eastAsia="黑体" w:cs="黑体"/>
          <w:bCs/>
          <w:color w:val="auto"/>
          <w:szCs w:val="21"/>
          <w:highlight w:val="none"/>
        </w:rPr>
        <w:t>项目联系人：</w:t>
      </w:r>
      <w:r>
        <w:rPr>
          <w:rFonts w:hint="eastAsia" w:ascii="黑体" w:hAnsi="黑体" w:eastAsia="黑体" w:cs="黑体"/>
          <w:bCs/>
          <w:color w:val="auto"/>
          <w:szCs w:val="21"/>
          <w:highlight w:val="none"/>
          <w:lang w:val="en-US" w:eastAsia="zh-CN"/>
        </w:rPr>
        <w:t>缪俊豪</w:t>
      </w:r>
    </w:p>
    <w:p w14:paraId="089655AB">
      <w:pPr>
        <w:tabs>
          <w:tab w:val="left" w:pos="567"/>
        </w:tabs>
        <w:spacing w:line="360" w:lineRule="auto"/>
        <w:ind w:left="283" w:leftChars="135" w:firstLine="142" w:firstLineChars="68"/>
        <w:rPr>
          <w:rFonts w:hint="eastAsia" w:ascii="黑体" w:hAnsi="黑体" w:eastAsia="黑体" w:cs="黑体"/>
          <w:b/>
          <w:color w:val="auto"/>
          <w:szCs w:val="21"/>
          <w:highlight w:val="none"/>
        </w:rPr>
      </w:pPr>
      <w:r>
        <w:rPr>
          <w:rFonts w:hint="eastAsia" w:ascii="黑体" w:hAnsi="黑体" w:eastAsia="黑体" w:cs="黑体"/>
          <w:bCs/>
          <w:color w:val="auto"/>
          <w:szCs w:val="21"/>
          <w:highlight w:val="none"/>
        </w:rPr>
        <w:t>电</w:t>
      </w:r>
      <w:r>
        <w:rPr>
          <w:rFonts w:hint="eastAsia" w:ascii="黑体" w:hAnsi="黑体" w:eastAsia="黑体" w:cs="黑体"/>
          <w:bCs/>
          <w:color w:val="auto"/>
          <w:szCs w:val="21"/>
          <w:highlight w:val="none"/>
          <w:lang w:val="en-US" w:eastAsia="zh-CN"/>
        </w:rPr>
        <w:t xml:space="preserve">  </w:t>
      </w:r>
      <w:r>
        <w:rPr>
          <w:rFonts w:hint="eastAsia" w:ascii="黑体" w:hAnsi="黑体" w:eastAsia="黑体" w:cs="黑体"/>
          <w:bCs/>
          <w:color w:val="auto"/>
          <w:szCs w:val="21"/>
          <w:highlight w:val="none"/>
        </w:rPr>
        <w:t>话：</w:t>
      </w:r>
      <w:r>
        <w:rPr>
          <w:rFonts w:hint="eastAsia" w:ascii="黑体" w:hAnsi="黑体" w:eastAsia="黑体" w:cs="黑体"/>
          <w:color w:val="auto"/>
          <w:highlight w:val="none"/>
        </w:rPr>
        <w:t>（0769）23362836-8018</w:t>
      </w:r>
    </w:p>
    <w:p w14:paraId="50C68540">
      <w:pPr>
        <w:tabs>
          <w:tab w:val="left" w:pos="567"/>
        </w:tabs>
        <w:spacing w:before="840" w:line="360" w:lineRule="auto"/>
        <w:jc w:val="right"/>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发布人：广东有德招标采购有限公司</w:t>
      </w:r>
    </w:p>
    <w:p w14:paraId="6AF2C4A2">
      <w:pPr>
        <w:tabs>
          <w:tab w:val="left" w:pos="567"/>
        </w:tabs>
        <w:spacing w:before="156" w:line="360" w:lineRule="auto"/>
        <w:jc w:val="right"/>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发布时间：</w:t>
      </w:r>
      <w:r>
        <w:rPr>
          <w:rFonts w:hint="eastAsia" w:ascii="黑体" w:hAnsi="黑体" w:eastAsia="黑体" w:cs="黑体"/>
          <w:b/>
          <w:color w:val="auto"/>
          <w:szCs w:val="21"/>
          <w:highlight w:val="none"/>
          <w:lang w:val="en-US" w:eastAsia="zh-CN"/>
        </w:rPr>
        <w:t>2025</w:t>
      </w:r>
      <w:r>
        <w:rPr>
          <w:rFonts w:hint="eastAsia" w:ascii="黑体" w:hAnsi="黑体" w:eastAsia="黑体" w:cs="黑体"/>
          <w:b/>
          <w:color w:val="auto"/>
          <w:szCs w:val="21"/>
          <w:highlight w:val="none"/>
        </w:rPr>
        <w:t>年</w:t>
      </w:r>
      <w:r>
        <w:rPr>
          <w:rFonts w:hint="eastAsia" w:ascii="黑体" w:hAnsi="黑体" w:eastAsia="黑体" w:cs="黑体"/>
          <w:b/>
          <w:color w:val="auto"/>
          <w:szCs w:val="21"/>
          <w:highlight w:val="none"/>
          <w:lang w:val="en-US" w:eastAsia="zh-CN"/>
        </w:rPr>
        <w:t>12</w:t>
      </w:r>
      <w:r>
        <w:rPr>
          <w:rFonts w:hint="eastAsia" w:ascii="黑体" w:hAnsi="黑体" w:eastAsia="黑体" w:cs="黑体"/>
          <w:b/>
          <w:color w:val="auto"/>
          <w:szCs w:val="21"/>
          <w:highlight w:val="none"/>
        </w:rPr>
        <w:t>月</w:t>
      </w:r>
      <w:r>
        <w:rPr>
          <w:rFonts w:hint="eastAsia" w:ascii="黑体" w:hAnsi="黑体" w:eastAsia="黑体" w:cs="黑体"/>
          <w:b/>
          <w:color w:val="auto"/>
          <w:szCs w:val="21"/>
          <w:highlight w:val="none"/>
          <w:lang w:val="en-US" w:eastAsia="zh-CN"/>
        </w:rPr>
        <w:t>29</w:t>
      </w:r>
      <w:r>
        <w:rPr>
          <w:rFonts w:hint="eastAsia" w:ascii="黑体" w:hAnsi="黑体" w:eastAsia="黑体" w:cs="黑体"/>
          <w:b/>
          <w:color w:val="auto"/>
          <w:szCs w:val="21"/>
          <w:highlight w:val="none"/>
        </w:rPr>
        <w:t>日</w:t>
      </w:r>
    </w:p>
    <w:bookmarkEnd w:id="110"/>
    <w:p w14:paraId="304ABE3B">
      <w:pPr>
        <w:pStyle w:val="2"/>
        <w:keepNext w:val="0"/>
        <w:keepLines w:val="0"/>
        <w:pageBreakBefore/>
        <w:spacing w:line="360" w:lineRule="auto"/>
        <w:jc w:val="center"/>
        <w:rPr>
          <w:rFonts w:hint="eastAsia" w:ascii="黑体" w:hAnsi="黑体" w:eastAsia="黑体" w:cs="黑体"/>
          <w:color w:val="auto"/>
          <w:highlight w:val="none"/>
        </w:rPr>
      </w:pPr>
      <w:bookmarkStart w:id="14" w:name="_Toc405313952"/>
      <w:bookmarkStart w:id="15" w:name="_Toc17952"/>
      <w:bookmarkStart w:id="16" w:name="_Hlk90986704"/>
      <w:r>
        <w:rPr>
          <w:rFonts w:hint="eastAsia" w:ascii="黑体" w:hAnsi="黑体" w:eastAsia="黑体" w:cs="黑体"/>
          <w:color w:val="auto"/>
          <w:spacing w:val="20"/>
          <w:sz w:val="32"/>
          <w:szCs w:val="32"/>
          <w:highlight w:val="none"/>
        </w:rPr>
        <w:t>第二部分 采购需求</w:t>
      </w:r>
      <w:bookmarkEnd w:id="14"/>
      <w:bookmarkEnd w:id="15"/>
      <w:bookmarkStart w:id="17" w:name="_Hlk90919605"/>
    </w:p>
    <w:p w14:paraId="0BA82ED5">
      <w:pPr>
        <w:spacing w:line="360" w:lineRule="auto"/>
        <w:contextualSpacing/>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说明：</w:t>
      </w:r>
    </w:p>
    <w:p w14:paraId="51BDE211">
      <w:pPr>
        <w:numPr>
          <w:ilvl w:val="0"/>
          <w:numId w:val="7"/>
        </w:num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采购需求中带“◆”符号的内容为采购的核心产品，投标人应在《分项报价表》中清晰列明“货物名称、品牌、规格型号、原产地、价格等”。</w:t>
      </w:r>
    </w:p>
    <w:p w14:paraId="32133203">
      <w:pPr>
        <w:numPr>
          <w:ilvl w:val="0"/>
          <w:numId w:val="7"/>
        </w:num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采购需求中所有列出的相关货物技术要求均不是唯一指定，即投标人可就货物提出替代标准，只要相当于（或优于）规定的货物品质和性能等技术参数要求，并提供满足采购需求要求的证明材料，则视为合格。但凡标有“★”的地方均被视为重要的技术指标要求或性能要求，投标人要特别加以注意，必须对此回答并完全满足这些要求，否则若有一项带“★”的指标未响应或不满足，将按无效投标文件处理。</w:t>
      </w:r>
    </w:p>
    <w:p w14:paraId="7FCD4A99">
      <w:pPr>
        <w:pStyle w:val="29"/>
        <w:numPr>
          <w:ilvl w:val="0"/>
          <w:numId w:val="7"/>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带“▲”符号的内容为采购需求重点技术参数，若未能响应，则在评标过程中根据评审内容作扣分处理。</w:t>
      </w:r>
    </w:p>
    <w:p w14:paraId="2623D66F">
      <w:pPr>
        <w:pStyle w:val="29"/>
        <w:numPr>
          <w:ilvl w:val="0"/>
          <w:numId w:val="7"/>
        </w:numPr>
        <w:spacing w:line="360" w:lineRule="auto"/>
        <w:ind w:firstLineChars="0"/>
        <w:rPr>
          <w:rFonts w:hint="eastAsia" w:ascii="黑体" w:hAnsi="黑体" w:eastAsia="黑体" w:cs="黑体"/>
          <w:color w:val="auto"/>
          <w:szCs w:val="21"/>
          <w:highlight w:val="none"/>
        </w:rPr>
      </w:pPr>
      <w:bookmarkStart w:id="18" w:name="_Hlk119402098"/>
      <w:bookmarkStart w:id="19" w:name="_Hlk119354856"/>
      <w:r>
        <w:rPr>
          <w:rFonts w:hint="eastAsia" w:ascii="黑体" w:hAnsi="黑体" w:eastAsia="黑体" w:cs="黑体"/>
          <w:color w:val="auto"/>
          <w:szCs w:val="21"/>
          <w:highlight w:val="none"/>
        </w:rPr>
        <w:t>节能、环境标志产品</w:t>
      </w:r>
      <w:bookmarkEnd w:id="18"/>
      <w:r>
        <w:rPr>
          <w:rFonts w:hint="eastAsia" w:ascii="黑体" w:hAnsi="黑体" w:eastAsia="黑体" w:cs="黑体"/>
          <w:color w:val="auto"/>
          <w:szCs w:val="21"/>
          <w:highlight w:val="none"/>
        </w:rPr>
        <w:t>：本项目采购产品中，属于政府强制采购节能产品，</w:t>
      </w:r>
      <w:bookmarkStart w:id="20" w:name="_Hlk119355181"/>
      <w:r>
        <w:rPr>
          <w:rFonts w:hint="eastAsia" w:ascii="黑体" w:hAnsi="黑体" w:eastAsia="黑体" w:cs="黑体"/>
          <w:color w:val="auto"/>
          <w:szCs w:val="21"/>
          <w:highlight w:val="none"/>
        </w:rPr>
        <w:t>投标人需提供所投产品有效的节能产品认证证书</w:t>
      </w:r>
      <w:bookmarkEnd w:id="20"/>
      <w:bookmarkStart w:id="21" w:name="_Hlk119355251"/>
      <w:r>
        <w:rPr>
          <w:rFonts w:hint="eastAsia" w:ascii="黑体" w:hAnsi="黑体" w:eastAsia="黑体" w:cs="黑体"/>
          <w:color w:val="auto"/>
          <w:szCs w:val="21"/>
          <w:highlight w:val="none"/>
        </w:rPr>
        <w:t>复印件加盖投标人公章</w:t>
      </w:r>
      <w:bookmarkEnd w:id="21"/>
      <w:r>
        <w:rPr>
          <w:rFonts w:hint="eastAsia" w:ascii="黑体" w:hAnsi="黑体" w:eastAsia="黑体" w:cs="黑体"/>
          <w:color w:val="auto"/>
          <w:szCs w:val="21"/>
          <w:highlight w:val="none"/>
        </w:rPr>
        <w:t>，不满足的将作为无效投标处理；</w:t>
      </w:r>
      <w:bookmarkStart w:id="22" w:name="_Hlk119401082"/>
      <w:r>
        <w:rPr>
          <w:rFonts w:hint="eastAsia" w:ascii="黑体" w:hAnsi="黑体" w:eastAsia="黑体" w:cs="黑体"/>
          <w:color w:val="auto"/>
          <w:szCs w:val="21"/>
          <w:highlight w:val="none"/>
        </w:rPr>
        <w:t>属于</w:t>
      </w:r>
      <w:bookmarkEnd w:id="22"/>
      <w:r>
        <w:rPr>
          <w:rFonts w:hint="eastAsia" w:ascii="黑体" w:hAnsi="黑体" w:eastAsia="黑体" w:cs="黑体"/>
          <w:color w:val="auto"/>
          <w:szCs w:val="21"/>
          <w:highlight w:val="none"/>
        </w:rPr>
        <w:t>政府优先采购的节能产品，投标人需提供所投产品有效的节能产品认证证书复印件加盖投标人公章；属于政府优先采购的</w:t>
      </w:r>
      <w:bookmarkStart w:id="23" w:name="_Hlk119355230"/>
      <w:r>
        <w:rPr>
          <w:rFonts w:hint="eastAsia" w:ascii="黑体" w:hAnsi="黑体" w:eastAsia="黑体" w:cs="黑体"/>
          <w:color w:val="auto"/>
          <w:szCs w:val="21"/>
          <w:highlight w:val="none"/>
        </w:rPr>
        <w:t>环境标志产品</w:t>
      </w:r>
      <w:bookmarkEnd w:id="23"/>
      <w:r>
        <w:rPr>
          <w:rFonts w:hint="eastAsia" w:ascii="黑体" w:hAnsi="黑体" w:eastAsia="黑体" w:cs="黑体"/>
          <w:color w:val="auto"/>
          <w:szCs w:val="21"/>
          <w:highlight w:val="none"/>
        </w:rPr>
        <w:t>，投标人需提供所投产品有效的环境标志产品产品认证证书复印件加盖投标人公章。节能、环境标志产品实施优先采购的具体规定见</w:t>
      </w:r>
      <w:bookmarkEnd w:id="19"/>
      <w:r>
        <w:rPr>
          <w:rFonts w:hint="eastAsia" w:ascii="黑体" w:hAnsi="黑体" w:eastAsia="黑体" w:cs="黑体"/>
          <w:color w:val="auto"/>
          <w:szCs w:val="21"/>
          <w:highlight w:val="none"/>
        </w:rPr>
        <w:t>第五部分《评标方法、步骤、标准》。</w:t>
      </w:r>
    </w:p>
    <w:p w14:paraId="16BF94CA">
      <w:pPr>
        <w:pStyle w:val="29"/>
        <w:numPr>
          <w:ilvl w:val="0"/>
          <w:numId w:val="7"/>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投标报价中不得包含招标文件要求以外的内容，否则，在评标时不予核减。若投标报价有缺漏项的，缺漏项部分的价格视为已包含在投标报价中，中标后不作任何调整。</w:t>
      </w:r>
    </w:p>
    <w:p w14:paraId="4EBBBA4F">
      <w:pPr>
        <w:spacing w:line="360" w:lineRule="auto"/>
        <w:contextualSpacing/>
        <w:rPr>
          <w:rFonts w:hint="eastAsia" w:ascii="黑体" w:hAnsi="黑体" w:eastAsia="黑体" w:cs="黑体"/>
          <w:b/>
          <w:color w:val="auto"/>
          <w:szCs w:val="21"/>
          <w:highlight w:val="none"/>
        </w:rPr>
      </w:pPr>
    </w:p>
    <w:p w14:paraId="12E759FE">
      <w:pPr>
        <w:pStyle w:val="29"/>
        <w:numPr>
          <w:ilvl w:val="0"/>
          <w:numId w:val="8"/>
        </w:numPr>
        <w:spacing w:line="360" w:lineRule="auto"/>
        <w:ind w:firstLineChars="0"/>
        <w:contextualSpacing/>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采购标的</w:t>
      </w:r>
    </w:p>
    <w:p w14:paraId="50743153">
      <w:pPr>
        <w:pStyle w:val="29"/>
        <w:numPr>
          <w:ilvl w:val="0"/>
          <w:numId w:val="9"/>
        </w:numPr>
        <w:spacing w:line="360" w:lineRule="auto"/>
        <w:ind w:firstLineChars="0"/>
        <w:contextualSpacing/>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采购标的</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4"/>
        <w:gridCol w:w="3525"/>
        <w:gridCol w:w="1367"/>
        <w:gridCol w:w="1098"/>
        <w:gridCol w:w="1993"/>
      </w:tblGrid>
      <w:tr w14:paraId="70899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7" w:type="pct"/>
          </w:tcPr>
          <w:p w14:paraId="14952502">
            <w:pPr>
              <w:spacing w:line="360" w:lineRule="auto"/>
              <w:contextualSpacing/>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序号</w:t>
            </w:r>
          </w:p>
        </w:tc>
        <w:tc>
          <w:tcPr>
            <w:tcW w:w="2009" w:type="pct"/>
          </w:tcPr>
          <w:p w14:paraId="38B967C3">
            <w:pPr>
              <w:spacing w:line="360" w:lineRule="auto"/>
              <w:contextualSpacing/>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标的名称</w:t>
            </w:r>
          </w:p>
        </w:tc>
        <w:tc>
          <w:tcPr>
            <w:tcW w:w="779" w:type="pct"/>
          </w:tcPr>
          <w:p w14:paraId="3BCE79DC">
            <w:pPr>
              <w:spacing w:line="360" w:lineRule="auto"/>
              <w:contextualSpacing/>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单位</w:t>
            </w:r>
          </w:p>
        </w:tc>
        <w:tc>
          <w:tcPr>
            <w:tcW w:w="626" w:type="pct"/>
          </w:tcPr>
          <w:p w14:paraId="594A6D82">
            <w:pPr>
              <w:spacing w:line="360" w:lineRule="auto"/>
              <w:contextualSpacing/>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数量</w:t>
            </w:r>
          </w:p>
        </w:tc>
        <w:tc>
          <w:tcPr>
            <w:tcW w:w="1136" w:type="pct"/>
          </w:tcPr>
          <w:p w14:paraId="7B25B47A">
            <w:pPr>
              <w:spacing w:line="360" w:lineRule="auto"/>
              <w:contextualSpacing/>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采购标的所属行业</w:t>
            </w:r>
          </w:p>
        </w:tc>
      </w:tr>
      <w:tr w14:paraId="4C17B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7" w:type="pct"/>
          </w:tcPr>
          <w:p w14:paraId="699BA5CE">
            <w:pPr>
              <w:spacing w:line="360" w:lineRule="auto"/>
              <w:contextualSpacing/>
              <w:jc w:val="center"/>
              <w:rPr>
                <w:rFonts w:hint="eastAsia" w:ascii="黑体" w:hAnsi="黑体" w:eastAsia="黑体" w:cs="黑体"/>
                <w:bCs/>
                <w:color w:val="auto"/>
                <w:szCs w:val="21"/>
                <w:highlight w:val="none"/>
                <w:lang w:val="en-US" w:eastAsia="zh-CN"/>
              </w:rPr>
            </w:pPr>
            <w:r>
              <w:rPr>
                <w:rFonts w:hint="eastAsia" w:ascii="黑体" w:hAnsi="黑体" w:eastAsia="黑体" w:cs="黑体"/>
                <w:bCs/>
                <w:color w:val="auto"/>
                <w:szCs w:val="21"/>
                <w:highlight w:val="none"/>
                <w:lang w:val="en-US" w:eastAsia="zh-CN"/>
              </w:rPr>
              <w:t>1</w:t>
            </w:r>
          </w:p>
        </w:tc>
        <w:tc>
          <w:tcPr>
            <w:tcW w:w="2009" w:type="pct"/>
          </w:tcPr>
          <w:p w14:paraId="1334C3C1">
            <w:pPr>
              <w:spacing w:line="360" w:lineRule="auto"/>
              <w:contextualSpacing/>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精细化天轨密集管理架</w:t>
            </w:r>
          </w:p>
        </w:tc>
        <w:tc>
          <w:tcPr>
            <w:tcW w:w="779" w:type="pct"/>
          </w:tcPr>
          <w:p w14:paraId="6A467683">
            <w:pPr>
              <w:spacing w:line="360" w:lineRule="auto"/>
              <w:contextualSpacing/>
              <w:jc w:val="center"/>
              <w:rPr>
                <w:rFonts w:hint="eastAsia" w:ascii="黑体" w:hAnsi="黑体" w:eastAsia="黑体" w:cs="黑体"/>
                <w:bCs/>
                <w:color w:val="auto"/>
                <w:szCs w:val="21"/>
                <w:highlight w:val="none"/>
                <w:lang w:val="en-US" w:eastAsia="zh-CN"/>
              </w:rPr>
            </w:pPr>
            <w:r>
              <w:rPr>
                <w:rFonts w:hint="eastAsia" w:ascii="黑体" w:hAnsi="黑体" w:eastAsia="黑体" w:cs="黑体"/>
                <w:bCs/>
                <w:color w:val="auto"/>
                <w:szCs w:val="21"/>
                <w:highlight w:val="none"/>
                <w:lang w:val="en-US" w:eastAsia="zh-CN"/>
              </w:rPr>
              <w:t>套</w:t>
            </w:r>
          </w:p>
        </w:tc>
        <w:tc>
          <w:tcPr>
            <w:tcW w:w="626" w:type="pct"/>
          </w:tcPr>
          <w:p w14:paraId="246E872D">
            <w:pPr>
              <w:spacing w:line="360" w:lineRule="auto"/>
              <w:contextualSpacing/>
              <w:jc w:val="center"/>
              <w:rPr>
                <w:rFonts w:hint="eastAsia" w:ascii="黑体" w:hAnsi="黑体" w:eastAsia="黑体" w:cs="黑体"/>
                <w:bCs/>
                <w:color w:val="auto"/>
                <w:szCs w:val="21"/>
                <w:highlight w:val="none"/>
                <w:lang w:val="en-US" w:eastAsia="zh-CN"/>
              </w:rPr>
            </w:pPr>
            <w:r>
              <w:rPr>
                <w:rFonts w:hint="eastAsia" w:ascii="黑体" w:hAnsi="黑体" w:eastAsia="黑体" w:cs="黑体"/>
                <w:bCs/>
                <w:color w:val="auto"/>
                <w:szCs w:val="21"/>
                <w:highlight w:val="none"/>
                <w:lang w:val="en-US" w:eastAsia="zh-CN"/>
              </w:rPr>
              <w:t>1</w:t>
            </w:r>
          </w:p>
        </w:tc>
        <w:tc>
          <w:tcPr>
            <w:tcW w:w="1136" w:type="pct"/>
          </w:tcPr>
          <w:p w14:paraId="2C3D70A8">
            <w:pPr>
              <w:spacing w:line="360" w:lineRule="auto"/>
              <w:contextualSpacing/>
              <w:jc w:val="center"/>
              <w:rPr>
                <w:rFonts w:hint="eastAsia" w:ascii="黑体" w:hAnsi="黑体" w:eastAsia="黑体" w:cs="黑体"/>
                <w:bCs/>
                <w:color w:val="auto"/>
                <w:szCs w:val="21"/>
                <w:highlight w:val="none"/>
                <w:lang w:val="en-US" w:eastAsia="zh-CN"/>
              </w:rPr>
            </w:pPr>
            <w:r>
              <w:rPr>
                <w:rFonts w:hint="eastAsia" w:ascii="黑体" w:hAnsi="黑体" w:eastAsia="黑体" w:cs="黑体"/>
                <w:bCs/>
                <w:color w:val="auto"/>
                <w:szCs w:val="21"/>
                <w:highlight w:val="none"/>
                <w:lang w:val="en-US" w:eastAsia="zh-CN"/>
              </w:rPr>
              <w:t>工业</w:t>
            </w:r>
          </w:p>
        </w:tc>
      </w:tr>
    </w:tbl>
    <w:p w14:paraId="540507D3">
      <w:pPr>
        <w:pStyle w:val="29"/>
        <w:numPr>
          <w:ilvl w:val="0"/>
          <w:numId w:val="9"/>
        </w:numPr>
        <w:spacing w:before="156" w:beforeLines="50" w:after="312" w:afterLines="100" w:line="360" w:lineRule="auto"/>
        <w:ind w:firstLineChars="0"/>
        <w:contextualSpacing/>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项目</w:t>
      </w:r>
      <w:r>
        <w:rPr>
          <w:rFonts w:hint="eastAsia" w:ascii="黑体" w:hAnsi="黑体" w:eastAsia="黑体" w:cs="黑体"/>
          <w:bCs/>
          <w:color w:val="auto"/>
          <w:szCs w:val="21"/>
          <w:highlight w:val="none"/>
          <w:lang w:val="en-US" w:eastAsia="zh-CN"/>
        </w:rPr>
        <w:t>概况</w:t>
      </w:r>
    </w:p>
    <w:p w14:paraId="708A9A25">
      <w:pPr>
        <w:pStyle w:val="29"/>
        <w:keepNext w:val="0"/>
        <w:keepLines w:val="0"/>
        <w:pageBreakBefore w:val="0"/>
        <w:widowControl w:val="0"/>
        <w:numPr>
          <w:ilvl w:val="0"/>
          <w:numId w:val="10"/>
        </w:numPr>
        <w:kinsoku/>
        <w:wordWrap/>
        <w:overflowPunct/>
        <w:topLinePunct w:val="0"/>
        <w:autoSpaceDE/>
        <w:autoSpaceDN/>
        <w:bidi w:val="0"/>
        <w:adjustRightInd/>
        <w:snapToGrid/>
        <w:spacing w:before="156" w:beforeLines="50" w:after="312" w:afterLines="100" w:line="360" w:lineRule="auto"/>
        <w:ind w:left="425" w:leftChars="0" w:hanging="425" w:firstLineChars="0"/>
        <w:contextualSpacing/>
        <w:textAlignment w:val="auto"/>
        <w:rPr>
          <w:rFonts w:hint="eastAsia" w:ascii="黑体" w:hAnsi="黑体" w:eastAsia="黑体" w:cs="黑体"/>
          <w:bCs/>
          <w:color w:val="auto"/>
          <w:szCs w:val="21"/>
          <w:highlight w:val="none"/>
          <w:lang w:val="en-US" w:eastAsia="zh-CN"/>
        </w:rPr>
      </w:pPr>
      <w:r>
        <w:rPr>
          <w:rFonts w:hint="eastAsia" w:ascii="黑体" w:hAnsi="黑体" w:eastAsia="黑体" w:cs="黑体"/>
          <w:bCs/>
          <w:color w:val="auto"/>
          <w:szCs w:val="21"/>
          <w:highlight w:val="none"/>
        </w:rPr>
        <w:t>项目名称：</w:t>
      </w:r>
      <w:r>
        <w:rPr>
          <w:rFonts w:hint="eastAsia" w:ascii="黑体" w:hAnsi="黑体" w:eastAsia="黑体" w:cs="黑体"/>
          <w:bCs/>
          <w:color w:val="auto"/>
          <w:szCs w:val="21"/>
          <w:highlight w:val="none"/>
          <w:lang w:eastAsia="zh-CN"/>
        </w:rPr>
        <w:t>东莞市中医院消毒供应中心精细化天轨密集管理架采购项目（重新采购）</w:t>
      </w:r>
      <w:r>
        <w:rPr>
          <w:rFonts w:hint="eastAsia" w:ascii="黑体" w:hAnsi="黑体" w:eastAsia="黑体" w:cs="黑体"/>
          <w:bCs/>
          <w:color w:val="auto"/>
          <w:szCs w:val="21"/>
          <w:highlight w:val="none"/>
        </w:rPr>
        <w:t>。</w:t>
      </w:r>
    </w:p>
    <w:p w14:paraId="7AD92B30">
      <w:pPr>
        <w:pStyle w:val="29"/>
        <w:keepNext w:val="0"/>
        <w:keepLines w:val="0"/>
        <w:pageBreakBefore w:val="0"/>
        <w:widowControl w:val="0"/>
        <w:numPr>
          <w:ilvl w:val="0"/>
          <w:numId w:val="10"/>
        </w:numPr>
        <w:kinsoku/>
        <w:wordWrap/>
        <w:overflowPunct/>
        <w:topLinePunct w:val="0"/>
        <w:autoSpaceDE/>
        <w:autoSpaceDN/>
        <w:bidi w:val="0"/>
        <w:adjustRightInd/>
        <w:snapToGrid/>
        <w:spacing w:before="156" w:beforeLines="50" w:after="312" w:afterLines="100" w:line="360" w:lineRule="auto"/>
        <w:ind w:left="425" w:leftChars="0" w:hanging="425" w:firstLineChars="0"/>
        <w:contextualSpacing/>
        <w:textAlignment w:val="auto"/>
        <w:rPr>
          <w:rFonts w:hint="eastAsia" w:ascii="黑体" w:hAnsi="黑体" w:eastAsia="黑体" w:cs="黑体"/>
          <w:bCs/>
          <w:color w:val="auto"/>
          <w:szCs w:val="21"/>
          <w:highlight w:val="none"/>
          <w:lang w:val="en-US" w:eastAsia="zh-CN"/>
        </w:rPr>
      </w:pPr>
      <w:r>
        <w:rPr>
          <w:rFonts w:hint="eastAsia" w:ascii="黑体" w:hAnsi="黑体" w:eastAsia="黑体" w:cs="黑体"/>
          <w:bCs/>
          <w:color w:val="auto"/>
          <w:szCs w:val="21"/>
          <w:highlight w:val="none"/>
          <w:lang w:val="en-US" w:eastAsia="zh-CN"/>
        </w:rPr>
        <w:t>项目预算：本项目总预算为449,000.00元，投标人报价不得超过此预算金额，否则投标将被视为无效投标，且预算为包干价格。</w:t>
      </w:r>
    </w:p>
    <w:p w14:paraId="374899B9">
      <w:pPr>
        <w:pStyle w:val="29"/>
        <w:keepNext w:val="0"/>
        <w:keepLines w:val="0"/>
        <w:pageBreakBefore w:val="0"/>
        <w:widowControl w:val="0"/>
        <w:numPr>
          <w:ilvl w:val="0"/>
          <w:numId w:val="10"/>
        </w:numPr>
        <w:kinsoku/>
        <w:wordWrap/>
        <w:overflowPunct/>
        <w:topLinePunct w:val="0"/>
        <w:autoSpaceDE/>
        <w:autoSpaceDN/>
        <w:bidi w:val="0"/>
        <w:adjustRightInd/>
        <w:snapToGrid/>
        <w:spacing w:before="156" w:beforeLines="50" w:after="312" w:afterLines="100" w:line="360" w:lineRule="auto"/>
        <w:ind w:left="425" w:leftChars="0" w:hanging="425" w:firstLineChars="0"/>
        <w:contextualSpacing/>
        <w:textAlignment w:val="auto"/>
        <w:rPr>
          <w:rFonts w:hint="eastAsia" w:ascii="黑体" w:hAnsi="黑体" w:eastAsia="黑体" w:cs="黑体"/>
          <w:bCs/>
          <w:color w:val="auto"/>
          <w:szCs w:val="21"/>
          <w:highlight w:val="none"/>
          <w:lang w:val="en-US" w:eastAsia="zh-CN"/>
        </w:rPr>
      </w:pPr>
      <w:r>
        <w:rPr>
          <w:rFonts w:hint="eastAsia" w:ascii="黑体" w:hAnsi="黑体" w:eastAsia="黑体" w:cs="黑体"/>
          <w:bCs/>
          <w:color w:val="auto"/>
          <w:szCs w:val="21"/>
          <w:highlight w:val="none"/>
          <w:lang w:val="en-US" w:eastAsia="zh-CN"/>
        </w:rPr>
        <w:t>项目背景：为满足东莞市中医院骨伤中心消毒供应中心的无菌物品包在手术室的存放和管理（含安装）。</w:t>
      </w:r>
    </w:p>
    <w:p w14:paraId="7D51099A">
      <w:pPr>
        <w:pStyle w:val="29"/>
        <w:numPr>
          <w:ilvl w:val="0"/>
          <w:numId w:val="8"/>
        </w:numPr>
        <w:spacing w:before="312" w:beforeLines="100" w:line="360" w:lineRule="auto"/>
        <w:ind w:left="499" w:hanging="499" w:firstLineChars="0"/>
        <w:contextualSpacing/>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商务要求</w:t>
      </w:r>
    </w:p>
    <w:p w14:paraId="6479B23C">
      <w:pPr>
        <w:pStyle w:val="29"/>
        <w:numPr>
          <w:ilvl w:val="0"/>
          <w:numId w:val="11"/>
        </w:numPr>
        <w:spacing w:line="360" w:lineRule="auto"/>
        <w:ind w:firstLineChars="0"/>
        <w:contextualSpacing/>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rPr>
        <w:t>交付</w:t>
      </w:r>
      <w:r>
        <w:rPr>
          <w:rFonts w:hint="eastAsia" w:ascii="黑体" w:hAnsi="黑体" w:eastAsia="黑体" w:cs="黑体"/>
          <w:iCs/>
          <w:color w:val="auto"/>
          <w:szCs w:val="21"/>
          <w:highlight w:val="none"/>
          <w:lang w:val="en-US" w:eastAsia="zh-CN"/>
        </w:rPr>
        <w:t>及安装要求</w:t>
      </w:r>
    </w:p>
    <w:p w14:paraId="28EA5FE5">
      <w:pPr>
        <w:pStyle w:val="29"/>
        <w:numPr>
          <w:ilvl w:val="0"/>
          <w:numId w:val="12"/>
        </w:numPr>
        <w:spacing w:line="360" w:lineRule="auto"/>
        <w:ind w:left="425" w:leftChars="0" w:hanging="425" w:firstLineChars="0"/>
        <w:contextualSpacing/>
        <w:rPr>
          <w:rFonts w:hint="eastAsia" w:ascii="黑体" w:hAnsi="黑体" w:eastAsia="黑体" w:cs="黑体"/>
          <w:iCs/>
          <w:color w:val="auto"/>
          <w:szCs w:val="21"/>
          <w:highlight w:val="none"/>
        </w:rPr>
      </w:pPr>
      <w:r>
        <w:rPr>
          <w:rFonts w:hint="eastAsia" w:ascii="黑体" w:hAnsi="黑体" w:eastAsia="黑体" w:cs="黑体"/>
          <w:color w:val="auto"/>
          <w:szCs w:val="21"/>
          <w:highlight w:val="none"/>
          <w:lang w:val="en-US" w:eastAsia="zh-CN"/>
        </w:rPr>
        <w:t>交付时间：</w:t>
      </w:r>
      <w:r>
        <w:rPr>
          <w:rFonts w:hint="eastAsia" w:ascii="黑体" w:hAnsi="黑体" w:eastAsia="黑体" w:cs="黑体"/>
          <w:color w:val="auto"/>
          <w:szCs w:val="21"/>
          <w:highlight w:val="none"/>
        </w:rPr>
        <w:t>中标人须在签订合同后30个工作日内将所有材料安装到指定地点（东莞市中医院骨伤中心3F手术室无菌区）。</w:t>
      </w:r>
    </w:p>
    <w:p w14:paraId="2235646C">
      <w:pPr>
        <w:pStyle w:val="29"/>
        <w:numPr>
          <w:ilvl w:val="0"/>
          <w:numId w:val="12"/>
        </w:numPr>
        <w:spacing w:line="360" w:lineRule="auto"/>
        <w:ind w:left="425" w:leftChars="0" w:hanging="425" w:firstLineChars="0"/>
        <w:contextualSpacing/>
        <w:rPr>
          <w:rFonts w:hint="eastAsia" w:ascii="黑体" w:hAnsi="黑体" w:eastAsia="黑体" w:cs="黑体"/>
          <w:iCs/>
          <w:color w:val="auto"/>
          <w:szCs w:val="21"/>
          <w:highlight w:val="none"/>
        </w:rPr>
      </w:pPr>
      <w:r>
        <w:rPr>
          <w:rFonts w:hint="eastAsia" w:ascii="黑体" w:hAnsi="黑体" w:eastAsia="黑体" w:cs="黑体"/>
          <w:color w:val="auto"/>
          <w:szCs w:val="21"/>
          <w:highlight w:val="none"/>
          <w:lang w:val="en-US" w:eastAsia="zh-CN"/>
        </w:rPr>
        <w:t>安装要求：中标人应按照国家及行业相关安装规范进行安装，确保安装过程安全、规范，安装质量符合要求。安装所需的材料、工具等均由中标人自行负责。</w:t>
      </w:r>
    </w:p>
    <w:p w14:paraId="426D8CEA">
      <w:pPr>
        <w:pStyle w:val="29"/>
        <w:numPr>
          <w:ilvl w:val="0"/>
          <w:numId w:val="11"/>
        </w:numPr>
        <w:spacing w:line="360" w:lineRule="auto"/>
        <w:ind w:firstLineChars="0"/>
        <w:contextualSpacing/>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rPr>
        <w:t>交付地点</w:t>
      </w:r>
      <w:r>
        <w:rPr>
          <w:rFonts w:hint="eastAsia" w:ascii="黑体" w:hAnsi="黑体" w:eastAsia="黑体" w:cs="黑体"/>
          <w:iCs/>
          <w:color w:val="auto"/>
          <w:szCs w:val="21"/>
          <w:highlight w:val="none"/>
          <w:lang w:eastAsia="zh-CN"/>
        </w:rPr>
        <w:t>：</w:t>
      </w:r>
      <w:r>
        <w:rPr>
          <w:rFonts w:hint="eastAsia" w:ascii="黑体" w:hAnsi="黑体" w:eastAsia="黑体" w:cs="黑体"/>
          <w:color w:val="auto"/>
          <w:szCs w:val="21"/>
          <w:highlight w:val="none"/>
        </w:rPr>
        <w:t>东莞市中医院骨伤中心3F手术室无菌区</w:t>
      </w:r>
      <w:r>
        <w:rPr>
          <w:rFonts w:hint="eastAsia" w:ascii="黑体" w:hAnsi="黑体" w:eastAsia="黑体" w:cs="黑体"/>
          <w:color w:val="auto"/>
          <w:szCs w:val="21"/>
          <w:highlight w:val="none"/>
          <w:lang w:eastAsia="zh-CN"/>
        </w:rPr>
        <w:t>。</w:t>
      </w:r>
    </w:p>
    <w:p w14:paraId="7FC3B3BD">
      <w:pPr>
        <w:pStyle w:val="29"/>
        <w:numPr>
          <w:ilvl w:val="0"/>
          <w:numId w:val="11"/>
        </w:numPr>
        <w:spacing w:line="360" w:lineRule="auto"/>
        <w:ind w:firstLineChars="0"/>
        <w:contextualSpacing/>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rPr>
        <w:t>付款条件</w:t>
      </w:r>
    </w:p>
    <w:p w14:paraId="3862FEBF">
      <w:pPr>
        <w:pStyle w:val="29"/>
        <w:numPr>
          <w:ilvl w:val="0"/>
          <w:numId w:val="13"/>
        </w:numPr>
        <w:spacing w:line="360" w:lineRule="auto"/>
        <w:ind w:left="425" w:leftChars="0" w:hanging="425" w:firstLineChars="0"/>
        <w:contextualSpacing/>
        <w:rPr>
          <w:rFonts w:hint="eastAsia" w:ascii="黑体" w:hAnsi="黑体" w:eastAsia="黑体" w:cs="黑体"/>
          <w:iCs/>
          <w:color w:val="auto"/>
          <w:szCs w:val="21"/>
          <w:highlight w:val="none"/>
        </w:rPr>
      </w:pPr>
      <w:r>
        <w:rPr>
          <w:rFonts w:hint="eastAsia" w:ascii="黑体" w:hAnsi="黑体" w:eastAsia="黑体" w:cs="黑体"/>
          <w:color w:val="auto"/>
          <w:sz w:val="21"/>
          <w:highlight w:val="none"/>
          <w:lang w:val="en-US" w:eastAsia="zh-CN"/>
        </w:rPr>
        <w:t>全额支付：材料全部送达指定地点并完成安装调试，经最终验收合格后，采购人在30个工作日内向中标人支付合同总金额的100%。</w:t>
      </w:r>
    </w:p>
    <w:p w14:paraId="059A4ED6">
      <w:pPr>
        <w:pStyle w:val="29"/>
        <w:numPr>
          <w:ilvl w:val="0"/>
          <w:numId w:val="13"/>
        </w:numPr>
        <w:spacing w:line="360" w:lineRule="auto"/>
        <w:ind w:left="425" w:leftChars="0" w:hanging="425" w:firstLineChars="0"/>
        <w:contextualSpacing/>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rPr>
        <w:t>支付方式：通过银行转账方式支付，中标人须向采购</w:t>
      </w:r>
      <w:r>
        <w:rPr>
          <w:rFonts w:hint="eastAsia" w:ascii="黑体" w:hAnsi="黑体" w:eastAsia="黑体" w:cs="黑体"/>
          <w:iCs/>
          <w:color w:val="auto"/>
          <w:szCs w:val="21"/>
          <w:highlight w:val="none"/>
          <w:lang w:val="en-US" w:eastAsia="zh-CN"/>
        </w:rPr>
        <w:t>人</w:t>
      </w:r>
      <w:r>
        <w:rPr>
          <w:rFonts w:hint="eastAsia" w:ascii="黑体" w:hAnsi="黑体" w:eastAsia="黑体" w:cs="黑体"/>
          <w:iCs/>
          <w:color w:val="auto"/>
          <w:szCs w:val="21"/>
          <w:highlight w:val="none"/>
        </w:rPr>
        <w:t>提供合法有效的</w:t>
      </w:r>
      <w:r>
        <w:rPr>
          <w:rFonts w:hint="eastAsia" w:ascii="黑体" w:hAnsi="黑体" w:eastAsia="黑体" w:cs="黑体"/>
          <w:iCs/>
          <w:color w:val="auto"/>
          <w:szCs w:val="21"/>
          <w:highlight w:val="none"/>
          <w:lang w:val="en-US" w:eastAsia="zh-CN"/>
        </w:rPr>
        <w:t>普通增值税</w:t>
      </w:r>
      <w:r>
        <w:rPr>
          <w:rFonts w:hint="eastAsia" w:ascii="黑体" w:hAnsi="黑体" w:eastAsia="黑体" w:cs="黑体"/>
          <w:iCs/>
          <w:color w:val="auto"/>
          <w:szCs w:val="21"/>
          <w:highlight w:val="none"/>
        </w:rPr>
        <w:t>发票</w:t>
      </w:r>
      <w:r>
        <w:rPr>
          <w:rFonts w:hint="eastAsia" w:ascii="黑体" w:hAnsi="黑体" w:eastAsia="黑体" w:cs="黑体"/>
          <w:iCs/>
          <w:color w:val="auto"/>
          <w:szCs w:val="21"/>
          <w:highlight w:val="none"/>
          <w:lang w:eastAsia="zh-CN"/>
        </w:rPr>
        <w:t>，</w:t>
      </w:r>
      <w:r>
        <w:rPr>
          <w:rFonts w:hint="eastAsia" w:ascii="黑体" w:hAnsi="黑体" w:eastAsia="黑体" w:cs="黑体"/>
          <w:iCs/>
          <w:color w:val="auto"/>
          <w:szCs w:val="21"/>
          <w:highlight w:val="none"/>
          <w:lang w:val="en-US" w:eastAsia="zh-CN"/>
        </w:rPr>
        <w:t>若中标人延迟提交请款材料，采购人有权顺延付款时间，且不承担所造成的损失。</w:t>
      </w:r>
    </w:p>
    <w:p w14:paraId="1F7DE02E">
      <w:pPr>
        <w:pStyle w:val="29"/>
        <w:numPr>
          <w:ilvl w:val="0"/>
          <w:numId w:val="13"/>
        </w:numPr>
        <w:spacing w:line="360" w:lineRule="auto"/>
        <w:ind w:left="425" w:leftChars="0" w:hanging="425" w:firstLineChars="0"/>
        <w:contextualSpacing/>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lang w:val="en-US" w:eastAsia="zh-CN"/>
        </w:rPr>
        <w:t>注：</w:t>
      </w:r>
      <w:r>
        <w:rPr>
          <w:rFonts w:hint="eastAsia" w:ascii="黑体" w:hAnsi="黑体" w:eastAsia="黑体" w:cs="黑体"/>
          <w:color w:val="auto"/>
          <w:sz w:val="21"/>
          <w:highlight w:val="none"/>
          <w:lang w:val="en-US" w:eastAsia="zh-CN"/>
        </w:rPr>
        <w:t>采购人</w:t>
      </w:r>
      <w:r>
        <w:rPr>
          <w:rFonts w:hint="eastAsia" w:ascii="黑体" w:hAnsi="黑体" w:eastAsia="黑体" w:cs="黑体"/>
          <w:color w:val="auto"/>
          <w:sz w:val="21"/>
          <w:highlight w:val="none"/>
          <w:lang w:eastAsia="zh-CN"/>
        </w:rPr>
        <w:t>的付款能力与时间决定于政府财政，如因财政原因未能履行付款义务，</w:t>
      </w:r>
      <w:r>
        <w:rPr>
          <w:rFonts w:hint="eastAsia" w:ascii="黑体" w:hAnsi="黑体" w:eastAsia="黑体" w:cs="黑体"/>
          <w:color w:val="auto"/>
          <w:sz w:val="21"/>
          <w:highlight w:val="none"/>
          <w:lang w:val="en-US" w:eastAsia="zh-CN"/>
        </w:rPr>
        <w:t>中标人</w:t>
      </w:r>
      <w:r>
        <w:rPr>
          <w:rFonts w:hint="eastAsia" w:ascii="黑体" w:hAnsi="黑体" w:eastAsia="黑体" w:cs="黑体"/>
          <w:color w:val="auto"/>
          <w:sz w:val="21"/>
          <w:highlight w:val="none"/>
          <w:lang w:eastAsia="zh-CN"/>
        </w:rPr>
        <w:t>同意</w:t>
      </w:r>
      <w:r>
        <w:rPr>
          <w:rFonts w:hint="eastAsia" w:ascii="黑体" w:hAnsi="黑体" w:eastAsia="黑体" w:cs="黑体"/>
          <w:color w:val="auto"/>
          <w:sz w:val="21"/>
          <w:highlight w:val="none"/>
          <w:lang w:val="en-US" w:eastAsia="zh-CN"/>
        </w:rPr>
        <w:t>采购人</w:t>
      </w:r>
      <w:r>
        <w:rPr>
          <w:rFonts w:hint="eastAsia" w:ascii="黑体" w:hAnsi="黑体" w:eastAsia="黑体" w:cs="黑体"/>
          <w:color w:val="auto"/>
          <w:sz w:val="21"/>
          <w:highlight w:val="none"/>
          <w:lang w:eastAsia="zh-CN"/>
        </w:rPr>
        <w:t>付款义务自条件具备时履行，</w:t>
      </w:r>
      <w:r>
        <w:rPr>
          <w:rFonts w:hint="eastAsia" w:ascii="黑体" w:hAnsi="黑体" w:eastAsia="黑体" w:cs="黑体"/>
          <w:color w:val="auto"/>
          <w:sz w:val="21"/>
          <w:highlight w:val="none"/>
          <w:lang w:val="en-US" w:eastAsia="zh-CN"/>
        </w:rPr>
        <w:t>采购人</w:t>
      </w:r>
      <w:r>
        <w:rPr>
          <w:rFonts w:hint="eastAsia" w:ascii="黑体" w:hAnsi="黑体" w:eastAsia="黑体" w:cs="黑体"/>
          <w:color w:val="auto"/>
          <w:sz w:val="21"/>
          <w:highlight w:val="none"/>
          <w:lang w:eastAsia="zh-CN"/>
        </w:rPr>
        <w:t>不负违约责任</w:t>
      </w:r>
      <w:r>
        <w:rPr>
          <w:rFonts w:hint="eastAsia" w:ascii="黑体" w:hAnsi="黑体" w:eastAsia="黑体" w:cs="黑体"/>
          <w:color w:val="auto"/>
          <w:sz w:val="21"/>
          <w:highlight w:val="none"/>
        </w:rPr>
        <w:t>。</w:t>
      </w:r>
    </w:p>
    <w:p w14:paraId="623EE63F">
      <w:pPr>
        <w:pStyle w:val="29"/>
        <w:numPr>
          <w:ilvl w:val="0"/>
          <w:numId w:val="11"/>
        </w:numPr>
        <w:spacing w:line="360" w:lineRule="auto"/>
        <w:ind w:firstLineChars="0"/>
        <w:contextualSpacing/>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rPr>
        <w:t>费用构成</w:t>
      </w:r>
    </w:p>
    <w:p w14:paraId="13F9065A">
      <w:pPr>
        <w:pStyle w:val="29"/>
        <w:numPr>
          <w:ilvl w:val="0"/>
          <w:numId w:val="0"/>
        </w:numPr>
        <w:spacing w:line="360" w:lineRule="auto"/>
        <w:ind w:leftChars="0"/>
        <w:contextualSpacing/>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rPr>
        <w:t>投标人的投标报价应包含所有与本项目相关的费用，具体包括但不限于：</w:t>
      </w:r>
    </w:p>
    <w:p w14:paraId="4F695DB1">
      <w:pPr>
        <w:pStyle w:val="29"/>
        <w:numPr>
          <w:ilvl w:val="0"/>
          <w:numId w:val="14"/>
        </w:numPr>
        <w:spacing w:line="360" w:lineRule="auto"/>
        <w:ind w:left="425" w:leftChars="0" w:hanging="425" w:firstLineChars="0"/>
        <w:contextualSpacing/>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rPr>
        <w:t>材料费、包装费、运输费、装卸费等；</w:t>
      </w:r>
    </w:p>
    <w:p w14:paraId="6F959BC3">
      <w:pPr>
        <w:pStyle w:val="29"/>
        <w:numPr>
          <w:ilvl w:val="0"/>
          <w:numId w:val="14"/>
        </w:numPr>
        <w:spacing w:line="360" w:lineRule="auto"/>
        <w:ind w:left="425" w:leftChars="0" w:hanging="425" w:firstLineChars="0"/>
        <w:contextualSpacing/>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rPr>
        <w:t>安装调试费，包括现场安装、措施、垃圾清理等所有相关工作费用；</w:t>
      </w:r>
    </w:p>
    <w:p w14:paraId="0B2303A4">
      <w:pPr>
        <w:pStyle w:val="29"/>
        <w:numPr>
          <w:ilvl w:val="0"/>
          <w:numId w:val="14"/>
        </w:numPr>
        <w:spacing w:line="360" w:lineRule="auto"/>
        <w:ind w:left="425" w:leftChars="0" w:hanging="425" w:firstLineChars="0"/>
        <w:contextualSpacing/>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rPr>
        <w:t>协助拆除原住院部消毒供应室天轨密集管理架（7440</w:t>
      </w:r>
      <w:r>
        <w:rPr>
          <w:rFonts w:hint="eastAsia" w:ascii="黑体" w:hAnsi="黑体" w:eastAsia="黑体" w:cs="黑体"/>
          <w:iCs/>
          <w:color w:val="auto"/>
          <w:szCs w:val="21"/>
          <w:highlight w:val="none"/>
          <w:lang w:val="en-US" w:eastAsia="zh-CN"/>
        </w:rPr>
        <w:t>×</w:t>
      </w:r>
      <w:r>
        <w:rPr>
          <w:rFonts w:hint="eastAsia" w:ascii="黑体" w:hAnsi="黑体" w:eastAsia="黑体" w:cs="黑体"/>
          <w:iCs/>
          <w:color w:val="auto"/>
          <w:szCs w:val="21"/>
          <w:highlight w:val="none"/>
        </w:rPr>
        <w:t>1200</w:t>
      </w:r>
      <w:r>
        <w:rPr>
          <w:rFonts w:hint="eastAsia" w:ascii="黑体" w:hAnsi="黑体" w:eastAsia="黑体" w:cs="黑体"/>
          <w:iCs/>
          <w:color w:val="auto"/>
          <w:szCs w:val="21"/>
          <w:highlight w:val="none"/>
          <w:lang w:val="en-US" w:eastAsia="zh-CN"/>
        </w:rPr>
        <w:t>×</w:t>
      </w:r>
      <w:r>
        <w:rPr>
          <w:rFonts w:hint="eastAsia" w:ascii="黑体" w:hAnsi="黑体" w:eastAsia="黑体" w:cs="黑体"/>
          <w:iCs/>
          <w:color w:val="auto"/>
          <w:szCs w:val="21"/>
          <w:highlight w:val="none"/>
        </w:rPr>
        <w:t>2200mm）至东莞市骨伤中心3F手术室无菌区，同时满足使用条件，要求中标方负责相关拆装配件，包含2组固定架、8组移动架及2条长轨道。</w:t>
      </w:r>
    </w:p>
    <w:p w14:paraId="588D58AD">
      <w:pPr>
        <w:pStyle w:val="29"/>
        <w:numPr>
          <w:ilvl w:val="0"/>
          <w:numId w:val="14"/>
        </w:numPr>
        <w:spacing w:line="360" w:lineRule="auto"/>
        <w:ind w:left="425" w:leftChars="0" w:hanging="425" w:firstLineChars="0"/>
        <w:contextualSpacing/>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rPr>
        <w:t>税费及其他所有可能产生的费用。采购方不再向中标人支付任何额外费用。</w:t>
      </w:r>
    </w:p>
    <w:p w14:paraId="5DA8278B">
      <w:pPr>
        <w:pStyle w:val="29"/>
        <w:numPr>
          <w:ilvl w:val="0"/>
          <w:numId w:val="14"/>
        </w:numPr>
        <w:spacing w:line="360" w:lineRule="auto"/>
        <w:ind w:left="425" w:leftChars="0" w:hanging="425" w:firstLineChars="0"/>
        <w:contextualSpacing/>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lang w:val="en-US" w:eastAsia="zh-CN"/>
        </w:rPr>
        <w:t>本项目不收取履约保证金。</w:t>
      </w:r>
    </w:p>
    <w:p w14:paraId="711D6835">
      <w:pPr>
        <w:pStyle w:val="29"/>
        <w:numPr>
          <w:ilvl w:val="0"/>
          <w:numId w:val="11"/>
        </w:numPr>
        <w:spacing w:line="360" w:lineRule="auto"/>
        <w:ind w:firstLineChars="0"/>
        <w:contextualSpacing/>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lang w:val="en-US" w:eastAsia="zh-CN"/>
        </w:rPr>
        <w:t>质保要求</w:t>
      </w:r>
    </w:p>
    <w:p w14:paraId="37D93132">
      <w:pPr>
        <w:pStyle w:val="29"/>
        <w:numPr>
          <w:ilvl w:val="0"/>
          <w:numId w:val="15"/>
        </w:numPr>
        <w:spacing w:line="360" w:lineRule="auto"/>
        <w:ind w:left="425" w:leftChars="0" w:hanging="425" w:firstLineChars="0"/>
        <w:contextualSpacing/>
        <w:rPr>
          <w:rFonts w:hint="eastAsia" w:ascii="黑体" w:hAnsi="黑体" w:eastAsia="黑体" w:cs="黑体"/>
          <w:b/>
          <w:bCs/>
          <w:iCs/>
          <w:color w:val="auto"/>
          <w:szCs w:val="21"/>
          <w:highlight w:val="none"/>
        </w:rPr>
      </w:pPr>
      <w:r>
        <w:rPr>
          <w:rFonts w:hint="eastAsia" w:ascii="黑体" w:hAnsi="黑体" w:eastAsia="黑体" w:cs="黑体"/>
          <w:b/>
          <w:bCs/>
          <w:iCs/>
          <w:color w:val="auto"/>
          <w:szCs w:val="21"/>
          <w:highlight w:val="none"/>
        </w:rPr>
        <w:t>★项目整体质保2年或以上，质保过程中出现质量问题导致脱落、变形、损坏，均由中标</w:t>
      </w:r>
      <w:r>
        <w:rPr>
          <w:rFonts w:hint="eastAsia" w:ascii="黑体" w:hAnsi="黑体" w:eastAsia="黑体" w:cs="黑体"/>
          <w:b/>
          <w:bCs/>
          <w:iCs/>
          <w:color w:val="auto"/>
          <w:szCs w:val="21"/>
          <w:highlight w:val="none"/>
          <w:lang w:val="en-US" w:eastAsia="zh-CN"/>
        </w:rPr>
        <w:t>人</w:t>
      </w:r>
      <w:r>
        <w:rPr>
          <w:rFonts w:hint="eastAsia" w:ascii="黑体" w:hAnsi="黑体" w:eastAsia="黑体" w:cs="黑体"/>
          <w:b/>
          <w:bCs/>
          <w:iCs/>
          <w:color w:val="auto"/>
          <w:szCs w:val="21"/>
          <w:highlight w:val="none"/>
        </w:rPr>
        <w:t>负责进行修复。</w:t>
      </w:r>
      <w:r>
        <w:rPr>
          <w:rFonts w:hint="eastAsia" w:ascii="黑体" w:hAnsi="黑体" w:eastAsia="黑体" w:cs="黑体"/>
          <w:b/>
          <w:bCs/>
          <w:iCs/>
          <w:color w:val="auto"/>
          <w:szCs w:val="21"/>
          <w:highlight w:val="none"/>
          <w:lang w:eastAsia="zh-CN"/>
        </w:rPr>
        <w:t>（</w:t>
      </w:r>
      <w:r>
        <w:rPr>
          <w:rFonts w:hint="eastAsia" w:ascii="黑体" w:hAnsi="黑体" w:eastAsia="黑体" w:cs="黑体"/>
          <w:b/>
          <w:bCs/>
          <w:iCs/>
          <w:color w:val="auto"/>
          <w:szCs w:val="21"/>
          <w:highlight w:val="none"/>
          <w:lang w:val="en-US" w:eastAsia="zh-CN"/>
        </w:rPr>
        <w:t>须提供单独质保承诺书加盖投标人公章，格式自拟</w:t>
      </w:r>
      <w:r>
        <w:rPr>
          <w:rFonts w:hint="eastAsia" w:ascii="黑体" w:hAnsi="黑体" w:eastAsia="黑体" w:cs="黑体"/>
          <w:b/>
          <w:bCs/>
          <w:iCs/>
          <w:color w:val="auto"/>
          <w:szCs w:val="21"/>
          <w:highlight w:val="none"/>
          <w:lang w:eastAsia="zh-CN"/>
        </w:rPr>
        <w:t>）</w:t>
      </w:r>
    </w:p>
    <w:p w14:paraId="406B6CA6">
      <w:pPr>
        <w:pStyle w:val="29"/>
        <w:numPr>
          <w:ilvl w:val="0"/>
          <w:numId w:val="15"/>
        </w:numPr>
        <w:spacing w:line="360" w:lineRule="auto"/>
        <w:ind w:left="425" w:leftChars="0" w:hanging="425" w:firstLineChars="0"/>
        <w:contextualSpacing/>
        <w:rPr>
          <w:rFonts w:hint="eastAsia" w:ascii="黑体" w:hAnsi="黑体" w:eastAsia="黑体" w:cs="黑体"/>
          <w:iCs/>
          <w:color w:val="auto"/>
          <w:szCs w:val="21"/>
          <w:highlight w:val="none"/>
        </w:rPr>
      </w:pPr>
      <w:r>
        <w:rPr>
          <w:rFonts w:hint="eastAsia" w:ascii="黑体" w:hAnsi="黑体" w:eastAsia="黑体" w:cs="黑体"/>
          <w:bCs/>
          <w:color w:val="auto"/>
          <w:szCs w:val="21"/>
          <w:highlight w:val="none"/>
        </w:rPr>
        <w:t>服务响应时间：</w:t>
      </w:r>
      <w:r>
        <w:rPr>
          <w:rFonts w:hint="eastAsia" w:ascii="黑体" w:hAnsi="黑体" w:eastAsia="黑体" w:cs="黑体"/>
          <w:color w:val="auto"/>
          <w:szCs w:val="21"/>
          <w:highlight w:val="none"/>
          <w:lang w:val="en-US" w:eastAsia="zh-CN"/>
        </w:rPr>
        <w:t>投标人</w:t>
      </w:r>
      <w:r>
        <w:rPr>
          <w:rFonts w:hint="eastAsia" w:ascii="黑体" w:hAnsi="黑体" w:eastAsia="黑体" w:cs="黑体"/>
          <w:color w:val="auto"/>
          <w:szCs w:val="21"/>
          <w:highlight w:val="none"/>
        </w:rPr>
        <w:t>在接到采购人通知后需在</w:t>
      </w:r>
      <w:r>
        <w:rPr>
          <w:rFonts w:hint="eastAsia" w:ascii="黑体" w:hAnsi="黑体" w:eastAsia="黑体" w:cs="黑体"/>
          <w:color w:val="auto"/>
          <w:szCs w:val="21"/>
          <w:highlight w:val="none"/>
          <w:lang w:val="en-US" w:eastAsia="zh-CN"/>
        </w:rPr>
        <w:t>2</w:t>
      </w:r>
      <w:r>
        <w:rPr>
          <w:rFonts w:hint="eastAsia" w:ascii="黑体" w:hAnsi="黑体" w:eastAsia="黑体" w:cs="黑体"/>
          <w:color w:val="auto"/>
          <w:szCs w:val="21"/>
          <w:highlight w:val="none"/>
        </w:rPr>
        <w:t>小时内到</w:t>
      </w:r>
      <w:r>
        <w:rPr>
          <w:rFonts w:hint="eastAsia" w:ascii="黑体" w:hAnsi="黑体" w:eastAsia="黑体" w:cs="黑体"/>
          <w:b w:val="0"/>
          <w:bCs w:val="0"/>
          <w:color w:val="auto"/>
          <w:szCs w:val="21"/>
          <w:highlight w:val="none"/>
          <w:u w:val="none"/>
        </w:rPr>
        <w:t>采购人指定地点</w:t>
      </w:r>
      <w:r>
        <w:rPr>
          <w:rFonts w:hint="eastAsia" w:ascii="黑体" w:hAnsi="黑体" w:eastAsia="黑体" w:cs="黑体"/>
          <w:color w:val="auto"/>
          <w:szCs w:val="21"/>
          <w:highlight w:val="none"/>
        </w:rPr>
        <w:t>处理问题。</w:t>
      </w:r>
    </w:p>
    <w:p w14:paraId="27DAD7CE">
      <w:pPr>
        <w:pStyle w:val="29"/>
        <w:numPr>
          <w:ilvl w:val="0"/>
          <w:numId w:val="11"/>
        </w:numPr>
        <w:spacing w:line="360" w:lineRule="auto"/>
        <w:ind w:firstLineChars="0"/>
        <w:contextualSpacing/>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rPr>
        <w:t>验收要求</w:t>
      </w:r>
    </w:p>
    <w:p w14:paraId="589709C3">
      <w:pPr>
        <w:pStyle w:val="29"/>
        <w:numPr>
          <w:ilvl w:val="0"/>
          <w:numId w:val="16"/>
        </w:numPr>
        <w:spacing w:line="360" w:lineRule="auto"/>
        <w:ind w:left="425" w:leftChars="0" w:hanging="425" w:firstLineChars="0"/>
        <w:contextualSpacing/>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rPr>
        <w:t>验收阶段：安装完成后，中标人应向采购</w:t>
      </w:r>
      <w:r>
        <w:rPr>
          <w:rFonts w:hint="eastAsia" w:ascii="黑体" w:hAnsi="黑体" w:eastAsia="黑体" w:cs="黑体"/>
          <w:iCs/>
          <w:color w:val="auto"/>
          <w:szCs w:val="21"/>
          <w:highlight w:val="none"/>
          <w:lang w:val="en-US" w:eastAsia="zh-CN"/>
        </w:rPr>
        <w:t>人</w:t>
      </w:r>
      <w:r>
        <w:rPr>
          <w:rFonts w:hint="eastAsia" w:ascii="黑体" w:hAnsi="黑体" w:eastAsia="黑体" w:cs="黑体"/>
          <w:iCs/>
          <w:color w:val="auto"/>
          <w:szCs w:val="21"/>
          <w:highlight w:val="none"/>
        </w:rPr>
        <w:t>提交验收申请，采购</w:t>
      </w:r>
      <w:r>
        <w:rPr>
          <w:rFonts w:hint="eastAsia" w:ascii="黑体" w:hAnsi="黑体" w:eastAsia="黑体" w:cs="黑体"/>
          <w:iCs/>
          <w:color w:val="auto"/>
          <w:szCs w:val="21"/>
          <w:highlight w:val="none"/>
          <w:lang w:val="en-US" w:eastAsia="zh-CN"/>
        </w:rPr>
        <w:t>人</w:t>
      </w:r>
      <w:r>
        <w:rPr>
          <w:rFonts w:hint="eastAsia" w:ascii="黑体" w:hAnsi="黑体" w:eastAsia="黑体" w:cs="黑体"/>
          <w:iCs/>
          <w:color w:val="auto"/>
          <w:szCs w:val="21"/>
          <w:highlight w:val="none"/>
        </w:rPr>
        <w:t>在收到申请后5个工作日内组织验收。验收内容包括数量、规格是否与合同一致，安装是否满足验收标准。</w:t>
      </w:r>
    </w:p>
    <w:p w14:paraId="3D02D397">
      <w:pPr>
        <w:pStyle w:val="29"/>
        <w:numPr>
          <w:ilvl w:val="0"/>
          <w:numId w:val="16"/>
        </w:numPr>
        <w:spacing w:line="360" w:lineRule="auto"/>
        <w:ind w:left="425" w:leftChars="0" w:hanging="425" w:firstLineChars="0"/>
        <w:contextualSpacing/>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rPr>
        <w:t>不合格处理：若验收过程中发现质量问题或不符合合同约定等情况，中标人须在采购</w:t>
      </w:r>
      <w:r>
        <w:rPr>
          <w:rFonts w:hint="eastAsia" w:ascii="黑体" w:hAnsi="黑体" w:eastAsia="黑体" w:cs="黑体"/>
          <w:iCs/>
          <w:color w:val="auto"/>
          <w:szCs w:val="21"/>
          <w:highlight w:val="none"/>
          <w:lang w:val="en-US" w:eastAsia="zh-CN"/>
        </w:rPr>
        <w:t>人</w:t>
      </w:r>
      <w:r>
        <w:rPr>
          <w:rFonts w:hint="eastAsia" w:ascii="黑体" w:hAnsi="黑体" w:eastAsia="黑体" w:cs="黑体"/>
          <w:iCs/>
          <w:color w:val="auto"/>
          <w:szCs w:val="21"/>
          <w:highlight w:val="none"/>
        </w:rPr>
        <w:t>规定的时间内进行整改、更换或补充，直至验收合格，相关费用由中标人承担。由此造成的工期延误，中标人应承担相应的违约责任。</w:t>
      </w:r>
    </w:p>
    <w:p w14:paraId="64465C41">
      <w:pPr>
        <w:pStyle w:val="29"/>
        <w:numPr>
          <w:ilvl w:val="0"/>
          <w:numId w:val="11"/>
        </w:numPr>
        <w:spacing w:line="360" w:lineRule="auto"/>
        <w:ind w:firstLineChars="0"/>
        <w:contextualSpacing/>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lang w:val="en-US" w:eastAsia="zh-CN"/>
        </w:rPr>
        <w:t>其他说明</w:t>
      </w:r>
    </w:p>
    <w:p w14:paraId="77F7A154">
      <w:pPr>
        <w:pStyle w:val="29"/>
        <w:numPr>
          <w:ilvl w:val="0"/>
          <w:numId w:val="17"/>
        </w:numPr>
        <w:spacing w:line="360" w:lineRule="auto"/>
        <w:ind w:left="425" w:leftChars="0" w:hanging="425" w:firstLineChars="0"/>
        <w:contextualSpacing/>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rPr>
        <w:t>货物名称（命名）：精细化天轨集管理架</w:t>
      </w:r>
      <w:r>
        <w:rPr>
          <w:rFonts w:hint="eastAsia" w:ascii="黑体" w:hAnsi="黑体" w:eastAsia="黑体" w:cs="黑体"/>
          <w:iCs/>
          <w:color w:val="auto"/>
          <w:szCs w:val="21"/>
          <w:highlight w:val="none"/>
          <w:lang w:eastAsia="zh-CN"/>
        </w:rPr>
        <w:t>、</w:t>
      </w:r>
      <w:r>
        <w:rPr>
          <w:rFonts w:hint="eastAsia" w:ascii="黑体" w:hAnsi="黑体" w:eastAsia="黑体" w:cs="黑体"/>
          <w:iCs/>
          <w:color w:val="auto"/>
          <w:szCs w:val="21"/>
          <w:highlight w:val="none"/>
        </w:rPr>
        <w:t>轨道式无菌物品存放系统、轨道式器械存放架、精细管理架均可。</w:t>
      </w:r>
    </w:p>
    <w:p w14:paraId="3E77F087">
      <w:pPr>
        <w:pStyle w:val="29"/>
        <w:numPr>
          <w:ilvl w:val="0"/>
          <w:numId w:val="17"/>
        </w:numPr>
        <w:spacing w:line="360" w:lineRule="auto"/>
        <w:ind w:left="425" w:leftChars="0" w:hanging="425" w:firstLineChars="0"/>
        <w:contextualSpacing/>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rPr>
        <w:t>要求提前勘测现场，确保满足拆、装条件及能力。</w:t>
      </w:r>
    </w:p>
    <w:p w14:paraId="1195D2B4">
      <w:pPr>
        <w:pStyle w:val="29"/>
        <w:numPr>
          <w:ilvl w:val="0"/>
          <w:numId w:val="8"/>
        </w:numPr>
        <w:spacing w:before="312" w:beforeLines="100" w:line="360" w:lineRule="auto"/>
        <w:ind w:left="499" w:hanging="499" w:firstLineChars="0"/>
        <w:contextualSpacing/>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技术要求</w:t>
      </w:r>
    </w:p>
    <w:p w14:paraId="3BC10734">
      <w:pPr>
        <w:pStyle w:val="29"/>
        <w:numPr>
          <w:ilvl w:val="0"/>
          <w:numId w:val="18"/>
        </w:numPr>
        <w:spacing w:line="360" w:lineRule="auto"/>
        <w:ind w:firstLineChars="0"/>
        <w:contextualSpacing/>
        <w:rPr>
          <w:rFonts w:hint="eastAsia" w:ascii="黑体" w:hAnsi="黑体" w:eastAsia="黑体" w:cs="黑体"/>
          <w:color w:val="auto"/>
          <w:szCs w:val="21"/>
          <w:highlight w:val="none"/>
        </w:rPr>
      </w:pPr>
      <w:r>
        <w:rPr>
          <w:rFonts w:hint="eastAsia" w:ascii="黑体" w:hAnsi="黑体" w:eastAsia="黑体" w:cs="黑体"/>
          <w:color w:val="auto"/>
          <w:szCs w:val="21"/>
          <w:highlight w:val="none"/>
        </w:rPr>
        <w:t>采购清单及数量</w:t>
      </w:r>
    </w:p>
    <w:tbl>
      <w:tblPr>
        <w:tblStyle w:val="1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15" w:type="dxa"/>
          <w:left w:w="15" w:type="dxa"/>
          <w:bottom w:w="15" w:type="dxa"/>
          <w:right w:w="15" w:type="dxa"/>
        </w:tblCellMar>
      </w:tblPr>
      <w:tblGrid>
        <w:gridCol w:w="1142"/>
        <w:gridCol w:w="1570"/>
        <w:gridCol w:w="1388"/>
        <w:gridCol w:w="1399"/>
        <w:gridCol w:w="1397"/>
        <w:gridCol w:w="1844"/>
      </w:tblGrid>
      <w:tr w14:paraId="44E440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rPr>
          <w:trHeight w:val="90" w:hRule="atLeast"/>
        </w:trPr>
        <w:tc>
          <w:tcPr>
            <w:tcW w:w="653" w:type="pct"/>
            <w:shd w:val="clear" w:color="auto" w:fill="auto"/>
            <w:tcMar>
              <w:top w:w="108" w:type="dxa"/>
              <w:left w:w="96" w:type="dxa"/>
              <w:bottom w:w="108" w:type="dxa"/>
              <w:right w:w="96" w:type="dxa"/>
            </w:tcMar>
            <w:vAlign w:val="center"/>
          </w:tcPr>
          <w:p w14:paraId="428412B5">
            <w:pPr>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lang w:val="en-US" w:eastAsia="zh-CN"/>
              </w:rPr>
              <w:t>序号</w:t>
            </w:r>
          </w:p>
        </w:tc>
        <w:tc>
          <w:tcPr>
            <w:tcW w:w="898" w:type="pct"/>
            <w:shd w:val="clear" w:color="auto" w:fill="auto"/>
            <w:tcMar>
              <w:top w:w="108" w:type="dxa"/>
              <w:left w:w="96" w:type="dxa"/>
              <w:bottom w:w="108" w:type="dxa"/>
              <w:right w:w="96" w:type="dxa"/>
            </w:tcMar>
            <w:vAlign w:val="center"/>
          </w:tcPr>
          <w:p w14:paraId="1DF15924">
            <w:pPr>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lang w:val="en-US" w:eastAsia="zh-CN"/>
              </w:rPr>
              <w:t>项目名称</w:t>
            </w:r>
          </w:p>
        </w:tc>
        <w:tc>
          <w:tcPr>
            <w:tcW w:w="794" w:type="pct"/>
            <w:shd w:val="clear" w:color="auto" w:fill="auto"/>
            <w:tcMar>
              <w:top w:w="108" w:type="dxa"/>
              <w:left w:w="96" w:type="dxa"/>
              <w:bottom w:w="108" w:type="dxa"/>
              <w:right w:w="96" w:type="dxa"/>
            </w:tcMar>
            <w:vAlign w:val="center"/>
          </w:tcPr>
          <w:p w14:paraId="12D6304F">
            <w:pPr>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单位</w:t>
            </w:r>
          </w:p>
        </w:tc>
        <w:tc>
          <w:tcPr>
            <w:tcW w:w="800" w:type="pct"/>
            <w:shd w:val="clear" w:color="auto" w:fill="auto"/>
            <w:tcMar>
              <w:top w:w="108" w:type="dxa"/>
              <w:left w:w="96" w:type="dxa"/>
              <w:bottom w:w="108" w:type="dxa"/>
              <w:right w:w="96" w:type="dxa"/>
            </w:tcMar>
            <w:vAlign w:val="center"/>
          </w:tcPr>
          <w:p w14:paraId="454AE6BC">
            <w:pPr>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数量</w:t>
            </w:r>
          </w:p>
        </w:tc>
        <w:tc>
          <w:tcPr>
            <w:tcW w:w="799" w:type="pct"/>
            <w:shd w:val="clear" w:color="auto" w:fill="auto"/>
            <w:tcMar>
              <w:top w:w="108" w:type="dxa"/>
              <w:left w:w="96" w:type="dxa"/>
              <w:bottom w:w="108" w:type="dxa"/>
              <w:right w:w="96" w:type="dxa"/>
            </w:tcMar>
            <w:vAlign w:val="center"/>
          </w:tcPr>
          <w:p w14:paraId="63C0E963">
            <w:pPr>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综合单价</w:t>
            </w:r>
          </w:p>
        </w:tc>
        <w:tc>
          <w:tcPr>
            <w:tcW w:w="1053" w:type="pct"/>
            <w:shd w:val="clear" w:color="auto" w:fill="auto"/>
            <w:tcMar>
              <w:top w:w="108" w:type="dxa"/>
              <w:left w:w="96" w:type="dxa"/>
              <w:bottom w:w="108" w:type="dxa"/>
              <w:right w:w="96" w:type="dxa"/>
            </w:tcMar>
            <w:vAlign w:val="center"/>
          </w:tcPr>
          <w:p w14:paraId="3D146955">
            <w:pPr>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合计/元</w:t>
            </w:r>
          </w:p>
        </w:tc>
      </w:tr>
      <w:tr w14:paraId="45401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rPr>
          <w:trHeight w:val="1226" w:hRule="atLeast"/>
        </w:trPr>
        <w:tc>
          <w:tcPr>
            <w:tcW w:w="653" w:type="pct"/>
            <w:shd w:val="clear" w:color="auto" w:fill="auto"/>
            <w:tcMar>
              <w:top w:w="108" w:type="dxa"/>
              <w:left w:w="96" w:type="dxa"/>
              <w:bottom w:w="108" w:type="dxa"/>
              <w:right w:w="96" w:type="dxa"/>
            </w:tcMar>
            <w:vAlign w:val="center"/>
          </w:tcPr>
          <w:p w14:paraId="324E4C1A">
            <w:pPr>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898" w:type="pct"/>
            <w:shd w:val="clear" w:color="auto" w:fill="auto"/>
            <w:tcMar>
              <w:top w:w="108" w:type="dxa"/>
              <w:left w:w="96" w:type="dxa"/>
              <w:bottom w:w="108" w:type="dxa"/>
              <w:right w:w="96" w:type="dxa"/>
            </w:tcMar>
            <w:vAlign w:val="center"/>
          </w:tcPr>
          <w:p w14:paraId="3D2E0ED7">
            <w:pPr>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精细化天轨密集管理架</w:t>
            </w:r>
          </w:p>
        </w:tc>
        <w:tc>
          <w:tcPr>
            <w:tcW w:w="794" w:type="pct"/>
            <w:shd w:val="clear" w:color="auto" w:fill="auto"/>
            <w:tcMar>
              <w:top w:w="108" w:type="dxa"/>
              <w:left w:w="96" w:type="dxa"/>
              <w:bottom w:w="108" w:type="dxa"/>
              <w:right w:w="96" w:type="dxa"/>
            </w:tcMar>
            <w:vAlign w:val="center"/>
          </w:tcPr>
          <w:p w14:paraId="29DDC0DF">
            <w:pPr>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套</w:t>
            </w:r>
          </w:p>
        </w:tc>
        <w:tc>
          <w:tcPr>
            <w:tcW w:w="800" w:type="pct"/>
            <w:shd w:val="clear" w:color="auto" w:fill="auto"/>
            <w:tcMar>
              <w:top w:w="108" w:type="dxa"/>
              <w:left w:w="96" w:type="dxa"/>
              <w:bottom w:w="108" w:type="dxa"/>
              <w:right w:w="96" w:type="dxa"/>
            </w:tcMar>
            <w:vAlign w:val="center"/>
          </w:tcPr>
          <w:p w14:paraId="119BE96D">
            <w:pPr>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w:t>
            </w:r>
          </w:p>
        </w:tc>
        <w:tc>
          <w:tcPr>
            <w:tcW w:w="799" w:type="pct"/>
            <w:shd w:val="clear" w:color="auto" w:fill="auto"/>
            <w:tcMar>
              <w:top w:w="108" w:type="dxa"/>
              <w:left w:w="96" w:type="dxa"/>
              <w:bottom w:w="108" w:type="dxa"/>
              <w:right w:w="96" w:type="dxa"/>
            </w:tcMar>
            <w:vAlign w:val="center"/>
          </w:tcPr>
          <w:p w14:paraId="00669F59">
            <w:pPr>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449,000.00</w:t>
            </w:r>
          </w:p>
        </w:tc>
        <w:tc>
          <w:tcPr>
            <w:tcW w:w="1053" w:type="pct"/>
            <w:shd w:val="clear" w:color="auto" w:fill="auto"/>
            <w:tcMar>
              <w:top w:w="108" w:type="dxa"/>
              <w:left w:w="96" w:type="dxa"/>
              <w:bottom w:w="108" w:type="dxa"/>
              <w:right w:w="96" w:type="dxa"/>
            </w:tcMar>
            <w:vAlign w:val="center"/>
          </w:tcPr>
          <w:p w14:paraId="3E02AE28">
            <w:pPr>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449,000.00</w:t>
            </w:r>
          </w:p>
        </w:tc>
      </w:tr>
      <w:tr w14:paraId="18D4D8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rPr>
          <w:trHeight w:val="482" w:hRule="atLeast"/>
        </w:trPr>
        <w:tc>
          <w:tcPr>
            <w:tcW w:w="653" w:type="pct"/>
            <w:shd w:val="clear" w:color="auto" w:fill="auto"/>
            <w:tcMar>
              <w:top w:w="108" w:type="dxa"/>
              <w:left w:w="96" w:type="dxa"/>
              <w:bottom w:w="108" w:type="dxa"/>
              <w:right w:w="96" w:type="dxa"/>
            </w:tcMar>
            <w:vAlign w:val="center"/>
          </w:tcPr>
          <w:p w14:paraId="1C81D40C">
            <w:pPr>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2</w:t>
            </w:r>
          </w:p>
        </w:tc>
        <w:tc>
          <w:tcPr>
            <w:tcW w:w="898" w:type="pct"/>
            <w:shd w:val="clear" w:color="auto" w:fill="auto"/>
            <w:tcMar>
              <w:top w:w="108" w:type="dxa"/>
              <w:left w:w="96" w:type="dxa"/>
              <w:bottom w:w="108" w:type="dxa"/>
              <w:right w:w="96" w:type="dxa"/>
            </w:tcMar>
            <w:vAlign w:val="center"/>
          </w:tcPr>
          <w:p w14:paraId="0D6B30AA">
            <w:pPr>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合计</w:t>
            </w:r>
          </w:p>
        </w:tc>
        <w:tc>
          <w:tcPr>
            <w:tcW w:w="2393" w:type="pct"/>
            <w:gridSpan w:val="3"/>
            <w:shd w:val="clear" w:color="auto" w:fill="auto"/>
            <w:tcMar>
              <w:top w:w="108" w:type="dxa"/>
              <w:left w:w="96" w:type="dxa"/>
              <w:bottom w:w="108" w:type="dxa"/>
              <w:right w:w="96" w:type="dxa"/>
            </w:tcMar>
            <w:vAlign w:val="center"/>
          </w:tcPr>
          <w:p w14:paraId="43C8AC55">
            <w:pPr>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sz w:val="21"/>
                <w:szCs w:val="21"/>
                <w:highlight w:val="none"/>
                <w:lang w:val="en-US" w:eastAsia="zh-CN"/>
              </w:rPr>
            </w:pPr>
          </w:p>
        </w:tc>
        <w:tc>
          <w:tcPr>
            <w:tcW w:w="1053" w:type="pct"/>
            <w:shd w:val="clear" w:color="auto" w:fill="auto"/>
            <w:tcMar>
              <w:top w:w="108" w:type="dxa"/>
              <w:left w:w="96" w:type="dxa"/>
              <w:bottom w:w="108" w:type="dxa"/>
              <w:right w:w="96" w:type="dxa"/>
            </w:tcMar>
            <w:vAlign w:val="center"/>
          </w:tcPr>
          <w:p w14:paraId="6EBE0D25">
            <w:pPr>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449,000.00</w:t>
            </w:r>
          </w:p>
        </w:tc>
      </w:tr>
      <w:tr w14:paraId="6E1AD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rPr>
          <w:trHeight w:val="482" w:hRule="atLeast"/>
        </w:trPr>
        <w:tc>
          <w:tcPr>
            <w:tcW w:w="653" w:type="pct"/>
            <w:shd w:val="clear" w:color="auto" w:fill="auto"/>
            <w:tcMar>
              <w:top w:w="108" w:type="dxa"/>
              <w:left w:w="96" w:type="dxa"/>
              <w:bottom w:w="108" w:type="dxa"/>
              <w:right w:w="96" w:type="dxa"/>
            </w:tcMar>
            <w:vAlign w:val="center"/>
          </w:tcPr>
          <w:p w14:paraId="02B52E4D">
            <w:pPr>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3</w:t>
            </w:r>
          </w:p>
        </w:tc>
        <w:tc>
          <w:tcPr>
            <w:tcW w:w="898" w:type="pct"/>
            <w:shd w:val="clear" w:color="auto" w:fill="auto"/>
            <w:tcMar>
              <w:top w:w="108" w:type="dxa"/>
              <w:left w:w="96" w:type="dxa"/>
              <w:bottom w:w="108" w:type="dxa"/>
              <w:right w:w="96" w:type="dxa"/>
            </w:tcMar>
            <w:vAlign w:val="center"/>
          </w:tcPr>
          <w:p w14:paraId="02052D72">
            <w:pPr>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备注</w:t>
            </w:r>
          </w:p>
        </w:tc>
        <w:tc>
          <w:tcPr>
            <w:tcW w:w="3447" w:type="pct"/>
            <w:gridSpan w:val="4"/>
            <w:shd w:val="clear" w:color="auto" w:fill="auto"/>
            <w:tcMar>
              <w:top w:w="108" w:type="dxa"/>
              <w:left w:w="96" w:type="dxa"/>
              <w:bottom w:w="108" w:type="dxa"/>
              <w:right w:w="96" w:type="dxa"/>
            </w:tcMar>
            <w:vAlign w:val="center"/>
          </w:tcPr>
          <w:p w14:paraId="6D6CA480">
            <w:pPr>
              <w:pageBreakBefore w:val="0"/>
              <w:widowControl w:val="0"/>
              <w:kinsoku/>
              <w:wordWrap/>
              <w:overflowPunct/>
              <w:topLinePunct w:val="0"/>
              <w:autoSpaceDE/>
              <w:autoSpaceDN/>
              <w:bidi w:val="0"/>
              <w:adjustRightInd/>
              <w:snapToGrid/>
              <w:spacing w:line="400" w:lineRule="exact"/>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精细化天轨密集管理架配件说明：</w:t>
            </w:r>
          </w:p>
          <w:p w14:paraId="37CB30FB">
            <w:pPr>
              <w:pageBreakBefore w:val="0"/>
              <w:widowControl w:val="0"/>
              <w:numPr>
                <w:ilvl w:val="0"/>
                <w:numId w:val="19"/>
              </w:numPr>
              <w:kinsoku/>
              <w:wordWrap/>
              <w:overflowPunct/>
              <w:topLinePunct w:val="0"/>
              <w:autoSpaceDE/>
              <w:autoSpaceDN/>
              <w:bidi w:val="0"/>
              <w:adjustRightInd/>
              <w:snapToGrid/>
              <w:spacing w:line="400" w:lineRule="exact"/>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全铝结构U型固定列4组；</w:t>
            </w:r>
          </w:p>
          <w:p w14:paraId="415ECA73">
            <w:pPr>
              <w:pageBreakBefore w:val="0"/>
              <w:widowControl w:val="0"/>
              <w:numPr>
                <w:ilvl w:val="0"/>
                <w:numId w:val="19"/>
              </w:numPr>
              <w:kinsoku/>
              <w:wordWrap/>
              <w:overflowPunct/>
              <w:topLinePunct w:val="0"/>
              <w:autoSpaceDE/>
              <w:autoSpaceDN/>
              <w:bidi w:val="0"/>
              <w:adjustRightInd/>
              <w:snapToGrid/>
              <w:spacing w:line="400" w:lineRule="exact"/>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U型移动列9组，移动组带轮；</w:t>
            </w:r>
          </w:p>
          <w:p w14:paraId="2EF00207">
            <w:pPr>
              <w:pageBreakBefore w:val="0"/>
              <w:widowControl w:val="0"/>
              <w:numPr>
                <w:ilvl w:val="0"/>
                <w:numId w:val="19"/>
              </w:numPr>
              <w:kinsoku/>
              <w:wordWrap/>
              <w:overflowPunct/>
              <w:topLinePunct w:val="0"/>
              <w:autoSpaceDE/>
              <w:autoSpaceDN/>
              <w:bidi w:val="0"/>
              <w:adjustRightInd/>
              <w:snapToGrid/>
              <w:spacing w:line="400" w:lineRule="exact"/>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每组单列货架尺寸：≥1830mm×638mm×2055mm（±10%）；</w:t>
            </w:r>
          </w:p>
          <w:p w14:paraId="5B8783EE">
            <w:pPr>
              <w:pageBreakBefore w:val="0"/>
              <w:widowControl w:val="0"/>
              <w:numPr>
                <w:ilvl w:val="0"/>
                <w:numId w:val="19"/>
              </w:numPr>
              <w:kinsoku/>
              <w:wordWrap/>
              <w:overflowPunct/>
              <w:topLinePunct w:val="0"/>
              <w:autoSpaceDE/>
              <w:autoSpaceDN/>
              <w:bidi w:val="0"/>
              <w:adjustRightInd/>
              <w:snapToGrid/>
              <w:spacing w:line="400" w:lineRule="exact"/>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每组构成：水平高压抗菌树脂板≥4块，轻质护栏≥4条，立柱标签牌≥4个；</w:t>
            </w:r>
          </w:p>
        </w:tc>
      </w:tr>
      <w:tr w14:paraId="21234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rPr>
          <w:trHeight w:val="4996" w:hRule="atLeast"/>
        </w:trPr>
        <w:tc>
          <w:tcPr>
            <w:tcW w:w="653" w:type="pct"/>
            <w:shd w:val="clear" w:color="auto" w:fill="auto"/>
            <w:tcMar>
              <w:top w:w="108" w:type="dxa"/>
              <w:left w:w="96" w:type="dxa"/>
              <w:bottom w:w="108" w:type="dxa"/>
              <w:right w:w="96" w:type="dxa"/>
            </w:tcMar>
            <w:vAlign w:val="center"/>
          </w:tcPr>
          <w:p w14:paraId="7309D8FC">
            <w:pPr>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4</w:t>
            </w:r>
          </w:p>
        </w:tc>
        <w:tc>
          <w:tcPr>
            <w:tcW w:w="898" w:type="pct"/>
            <w:shd w:val="clear" w:color="auto" w:fill="auto"/>
            <w:tcMar>
              <w:top w:w="108" w:type="dxa"/>
              <w:left w:w="96" w:type="dxa"/>
              <w:bottom w:w="108" w:type="dxa"/>
              <w:right w:w="96" w:type="dxa"/>
            </w:tcMar>
            <w:vAlign w:val="center"/>
          </w:tcPr>
          <w:p w14:paraId="51A55B9D">
            <w:pPr>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图样参考</w:t>
            </w:r>
          </w:p>
          <w:p w14:paraId="20736C7A">
            <w:pPr>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（现有）</w:t>
            </w:r>
          </w:p>
        </w:tc>
        <w:tc>
          <w:tcPr>
            <w:tcW w:w="3447" w:type="pct"/>
            <w:gridSpan w:val="4"/>
            <w:shd w:val="clear" w:color="auto" w:fill="auto"/>
            <w:tcMar>
              <w:top w:w="108" w:type="dxa"/>
              <w:left w:w="96" w:type="dxa"/>
              <w:bottom w:w="108" w:type="dxa"/>
              <w:right w:w="96" w:type="dxa"/>
            </w:tcMar>
            <w:vAlign w:val="center"/>
          </w:tcPr>
          <w:p w14:paraId="15E4E59D">
            <w:pPr>
              <w:pageBreakBefore w:val="0"/>
              <w:widowControl w:val="0"/>
              <w:kinsoku/>
              <w:wordWrap/>
              <w:overflowPunct/>
              <w:topLinePunct w:val="0"/>
              <w:autoSpaceDE/>
              <w:autoSpaceDN/>
              <w:bidi w:val="0"/>
              <w:adjustRightInd/>
              <w:snapToGrid/>
              <w:spacing w:line="400" w:lineRule="exac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rPr>
              <w:drawing>
                <wp:anchor distT="0" distB="0" distL="114300" distR="114300" simplePos="0" relativeHeight="251661312" behindDoc="0" locked="0" layoutInCell="1" allowOverlap="1">
                  <wp:simplePos x="0" y="0"/>
                  <wp:positionH relativeFrom="column">
                    <wp:posOffset>46990</wp:posOffset>
                  </wp:positionH>
                  <wp:positionV relativeFrom="paragraph">
                    <wp:posOffset>2596515</wp:posOffset>
                  </wp:positionV>
                  <wp:extent cx="3641090" cy="2644140"/>
                  <wp:effectExtent l="0" t="0" r="6985" b="3810"/>
                  <wp:wrapSquare wrapText="bothSides"/>
                  <wp:docPr id="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pic:cNvPicPr>
                            <a:picLocks noChangeAspect="1"/>
                          </pic:cNvPicPr>
                        </pic:nvPicPr>
                        <pic:blipFill>
                          <a:blip r:embed="rId9"/>
                          <a:stretch>
                            <a:fillRect/>
                          </a:stretch>
                        </pic:blipFill>
                        <pic:spPr>
                          <a:xfrm>
                            <a:off x="0" y="0"/>
                            <a:ext cx="3641090" cy="2644140"/>
                          </a:xfrm>
                          <a:prstGeom prst="rect">
                            <a:avLst/>
                          </a:prstGeom>
                          <a:noFill/>
                          <a:ln>
                            <a:noFill/>
                          </a:ln>
                        </pic:spPr>
                      </pic:pic>
                    </a:graphicData>
                  </a:graphic>
                </wp:anchor>
              </w:drawing>
            </w:r>
            <w:r>
              <w:rPr>
                <w:rFonts w:hint="eastAsia" w:ascii="黑体" w:hAnsi="黑体" w:eastAsia="黑体" w:cs="黑体"/>
                <w:color w:val="auto"/>
                <w:sz w:val="21"/>
                <w:szCs w:val="21"/>
                <w:highlight w:val="none"/>
              </w:rPr>
              <w:drawing>
                <wp:anchor distT="0" distB="0" distL="114300" distR="114300" simplePos="0" relativeHeight="251660288" behindDoc="0" locked="0" layoutInCell="1" allowOverlap="1">
                  <wp:simplePos x="0" y="0"/>
                  <wp:positionH relativeFrom="column">
                    <wp:posOffset>15875</wp:posOffset>
                  </wp:positionH>
                  <wp:positionV relativeFrom="page">
                    <wp:posOffset>0</wp:posOffset>
                  </wp:positionV>
                  <wp:extent cx="3662045" cy="2496185"/>
                  <wp:effectExtent l="0" t="0" r="5080" b="8890"/>
                  <wp:wrapSquare wrapText="bothSides"/>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pic:cNvPicPr>
                        </pic:nvPicPr>
                        <pic:blipFill>
                          <a:blip r:embed="rId10"/>
                          <a:stretch>
                            <a:fillRect/>
                          </a:stretch>
                        </pic:blipFill>
                        <pic:spPr>
                          <a:xfrm>
                            <a:off x="0" y="0"/>
                            <a:ext cx="3662045" cy="2496185"/>
                          </a:xfrm>
                          <a:prstGeom prst="rect">
                            <a:avLst/>
                          </a:prstGeom>
                          <a:noFill/>
                          <a:ln>
                            <a:noFill/>
                          </a:ln>
                        </pic:spPr>
                      </pic:pic>
                    </a:graphicData>
                  </a:graphic>
                </wp:anchor>
              </w:drawing>
            </w:r>
          </w:p>
        </w:tc>
      </w:tr>
    </w:tbl>
    <w:p w14:paraId="71C5CA36">
      <w:pPr>
        <w:pStyle w:val="29"/>
        <w:numPr>
          <w:ilvl w:val="0"/>
          <w:numId w:val="18"/>
        </w:numPr>
        <w:spacing w:line="360" w:lineRule="auto"/>
        <w:ind w:firstLineChars="0"/>
        <w:contextualSpacing/>
        <w:rPr>
          <w:rFonts w:hint="eastAsia" w:ascii="黑体" w:hAnsi="黑体" w:eastAsia="黑体" w:cs="黑体"/>
          <w:color w:val="auto"/>
          <w:szCs w:val="21"/>
          <w:highlight w:val="none"/>
        </w:rPr>
      </w:pPr>
      <w:r>
        <w:rPr>
          <w:rFonts w:hint="eastAsia" w:ascii="黑体" w:hAnsi="黑体" w:eastAsia="黑体" w:cs="黑体"/>
          <w:color w:val="auto"/>
          <w:szCs w:val="21"/>
          <w:highlight w:val="none"/>
        </w:rPr>
        <w:t>参数要求</w:t>
      </w:r>
    </w:p>
    <w:tbl>
      <w:tblPr>
        <w:tblStyle w:val="19"/>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1"/>
        <w:gridCol w:w="993"/>
        <w:gridCol w:w="933"/>
        <w:gridCol w:w="1177"/>
        <w:gridCol w:w="4379"/>
      </w:tblGrid>
      <w:tr w14:paraId="1367F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31" w:type="pct"/>
            <w:noWrap w:val="0"/>
            <w:vAlign w:val="center"/>
          </w:tcPr>
          <w:p w14:paraId="43998CAD">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安装</w:t>
            </w:r>
          </w:p>
          <w:p w14:paraId="627CC325">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位置</w:t>
            </w:r>
          </w:p>
        </w:tc>
        <w:tc>
          <w:tcPr>
            <w:tcW w:w="566" w:type="pct"/>
            <w:noWrap w:val="0"/>
            <w:vAlign w:val="center"/>
          </w:tcPr>
          <w:p w14:paraId="25945F44">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货物</w:t>
            </w:r>
          </w:p>
          <w:p w14:paraId="1E947274">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名称</w:t>
            </w:r>
          </w:p>
        </w:tc>
        <w:tc>
          <w:tcPr>
            <w:tcW w:w="532" w:type="pct"/>
            <w:noWrap w:val="0"/>
            <w:vAlign w:val="center"/>
          </w:tcPr>
          <w:p w14:paraId="4D56639B">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数量</w:t>
            </w:r>
          </w:p>
        </w:tc>
        <w:tc>
          <w:tcPr>
            <w:tcW w:w="3168" w:type="pct"/>
            <w:gridSpan w:val="2"/>
            <w:noWrap w:val="0"/>
            <w:vAlign w:val="center"/>
          </w:tcPr>
          <w:p w14:paraId="30A3E57E">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需求意向</w:t>
            </w:r>
          </w:p>
        </w:tc>
      </w:tr>
      <w:tr w14:paraId="4293D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731" w:type="pct"/>
            <w:vMerge w:val="restart"/>
            <w:noWrap w:val="0"/>
            <w:vAlign w:val="center"/>
          </w:tcPr>
          <w:p w14:paraId="07E06BAD">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东莞市骨伤中心3F手术室</w:t>
            </w:r>
          </w:p>
          <w:p w14:paraId="5731367A">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无菌区</w:t>
            </w:r>
          </w:p>
        </w:tc>
        <w:tc>
          <w:tcPr>
            <w:tcW w:w="566" w:type="pct"/>
            <w:vMerge w:val="restart"/>
            <w:noWrap w:val="0"/>
            <w:vAlign w:val="center"/>
          </w:tcPr>
          <w:p w14:paraId="64336D3D">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lang w:val="en-US" w:eastAsia="zh-CN"/>
              </w:rPr>
              <w:t>精细化天轨密集管理架</w:t>
            </w:r>
          </w:p>
        </w:tc>
        <w:tc>
          <w:tcPr>
            <w:tcW w:w="532" w:type="pct"/>
            <w:vMerge w:val="restart"/>
            <w:noWrap w:val="0"/>
            <w:vAlign w:val="center"/>
          </w:tcPr>
          <w:p w14:paraId="300C308C">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1套</w:t>
            </w:r>
          </w:p>
        </w:tc>
        <w:tc>
          <w:tcPr>
            <w:tcW w:w="671" w:type="pct"/>
            <w:noWrap w:val="0"/>
            <w:vAlign w:val="center"/>
          </w:tcPr>
          <w:p w14:paraId="236B9D5F">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使用范围</w:t>
            </w:r>
          </w:p>
        </w:tc>
        <w:tc>
          <w:tcPr>
            <w:tcW w:w="2497" w:type="pct"/>
            <w:noWrap w:val="0"/>
            <w:vAlign w:val="center"/>
          </w:tcPr>
          <w:p w14:paraId="5A67429B">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lang w:val="en-US" w:eastAsia="zh-CN"/>
              </w:rPr>
              <w:t>适用于消毒供应中心、手术室等承载灭菌盒、器械包等重型物品存放。</w:t>
            </w:r>
          </w:p>
        </w:tc>
      </w:tr>
      <w:tr w14:paraId="63BD36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8" w:hRule="atLeast"/>
          <w:jc w:val="center"/>
        </w:trPr>
        <w:tc>
          <w:tcPr>
            <w:tcW w:w="731" w:type="pct"/>
            <w:vMerge w:val="continue"/>
            <w:noWrap w:val="0"/>
            <w:vAlign w:val="center"/>
          </w:tcPr>
          <w:p w14:paraId="7A4AAA92">
            <w:pPr>
              <w:keepNext w:val="0"/>
              <w:keepLines w:val="0"/>
              <w:pageBreakBefore w:val="0"/>
              <w:kinsoku/>
              <w:wordWrap/>
              <w:overflowPunct/>
              <w:topLinePunct w:val="0"/>
              <w:autoSpaceDE/>
              <w:autoSpaceDN/>
              <w:bidi w:val="0"/>
              <w:adjustRightInd/>
              <w:snapToGrid/>
              <w:spacing w:line="400" w:lineRule="exact"/>
              <w:textAlignment w:val="auto"/>
              <w:rPr>
                <w:rFonts w:hint="eastAsia" w:ascii="黑体" w:hAnsi="黑体" w:eastAsia="黑体" w:cs="黑体"/>
                <w:color w:val="auto"/>
                <w:sz w:val="21"/>
                <w:szCs w:val="21"/>
                <w:highlight w:val="none"/>
              </w:rPr>
            </w:pPr>
          </w:p>
        </w:tc>
        <w:tc>
          <w:tcPr>
            <w:tcW w:w="566" w:type="pct"/>
            <w:vMerge w:val="continue"/>
            <w:noWrap w:val="0"/>
            <w:vAlign w:val="center"/>
          </w:tcPr>
          <w:p w14:paraId="2CA8855C">
            <w:pPr>
              <w:keepNext w:val="0"/>
              <w:keepLines w:val="0"/>
              <w:pageBreakBefore w:val="0"/>
              <w:kinsoku/>
              <w:wordWrap/>
              <w:overflowPunct/>
              <w:topLinePunct w:val="0"/>
              <w:autoSpaceDE/>
              <w:autoSpaceDN/>
              <w:bidi w:val="0"/>
              <w:adjustRightInd/>
              <w:snapToGrid/>
              <w:spacing w:line="400" w:lineRule="exact"/>
              <w:textAlignment w:val="auto"/>
              <w:rPr>
                <w:rFonts w:hint="eastAsia" w:ascii="黑体" w:hAnsi="黑体" w:eastAsia="黑体" w:cs="黑体"/>
                <w:color w:val="auto"/>
                <w:sz w:val="21"/>
                <w:szCs w:val="21"/>
                <w:highlight w:val="none"/>
              </w:rPr>
            </w:pPr>
          </w:p>
        </w:tc>
        <w:tc>
          <w:tcPr>
            <w:tcW w:w="532" w:type="pct"/>
            <w:vMerge w:val="continue"/>
            <w:noWrap w:val="0"/>
            <w:vAlign w:val="center"/>
          </w:tcPr>
          <w:p w14:paraId="18FEDA3B">
            <w:pPr>
              <w:keepNext w:val="0"/>
              <w:keepLines w:val="0"/>
              <w:pageBreakBefore w:val="0"/>
              <w:kinsoku/>
              <w:wordWrap/>
              <w:overflowPunct/>
              <w:topLinePunct w:val="0"/>
              <w:autoSpaceDE/>
              <w:autoSpaceDN/>
              <w:bidi w:val="0"/>
              <w:adjustRightInd/>
              <w:snapToGrid/>
              <w:spacing w:line="400" w:lineRule="exact"/>
              <w:textAlignment w:val="auto"/>
              <w:rPr>
                <w:rFonts w:hint="eastAsia" w:ascii="黑体" w:hAnsi="黑体" w:eastAsia="黑体" w:cs="黑体"/>
                <w:color w:val="auto"/>
                <w:sz w:val="21"/>
                <w:szCs w:val="21"/>
                <w:highlight w:val="none"/>
              </w:rPr>
            </w:pPr>
          </w:p>
        </w:tc>
        <w:tc>
          <w:tcPr>
            <w:tcW w:w="671" w:type="pct"/>
            <w:noWrap w:val="0"/>
            <w:vAlign w:val="center"/>
          </w:tcPr>
          <w:p w14:paraId="4906324E">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符合标准</w:t>
            </w:r>
          </w:p>
        </w:tc>
        <w:tc>
          <w:tcPr>
            <w:tcW w:w="2497" w:type="pct"/>
            <w:noWrap w:val="0"/>
            <w:vAlign w:val="center"/>
          </w:tcPr>
          <w:p w14:paraId="6D1DE727">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ISO3394:2012/WS310.1-3</w:t>
            </w:r>
          </w:p>
        </w:tc>
      </w:tr>
      <w:tr w14:paraId="20D26F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2" w:hRule="atLeast"/>
          <w:jc w:val="center"/>
        </w:trPr>
        <w:tc>
          <w:tcPr>
            <w:tcW w:w="731" w:type="pct"/>
            <w:vMerge w:val="continue"/>
            <w:noWrap w:val="0"/>
            <w:vAlign w:val="center"/>
          </w:tcPr>
          <w:p w14:paraId="43959AB0">
            <w:pPr>
              <w:keepNext w:val="0"/>
              <w:keepLines w:val="0"/>
              <w:pageBreakBefore w:val="0"/>
              <w:kinsoku/>
              <w:wordWrap/>
              <w:overflowPunct/>
              <w:topLinePunct w:val="0"/>
              <w:autoSpaceDE/>
              <w:autoSpaceDN/>
              <w:bidi w:val="0"/>
              <w:adjustRightInd/>
              <w:snapToGrid/>
              <w:spacing w:line="400" w:lineRule="exact"/>
              <w:textAlignment w:val="auto"/>
              <w:rPr>
                <w:rFonts w:hint="eastAsia" w:ascii="黑体" w:hAnsi="黑体" w:eastAsia="黑体" w:cs="黑体"/>
                <w:color w:val="auto"/>
                <w:sz w:val="21"/>
                <w:szCs w:val="21"/>
                <w:highlight w:val="none"/>
              </w:rPr>
            </w:pPr>
          </w:p>
        </w:tc>
        <w:tc>
          <w:tcPr>
            <w:tcW w:w="566" w:type="pct"/>
            <w:vMerge w:val="continue"/>
            <w:noWrap w:val="0"/>
            <w:vAlign w:val="center"/>
          </w:tcPr>
          <w:p w14:paraId="6C8EA9B7">
            <w:pPr>
              <w:keepNext w:val="0"/>
              <w:keepLines w:val="0"/>
              <w:pageBreakBefore w:val="0"/>
              <w:kinsoku/>
              <w:wordWrap/>
              <w:overflowPunct/>
              <w:topLinePunct w:val="0"/>
              <w:autoSpaceDE/>
              <w:autoSpaceDN/>
              <w:bidi w:val="0"/>
              <w:adjustRightInd/>
              <w:snapToGrid/>
              <w:spacing w:line="400" w:lineRule="exact"/>
              <w:textAlignment w:val="auto"/>
              <w:rPr>
                <w:rFonts w:hint="eastAsia" w:ascii="黑体" w:hAnsi="黑体" w:eastAsia="黑体" w:cs="黑体"/>
                <w:color w:val="auto"/>
                <w:sz w:val="21"/>
                <w:szCs w:val="21"/>
                <w:highlight w:val="none"/>
              </w:rPr>
            </w:pPr>
          </w:p>
        </w:tc>
        <w:tc>
          <w:tcPr>
            <w:tcW w:w="532" w:type="pct"/>
            <w:vMerge w:val="continue"/>
            <w:noWrap w:val="0"/>
            <w:vAlign w:val="center"/>
          </w:tcPr>
          <w:p w14:paraId="5BE4AFF9">
            <w:pPr>
              <w:keepNext w:val="0"/>
              <w:keepLines w:val="0"/>
              <w:pageBreakBefore w:val="0"/>
              <w:kinsoku/>
              <w:wordWrap/>
              <w:overflowPunct/>
              <w:topLinePunct w:val="0"/>
              <w:autoSpaceDE/>
              <w:autoSpaceDN/>
              <w:bidi w:val="0"/>
              <w:adjustRightInd/>
              <w:snapToGrid/>
              <w:spacing w:line="400" w:lineRule="exact"/>
              <w:textAlignment w:val="auto"/>
              <w:rPr>
                <w:rFonts w:hint="eastAsia" w:ascii="黑体" w:hAnsi="黑体" w:eastAsia="黑体" w:cs="黑体"/>
                <w:color w:val="auto"/>
                <w:sz w:val="21"/>
                <w:szCs w:val="21"/>
                <w:highlight w:val="none"/>
              </w:rPr>
            </w:pPr>
          </w:p>
        </w:tc>
        <w:tc>
          <w:tcPr>
            <w:tcW w:w="671" w:type="pct"/>
            <w:noWrap w:val="0"/>
            <w:vAlign w:val="center"/>
          </w:tcPr>
          <w:p w14:paraId="51E0972A">
            <w:pPr>
              <w:keepNext w:val="0"/>
              <w:keepLines w:val="0"/>
              <w:pageBreakBefore w:val="0"/>
              <w:kinsoku/>
              <w:wordWrap/>
              <w:overflowPunct/>
              <w:topLinePunct w:val="0"/>
              <w:autoSpaceDE/>
              <w:autoSpaceDN/>
              <w:bidi w:val="0"/>
              <w:adjustRightInd/>
              <w:snapToGrid/>
              <w:spacing w:line="400" w:lineRule="exac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rPr>
              <w:t>管理架</w:t>
            </w:r>
            <w:r>
              <w:rPr>
                <w:rFonts w:hint="eastAsia" w:ascii="黑体" w:hAnsi="黑体" w:eastAsia="黑体" w:cs="黑体"/>
                <w:color w:val="auto"/>
                <w:sz w:val="21"/>
                <w:szCs w:val="21"/>
                <w:highlight w:val="none"/>
                <w:lang w:val="en-US" w:eastAsia="zh-CN"/>
              </w:rPr>
              <w:t>结构</w:t>
            </w:r>
          </w:p>
        </w:tc>
        <w:tc>
          <w:tcPr>
            <w:tcW w:w="2497" w:type="pct"/>
            <w:noWrap w:val="0"/>
            <w:vAlign w:val="center"/>
          </w:tcPr>
          <w:p w14:paraId="0F87F874">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1、功能：高密度存储，移动列在天轨范围内移动，形成管理架位专用通道，高</w:t>
            </w:r>
            <w:r>
              <w:rPr>
                <w:rFonts w:hint="eastAsia" w:ascii="黑体" w:hAnsi="黑体" w:eastAsia="黑体" w:cs="黑体"/>
                <w:color w:val="auto"/>
                <w:sz w:val="21"/>
                <w:szCs w:val="21"/>
                <w:highlight w:val="none"/>
              </w:rPr>
              <w:t>坪</w:t>
            </w:r>
            <w:r>
              <w:rPr>
                <w:rFonts w:hint="eastAsia" w:ascii="黑体" w:hAnsi="黑体" w:eastAsia="黑体" w:cs="黑体"/>
                <w:color w:val="auto"/>
                <w:sz w:val="21"/>
                <w:szCs w:val="21"/>
                <w:highlight w:val="none"/>
                <w:lang w:val="en-US" w:eastAsia="zh-CN"/>
              </w:rPr>
              <w:t>效管理，满足＞520个手术包储存空间。</w:t>
            </w:r>
          </w:p>
          <w:p w14:paraId="63DFDBBF">
            <w:pPr>
              <w:keepNext w:val="0"/>
              <w:keepLines w:val="0"/>
              <w:pageBreakBefore w:val="0"/>
              <w:numPr>
                <w:ilvl w:val="0"/>
                <w:numId w:val="0"/>
              </w:numPr>
              <w:kinsoku/>
              <w:wordWrap/>
              <w:overflowPunct/>
              <w:topLinePunct w:val="0"/>
              <w:autoSpaceDE/>
              <w:autoSpaceDN/>
              <w:bidi w:val="0"/>
              <w:adjustRightInd/>
              <w:snapToGrid/>
              <w:spacing w:line="400" w:lineRule="exact"/>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2、单列货架尺寸（共计13列）</w:t>
            </w:r>
          </w:p>
          <w:p w14:paraId="5C33783D">
            <w:pPr>
              <w:keepNext w:val="0"/>
              <w:keepLines w:val="0"/>
              <w:pageBreakBefore w:val="0"/>
              <w:numPr>
                <w:ilvl w:val="0"/>
                <w:numId w:val="0"/>
              </w:numPr>
              <w:kinsoku/>
              <w:wordWrap/>
              <w:overflowPunct/>
              <w:topLinePunct w:val="0"/>
              <w:autoSpaceDE/>
              <w:autoSpaceDN/>
              <w:bidi w:val="0"/>
              <w:adjustRightInd/>
              <w:snapToGrid/>
              <w:spacing w:line="400" w:lineRule="exact"/>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≥1830mm×638mm×2055mm</w:t>
            </w:r>
          </w:p>
          <w:p w14:paraId="4B75D243">
            <w:pPr>
              <w:keepNext w:val="0"/>
              <w:keepLines w:val="0"/>
              <w:pageBreakBefore w:val="0"/>
              <w:numPr>
                <w:ilvl w:val="0"/>
                <w:numId w:val="0"/>
              </w:numPr>
              <w:kinsoku/>
              <w:wordWrap/>
              <w:overflowPunct/>
              <w:topLinePunct w:val="0"/>
              <w:autoSpaceDE/>
              <w:autoSpaceDN/>
              <w:bidi w:val="0"/>
              <w:adjustRightInd/>
              <w:snapToGrid/>
              <w:spacing w:line="400" w:lineRule="exact"/>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（±10%）</w:t>
            </w:r>
            <w:r>
              <w:rPr>
                <w:rFonts w:hint="eastAsia" w:ascii="黑体" w:hAnsi="黑体" w:eastAsia="黑体" w:cs="黑体"/>
                <w:color w:val="auto"/>
                <w:sz w:val="21"/>
                <w:szCs w:val="21"/>
                <w:highlight w:val="none"/>
                <w:lang w:val="en-US" w:eastAsia="zh-CN"/>
              </w:rPr>
              <w:t>。</w:t>
            </w:r>
          </w:p>
          <w:p w14:paraId="56B66056">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黑体" w:hAnsi="黑体" w:eastAsia="黑体" w:cs="黑体"/>
                <w:color w:val="auto"/>
                <w:sz w:val="21"/>
                <w:szCs w:val="21"/>
                <w:highlight w:val="none"/>
                <w:shd w:val="clear"/>
              </w:rPr>
            </w:pPr>
            <w:r>
              <w:rPr>
                <w:rFonts w:hint="eastAsia" w:ascii="黑体" w:hAnsi="黑体" w:eastAsia="黑体" w:cs="黑体"/>
                <w:color w:val="auto"/>
                <w:sz w:val="21"/>
                <w:szCs w:val="21"/>
                <w:highlight w:val="none"/>
              </w:rPr>
              <w:t>3、</w:t>
            </w:r>
            <w:r>
              <w:rPr>
                <w:rFonts w:hint="eastAsia" w:ascii="黑体" w:hAnsi="黑体" w:eastAsia="黑体" w:cs="黑体"/>
                <w:color w:val="auto"/>
                <w:sz w:val="21"/>
                <w:szCs w:val="21"/>
                <w:highlight w:val="none"/>
                <w:shd w:val="clear"/>
              </w:rPr>
              <w:t>其中移动列带脚轮，可移动使用。</w:t>
            </w:r>
          </w:p>
          <w:p w14:paraId="1C8E5BD6">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黑体" w:hAnsi="黑体" w:eastAsia="黑体" w:cs="黑体"/>
                <w:b/>
                <w:bCs/>
                <w:color w:val="auto"/>
                <w:sz w:val="21"/>
                <w:szCs w:val="21"/>
                <w:highlight w:val="none"/>
              </w:rPr>
            </w:pPr>
            <w:r>
              <w:rPr>
                <w:rFonts w:hint="eastAsia" w:ascii="黑体" w:hAnsi="黑体" w:eastAsia="黑体" w:cs="黑体"/>
                <w:b/>
                <w:bCs/>
                <w:color w:val="auto"/>
                <w:sz w:val="21"/>
                <w:szCs w:val="21"/>
                <w:highlight w:val="none"/>
              </w:rPr>
              <w:t>▲4、每列构成：模块化75mm(±5mm)宽的层板条，5mm厚的长度调节片，航空铝承重档，立柱，轻质护栏≥4条，立柱标签牌每列≥4个；（提供彩页说明</w:t>
            </w:r>
            <w:r>
              <w:rPr>
                <w:rFonts w:hint="eastAsia" w:ascii="黑体" w:hAnsi="黑体" w:eastAsia="黑体" w:cs="黑体"/>
                <w:b/>
                <w:bCs/>
                <w:color w:val="auto"/>
                <w:sz w:val="21"/>
                <w:szCs w:val="21"/>
                <w:highlight w:val="none"/>
                <w:lang w:val="en-US" w:eastAsia="zh-CN"/>
              </w:rPr>
              <w:t>及实物图片（盖章</w:t>
            </w:r>
            <w:r>
              <w:rPr>
                <w:rFonts w:hint="eastAsia" w:ascii="黑体" w:hAnsi="黑体" w:eastAsia="黑体" w:cs="黑体"/>
                <w:b/>
                <w:bCs/>
                <w:color w:val="auto"/>
                <w:sz w:val="21"/>
                <w:szCs w:val="21"/>
                <w:highlight w:val="none"/>
              </w:rPr>
              <w:t>）</w:t>
            </w:r>
            <w:r>
              <w:rPr>
                <w:rFonts w:hint="eastAsia" w:ascii="黑体" w:hAnsi="黑体" w:eastAsia="黑体" w:cs="黑体"/>
                <w:color w:val="auto"/>
                <w:highlight w:val="none"/>
                <w:lang w:eastAsia="zh-CN"/>
              </w:rPr>
              <w:t>）</w:t>
            </w:r>
          </w:p>
          <w:p w14:paraId="4D0D1A2C">
            <w:pPr>
              <w:keepNext w:val="0"/>
              <w:keepLines w:val="0"/>
              <w:pageBreakBefore w:val="0"/>
              <w:numPr>
                <w:ilvl w:val="0"/>
                <w:numId w:val="19"/>
              </w:numPr>
              <w:kinsoku/>
              <w:wordWrap/>
              <w:overflowPunct/>
              <w:topLinePunct w:val="0"/>
              <w:autoSpaceDE/>
              <w:autoSpaceDN/>
              <w:bidi w:val="0"/>
              <w:adjustRightInd/>
              <w:snapToGrid/>
              <w:spacing w:line="400" w:lineRule="exact"/>
              <w:ind w:left="0" w:leftChars="0" w:firstLine="0" w:firstLineChars="0"/>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立柱厚度</w:t>
            </w:r>
            <w:r>
              <w:rPr>
                <w:rFonts w:hint="eastAsia" w:ascii="黑体" w:hAnsi="黑体" w:eastAsia="黑体" w:cs="黑体"/>
                <w:color w:val="auto"/>
                <w:sz w:val="21"/>
                <w:szCs w:val="21"/>
                <w:highlight w:val="none"/>
              </w:rPr>
              <w:t>≥</w:t>
            </w:r>
            <w:r>
              <w:rPr>
                <w:rFonts w:hint="eastAsia" w:ascii="黑体" w:hAnsi="黑体" w:eastAsia="黑体" w:cs="黑体"/>
                <w:color w:val="auto"/>
                <w:sz w:val="21"/>
                <w:szCs w:val="21"/>
                <w:highlight w:val="none"/>
                <w:lang w:val="en-US" w:eastAsia="zh-CN"/>
              </w:rPr>
              <w:t>2.4mm，</w:t>
            </w:r>
            <w:r>
              <w:rPr>
                <w:rFonts w:hint="eastAsia" w:ascii="黑体" w:hAnsi="黑体" w:eastAsia="黑体" w:cs="黑体"/>
                <w:color w:val="auto"/>
                <w:sz w:val="21"/>
                <w:szCs w:val="21"/>
                <w:highlight w:val="none"/>
              </w:rPr>
              <w:t>表面电泳涂装处理，轻质强度高</w:t>
            </w:r>
            <w:r>
              <w:rPr>
                <w:rFonts w:hint="eastAsia" w:ascii="黑体" w:hAnsi="黑体" w:eastAsia="黑体" w:cs="黑体"/>
                <w:color w:val="auto"/>
                <w:sz w:val="21"/>
                <w:szCs w:val="21"/>
                <w:highlight w:val="none"/>
                <w:lang w:val="en-US" w:eastAsia="zh-CN"/>
              </w:rPr>
              <w:t>，无利边利角，不生锈，无刮手毛边或起皮，立柱</w:t>
            </w:r>
            <w:r>
              <w:rPr>
                <w:rFonts w:hint="eastAsia" w:ascii="黑体" w:hAnsi="黑体" w:eastAsia="黑体" w:cs="黑体"/>
                <w:color w:val="auto"/>
                <w:sz w:val="21"/>
                <w:szCs w:val="21"/>
                <w:highlight w:val="none"/>
              </w:rPr>
              <w:t>孔有专用孔塞</w:t>
            </w:r>
            <w:r>
              <w:rPr>
                <w:rFonts w:hint="eastAsia" w:ascii="黑体" w:hAnsi="黑体" w:eastAsia="黑体" w:cs="黑体"/>
                <w:color w:val="auto"/>
                <w:sz w:val="21"/>
                <w:szCs w:val="21"/>
                <w:highlight w:val="none"/>
                <w:lang w:val="en-US" w:eastAsia="zh-CN"/>
              </w:rPr>
              <w:t>防尘；</w:t>
            </w:r>
          </w:p>
          <w:p w14:paraId="3E9C6F04">
            <w:pPr>
              <w:keepNext w:val="0"/>
              <w:keepLines w:val="0"/>
              <w:pageBreakBefore w:val="0"/>
              <w:numPr>
                <w:ilvl w:val="0"/>
                <w:numId w:val="0"/>
              </w:numPr>
              <w:kinsoku/>
              <w:wordWrap/>
              <w:overflowPunct/>
              <w:topLinePunct w:val="0"/>
              <w:autoSpaceDE/>
              <w:autoSpaceDN/>
              <w:bidi w:val="0"/>
              <w:adjustRightInd/>
              <w:snapToGrid/>
              <w:spacing w:line="400" w:lineRule="exact"/>
              <w:ind w:leftChars="0"/>
              <w:jc w:val="left"/>
              <w:textAlignment w:val="auto"/>
              <w:rPr>
                <w:rFonts w:hint="eastAsia" w:ascii="黑体" w:hAnsi="黑体" w:eastAsia="黑体" w:cs="黑体"/>
                <w:b/>
                <w:bCs/>
                <w:color w:val="auto"/>
                <w:sz w:val="21"/>
                <w:szCs w:val="21"/>
                <w:highlight w:val="none"/>
              </w:rPr>
            </w:pPr>
            <w:r>
              <w:rPr>
                <w:rFonts w:hint="eastAsia" w:ascii="黑体" w:hAnsi="黑体" w:eastAsia="黑体" w:cs="黑体"/>
                <w:b/>
                <w:bCs/>
                <w:color w:val="auto"/>
                <w:sz w:val="21"/>
                <w:szCs w:val="21"/>
                <w:highlight w:val="none"/>
              </w:rPr>
              <w:t>▲6、框架立柱及天轨：无地轨（对楼层板面无破坏），移动列在天轨范围自由移动（提供彩页说明</w:t>
            </w:r>
            <w:r>
              <w:rPr>
                <w:rFonts w:hint="eastAsia" w:ascii="黑体" w:hAnsi="黑体" w:eastAsia="黑体" w:cs="黑体"/>
                <w:b/>
                <w:bCs/>
                <w:color w:val="auto"/>
                <w:sz w:val="21"/>
                <w:szCs w:val="21"/>
                <w:highlight w:val="none"/>
                <w:lang w:val="en-US" w:eastAsia="zh-CN"/>
              </w:rPr>
              <w:t>及实物图片（盖章</w:t>
            </w:r>
            <w:r>
              <w:rPr>
                <w:rFonts w:hint="eastAsia" w:ascii="黑体" w:hAnsi="黑体" w:eastAsia="黑体" w:cs="黑体"/>
                <w:b/>
                <w:bCs/>
                <w:color w:val="auto"/>
                <w:sz w:val="21"/>
                <w:szCs w:val="21"/>
                <w:highlight w:val="none"/>
              </w:rPr>
              <w:t>））</w:t>
            </w:r>
          </w:p>
          <w:p w14:paraId="302FD664">
            <w:pPr>
              <w:keepNext w:val="0"/>
              <w:keepLines w:val="0"/>
              <w:pageBreakBefore w:val="0"/>
              <w:numPr>
                <w:ilvl w:val="0"/>
                <w:numId w:val="0"/>
              </w:numPr>
              <w:kinsoku/>
              <w:wordWrap/>
              <w:overflowPunct/>
              <w:topLinePunct w:val="0"/>
              <w:autoSpaceDE/>
              <w:autoSpaceDN/>
              <w:bidi w:val="0"/>
              <w:adjustRightInd/>
              <w:snapToGrid/>
              <w:spacing w:line="400" w:lineRule="exact"/>
              <w:ind w:leftChars="0"/>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rPr>
              <w:t>▲7、连接部位采用榫卯结构，无可见螺丝。（提供彩页说明</w:t>
            </w:r>
            <w:r>
              <w:rPr>
                <w:rFonts w:hint="eastAsia" w:ascii="黑体" w:hAnsi="黑体" w:eastAsia="黑体" w:cs="黑体"/>
                <w:b/>
                <w:bCs/>
                <w:color w:val="auto"/>
                <w:sz w:val="21"/>
                <w:szCs w:val="21"/>
                <w:highlight w:val="none"/>
                <w:lang w:val="en-US" w:eastAsia="zh-CN"/>
              </w:rPr>
              <w:t>及实物图片（盖章</w:t>
            </w:r>
            <w:r>
              <w:rPr>
                <w:rFonts w:hint="eastAsia" w:ascii="黑体" w:hAnsi="黑体" w:eastAsia="黑体" w:cs="黑体"/>
                <w:b/>
                <w:bCs/>
                <w:color w:val="auto"/>
                <w:sz w:val="21"/>
                <w:szCs w:val="21"/>
                <w:highlight w:val="none"/>
              </w:rPr>
              <w:t>））</w:t>
            </w:r>
          </w:p>
        </w:tc>
      </w:tr>
      <w:tr w14:paraId="763B0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0" w:hRule="atLeast"/>
          <w:jc w:val="center"/>
        </w:trPr>
        <w:tc>
          <w:tcPr>
            <w:tcW w:w="731" w:type="pct"/>
            <w:vMerge w:val="continue"/>
            <w:noWrap w:val="0"/>
            <w:vAlign w:val="center"/>
          </w:tcPr>
          <w:p w14:paraId="2E42AB59">
            <w:pPr>
              <w:keepNext w:val="0"/>
              <w:keepLines w:val="0"/>
              <w:pageBreakBefore w:val="0"/>
              <w:kinsoku/>
              <w:wordWrap/>
              <w:overflowPunct/>
              <w:topLinePunct w:val="0"/>
              <w:autoSpaceDE/>
              <w:autoSpaceDN/>
              <w:bidi w:val="0"/>
              <w:adjustRightInd/>
              <w:snapToGrid/>
              <w:spacing w:line="400" w:lineRule="exact"/>
              <w:textAlignment w:val="auto"/>
              <w:rPr>
                <w:rFonts w:hint="eastAsia" w:ascii="黑体" w:hAnsi="黑体" w:eastAsia="黑体" w:cs="黑体"/>
                <w:color w:val="auto"/>
                <w:sz w:val="21"/>
                <w:szCs w:val="21"/>
                <w:highlight w:val="none"/>
              </w:rPr>
            </w:pPr>
          </w:p>
        </w:tc>
        <w:tc>
          <w:tcPr>
            <w:tcW w:w="566" w:type="pct"/>
            <w:vMerge w:val="continue"/>
            <w:noWrap w:val="0"/>
            <w:vAlign w:val="center"/>
          </w:tcPr>
          <w:p w14:paraId="66118CEA">
            <w:pPr>
              <w:keepNext w:val="0"/>
              <w:keepLines w:val="0"/>
              <w:pageBreakBefore w:val="0"/>
              <w:kinsoku/>
              <w:wordWrap/>
              <w:overflowPunct/>
              <w:topLinePunct w:val="0"/>
              <w:autoSpaceDE/>
              <w:autoSpaceDN/>
              <w:bidi w:val="0"/>
              <w:adjustRightInd/>
              <w:snapToGrid/>
              <w:spacing w:line="400" w:lineRule="exact"/>
              <w:textAlignment w:val="auto"/>
              <w:rPr>
                <w:rFonts w:hint="eastAsia" w:ascii="黑体" w:hAnsi="黑体" w:eastAsia="黑体" w:cs="黑体"/>
                <w:color w:val="auto"/>
                <w:sz w:val="21"/>
                <w:szCs w:val="21"/>
                <w:highlight w:val="none"/>
              </w:rPr>
            </w:pPr>
          </w:p>
        </w:tc>
        <w:tc>
          <w:tcPr>
            <w:tcW w:w="532" w:type="pct"/>
            <w:vMerge w:val="continue"/>
            <w:noWrap w:val="0"/>
            <w:vAlign w:val="center"/>
          </w:tcPr>
          <w:p w14:paraId="57591663">
            <w:pPr>
              <w:keepNext w:val="0"/>
              <w:keepLines w:val="0"/>
              <w:pageBreakBefore w:val="0"/>
              <w:kinsoku/>
              <w:wordWrap/>
              <w:overflowPunct/>
              <w:topLinePunct w:val="0"/>
              <w:autoSpaceDE/>
              <w:autoSpaceDN/>
              <w:bidi w:val="0"/>
              <w:adjustRightInd/>
              <w:snapToGrid/>
              <w:spacing w:line="400" w:lineRule="exact"/>
              <w:textAlignment w:val="auto"/>
              <w:rPr>
                <w:rFonts w:hint="eastAsia" w:ascii="黑体" w:hAnsi="黑体" w:eastAsia="黑体" w:cs="黑体"/>
                <w:color w:val="auto"/>
                <w:sz w:val="21"/>
                <w:szCs w:val="21"/>
                <w:highlight w:val="none"/>
              </w:rPr>
            </w:pPr>
          </w:p>
        </w:tc>
        <w:tc>
          <w:tcPr>
            <w:tcW w:w="671" w:type="pct"/>
            <w:noWrap w:val="0"/>
            <w:vAlign w:val="center"/>
          </w:tcPr>
          <w:p w14:paraId="30D44669">
            <w:pPr>
              <w:keepNext w:val="0"/>
              <w:keepLines w:val="0"/>
              <w:pageBreakBefore w:val="0"/>
              <w:kinsoku/>
              <w:wordWrap/>
              <w:overflowPunct/>
              <w:topLinePunct w:val="0"/>
              <w:autoSpaceDE/>
              <w:autoSpaceDN/>
              <w:bidi w:val="0"/>
              <w:adjustRightInd/>
              <w:snapToGrid/>
              <w:spacing w:line="400" w:lineRule="exac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层板要求</w:t>
            </w:r>
          </w:p>
        </w:tc>
        <w:tc>
          <w:tcPr>
            <w:tcW w:w="2497" w:type="pct"/>
            <w:noWrap w:val="0"/>
            <w:vAlign w:val="center"/>
          </w:tcPr>
          <w:p w14:paraId="49F60106">
            <w:pPr>
              <w:keepNext w:val="0"/>
              <w:keepLines w:val="0"/>
              <w:pageBreakBefore w:val="0"/>
              <w:kinsoku/>
              <w:wordWrap/>
              <w:overflowPunct/>
              <w:topLinePunct w:val="0"/>
              <w:autoSpaceDE/>
              <w:autoSpaceDN/>
              <w:bidi w:val="0"/>
              <w:adjustRightInd/>
              <w:snapToGrid/>
              <w:spacing w:line="400" w:lineRule="exac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1、层板采用抗菌材料</w:t>
            </w:r>
          </w:p>
          <w:p w14:paraId="033E55F7">
            <w:pPr>
              <w:keepNext w:val="0"/>
              <w:keepLines w:val="0"/>
              <w:pageBreakBefore w:val="0"/>
              <w:kinsoku/>
              <w:wordWrap/>
              <w:overflowPunct/>
              <w:topLinePunct w:val="0"/>
              <w:autoSpaceDE/>
              <w:autoSpaceDN/>
              <w:bidi w:val="0"/>
              <w:adjustRightInd/>
              <w:snapToGrid/>
              <w:spacing w:line="400" w:lineRule="exact"/>
              <w:textAlignment w:val="auto"/>
              <w:rPr>
                <w:rFonts w:hint="eastAsia" w:ascii="黑体" w:hAnsi="黑体" w:eastAsia="黑体" w:cs="黑体"/>
                <w:b/>
                <w:bCs/>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▲2、抗菌性能检测，要求对金黄色葡萄球菌、大肠杆菌抗菌率达：≥99.9%；（</w:t>
            </w:r>
            <w:r>
              <w:rPr>
                <w:rFonts w:hint="eastAsia" w:ascii="黑体" w:hAnsi="黑体" w:eastAsia="黑体" w:cs="黑体"/>
                <w:b/>
                <w:bCs/>
                <w:color w:val="auto"/>
                <w:sz w:val="21"/>
                <w:szCs w:val="21"/>
                <w:highlight w:val="none"/>
              </w:rPr>
              <w:t>抗菌性能提供第三方检测（检验）机构出具的具有CMA标识的检测（检验）报告</w:t>
            </w:r>
            <w:r>
              <w:rPr>
                <w:rFonts w:hint="eastAsia" w:ascii="黑体" w:hAnsi="黑体" w:eastAsia="黑体" w:cs="黑体"/>
                <w:b/>
                <w:bCs/>
                <w:color w:val="auto"/>
                <w:sz w:val="21"/>
                <w:szCs w:val="21"/>
                <w:highlight w:val="none"/>
                <w:lang w:eastAsia="zh-CN"/>
              </w:rPr>
              <w:t>）</w:t>
            </w:r>
          </w:p>
          <w:p w14:paraId="02A93669">
            <w:pPr>
              <w:keepNext w:val="0"/>
              <w:keepLines w:val="0"/>
              <w:pageBreakBefore w:val="0"/>
              <w:kinsoku/>
              <w:wordWrap/>
              <w:overflowPunct/>
              <w:topLinePunct w:val="0"/>
              <w:autoSpaceDE/>
              <w:autoSpaceDN/>
              <w:bidi w:val="0"/>
              <w:adjustRightInd/>
              <w:snapToGrid/>
              <w:spacing w:line="400" w:lineRule="exac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3、层板可手工拆洗，</w:t>
            </w:r>
            <w:r>
              <w:rPr>
                <w:rFonts w:hint="eastAsia" w:ascii="黑体" w:hAnsi="黑体" w:eastAsia="黑体" w:cs="黑体"/>
                <w:color w:val="auto"/>
                <w:sz w:val="21"/>
                <w:szCs w:val="21"/>
                <w:highlight w:val="none"/>
              </w:rPr>
              <w:t>每层有灵活可拆围档；</w:t>
            </w:r>
          </w:p>
          <w:p w14:paraId="5C472554">
            <w:pPr>
              <w:keepNext w:val="0"/>
              <w:keepLines w:val="0"/>
              <w:pageBreakBefore w:val="0"/>
              <w:kinsoku/>
              <w:wordWrap/>
              <w:overflowPunct/>
              <w:topLinePunct w:val="0"/>
              <w:autoSpaceDE/>
              <w:autoSpaceDN/>
              <w:bidi w:val="0"/>
              <w:adjustRightInd/>
              <w:snapToGrid/>
              <w:spacing w:line="400" w:lineRule="exac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4、固定卡扣均为聚丙烯PA（尼龙）材料，坚固耐用，快捷拆装；</w:t>
            </w:r>
          </w:p>
          <w:p w14:paraId="0E1846EE">
            <w:pPr>
              <w:keepNext w:val="0"/>
              <w:keepLines w:val="0"/>
              <w:pageBreakBefore w:val="0"/>
              <w:kinsoku/>
              <w:wordWrap/>
              <w:overflowPunct/>
              <w:topLinePunct w:val="0"/>
              <w:autoSpaceDE/>
              <w:autoSpaceDN/>
              <w:bidi w:val="0"/>
              <w:adjustRightInd/>
              <w:snapToGrid/>
              <w:spacing w:line="400" w:lineRule="exac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b/>
                <w:bCs/>
                <w:color w:val="auto"/>
                <w:sz w:val="21"/>
                <w:szCs w:val="21"/>
                <w:highlight w:val="none"/>
                <w:lang w:val="en-US" w:eastAsia="zh-CN"/>
              </w:rPr>
              <w:t>▲</w:t>
            </w:r>
            <w:r>
              <w:rPr>
                <w:rFonts w:hint="eastAsia" w:ascii="黑体" w:hAnsi="黑体" w:eastAsia="黑体" w:cs="黑体"/>
                <w:b/>
                <w:bCs/>
                <w:color w:val="auto"/>
                <w:sz w:val="21"/>
                <w:szCs w:val="21"/>
                <w:highlight w:val="none"/>
              </w:rPr>
              <w:t>5、单层承重：动态承重≥110公斤（如放置手术器械包）整架承重单层货架≥200公斤；（提供</w:t>
            </w:r>
            <w:r>
              <w:rPr>
                <w:rFonts w:hint="eastAsia" w:ascii="黑体" w:hAnsi="黑体" w:eastAsia="黑体" w:cs="黑体"/>
                <w:b/>
                <w:bCs/>
                <w:color w:val="auto"/>
                <w:highlight w:val="none"/>
                <w:lang w:val="en-US" w:eastAsia="zh-CN"/>
              </w:rPr>
              <w:t>承诺书</w:t>
            </w:r>
            <w:r>
              <w:rPr>
                <w:rFonts w:hint="eastAsia" w:ascii="黑体" w:hAnsi="黑体" w:eastAsia="黑体" w:cs="黑体"/>
                <w:b/>
                <w:bCs/>
                <w:color w:val="auto"/>
                <w:sz w:val="21"/>
                <w:szCs w:val="21"/>
                <w:highlight w:val="none"/>
              </w:rPr>
              <w:t>）</w:t>
            </w:r>
          </w:p>
        </w:tc>
      </w:tr>
    </w:tbl>
    <w:p w14:paraId="2528420C">
      <w:pPr>
        <w:rPr>
          <w:rFonts w:hint="eastAsia" w:ascii="黑体" w:hAnsi="黑体" w:eastAsia="黑体" w:cs="黑体"/>
          <w:color w:val="auto"/>
          <w:highlight w:val="none"/>
        </w:rPr>
      </w:pPr>
    </w:p>
    <w:bookmarkEnd w:id="16"/>
    <w:bookmarkEnd w:id="17"/>
    <w:p w14:paraId="2CBC1C98">
      <w:pPr>
        <w:pStyle w:val="2"/>
        <w:keepNext w:val="0"/>
        <w:keepLines w:val="0"/>
        <w:pageBreakBefore/>
        <w:spacing w:before="300" w:after="240" w:line="360" w:lineRule="auto"/>
        <w:jc w:val="center"/>
        <w:rPr>
          <w:rFonts w:hint="eastAsia" w:ascii="黑体" w:hAnsi="黑体" w:eastAsia="黑体" w:cs="黑体"/>
          <w:color w:val="auto"/>
          <w:spacing w:val="20"/>
          <w:sz w:val="32"/>
          <w:szCs w:val="32"/>
          <w:highlight w:val="none"/>
        </w:rPr>
      </w:pPr>
      <w:bookmarkStart w:id="24" w:name="_Toc391627749"/>
      <w:bookmarkStart w:id="25" w:name="_Toc405313953"/>
      <w:bookmarkStart w:id="26" w:name="_Toc26024"/>
      <w:r>
        <w:rPr>
          <w:rFonts w:hint="eastAsia" w:ascii="黑体" w:hAnsi="黑体" w:eastAsia="黑体" w:cs="黑体"/>
          <w:color w:val="auto"/>
          <w:spacing w:val="20"/>
          <w:sz w:val="32"/>
          <w:szCs w:val="32"/>
          <w:highlight w:val="none"/>
        </w:rPr>
        <w:t>第三部分</w:t>
      </w:r>
      <w:bookmarkEnd w:id="24"/>
      <w:bookmarkEnd w:id="25"/>
      <w:r>
        <w:rPr>
          <w:rFonts w:hint="eastAsia" w:ascii="黑体" w:hAnsi="黑体" w:eastAsia="黑体" w:cs="黑体"/>
          <w:color w:val="auto"/>
          <w:spacing w:val="20"/>
          <w:sz w:val="32"/>
          <w:szCs w:val="32"/>
          <w:highlight w:val="none"/>
        </w:rPr>
        <w:t xml:space="preserve"> 投标人须知前附表</w:t>
      </w:r>
      <w:bookmarkEnd w:id="26"/>
    </w:p>
    <w:p w14:paraId="47A1BF92">
      <w:pPr>
        <w:tabs>
          <w:tab w:val="left" w:pos="426"/>
        </w:tabs>
        <w:spacing w:after="156" w:afterLines="50"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本表的条款项号是与投标须知条款项号对应的，或增加的条款，是对第四部分《投标人须知》的补充、修改和完善，如果有矛盾的话，应以本表为准。</w:t>
      </w:r>
    </w:p>
    <w:tbl>
      <w:tblPr>
        <w:tblStyle w:val="19"/>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1133"/>
        <w:gridCol w:w="7634"/>
      </w:tblGrid>
      <w:tr w14:paraId="0A3E90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3"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14:paraId="233F2167">
            <w:pPr>
              <w:spacing w:line="360" w:lineRule="exact"/>
              <w:ind w:right="-183"/>
              <w:jc w:val="left"/>
              <w:rPr>
                <w:rFonts w:hint="eastAsia" w:ascii="黑体" w:hAnsi="黑体" w:eastAsia="黑体" w:cs="黑体"/>
                <w:color w:val="auto"/>
                <w:szCs w:val="21"/>
                <w:highlight w:val="none"/>
                <w:lang w:val="zh-CN"/>
              </w:rPr>
            </w:pPr>
            <w:r>
              <w:rPr>
                <w:rFonts w:hint="eastAsia" w:ascii="黑体" w:hAnsi="黑体" w:eastAsia="黑体" w:cs="黑体"/>
                <w:color w:val="auto"/>
                <w:szCs w:val="21"/>
                <w:highlight w:val="none"/>
              </w:rPr>
              <w:t>条款项号</w:t>
            </w:r>
          </w:p>
        </w:tc>
        <w:tc>
          <w:tcPr>
            <w:tcW w:w="4353" w:type="pct"/>
            <w:tcBorders>
              <w:top w:val="single" w:color="auto" w:sz="4" w:space="0"/>
              <w:left w:val="single" w:color="auto" w:sz="4" w:space="0"/>
              <w:bottom w:val="single" w:color="auto" w:sz="4" w:space="0"/>
              <w:right w:val="single" w:color="auto" w:sz="4" w:space="0"/>
            </w:tcBorders>
            <w:vAlign w:val="center"/>
          </w:tcPr>
          <w:p w14:paraId="47F12C55">
            <w:pPr>
              <w:spacing w:line="360" w:lineRule="exact"/>
              <w:ind w:right="-183"/>
              <w:jc w:val="center"/>
              <w:rPr>
                <w:rFonts w:hint="eastAsia" w:ascii="黑体" w:hAnsi="黑体" w:eastAsia="黑体" w:cs="黑体"/>
                <w:color w:val="auto"/>
                <w:spacing w:val="20"/>
                <w:szCs w:val="21"/>
                <w:highlight w:val="none"/>
              </w:rPr>
            </w:pPr>
            <w:r>
              <w:rPr>
                <w:rFonts w:hint="eastAsia" w:ascii="黑体" w:hAnsi="黑体" w:eastAsia="黑体" w:cs="黑体"/>
                <w:color w:val="auto"/>
                <w:spacing w:val="20"/>
                <w:szCs w:val="21"/>
                <w:highlight w:val="none"/>
              </w:rPr>
              <w:t>对应或增加的条款内容</w:t>
            </w:r>
          </w:p>
        </w:tc>
      </w:tr>
      <w:tr w14:paraId="4808C4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7" w:hRule="atLeast"/>
          <w:jc w:val="center"/>
        </w:trPr>
        <w:tc>
          <w:tcPr>
            <w:tcW w:w="5000" w:type="pct"/>
            <w:gridSpan w:val="2"/>
            <w:tcBorders>
              <w:top w:val="single" w:color="auto" w:sz="4" w:space="0"/>
              <w:left w:val="single" w:color="auto" w:sz="4" w:space="0"/>
              <w:bottom w:val="single" w:color="auto" w:sz="4" w:space="0"/>
              <w:right w:val="single" w:color="auto" w:sz="4" w:space="0"/>
            </w:tcBorders>
            <w:vAlign w:val="center"/>
          </w:tcPr>
          <w:p w14:paraId="1D365287">
            <w:pPr>
              <w:spacing w:line="360" w:lineRule="exact"/>
              <w:ind w:right="-183"/>
              <w:rPr>
                <w:rFonts w:hint="eastAsia" w:ascii="黑体" w:hAnsi="黑体" w:eastAsia="黑体" w:cs="黑体"/>
                <w:color w:val="auto"/>
                <w:szCs w:val="21"/>
                <w:highlight w:val="none"/>
              </w:rPr>
            </w:pPr>
            <w:r>
              <w:rPr>
                <w:rFonts w:hint="eastAsia" w:ascii="黑体" w:hAnsi="黑体" w:eastAsia="黑体" w:cs="黑体"/>
                <w:color w:val="auto"/>
                <w:szCs w:val="21"/>
                <w:highlight w:val="none"/>
              </w:rPr>
              <w:t>对第四部分《投标人须知》的修改及补充：</w:t>
            </w:r>
          </w:p>
        </w:tc>
      </w:tr>
      <w:tr w14:paraId="4FF80A7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2" w:hRule="atLeast"/>
          <w:jc w:val="center"/>
        </w:trPr>
        <w:tc>
          <w:tcPr>
            <w:tcW w:w="5000" w:type="pct"/>
            <w:gridSpan w:val="2"/>
            <w:tcBorders>
              <w:top w:val="single" w:color="auto" w:sz="4" w:space="0"/>
              <w:left w:val="single" w:color="auto" w:sz="4" w:space="0"/>
              <w:bottom w:val="single" w:color="auto" w:sz="4" w:space="0"/>
              <w:right w:val="single" w:color="auto" w:sz="4" w:space="0"/>
            </w:tcBorders>
            <w:vAlign w:val="center"/>
          </w:tcPr>
          <w:p w14:paraId="137022E9">
            <w:pPr>
              <w:spacing w:line="360" w:lineRule="exact"/>
              <w:ind w:right="-183"/>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一 说明</w:t>
            </w:r>
          </w:p>
        </w:tc>
      </w:tr>
      <w:tr w14:paraId="3D730E0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6" w:hRule="atLeast"/>
          <w:jc w:val="center"/>
        </w:trPr>
        <w:tc>
          <w:tcPr>
            <w:tcW w:w="646" w:type="pct"/>
            <w:tcBorders>
              <w:top w:val="single" w:color="auto" w:sz="6" w:space="0"/>
              <w:left w:val="single" w:color="auto" w:sz="6" w:space="0"/>
              <w:bottom w:val="single" w:color="auto" w:sz="6" w:space="0"/>
              <w:right w:val="single" w:color="auto" w:sz="6" w:space="0"/>
            </w:tcBorders>
            <w:vAlign w:val="center"/>
          </w:tcPr>
          <w:p w14:paraId="79B6CF3F">
            <w:pPr>
              <w:spacing w:line="380" w:lineRule="exact"/>
              <w:jc w:val="left"/>
              <w:rPr>
                <w:rFonts w:hint="eastAsia" w:ascii="黑体" w:hAnsi="黑体" w:eastAsia="黑体" w:cs="黑体"/>
                <w:color w:val="auto"/>
                <w:szCs w:val="21"/>
                <w:highlight w:val="none"/>
                <w:lang w:val="zh-CN"/>
              </w:rPr>
            </w:pPr>
            <w:r>
              <w:rPr>
                <w:rFonts w:hint="eastAsia" w:ascii="黑体" w:hAnsi="黑体" w:eastAsia="黑体" w:cs="黑体"/>
                <w:color w:val="auto"/>
                <w:szCs w:val="21"/>
                <w:highlight w:val="none"/>
                <w:lang w:val="zh-CN"/>
              </w:rPr>
              <w:t>2.2</w:t>
            </w:r>
          </w:p>
        </w:tc>
        <w:tc>
          <w:tcPr>
            <w:tcW w:w="4353" w:type="pct"/>
            <w:tcBorders>
              <w:top w:val="single" w:color="auto" w:sz="4" w:space="0"/>
              <w:left w:val="single" w:color="auto" w:sz="6" w:space="0"/>
              <w:bottom w:val="single" w:color="auto" w:sz="4" w:space="0"/>
              <w:right w:val="single" w:color="auto" w:sz="4" w:space="0"/>
            </w:tcBorders>
            <w:vAlign w:val="center"/>
          </w:tcPr>
          <w:p w14:paraId="7539976C">
            <w:pPr>
              <w:spacing w:line="360" w:lineRule="exact"/>
              <w:ind w:right="-183"/>
              <w:rPr>
                <w:rFonts w:hint="eastAsia" w:ascii="黑体" w:hAnsi="黑体" w:eastAsia="黑体" w:cs="黑体"/>
                <w:color w:val="auto"/>
                <w:szCs w:val="21"/>
                <w:highlight w:val="none"/>
              </w:rPr>
            </w:pPr>
            <w:r>
              <w:rPr>
                <w:rFonts w:hint="eastAsia" w:ascii="黑体" w:hAnsi="黑体" w:eastAsia="黑体" w:cs="黑体"/>
                <w:color w:val="auto"/>
                <w:szCs w:val="21"/>
                <w:highlight w:val="none"/>
              </w:rPr>
              <w:t>资金来源：财政性资金</w:t>
            </w:r>
          </w:p>
        </w:tc>
      </w:tr>
      <w:tr w14:paraId="6AD4F7C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6" w:hRule="atLeast"/>
          <w:jc w:val="center"/>
        </w:trPr>
        <w:tc>
          <w:tcPr>
            <w:tcW w:w="646" w:type="pct"/>
            <w:tcBorders>
              <w:top w:val="single" w:color="auto" w:sz="6" w:space="0"/>
              <w:left w:val="single" w:color="auto" w:sz="6" w:space="0"/>
              <w:bottom w:val="single" w:color="auto" w:sz="6" w:space="0"/>
              <w:right w:val="single" w:color="auto" w:sz="6" w:space="0"/>
            </w:tcBorders>
            <w:vAlign w:val="center"/>
          </w:tcPr>
          <w:p w14:paraId="40866595">
            <w:pPr>
              <w:spacing w:line="380" w:lineRule="exact"/>
              <w:jc w:val="left"/>
              <w:rPr>
                <w:rFonts w:hint="eastAsia" w:ascii="黑体" w:hAnsi="黑体" w:eastAsia="黑体" w:cs="黑体"/>
                <w:color w:val="auto"/>
                <w:szCs w:val="21"/>
                <w:highlight w:val="none"/>
                <w:lang w:val="zh-CN"/>
              </w:rPr>
            </w:pPr>
            <w:r>
              <w:rPr>
                <w:rFonts w:hint="eastAsia" w:ascii="黑体" w:hAnsi="黑体" w:eastAsia="黑体" w:cs="黑体"/>
                <w:color w:val="auto"/>
                <w:szCs w:val="21"/>
                <w:highlight w:val="none"/>
                <w:lang w:val="zh-CN"/>
              </w:rPr>
              <w:t>2.3</w:t>
            </w:r>
          </w:p>
        </w:tc>
        <w:tc>
          <w:tcPr>
            <w:tcW w:w="4353" w:type="pct"/>
            <w:tcBorders>
              <w:top w:val="single" w:color="auto" w:sz="4" w:space="0"/>
              <w:left w:val="single" w:color="auto" w:sz="6" w:space="0"/>
              <w:bottom w:val="single" w:color="auto" w:sz="4" w:space="0"/>
              <w:right w:val="single" w:color="auto" w:sz="4" w:space="0"/>
            </w:tcBorders>
            <w:vAlign w:val="center"/>
          </w:tcPr>
          <w:p w14:paraId="7EF3D23A">
            <w:pPr>
              <w:spacing w:line="360" w:lineRule="exact"/>
              <w:ind w:right="-183"/>
              <w:rPr>
                <w:rFonts w:hint="eastAsia" w:ascii="黑体" w:hAnsi="黑体" w:eastAsia="黑体" w:cs="黑体"/>
                <w:color w:val="auto"/>
                <w:szCs w:val="21"/>
                <w:highlight w:val="none"/>
              </w:rPr>
            </w:pPr>
            <w:r>
              <w:rPr>
                <w:rFonts w:hint="eastAsia" w:ascii="黑体" w:hAnsi="黑体" w:eastAsia="黑体" w:cs="黑体"/>
                <w:color w:val="auto"/>
                <w:szCs w:val="21"/>
                <w:highlight w:val="none"/>
              </w:rPr>
              <w:t>项目属性：货物类</w:t>
            </w:r>
          </w:p>
        </w:tc>
      </w:tr>
      <w:tr w14:paraId="6B7553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08" w:hRule="atLeast"/>
          <w:jc w:val="center"/>
        </w:trPr>
        <w:tc>
          <w:tcPr>
            <w:tcW w:w="646" w:type="pct"/>
            <w:tcBorders>
              <w:top w:val="single" w:color="auto" w:sz="6" w:space="0"/>
              <w:left w:val="single" w:color="auto" w:sz="6" w:space="0"/>
              <w:bottom w:val="single" w:color="auto" w:sz="6" w:space="0"/>
              <w:right w:val="single" w:color="auto" w:sz="6" w:space="0"/>
            </w:tcBorders>
            <w:vAlign w:val="center"/>
          </w:tcPr>
          <w:p w14:paraId="01EE363B">
            <w:pPr>
              <w:spacing w:line="380" w:lineRule="exact"/>
              <w:jc w:val="left"/>
              <w:rPr>
                <w:rFonts w:hint="eastAsia" w:ascii="黑体" w:hAnsi="黑体" w:eastAsia="黑体" w:cs="黑体"/>
                <w:color w:val="auto"/>
                <w:szCs w:val="21"/>
                <w:highlight w:val="none"/>
                <w:lang w:val="zh-CN"/>
              </w:rPr>
            </w:pPr>
            <w:r>
              <w:rPr>
                <w:rFonts w:hint="eastAsia" w:ascii="黑体" w:hAnsi="黑体" w:eastAsia="黑体" w:cs="黑体"/>
                <w:color w:val="auto"/>
                <w:szCs w:val="21"/>
                <w:highlight w:val="none"/>
                <w:lang w:val="zh-CN"/>
              </w:rPr>
              <w:t>3.1</w:t>
            </w:r>
          </w:p>
        </w:tc>
        <w:tc>
          <w:tcPr>
            <w:tcW w:w="4353" w:type="pct"/>
            <w:tcBorders>
              <w:top w:val="single" w:color="auto" w:sz="4" w:space="0"/>
              <w:left w:val="single" w:color="auto" w:sz="6" w:space="0"/>
              <w:bottom w:val="single" w:color="auto" w:sz="4" w:space="0"/>
              <w:right w:val="single" w:color="auto" w:sz="4" w:space="0"/>
            </w:tcBorders>
            <w:vAlign w:val="center"/>
          </w:tcPr>
          <w:p w14:paraId="2AA3296F">
            <w:pPr>
              <w:spacing w:line="360" w:lineRule="exact"/>
              <w:ind w:right="-183"/>
              <w:rPr>
                <w:rFonts w:hint="eastAsia" w:ascii="黑体" w:hAnsi="黑体" w:eastAsia="黑体" w:cs="黑体"/>
                <w:color w:val="auto"/>
                <w:szCs w:val="21"/>
                <w:highlight w:val="none"/>
                <w:u w:val="single"/>
              </w:rPr>
            </w:pPr>
            <w:r>
              <w:rPr>
                <w:rFonts w:hint="eastAsia" w:ascii="黑体" w:hAnsi="黑体" w:eastAsia="黑体" w:cs="黑体"/>
                <w:color w:val="auto"/>
                <w:szCs w:val="21"/>
                <w:highlight w:val="none"/>
              </w:rPr>
              <w:t>“采购人”是指：</w:t>
            </w:r>
            <w:r>
              <w:rPr>
                <w:rFonts w:hint="eastAsia" w:ascii="黑体" w:hAnsi="黑体" w:eastAsia="黑体" w:cs="黑体"/>
                <w:bCs/>
                <w:color w:val="auto"/>
                <w:highlight w:val="none"/>
              </w:rPr>
              <w:t>东莞市中医院</w:t>
            </w:r>
          </w:p>
          <w:p w14:paraId="5079636A">
            <w:pPr>
              <w:spacing w:line="360" w:lineRule="exact"/>
              <w:ind w:right="-183" w:firstLine="105" w:firstLineChars="50"/>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rPr>
              <w:t>采购人联系人：</w:t>
            </w:r>
            <w:r>
              <w:rPr>
                <w:rFonts w:hint="eastAsia" w:ascii="黑体" w:hAnsi="黑体" w:eastAsia="黑体" w:cs="黑体"/>
                <w:color w:val="auto"/>
                <w:szCs w:val="21"/>
                <w:highlight w:val="none"/>
                <w:lang w:val="en-US" w:eastAsia="zh-CN"/>
              </w:rPr>
              <w:t>王文滔</w:t>
            </w:r>
          </w:p>
          <w:p w14:paraId="5BE7AD0D">
            <w:pPr>
              <w:spacing w:line="360" w:lineRule="exact"/>
              <w:ind w:right="-183" w:firstLine="105" w:firstLineChars="50"/>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rPr>
              <w:t>电  话：</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lang w:val="en-US" w:eastAsia="zh-CN"/>
              </w:rPr>
              <w:t>0769</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lang w:val="en-US" w:eastAsia="zh-CN"/>
              </w:rPr>
              <w:t>26385133</w:t>
            </w:r>
          </w:p>
          <w:p w14:paraId="61E6B9DE">
            <w:pPr>
              <w:spacing w:line="360" w:lineRule="exact"/>
              <w:ind w:right="-183" w:firstLine="105" w:firstLineChars="50"/>
              <w:rPr>
                <w:rFonts w:hint="eastAsia" w:ascii="黑体" w:hAnsi="黑体" w:eastAsia="黑体" w:cs="黑体"/>
                <w:color w:val="auto"/>
                <w:szCs w:val="21"/>
                <w:highlight w:val="none"/>
              </w:rPr>
            </w:pPr>
            <w:r>
              <w:rPr>
                <w:rFonts w:hint="eastAsia" w:ascii="黑体" w:hAnsi="黑体" w:eastAsia="黑体" w:cs="黑体"/>
                <w:color w:val="auto"/>
                <w:szCs w:val="21"/>
                <w:highlight w:val="none"/>
              </w:rPr>
              <w:t>地  址：</w:t>
            </w:r>
            <w:r>
              <w:rPr>
                <w:rFonts w:hint="eastAsia" w:ascii="黑体" w:hAnsi="黑体" w:eastAsia="黑体" w:cs="黑体"/>
                <w:bCs/>
                <w:color w:val="auto"/>
                <w:highlight w:val="none"/>
              </w:rPr>
              <w:t>东莞市东城街道松山湖大道东城段3号</w:t>
            </w:r>
          </w:p>
        </w:tc>
      </w:tr>
      <w:tr w14:paraId="5C8B406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8" w:hRule="atLeast"/>
          <w:jc w:val="center"/>
        </w:trPr>
        <w:tc>
          <w:tcPr>
            <w:tcW w:w="646" w:type="pct"/>
            <w:tcBorders>
              <w:top w:val="single" w:color="auto" w:sz="6" w:space="0"/>
              <w:left w:val="single" w:color="auto" w:sz="6" w:space="0"/>
              <w:bottom w:val="single" w:color="auto" w:sz="6" w:space="0"/>
              <w:right w:val="single" w:color="auto" w:sz="6" w:space="0"/>
            </w:tcBorders>
            <w:vAlign w:val="center"/>
          </w:tcPr>
          <w:p w14:paraId="1D99CEF7">
            <w:pPr>
              <w:spacing w:line="380" w:lineRule="exact"/>
              <w:jc w:val="left"/>
              <w:rPr>
                <w:rFonts w:hint="eastAsia" w:ascii="黑体" w:hAnsi="黑体" w:eastAsia="黑体" w:cs="黑体"/>
                <w:color w:val="auto"/>
                <w:szCs w:val="21"/>
                <w:highlight w:val="none"/>
                <w:lang w:val="zh-CN"/>
              </w:rPr>
            </w:pPr>
            <w:bookmarkStart w:id="27" w:name="_Hlk119327990"/>
            <w:r>
              <w:rPr>
                <w:rFonts w:hint="eastAsia" w:ascii="黑体" w:hAnsi="黑体" w:eastAsia="黑体" w:cs="黑体"/>
                <w:color w:val="auto"/>
                <w:szCs w:val="21"/>
                <w:highlight w:val="none"/>
                <w:lang w:val="zh-CN"/>
              </w:rPr>
              <w:t>3.2</w:t>
            </w:r>
          </w:p>
        </w:tc>
        <w:tc>
          <w:tcPr>
            <w:tcW w:w="4353" w:type="pct"/>
            <w:tcBorders>
              <w:top w:val="single" w:color="auto" w:sz="4" w:space="0"/>
              <w:left w:val="single" w:color="auto" w:sz="6" w:space="0"/>
              <w:bottom w:val="single" w:color="auto" w:sz="4" w:space="0"/>
              <w:right w:val="single" w:color="auto" w:sz="4" w:space="0"/>
            </w:tcBorders>
            <w:vAlign w:val="center"/>
          </w:tcPr>
          <w:p w14:paraId="30A59D2B">
            <w:pPr>
              <w:spacing w:line="360" w:lineRule="exact"/>
              <w:ind w:right="-183"/>
              <w:rPr>
                <w:rFonts w:hint="eastAsia" w:ascii="黑体" w:hAnsi="黑体" w:eastAsia="黑体" w:cs="黑体"/>
                <w:color w:val="auto"/>
                <w:szCs w:val="21"/>
                <w:highlight w:val="none"/>
              </w:rPr>
            </w:pPr>
            <w:r>
              <w:rPr>
                <w:rFonts w:hint="eastAsia" w:ascii="黑体" w:hAnsi="黑体" w:eastAsia="黑体" w:cs="黑体"/>
                <w:color w:val="auto"/>
                <w:szCs w:val="21"/>
                <w:highlight w:val="none"/>
              </w:rPr>
              <w:t>“采购代理机构”是指：广东有德招标采购有限公司</w:t>
            </w:r>
          </w:p>
        </w:tc>
      </w:tr>
      <w:bookmarkEnd w:id="27"/>
      <w:tr w14:paraId="3CE820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6" w:hRule="atLeast"/>
          <w:jc w:val="center"/>
        </w:trPr>
        <w:tc>
          <w:tcPr>
            <w:tcW w:w="5000" w:type="pct"/>
            <w:gridSpan w:val="2"/>
            <w:tcBorders>
              <w:top w:val="single" w:color="auto" w:sz="4" w:space="0"/>
              <w:left w:val="single" w:color="auto" w:sz="4" w:space="0"/>
              <w:bottom w:val="single" w:color="auto" w:sz="4" w:space="0"/>
              <w:right w:val="single" w:color="auto" w:sz="4" w:space="0"/>
            </w:tcBorders>
            <w:vAlign w:val="center"/>
          </w:tcPr>
          <w:p w14:paraId="6531A732">
            <w:pPr>
              <w:spacing w:line="360" w:lineRule="exact"/>
              <w:ind w:right="-183"/>
              <w:rPr>
                <w:rFonts w:hint="eastAsia" w:ascii="黑体" w:hAnsi="黑体" w:eastAsia="黑体" w:cs="黑体"/>
                <w:color w:val="auto"/>
                <w:szCs w:val="21"/>
                <w:highlight w:val="none"/>
              </w:rPr>
            </w:pPr>
            <w:r>
              <w:rPr>
                <w:rFonts w:hint="eastAsia" w:ascii="黑体" w:hAnsi="黑体" w:eastAsia="黑体" w:cs="黑体"/>
                <w:color w:val="auto"/>
                <w:szCs w:val="21"/>
                <w:highlight w:val="none"/>
              </w:rPr>
              <w:t>二 招标文件</w:t>
            </w:r>
          </w:p>
        </w:tc>
      </w:tr>
      <w:tr w14:paraId="6F85C35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5"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14:paraId="30401B91">
            <w:pPr>
              <w:spacing w:line="360" w:lineRule="exact"/>
              <w:ind w:right="-183"/>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8.1</w:t>
            </w:r>
          </w:p>
        </w:tc>
        <w:tc>
          <w:tcPr>
            <w:tcW w:w="4353" w:type="pct"/>
            <w:tcBorders>
              <w:top w:val="single" w:color="auto" w:sz="4" w:space="0"/>
              <w:left w:val="single" w:color="auto" w:sz="4" w:space="0"/>
              <w:bottom w:val="single" w:color="auto" w:sz="4" w:space="0"/>
              <w:right w:val="single" w:color="auto" w:sz="4" w:space="0"/>
            </w:tcBorders>
            <w:vAlign w:val="center"/>
          </w:tcPr>
          <w:p w14:paraId="266E4625">
            <w:pPr>
              <w:spacing w:line="360" w:lineRule="exact"/>
              <w:ind w:right="-183"/>
              <w:rPr>
                <w:rFonts w:hint="eastAsia" w:ascii="黑体" w:hAnsi="黑体" w:eastAsia="黑体" w:cs="黑体"/>
                <w:bCs/>
                <w:color w:val="auto"/>
                <w:szCs w:val="21"/>
                <w:highlight w:val="none"/>
                <w:u w:val="single"/>
              </w:rPr>
            </w:pPr>
            <w:r>
              <w:rPr>
                <w:rFonts w:hint="eastAsia" w:ascii="黑体" w:hAnsi="黑体" w:eastAsia="黑体" w:cs="黑体"/>
                <w:bCs/>
                <w:color w:val="auto"/>
                <w:szCs w:val="21"/>
                <w:highlight w:val="none"/>
              </w:rPr>
              <w:t>答疑会或现场考察：</w:t>
            </w:r>
          </w:p>
          <w:p w14:paraId="06F4B30B">
            <w:pPr>
              <w:spacing w:line="360" w:lineRule="exact"/>
              <w:ind w:right="-183"/>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lang w:val="en-US" w:eastAsia="zh-CN"/>
              </w:rPr>
              <w:t>1.投标人</w:t>
            </w:r>
            <w:r>
              <w:rPr>
                <w:rFonts w:hint="eastAsia" w:ascii="黑体" w:hAnsi="黑体" w:eastAsia="黑体" w:cs="黑体"/>
                <w:bCs/>
                <w:color w:val="auto"/>
                <w:szCs w:val="21"/>
                <w:highlight w:val="none"/>
              </w:rPr>
              <w:t>可在下列规定时间、地点集中，统一勘察现场，如未准时到场，视为</w:t>
            </w:r>
            <w:r>
              <w:rPr>
                <w:rFonts w:hint="eastAsia" w:ascii="黑体" w:hAnsi="黑体" w:eastAsia="黑体" w:cs="黑体"/>
                <w:bCs/>
                <w:color w:val="auto"/>
                <w:szCs w:val="21"/>
                <w:highlight w:val="none"/>
                <w:lang w:val="en-US" w:eastAsia="zh-CN"/>
              </w:rPr>
              <w:t>投标人</w:t>
            </w:r>
            <w:r>
              <w:rPr>
                <w:rFonts w:hint="eastAsia" w:ascii="黑体" w:hAnsi="黑体" w:eastAsia="黑体" w:cs="黑体"/>
                <w:bCs/>
                <w:color w:val="auto"/>
                <w:szCs w:val="21"/>
                <w:highlight w:val="none"/>
              </w:rPr>
              <w:t>放弃本项权利。</w:t>
            </w:r>
          </w:p>
          <w:p w14:paraId="297FFEC1">
            <w:pPr>
              <w:spacing w:line="360" w:lineRule="exact"/>
              <w:ind w:right="-183"/>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现场勘察时间：2025年</w:t>
            </w:r>
            <w:r>
              <w:rPr>
                <w:rFonts w:hint="eastAsia" w:ascii="黑体" w:hAnsi="黑体" w:eastAsia="黑体" w:cs="黑体"/>
                <w:bCs/>
                <w:color w:val="auto"/>
                <w:szCs w:val="21"/>
                <w:highlight w:val="none"/>
                <w:lang w:val="en-US" w:eastAsia="zh-CN"/>
              </w:rPr>
              <w:t>12</w:t>
            </w:r>
            <w:r>
              <w:rPr>
                <w:rFonts w:hint="eastAsia" w:ascii="黑体" w:hAnsi="黑体" w:eastAsia="黑体" w:cs="黑体"/>
                <w:bCs/>
                <w:color w:val="auto"/>
                <w:szCs w:val="21"/>
                <w:highlight w:val="none"/>
              </w:rPr>
              <w:t>月</w:t>
            </w:r>
            <w:r>
              <w:rPr>
                <w:rFonts w:hint="eastAsia" w:ascii="黑体" w:hAnsi="黑体" w:eastAsia="黑体" w:cs="黑体"/>
                <w:bCs/>
                <w:color w:val="auto"/>
                <w:szCs w:val="21"/>
                <w:highlight w:val="none"/>
                <w:lang w:val="en-US" w:eastAsia="zh-CN"/>
              </w:rPr>
              <w:t>12</w:t>
            </w:r>
            <w:r>
              <w:rPr>
                <w:rFonts w:hint="eastAsia" w:ascii="黑体" w:hAnsi="黑体" w:eastAsia="黑体" w:cs="黑体"/>
                <w:bCs/>
                <w:color w:val="auto"/>
                <w:szCs w:val="21"/>
                <w:highlight w:val="none"/>
              </w:rPr>
              <w:t>日</w:t>
            </w:r>
            <w:r>
              <w:rPr>
                <w:rFonts w:hint="eastAsia" w:ascii="黑体" w:hAnsi="黑体" w:eastAsia="黑体" w:cs="黑体"/>
                <w:bCs/>
                <w:color w:val="auto"/>
                <w:szCs w:val="21"/>
                <w:highlight w:val="none"/>
                <w:lang w:val="en-US" w:eastAsia="zh-CN"/>
              </w:rPr>
              <w:t>09</w:t>
            </w:r>
            <w:r>
              <w:rPr>
                <w:rFonts w:hint="eastAsia" w:ascii="黑体" w:hAnsi="黑体" w:eastAsia="黑体" w:cs="黑体"/>
                <w:bCs/>
                <w:color w:val="auto"/>
                <w:szCs w:val="21"/>
                <w:highlight w:val="none"/>
              </w:rPr>
              <w:t>：00(北京时间)</w:t>
            </w:r>
          </w:p>
          <w:p w14:paraId="167BDFC5">
            <w:pPr>
              <w:spacing w:line="360" w:lineRule="exact"/>
              <w:ind w:right="-183"/>
              <w:rPr>
                <w:rFonts w:hint="eastAsia" w:ascii="黑体" w:hAnsi="黑体" w:eastAsia="黑体" w:cs="黑体"/>
                <w:bCs/>
                <w:color w:val="auto"/>
                <w:szCs w:val="21"/>
                <w:highlight w:val="none"/>
                <w:lang w:val="en-US" w:eastAsia="zh-CN"/>
              </w:rPr>
            </w:pPr>
            <w:r>
              <w:rPr>
                <w:rFonts w:hint="eastAsia" w:ascii="黑体" w:hAnsi="黑体" w:eastAsia="黑体" w:cs="黑体"/>
                <w:bCs/>
                <w:color w:val="auto"/>
                <w:szCs w:val="21"/>
                <w:highlight w:val="none"/>
              </w:rPr>
              <w:t>联系人：</w:t>
            </w:r>
            <w:r>
              <w:rPr>
                <w:rFonts w:hint="eastAsia" w:ascii="黑体" w:hAnsi="黑体" w:eastAsia="黑体" w:cs="黑体"/>
                <w:bCs/>
                <w:color w:val="auto"/>
                <w:szCs w:val="21"/>
                <w:highlight w:val="none"/>
                <w:lang w:val="en-US" w:eastAsia="zh-CN"/>
              </w:rPr>
              <w:t>周先生</w:t>
            </w:r>
          </w:p>
          <w:p w14:paraId="723AEE8C">
            <w:pPr>
              <w:spacing w:line="360" w:lineRule="exact"/>
              <w:ind w:right="-183"/>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联系方式：</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lang w:val="en-US" w:eastAsia="zh-CN"/>
              </w:rPr>
              <w:t>0769</w:t>
            </w:r>
            <w:r>
              <w:rPr>
                <w:rFonts w:hint="eastAsia" w:ascii="黑体" w:hAnsi="黑体" w:eastAsia="黑体" w:cs="黑体"/>
                <w:color w:val="auto"/>
                <w:szCs w:val="21"/>
                <w:highlight w:val="none"/>
                <w:lang w:eastAsia="zh-CN"/>
              </w:rPr>
              <w:t>）</w:t>
            </w:r>
            <w:r>
              <w:rPr>
                <w:rFonts w:hint="eastAsia" w:ascii="黑体" w:hAnsi="黑体" w:eastAsia="黑体" w:cs="黑体"/>
                <w:bCs/>
                <w:color w:val="auto"/>
                <w:szCs w:val="21"/>
                <w:highlight w:val="none"/>
                <w:lang w:val="en-US" w:eastAsia="zh-CN"/>
              </w:rPr>
              <w:t xml:space="preserve">22603638   </w:t>
            </w:r>
            <w:r>
              <w:rPr>
                <w:rFonts w:hint="eastAsia" w:ascii="黑体" w:hAnsi="黑体" w:eastAsia="黑体" w:cs="黑体"/>
                <w:bCs/>
                <w:color w:val="auto"/>
                <w:szCs w:val="21"/>
                <w:highlight w:val="none"/>
              </w:rPr>
              <w:t>(上班时间8：30-12：00,14：00-17：00)</w:t>
            </w:r>
          </w:p>
          <w:p w14:paraId="283D4D54">
            <w:pPr>
              <w:spacing w:line="360" w:lineRule="exact"/>
              <w:ind w:right="-183"/>
              <w:rPr>
                <w:rFonts w:hint="eastAsia" w:ascii="黑体" w:hAnsi="黑体" w:eastAsia="黑体" w:cs="黑体"/>
                <w:color w:val="auto"/>
                <w:highlight w:val="none"/>
              </w:rPr>
            </w:pPr>
            <w:r>
              <w:rPr>
                <w:rFonts w:hint="eastAsia" w:ascii="黑体" w:hAnsi="黑体" w:eastAsia="黑体" w:cs="黑体"/>
                <w:bCs/>
                <w:color w:val="auto"/>
                <w:szCs w:val="21"/>
                <w:highlight w:val="none"/>
              </w:rPr>
              <w:t>集中地点：</w:t>
            </w:r>
            <w:r>
              <w:rPr>
                <w:rFonts w:hint="eastAsia" w:ascii="黑体" w:hAnsi="黑体" w:eastAsia="黑体" w:cs="黑体"/>
                <w:bCs/>
                <w:color w:val="auto"/>
                <w:highlight w:val="none"/>
              </w:rPr>
              <w:t>东莞市东城街道松山湖大道东城段3号</w:t>
            </w:r>
          </w:p>
        </w:tc>
      </w:tr>
      <w:tr w14:paraId="7D057D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2" w:hRule="atLeast"/>
          <w:jc w:val="center"/>
        </w:trPr>
        <w:tc>
          <w:tcPr>
            <w:tcW w:w="5000" w:type="pct"/>
            <w:gridSpan w:val="2"/>
            <w:tcBorders>
              <w:top w:val="single" w:color="auto" w:sz="4" w:space="0"/>
              <w:left w:val="single" w:color="auto" w:sz="4" w:space="0"/>
              <w:bottom w:val="single" w:color="auto" w:sz="4" w:space="0"/>
              <w:right w:val="single" w:color="auto" w:sz="4" w:space="0"/>
            </w:tcBorders>
            <w:vAlign w:val="center"/>
          </w:tcPr>
          <w:p w14:paraId="79A2FE5F">
            <w:pPr>
              <w:spacing w:line="360" w:lineRule="exact"/>
              <w:ind w:right="-183"/>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三 投标文件的编制</w:t>
            </w:r>
          </w:p>
        </w:tc>
      </w:tr>
      <w:tr w14:paraId="7AD95D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8"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14:paraId="56B6C0C3">
            <w:pPr>
              <w:spacing w:line="360" w:lineRule="exact"/>
              <w:ind w:right="-183"/>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12.5</w:t>
            </w:r>
          </w:p>
        </w:tc>
        <w:tc>
          <w:tcPr>
            <w:tcW w:w="4353" w:type="pct"/>
            <w:tcBorders>
              <w:top w:val="single" w:color="auto" w:sz="4" w:space="0"/>
              <w:left w:val="single" w:color="auto" w:sz="4" w:space="0"/>
              <w:bottom w:val="single" w:color="auto" w:sz="4" w:space="0"/>
              <w:right w:val="single" w:color="auto" w:sz="4" w:space="0"/>
            </w:tcBorders>
            <w:vAlign w:val="center"/>
          </w:tcPr>
          <w:p w14:paraId="3C0DDCB8">
            <w:pPr>
              <w:spacing w:line="360" w:lineRule="exact"/>
              <w:ind w:right="-183"/>
              <w:rPr>
                <w:rFonts w:hint="eastAsia" w:ascii="黑体" w:hAnsi="黑体" w:eastAsia="黑体" w:cs="黑体"/>
                <w:bCs/>
                <w:color w:val="auto"/>
                <w:spacing w:val="-4"/>
                <w:szCs w:val="21"/>
                <w:highlight w:val="none"/>
              </w:rPr>
            </w:pPr>
            <w:r>
              <w:rPr>
                <w:rFonts w:hint="eastAsia" w:ascii="黑体" w:hAnsi="黑体" w:eastAsia="黑体" w:cs="黑体"/>
                <w:bCs/>
                <w:color w:val="auto"/>
                <w:spacing w:val="-4"/>
                <w:szCs w:val="21"/>
                <w:highlight w:val="none"/>
              </w:rPr>
              <w:t>投标人所报的投标价在合同执行过程中是固定不变的，不得以任何理由予以变更</w:t>
            </w:r>
          </w:p>
        </w:tc>
      </w:tr>
      <w:tr w14:paraId="2C54EC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6"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14:paraId="7FE6DAD6">
            <w:pPr>
              <w:spacing w:line="360" w:lineRule="exact"/>
              <w:ind w:right="-183"/>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12.6</w:t>
            </w:r>
          </w:p>
        </w:tc>
        <w:tc>
          <w:tcPr>
            <w:tcW w:w="4353" w:type="pct"/>
            <w:tcBorders>
              <w:top w:val="single" w:color="auto" w:sz="4" w:space="0"/>
              <w:left w:val="single" w:color="auto" w:sz="4" w:space="0"/>
              <w:bottom w:val="single" w:color="auto" w:sz="4" w:space="0"/>
              <w:right w:val="single" w:color="auto" w:sz="4" w:space="0"/>
            </w:tcBorders>
            <w:vAlign w:val="center"/>
          </w:tcPr>
          <w:p w14:paraId="5666443E">
            <w:pPr>
              <w:spacing w:line="360" w:lineRule="exact"/>
              <w:ind w:right="-183"/>
              <w:rPr>
                <w:rFonts w:hint="eastAsia" w:ascii="黑体" w:hAnsi="黑体" w:eastAsia="黑体" w:cs="黑体"/>
                <w:bCs/>
                <w:color w:val="auto"/>
                <w:szCs w:val="21"/>
                <w:highlight w:val="none"/>
              </w:rPr>
            </w:pPr>
            <w:r>
              <w:rPr>
                <w:rFonts w:hint="eastAsia" w:ascii="黑体" w:hAnsi="黑体" w:eastAsia="黑体" w:cs="黑体"/>
                <w:bCs/>
                <w:color w:val="auto"/>
                <w:spacing w:val="-4"/>
                <w:szCs w:val="21"/>
                <w:highlight w:val="none"/>
              </w:rPr>
              <w:t>不允许有备选方案</w:t>
            </w:r>
          </w:p>
        </w:tc>
      </w:tr>
      <w:tr w14:paraId="1437D2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5"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14:paraId="50F41750">
            <w:pPr>
              <w:spacing w:line="360" w:lineRule="exact"/>
              <w:ind w:right="-183"/>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12.7</w:t>
            </w:r>
          </w:p>
        </w:tc>
        <w:tc>
          <w:tcPr>
            <w:tcW w:w="4353" w:type="pct"/>
            <w:tcBorders>
              <w:top w:val="single" w:color="auto" w:sz="4" w:space="0"/>
              <w:left w:val="single" w:color="auto" w:sz="4" w:space="0"/>
              <w:bottom w:val="single" w:color="auto" w:sz="4" w:space="0"/>
              <w:right w:val="single" w:color="auto" w:sz="4" w:space="0"/>
            </w:tcBorders>
            <w:vAlign w:val="center"/>
          </w:tcPr>
          <w:p w14:paraId="3F2F4A07">
            <w:pPr>
              <w:spacing w:line="360" w:lineRule="exact"/>
              <w:ind w:right="-183"/>
              <w:rPr>
                <w:rFonts w:hint="eastAsia" w:ascii="黑体" w:hAnsi="黑体" w:eastAsia="黑体" w:cs="黑体"/>
                <w:bCs/>
                <w:color w:val="auto"/>
                <w:szCs w:val="21"/>
                <w:highlight w:val="none"/>
              </w:rPr>
            </w:pPr>
            <w:r>
              <w:rPr>
                <w:rFonts w:hint="eastAsia" w:ascii="黑体" w:hAnsi="黑体" w:eastAsia="黑体" w:cs="黑体"/>
                <w:bCs/>
                <w:color w:val="auto"/>
                <w:spacing w:val="-4"/>
                <w:szCs w:val="21"/>
                <w:highlight w:val="none"/>
              </w:rPr>
              <w:t>不允许附加条件报价</w:t>
            </w:r>
          </w:p>
        </w:tc>
      </w:tr>
      <w:tr w14:paraId="619EE21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8"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14:paraId="3CA4770A">
            <w:pPr>
              <w:spacing w:line="360" w:lineRule="exact"/>
              <w:ind w:right="-183"/>
              <w:jc w:val="left"/>
              <w:rPr>
                <w:rFonts w:hint="eastAsia" w:ascii="黑体" w:hAnsi="黑体" w:eastAsia="黑体" w:cs="黑体"/>
                <w:bCs/>
                <w:color w:val="auto"/>
                <w:spacing w:val="-4"/>
                <w:szCs w:val="21"/>
                <w:highlight w:val="none"/>
              </w:rPr>
            </w:pPr>
            <w:r>
              <w:rPr>
                <w:rFonts w:hint="eastAsia" w:ascii="黑体" w:hAnsi="黑体" w:eastAsia="黑体" w:cs="黑体"/>
                <w:bCs/>
                <w:color w:val="auto"/>
                <w:spacing w:val="-4"/>
                <w:szCs w:val="21"/>
                <w:highlight w:val="none"/>
              </w:rPr>
              <w:t>17.1</w:t>
            </w:r>
          </w:p>
        </w:tc>
        <w:tc>
          <w:tcPr>
            <w:tcW w:w="4353" w:type="pct"/>
            <w:tcBorders>
              <w:top w:val="single" w:color="auto" w:sz="4" w:space="0"/>
              <w:left w:val="single" w:color="auto" w:sz="4" w:space="0"/>
              <w:bottom w:val="single" w:color="auto" w:sz="4" w:space="0"/>
              <w:right w:val="single" w:color="auto" w:sz="4" w:space="0"/>
            </w:tcBorders>
            <w:vAlign w:val="center"/>
          </w:tcPr>
          <w:p w14:paraId="0C778E68">
            <w:pPr>
              <w:spacing w:line="360" w:lineRule="exact"/>
              <w:ind w:right="-183"/>
              <w:rPr>
                <w:rFonts w:hint="eastAsia" w:ascii="黑体" w:hAnsi="黑体" w:eastAsia="黑体" w:cs="黑体"/>
                <w:bCs/>
                <w:color w:val="auto"/>
                <w:spacing w:val="-4"/>
                <w:szCs w:val="21"/>
                <w:highlight w:val="none"/>
                <w:lang w:val="en-US"/>
              </w:rPr>
            </w:pPr>
            <w:r>
              <w:rPr>
                <w:rFonts w:hint="eastAsia" w:ascii="黑体" w:hAnsi="黑体" w:eastAsia="黑体" w:cs="黑体"/>
                <w:bCs/>
                <w:color w:val="auto"/>
                <w:spacing w:val="-4"/>
                <w:szCs w:val="21"/>
                <w:highlight w:val="none"/>
              </w:rPr>
              <w:t>投标人投标时须附有投标保证金为：</w:t>
            </w:r>
            <w:r>
              <w:rPr>
                <w:rFonts w:hint="eastAsia" w:ascii="黑体" w:hAnsi="黑体" w:eastAsia="黑体" w:cs="黑体"/>
                <w:bCs/>
                <w:color w:val="auto"/>
                <w:spacing w:val="-4"/>
                <w:szCs w:val="21"/>
                <w:highlight w:val="none"/>
                <w:u w:val="single"/>
                <w:lang w:val="en-US" w:eastAsia="zh-CN"/>
              </w:rPr>
              <w:t>本项目不收取投标保证金。</w:t>
            </w:r>
          </w:p>
        </w:tc>
      </w:tr>
      <w:tr w14:paraId="6CFE01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5"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14:paraId="43A972D6">
            <w:pPr>
              <w:spacing w:line="380" w:lineRule="exact"/>
              <w:jc w:val="left"/>
              <w:rPr>
                <w:rFonts w:hint="eastAsia" w:ascii="黑体" w:hAnsi="黑体" w:eastAsia="黑体" w:cs="黑体"/>
                <w:color w:val="auto"/>
                <w:szCs w:val="21"/>
                <w:highlight w:val="none"/>
                <w:lang w:val="zh-CN"/>
              </w:rPr>
            </w:pPr>
            <w:r>
              <w:rPr>
                <w:rFonts w:hint="eastAsia" w:ascii="黑体" w:hAnsi="黑体" w:eastAsia="黑体" w:cs="黑体"/>
                <w:color w:val="auto"/>
                <w:szCs w:val="21"/>
                <w:highlight w:val="none"/>
                <w:lang w:val="zh-CN"/>
              </w:rPr>
              <w:t>18.1</w:t>
            </w:r>
          </w:p>
        </w:tc>
        <w:tc>
          <w:tcPr>
            <w:tcW w:w="4353" w:type="pct"/>
            <w:tcBorders>
              <w:top w:val="single" w:color="auto" w:sz="4" w:space="0"/>
              <w:left w:val="single" w:color="auto" w:sz="4" w:space="0"/>
              <w:bottom w:val="single" w:color="auto" w:sz="4" w:space="0"/>
              <w:right w:val="single" w:color="auto" w:sz="4" w:space="0"/>
            </w:tcBorders>
            <w:vAlign w:val="center"/>
          </w:tcPr>
          <w:p w14:paraId="56A75894">
            <w:pPr>
              <w:spacing w:line="380" w:lineRule="exact"/>
              <w:ind w:right="-40"/>
              <w:rPr>
                <w:rFonts w:hint="eastAsia" w:ascii="黑体" w:hAnsi="黑体" w:eastAsia="黑体" w:cs="黑体"/>
                <w:color w:val="auto"/>
                <w:szCs w:val="21"/>
                <w:highlight w:val="none"/>
                <w:lang w:val="zh-CN"/>
              </w:rPr>
            </w:pPr>
            <w:r>
              <w:rPr>
                <w:rFonts w:hint="eastAsia" w:ascii="黑体" w:hAnsi="黑体" w:eastAsia="黑体" w:cs="黑体"/>
                <w:color w:val="auto"/>
                <w:szCs w:val="21"/>
                <w:highlight w:val="none"/>
                <w:lang w:val="zh-CN"/>
              </w:rPr>
              <w:t>投标有效期：递交投标文件截止日后</w:t>
            </w:r>
            <w:r>
              <w:rPr>
                <w:rFonts w:hint="eastAsia" w:ascii="黑体" w:hAnsi="黑体" w:eastAsia="黑体" w:cs="黑体"/>
                <w:color w:val="auto"/>
                <w:szCs w:val="21"/>
                <w:highlight w:val="none"/>
                <w:u w:val="single"/>
                <w:lang w:val="zh-CN"/>
              </w:rPr>
              <w:t xml:space="preserve"> 90 </w:t>
            </w:r>
            <w:r>
              <w:rPr>
                <w:rFonts w:hint="eastAsia" w:ascii="黑体" w:hAnsi="黑体" w:eastAsia="黑体" w:cs="黑体"/>
                <w:color w:val="auto"/>
                <w:szCs w:val="21"/>
                <w:highlight w:val="none"/>
                <w:lang w:val="zh-CN"/>
              </w:rPr>
              <w:t>天</w:t>
            </w:r>
          </w:p>
        </w:tc>
      </w:tr>
      <w:tr w14:paraId="30A4A6F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9"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14:paraId="67914B7D">
            <w:pPr>
              <w:spacing w:line="380" w:lineRule="exact"/>
              <w:jc w:val="left"/>
              <w:rPr>
                <w:rFonts w:hint="eastAsia" w:ascii="黑体" w:hAnsi="黑体" w:eastAsia="黑体" w:cs="黑体"/>
                <w:color w:val="auto"/>
                <w:szCs w:val="21"/>
                <w:highlight w:val="none"/>
                <w:lang w:val="zh-CN"/>
              </w:rPr>
            </w:pPr>
            <w:r>
              <w:rPr>
                <w:rFonts w:hint="eastAsia" w:ascii="黑体" w:hAnsi="黑体" w:eastAsia="黑体" w:cs="黑体"/>
                <w:color w:val="auto"/>
                <w:szCs w:val="21"/>
                <w:highlight w:val="none"/>
                <w:lang w:val="zh-CN"/>
              </w:rPr>
              <w:t>19.1</w:t>
            </w:r>
          </w:p>
        </w:tc>
        <w:tc>
          <w:tcPr>
            <w:tcW w:w="4353" w:type="pct"/>
            <w:tcBorders>
              <w:top w:val="single" w:color="auto" w:sz="4" w:space="0"/>
              <w:left w:val="single" w:color="auto" w:sz="4" w:space="0"/>
              <w:bottom w:val="single" w:color="auto" w:sz="4" w:space="0"/>
              <w:right w:val="single" w:color="auto" w:sz="4" w:space="0"/>
            </w:tcBorders>
            <w:vAlign w:val="center"/>
          </w:tcPr>
          <w:p w14:paraId="4C09D7B2">
            <w:pPr>
              <w:spacing w:line="380" w:lineRule="exact"/>
              <w:ind w:right="-4"/>
              <w:rPr>
                <w:rFonts w:hint="eastAsia" w:ascii="黑体" w:hAnsi="黑体" w:eastAsia="黑体" w:cs="黑体"/>
                <w:color w:val="auto"/>
                <w:szCs w:val="21"/>
                <w:highlight w:val="none"/>
                <w:lang w:val="zh-CN"/>
              </w:rPr>
            </w:pPr>
            <w:r>
              <w:rPr>
                <w:rFonts w:hint="eastAsia" w:ascii="黑体" w:hAnsi="黑体" w:eastAsia="黑体" w:cs="黑体"/>
                <w:color w:val="auto"/>
                <w:szCs w:val="21"/>
                <w:highlight w:val="none"/>
                <w:lang w:val="zh-CN"/>
              </w:rPr>
              <w:t>投标文件份数：正本一份，副本五份，电子文件一份，唱标信封一个。</w:t>
            </w:r>
          </w:p>
        </w:tc>
      </w:tr>
      <w:tr w14:paraId="08A6CA2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000" w:type="pct"/>
            <w:gridSpan w:val="2"/>
            <w:tcBorders>
              <w:top w:val="single" w:color="auto" w:sz="4" w:space="0"/>
              <w:left w:val="single" w:color="auto" w:sz="4" w:space="0"/>
              <w:bottom w:val="single" w:color="auto" w:sz="4" w:space="0"/>
              <w:right w:val="single" w:color="auto" w:sz="4" w:space="0"/>
            </w:tcBorders>
            <w:vAlign w:val="center"/>
          </w:tcPr>
          <w:p w14:paraId="37A67A18">
            <w:pPr>
              <w:spacing w:line="380" w:lineRule="exact"/>
              <w:ind w:right="-4"/>
              <w:rPr>
                <w:rFonts w:hint="eastAsia" w:ascii="黑体" w:hAnsi="黑体" w:eastAsia="黑体" w:cs="黑体"/>
                <w:color w:val="auto"/>
                <w:szCs w:val="21"/>
                <w:highlight w:val="none"/>
                <w:lang w:val="zh-CN"/>
              </w:rPr>
            </w:pPr>
            <w:r>
              <w:rPr>
                <w:rFonts w:hint="eastAsia" w:ascii="黑体" w:hAnsi="黑体" w:eastAsia="黑体" w:cs="黑体"/>
                <w:color w:val="auto"/>
                <w:szCs w:val="21"/>
                <w:highlight w:val="none"/>
                <w:lang w:val="zh-CN"/>
              </w:rPr>
              <w:t>五 开标与评标准则</w:t>
            </w:r>
          </w:p>
        </w:tc>
      </w:tr>
      <w:tr w14:paraId="7837499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14:paraId="01A709ED">
            <w:pPr>
              <w:spacing w:line="380" w:lineRule="exact"/>
              <w:ind w:right="-4"/>
              <w:jc w:val="left"/>
              <w:rPr>
                <w:rFonts w:hint="eastAsia" w:ascii="黑体" w:hAnsi="黑体" w:eastAsia="黑体" w:cs="黑体"/>
                <w:color w:val="auto"/>
                <w:szCs w:val="21"/>
                <w:highlight w:val="none"/>
                <w:lang w:val="zh-CN"/>
              </w:rPr>
            </w:pPr>
            <w:r>
              <w:rPr>
                <w:rFonts w:hint="eastAsia" w:ascii="黑体" w:hAnsi="黑体" w:eastAsia="黑体" w:cs="黑体"/>
                <w:color w:val="auto"/>
                <w:szCs w:val="21"/>
                <w:highlight w:val="none"/>
                <w:lang w:val="zh-CN"/>
              </w:rPr>
              <w:t>25.2</w:t>
            </w:r>
          </w:p>
        </w:tc>
        <w:tc>
          <w:tcPr>
            <w:tcW w:w="4353" w:type="pct"/>
            <w:tcBorders>
              <w:top w:val="single" w:color="auto" w:sz="4" w:space="0"/>
              <w:left w:val="single" w:color="auto" w:sz="4" w:space="0"/>
              <w:bottom w:val="single" w:color="auto" w:sz="4" w:space="0"/>
              <w:right w:val="single" w:color="auto" w:sz="4" w:space="0"/>
            </w:tcBorders>
            <w:vAlign w:val="center"/>
          </w:tcPr>
          <w:p w14:paraId="003479F5">
            <w:pPr>
              <w:spacing w:line="380" w:lineRule="exact"/>
              <w:ind w:right="-4"/>
              <w:rPr>
                <w:rFonts w:hint="eastAsia" w:ascii="黑体" w:hAnsi="黑体" w:eastAsia="黑体" w:cs="黑体"/>
                <w:color w:val="auto"/>
                <w:szCs w:val="21"/>
                <w:highlight w:val="none"/>
                <w:lang w:val="zh-CN"/>
              </w:rPr>
            </w:pPr>
            <w:r>
              <w:rPr>
                <w:rFonts w:hint="eastAsia" w:ascii="黑体" w:hAnsi="黑体" w:eastAsia="黑体" w:cs="黑体"/>
                <w:color w:val="auto"/>
                <w:szCs w:val="21"/>
                <w:highlight w:val="none"/>
                <w:lang w:val="zh-CN"/>
              </w:rPr>
              <w:t>评标委员会由采购人代表和评审专家组成，成员人数为5人。</w:t>
            </w:r>
          </w:p>
        </w:tc>
      </w:tr>
      <w:tr w14:paraId="1EA0A1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14:paraId="49275554">
            <w:pPr>
              <w:spacing w:line="380" w:lineRule="exact"/>
              <w:ind w:right="-4"/>
              <w:jc w:val="left"/>
              <w:rPr>
                <w:rFonts w:hint="eastAsia" w:ascii="黑体" w:hAnsi="黑体" w:eastAsia="黑体" w:cs="黑体"/>
                <w:color w:val="auto"/>
                <w:szCs w:val="21"/>
                <w:highlight w:val="none"/>
                <w:lang w:val="zh-CN"/>
              </w:rPr>
            </w:pPr>
            <w:r>
              <w:rPr>
                <w:rFonts w:hint="eastAsia" w:ascii="黑体" w:hAnsi="黑体" w:eastAsia="黑体" w:cs="黑体"/>
                <w:color w:val="auto"/>
                <w:szCs w:val="21"/>
                <w:highlight w:val="none"/>
                <w:lang w:val="zh-CN"/>
              </w:rPr>
              <w:t>25.5</w:t>
            </w:r>
          </w:p>
        </w:tc>
        <w:tc>
          <w:tcPr>
            <w:tcW w:w="4353" w:type="pct"/>
            <w:tcBorders>
              <w:top w:val="single" w:color="auto" w:sz="4" w:space="0"/>
              <w:left w:val="single" w:color="auto" w:sz="4" w:space="0"/>
              <w:bottom w:val="single" w:color="auto" w:sz="4" w:space="0"/>
              <w:right w:val="single" w:color="auto" w:sz="4" w:space="0"/>
            </w:tcBorders>
            <w:vAlign w:val="center"/>
          </w:tcPr>
          <w:p w14:paraId="05015182">
            <w:pPr>
              <w:spacing w:line="380" w:lineRule="exact"/>
              <w:ind w:right="-4"/>
              <w:rPr>
                <w:rFonts w:hint="eastAsia" w:ascii="黑体" w:hAnsi="黑体" w:eastAsia="黑体" w:cs="黑体"/>
                <w:color w:val="auto"/>
                <w:szCs w:val="21"/>
                <w:highlight w:val="none"/>
                <w:lang w:val="zh-CN"/>
              </w:rPr>
            </w:pPr>
            <w:r>
              <w:rPr>
                <w:rFonts w:hint="eastAsia" w:ascii="黑体" w:hAnsi="黑体" w:eastAsia="黑体" w:cs="黑体"/>
                <w:color w:val="auto"/>
                <w:szCs w:val="21"/>
                <w:highlight w:val="none"/>
                <w:lang w:val="zh-CN"/>
              </w:rPr>
              <w:t>评标方法：采用综合评分法，详见第五部分。</w:t>
            </w:r>
          </w:p>
        </w:tc>
      </w:tr>
      <w:tr w14:paraId="77F9B37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000" w:type="pct"/>
            <w:gridSpan w:val="2"/>
            <w:tcBorders>
              <w:top w:val="single" w:color="auto" w:sz="4" w:space="0"/>
              <w:left w:val="single" w:color="auto" w:sz="4" w:space="0"/>
              <w:bottom w:val="single" w:color="auto" w:sz="4" w:space="0"/>
              <w:right w:val="single" w:color="auto" w:sz="4" w:space="0"/>
            </w:tcBorders>
            <w:vAlign w:val="center"/>
          </w:tcPr>
          <w:p w14:paraId="7C0F749D">
            <w:pPr>
              <w:spacing w:line="380" w:lineRule="exact"/>
              <w:jc w:val="left"/>
              <w:rPr>
                <w:rFonts w:hint="eastAsia" w:ascii="黑体" w:hAnsi="黑体" w:eastAsia="黑体" w:cs="黑体"/>
                <w:color w:val="auto"/>
                <w:szCs w:val="21"/>
                <w:highlight w:val="none"/>
                <w:lang w:val="zh-CN"/>
              </w:rPr>
            </w:pPr>
            <w:r>
              <w:rPr>
                <w:rFonts w:hint="eastAsia" w:ascii="黑体" w:hAnsi="黑体" w:eastAsia="黑体" w:cs="黑体"/>
                <w:color w:val="auto"/>
                <w:szCs w:val="21"/>
                <w:highlight w:val="none"/>
                <w:lang w:val="zh-CN"/>
              </w:rPr>
              <w:t>六 授予合同</w:t>
            </w:r>
          </w:p>
        </w:tc>
      </w:tr>
      <w:tr w14:paraId="142FFBD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14:paraId="416746AE">
            <w:pPr>
              <w:spacing w:line="380" w:lineRule="exact"/>
              <w:ind w:right="-4"/>
              <w:jc w:val="left"/>
              <w:rPr>
                <w:rFonts w:hint="eastAsia" w:ascii="黑体" w:hAnsi="黑体" w:eastAsia="黑体" w:cs="黑体"/>
                <w:color w:val="auto"/>
                <w:szCs w:val="21"/>
                <w:highlight w:val="none"/>
                <w:lang w:val="zh-CN"/>
              </w:rPr>
            </w:pPr>
            <w:r>
              <w:rPr>
                <w:rFonts w:hint="eastAsia" w:ascii="黑体" w:hAnsi="黑体" w:eastAsia="黑体" w:cs="黑体"/>
                <w:color w:val="auto"/>
                <w:szCs w:val="21"/>
                <w:highlight w:val="none"/>
                <w:lang w:val="zh-CN"/>
              </w:rPr>
              <w:t>32.1</w:t>
            </w:r>
          </w:p>
        </w:tc>
        <w:tc>
          <w:tcPr>
            <w:tcW w:w="4353" w:type="pct"/>
            <w:tcBorders>
              <w:top w:val="single" w:color="auto" w:sz="4" w:space="0"/>
              <w:left w:val="single" w:color="auto" w:sz="4" w:space="0"/>
              <w:bottom w:val="single" w:color="auto" w:sz="4" w:space="0"/>
              <w:right w:val="single" w:color="auto" w:sz="4" w:space="0"/>
            </w:tcBorders>
            <w:vAlign w:val="center"/>
          </w:tcPr>
          <w:p w14:paraId="320F68B0">
            <w:pPr>
              <w:spacing w:line="380" w:lineRule="exact"/>
              <w:ind w:right="-4"/>
              <w:rPr>
                <w:rFonts w:hint="eastAsia" w:ascii="黑体" w:hAnsi="黑体" w:eastAsia="黑体" w:cs="黑体"/>
                <w:color w:val="auto"/>
                <w:szCs w:val="21"/>
                <w:highlight w:val="none"/>
                <w:lang w:val="zh-CN"/>
              </w:rPr>
            </w:pPr>
            <w:r>
              <w:rPr>
                <w:rFonts w:hint="eastAsia" w:ascii="黑体" w:hAnsi="黑体" w:eastAsia="黑体" w:cs="黑体"/>
                <w:color w:val="auto"/>
                <w:szCs w:val="21"/>
                <w:highlight w:val="none"/>
                <w:lang w:val="zh-CN"/>
              </w:rPr>
              <w:t>合同签订时间：自《中标通知书》发出之日起30日内。</w:t>
            </w:r>
          </w:p>
        </w:tc>
      </w:tr>
    </w:tbl>
    <w:p w14:paraId="4C3CE93C">
      <w:pPr>
        <w:pStyle w:val="2"/>
        <w:keepNext w:val="0"/>
        <w:keepLines w:val="0"/>
        <w:pageBreakBefore/>
        <w:spacing w:before="300" w:after="240" w:line="360" w:lineRule="auto"/>
        <w:jc w:val="center"/>
        <w:rPr>
          <w:rFonts w:hint="eastAsia" w:ascii="黑体" w:hAnsi="黑体" w:eastAsia="黑体" w:cs="黑体"/>
          <w:color w:val="auto"/>
          <w:spacing w:val="20"/>
          <w:sz w:val="32"/>
          <w:szCs w:val="32"/>
          <w:highlight w:val="none"/>
        </w:rPr>
      </w:pPr>
      <w:bookmarkStart w:id="28" w:name="_Toc391627750"/>
      <w:bookmarkStart w:id="29" w:name="_Toc405313954"/>
      <w:bookmarkStart w:id="30" w:name="_Toc14645"/>
      <w:r>
        <w:rPr>
          <w:rFonts w:hint="eastAsia" w:ascii="黑体" w:hAnsi="黑体" w:eastAsia="黑体" w:cs="黑体"/>
          <w:color w:val="auto"/>
          <w:spacing w:val="20"/>
          <w:sz w:val="32"/>
          <w:szCs w:val="32"/>
          <w:highlight w:val="none"/>
        </w:rPr>
        <w:t>第四部分 投标人须知</w:t>
      </w:r>
      <w:bookmarkEnd w:id="28"/>
      <w:bookmarkEnd w:id="29"/>
      <w:bookmarkEnd w:id="30"/>
    </w:p>
    <w:p w14:paraId="7C957613">
      <w:pPr>
        <w:pStyle w:val="29"/>
        <w:numPr>
          <w:ilvl w:val="0"/>
          <w:numId w:val="20"/>
        </w:numPr>
        <w:spacing w:before="312" w:beforeLines="100" w:line="360" w:lineRule="auto"/>
        <w:ind w:firstLineChars="0"/>
        <w:rPr>
          <w:rFonts w:hint="eastAsia" w:ascii="黑体" w:hAnsi="黑体" w:eastAsia="黑体" w:cs="黑体"/>
          <w:b/>
          <w:bCs/>
          <w:color w:val="auto"/>
          <w:sz w:val="24"/>
          <w:szCs w:val="24"/>
          <w:highlight w:val="none"/>
        </w:rPr>
      </w:pPr>
      <w:r>
        <w:rPr>
          <w:rFonts w:hint="eastAsia" w:ascii="黑体" w:hAnsi="黑体" w:eastAsia="黑体" w:cs="黑体"/>
          <w:b/>
          <w:bCs/>
          <w:color w:val="auto"/>
          <w:sz w:val="24"/>
          <w:szCs w:val="24"/>
          <w:highlight w:val="none"/>
        </w:rPr>
        <w:t>说明</w:t>
      </w:r>
    </w:p>
    <w:p w14:paraId="138BDEDB">
      <w:pPr>
        <w:pStyle w:val="29"/>
        <w:numPr>
          <w:ilvl w:val="0"/>
          <w:numId w:val="21"/>
        </w:numPr>
        <w:spacing w:line="360" w:lineRule="auto"/>
        <w:ind w:firstLineChars="0"/>
        <w:rPr>
          <w:rFonts w:hint="eastAsia" w:ascii="黑体" w:hAnsi="黑体" w:eastAsia="黑体" w:cs="黑体"/>
          <w:b/>
          <w:color w:val="auto"/>
          <w:highlight w:val="none"/>
        </w:rPr>
      </w:pPr>
      <w:r>
        <w:rPr>
          <w:rFonts w:hint="eastAsia" w:ascii="黑体" w:hAnsi="黑体" w:eastAsia="黑体" w:cs="黑体"/>
          <w:b/>
          <w:color w:val="auto"/>
          <w:highlight w:val="none"/>
        </w:rPr>
        <w:t>总则</w:t>
      </w:r>
    </w:p>
    <w:p w14:paraId="44344AF4">
      <w:pPr>
        <w:spacing w:line="360" w:lineRule="auto"/>
        <w:ind w:firstLine="420" w:firstLineChars="200"/>
        <w:rPr>
          <w:rFonts w:hint="eastAsia" w:ascii="黑体" w:hAnsi="黑体" w:eastAsia="黑体" w:cs="黑体"/>
          <w:bCs/>
          <w:color w:val="auto"/>
          <w:highlight w:val="none"/>
        </w:rPr>
      </w:pPr>
      <w:r>
        <w:rPr>
          <w:rFonts w:hint="eastAsia" w:ascii="黑体" w:hAnsi="黑体" w:eastAsia="黑体" w:cs="黑体"/>
          <w:bCs/>
          <w:color w:val="auto"/>
          <w:highlight w:val="none"/>
        </w:rPr>
        <w:t>采购人、采购代理机构及投标人进行的本次采购活动</w:t>
      </w:r>
      <w:r>
        <w:rPr>
          <w:rFonts w:hint="eastAsia" w:ascii="黑体" w:hAnsi="黑体" w:eastAsia="黑体" w:cs="黑体"/>
          <w:bCs/>
          <w:color w:val="auto"/>
          <w:highlight w:val="none"/>
          <w:lang w:val="en-US" w:eastAsia="zh-CN"/>
        </w:rPr>
        <w:t>参考</w:t>
      </w:r>
      <w:r>
        <w:rPr>
          <w:rFonts w:hint="eastAsia" w:ascii="黑体" w:hAnsi="黑体" w:eastAsia="黑体" w:cs="黑体"/>
          <w:bCs/>
          <w:color w:val="auto"/>
          <w:highlight w:val="none"/>
        </w:rPr>
        <w:t>《</w:t>
      </w:r>
      <w:bookmarkStart w:id="31" w:name="_Hlk75725950"/>
      <w:r>
        <w:rPr>
          <w:rFonts w:hint="eastAsia" w:ascii="黑体" w:hAnsi="黑体" w:eastAsia="黑体" w:cs="黑体"/>
          <w:bCs/>
          <w:color w:val="auto"/>
          <w:highlight w:val="none"/>
        </w:rPr>
        <w:t>中华人民共和国</w:t>
      </w:r>
      <w:bookmarkEnd w:id="31"/>
      <w:r>
        <w:rPr>
          <w:rFonts w:hint="eastAsia" w:ascii="黑体" w:hAnsi="黑体" w:eastAsia="黑体" w:cs="黑体"/>
          <w:bCs/>
          <w:color w:val="auto"/>
          <w:highlight w:val="none"/>
        </w:rPr>
        <w:t>政府采购法》及其配套的法规、规章、政策。投标人应仔细阅读本项目招标公告及招标文件的所有内容（包括变更、补充、澄清以及修改等，且均为招标文件的组成部分），按照招标文件要求以及格式编制投标文件，并保证其真实性，否则一切后果自负。</w:t>
      </w:r>
    </w:p>
    <w:p w14:paraId="557AC80A">
      <w:pPr>
        <w:spacing w:line="360" w:lineRule="auto"/>
        <w:ind w:firstLine="420" w:firstLineChars="200"/>
        <w:rPr>
          <w:rFonts w:hint="eastAsia" w:ascii="黑体" w:hAnsi="黑体" w:eastAsia="黑体" w:cs="黑体"/>
          <w:bCs/>
          <w:color w:val="auto"/>
          <w:highlight w:val="none"/>
        </w:rPr>
      </w:pPr>
      <w:r>
        <w:rPr>
          <w:rFonts w:hint="eastAsia" w:ascii="黑体" w:hAnsi="黑体" w:eastAsia="黑体" w:cs="黑体"/>
          <w:bCs/>
          <w:color w:val="auto"/>
          <w:highlight w:val="none"/>
        </w:rPr>
        <w:t>本次公开招标项目，是以招标公告的方式邀请非特定的投标人参加投标。</w:t>
      </w:r>
    </w:p>
    <w:p w14:paraId="58B70354">
      <w:pPr>
        <w:pStyle w:val="29"/>
        <w:numPr>
          <w:ilvl w:val="0"/>
          <w:numId w:val="21"/>
        </w:numPr>
        <w:spacing w:line="360" w:lineRule="auto"/>
        <w:ind w:firstLineChars="0"/>
        <w:rPr>
          <w:rFonts w:hint="eastAsia" w:ascii="黑体" w:hAnsi="黑体" w:eastAsia="黑体" w:cs="黑体"/>
          <w:b/>
          <w:color w:val="auto"/>
          <w:highlight w:val="none"/>
        </w:rPr>
      </w:pPr>
      <w:r>
        <w:rPr>
          <w:rFonts w:hint="eastAsia" w:ascii="黑体" w:hAnsi="黑体" w:eastAsia="黑体" w:cs="黑体"/>
          <w:b/>
          <w:color w:val="auto"/>
          <w:highlight w:val="none"/>
        </w:rPr>
        <w:t>适用范围</w:t>
      </w:r>
    </w:p>
    <w:p w14:paraId="00079286">
      <w:pPr>
        <w:pStyle w:val="29"/>
        <w:numPr>
          <w:ilvl w:val="0"/>
          <w:numId w:val="22"/>
        </w:numPr>
        <w:spacing w:line="360" w:lineRule="auto"/>
        <w:ind w:firstLineChars="0"/>
        <w:rPr>
          <w:rFonts w:hint="eastAsia" w:ascii="黑体" w:hAnsi="黑体" w:eastAsia="黑体" w:cs="黑体"/>
          <w:color w:val="auto"/>
          <w:highlight w:val="none"/>
        </w:rPr>
      </w:pPr>
      <w:r>
        <w:rPr>
          <w:rFonts w:hint="eastAsia" w:ascii="黑体" w:hAnsi="黑体" w:eastAsia="黑体" w:cs="黑体"/>
          <w:color w:val="auto"/>
          <w:highlight w:val="none"/>
        </w:rPr>
        <w:t>本招标文件仅适用于本次招标公告中所涉及的项目和内容。</w:t>
      </w:r>
    </w:p>
    <w:p w14:paraId="3D8CCC76">
      <w:pPr>
        <w:pStyle w:val="29"/>
        <w:numPr>
          <w:ilvl w:val="0"/>
          <w:numId w:val="22"/>
        </w:numPr>
        <w:spacing w:line="360" w:lineRule="auto"/>
        <w:ind w:firstLineChars="0"/>
        <w:rPr>
          <w:rFonts w:hint="eastAsia" w:ascii="黑体" w:hAnsi="黑体" w:eastAsia="黑体" w:cs="黑体"/>
          <w:b/>
          <w:color w:val="auto"/>
          <w:highlight w:val="none"/>
          <w:u w:val="single"/>
        </w:rPr>
      </w:pPr>
      <w:r>
        <w:rPr>
          <w:rFonts w:hint="eastAsia" w:ascii="黑体" w:hAnsi="黑体" w:eastAsia="黑体" w:cs="黑体"/>
          <w:color w:val="auto"/>
          <w:highlight w:val="none"/>
        </w:rPr>
        <w:t>资金来源：</w:t>
      </w:r>
      <w:r>
        <w:rPr>
          <w:rFonts w:hint="eastAsia" w:ascii="黑体" w:hAnsi="黑体" w:eastAsia="黑体" w:cs="黑体"/>
          <w:b/>
          <w:color w:val="auto"/>
          <w:highlight w:val="none"/>
          <w:u w:val="single"/>
        </w:rPr>
        <w:t>（详见投标人须知前附表）</w:t>
      </w:r>
      <w:r>
        <w:rPr>
          <w:rFonts w:hint="eastAsia" w:ascii="黑体" w:hAnsi="黑体" w:eastAsia="黑体" w:cs="黑体"/>
          <w:color w:val="auto"/>
          <w:highlight w:val="none"/>
        </w:rPr>
        <w:t>。</w:t>
      </w:r>
    </w:p>
    <w:p w14:paraId="46D35E9E">
      <w:pPr>
        <w:pStyle w:val="29"/>
        <w:numPr>
          <w:ilvl w:val="0"/>
          <w:numId w:val="22"/>
        </w:numPr>
        <w:ind w:firstLineChars="0"/>
        <w:rPr>
          <w:rFonts w:hint="eastAsia" w:ascii="黑体" w:hAnsi="黑体" w:eastAsia="黑体" w:cs="黑体"/>
          <w:b/>
          <w:color w:val="auto"/>
          <w:highlight w:val="none"/>
        </w:rPr>
      </w:pPr>
      <w:r>
        <w:rPr>
          <w:rFonts w:hint="eastAsia" w:ascii="黑体" w:hAnsi="黑体" w:eastAsia="黑体" w:cs="黑体"/>
          <w:b/>
          <w:color w:val="auto"/>
          <w:highlight w:val="none"/>
        </w:rPr>
        <w:t>项目属性：《详见投标人须知前附表》。</w:t>
      </w:r>
    </w:p>
    <w:p w14:paraId="5D8CA408">
      <w:pPr>
        <w:pStyle w:val="29"/>
        <w:numPr>
          <w:ilvl w:val="0"/>
          <w:numId w:val="21"/>
        </w:numPr>
        <w:spacing w:before="312" w:beforeLines="100" w:line="360" w:lineRule="auto"/>
        <w:ind w:firstLineChars="0"/>
        <w:rPr>
          <w:rFonts w:hint="eastAsia" w:ascii="黑体" w:hAnsi="黑体" w:eastAsia="黑体" w:cs="黑体"/>
          <w:b/>
          <w:color w:val="auto"/>
          <w:highlight w:val="none"/>
        </w:rPr>
      </w:pPr>
      <w:r>
        <w:rPr>
          <w:rFonts w:hint="eastAsia" w:ascii="黑体" w:hAnsi="黑体" w:eastAsia="黑体" w:cs="黑体"/>
          <w:b/>
          <w:color w:val="auto"/>
          <w:highlight w:val="none"/>
        </w:rPr>
        <w:t>定义</w:t>
      </w:r>
    </w:p>
    <w:p w14:paraId="777DB439">
      <w:pPr>
        <w:pStyle w:val="29"/>
        <w:numPr>
          <w:ilvl w:val="0"/>
          <w:numId w:val="23"/>
        </w:numPr>
        <w:tabs>
          <w:tab w:val="left" w:pos="426"/>
        </w:tabs>
        <w:spacing w:line="360" w:lineRule="auto"/>
        <w:ind w:left="426" w:hanging="426" w:firstLineChars="0"/>
        <w:rPr>
          <w:rFonts w:hint="eastAsia" w:ascii="黑体" w:hAnsi="黑体" w:eastAsia="黑体" w:cs="黑体"/>
          <w:color w:val="auto"/>
          <w:highlight w:val="none"/>
        </w:rPr>
      </w:pPr>
      <w:r>
        <w:rPr>
          <w:rFonts w:hint="eastAsia" w:ascii="黑体" w:hAnsi="黑体" w:eastAsia="黑体" w:cs="黑体"/>
          <w:color w:val="auto"/>
          <w:highlight w:val="none"/>
        </w:rPr>
        <w:t xml:space="preserve">采购人：是采购活动当事人之一，负责项目的整体规划、技术方案可行性设计论证与实施，作为合同采购方（用户）的主体承担质疑回复、履行合同、验收与评价等义务。 </w:t>
      </w:r>
    </w:p>
    <w:p w14:paraId="10295190">
      <w:pPr>
        <w:pStyle w:val="29"/>
        <w:numPr>
          <w:ilvl w:val="0"/>
          <w:numId w:val="23"/>
        </w:numPr>
        <w:tabs>
          <w:tab w:val="left" w:pos="426"/>
        </w:tabs>
        <w:spacing w:line="360" w:lineRule="auto"/>
        <w:ind w:left="426" w:hanging="426" w:firstLineChars="0"/>
        <w:rPr>
          <w:rFonts w:hint="eastAsia" w:ascii="黑体" w:hAnsi="黑体" w:eastAsia="黑体" w:cs="黑体"/>
          <w:color w:val="auto"/>
          <w:highlight w:val="none"/>
        </w:rPr>
      </w:pPr>
      <w:r>
        <w:rPr>
          <w:rFonts w:hint="eastAsia" w:ascii="黑体" w:hAnsi="黑体" w:eastAsia="黑体" w:cs="黑体"/>
          <w:color w:val="auto"/>
          <w:highlight w:val="none"/>
        </w:rPr>
        <w:t>采购代理机构：负责整个采购活动的组织，依法负责编制和发布招标文件，对招标文件拥有最终的解释权，不以任何身份出任评标委员会成员。</w:t>
      </w:r>
    </w:p>
    <w:p w14:paraId="30D8F35A">
      <w:pPr>
        <w:pStyle w:val="29"/>
        <w:numPr>
          <w:ilvl w:val="0"/>
          <w:numId w:val="23"/>
        </w:numPr>
        <w:tabs>
          <w:tab w:val="left" w:pos="426"/>
        </w:tabs>
        <w:spacing w:line="360" w:lineRule="auto"/>
        <w:ind w:hanging="941" w:firstLineChars="0"/>
        <w:rPr>
          <w:rFonts w:hint="eastAsia" w:ascii="黑体" w:hAnsi="黑体" w:eastAsia="黑体" w:cs="黑体"/>
          <w:color w:val="auto"/>
          <w:highlight w:val="none"/>
        </w:rPr>
      </w:pPr>
      <w:r>
        <w:rPr>
          <w:rFonts w:hint="eastAsia" w:ascii="黑体" w:hAnsi="黑体" w:eastAsia="黑体" w:cs="黑体"/>
          <w:color w:val="auto"/>
          <w:highlight w:val="none"/>
        </w:rPr>
        <w:t>投标人：是响应招标参加投标竞争的法人或其他组织或自然人。</w:t>
      </w:r>
    </w:p>
    <w:p w14:paraId="30143B91">
      <w:pPr>
        <w:pStyle w:val="29"/>
        <w:numPr>
          <w:ilvl w:val="0"/>
          <w:numId w:val="23"/>
        </w:numPr>
        <w:tabs>
          <w:tab w:val="left" w:pos="426"/>
        </w:tabs>
        <w:spacing w:line="360" w:lineRule="auto"/>
        <w:ind w:left="426" w:hanging="426" w:firstLineChars="0"/>
        <w:rPr>
          <w:rFonts w:hint="eastAsia" w:ascii="黑体" w:hAnsi="黑体" w:eastAsia="黑体" w:cs="黑体"/>
          <w:color w:val="auto"/>
          <w:highlight w:val="none"/>
        </w:rPr>
      </w:pPr>
      <w:r>
        <w:rPr>
          <w:rFonts w:hint="eastAsia" w:ascii="黑体" w:hAnsi="黑体" w:eastAsia="黑体" w:cs="黑体"/>
          <w:color w:val="auto"/>
          <w:highlight w:val="none"/>
        </w:rPr>
        <w:t xml:space="preserve">评标委员会：是指根据《中华人民共和国政府采购法》等法律法规规定，由采购人代表和有关专家组成以确定中标供应商或者推荐中标候选人的临时组织。 </w:t>
      </w:r>
    </w:p>
    <w:p w14:paraId="0DFC9DEA">
      <w:pPr>
        <w:pStyle w:val="29"/>
        <w:numPr>
          <w:ilvl w:val="0"/>
          <w:numId w:val="23"/>
        </w:numPr>
        <w:tabs>
          <w:tab w:val="left" w:pos="426"/>
        </w:tabs>
        <w:spacing w:line="360" w:lineRule="auto"/>
        <w:ind w:left="426" w:hanging="426" w:firstLineChars="0"/>
        <w:rPr>
          <w:rFonts w:hint="eastAsia" w:ascii="黑体" w:hAnsi="黑体" w:eastAsia="黑体" w:cs="黑体"/>
          <w:color w:val="auto"/>
          <w:highlight w:val="none"/>
        </w:rPr>
      </w:pPr>
      <w:r>
        <w:rPr>
          <w:rFonts w:hint="eastAsia" w:ascii="黑体" w:hAnsi="黑体" w:eastAsia="黑体" w:cs="黑体"/>
          <w:color w:val="auto"/>
          <w:highlight w:val="none"/>
        </w:rPr>
        <w:t>中标人：是指经评标委员会评审确定的对招标文件做出实质性响应，经采购人按照规定在评标委员会推荐的中标候选人中确定的或评标委员会受采购人委托直接确认的投标人。</w:t>
      </w:r>
    </w:p>
    <w:p w14:paraId="2F42C1CC">
      <w:pPr>
        <w:pStyle w:val="29"/>
        <w:numPr>
          <w:ilvl w:val="0"/>
          <w:numId w:val="23"/>
        </w:numPr>
        <w:tabs>
          <w:tab w:val="left" w:pos="426"/>
        </w:tabs>
        <w:spacing w:line="360" w:lineRule="auto"/>
        <w:ind w:hanging="941" w:firstLineChars="0"/>
        <w:rPr>
          <w:rFonts w:hint="eastAsia" w:ascii="黑体" w:hAnsi="黑体" w:eastAsia="黑体" w:cs="黑体"/>
          <w:color w:val="auto"/>
          <w:highlight w:val="none"/>
        </w:rPr>
      </w:pPr>
      <w:r>
        <w:rPr>
          <w:rFonts w:hint="eastAsia" w:ascii="黑体" w:hAnsi="黑体" w:eastAsia="黑体" w:cs="黑体"/>
          <w:color w:val="auto"/>
          <w:highlight w:val="none"/>
        </w:rPr>
        <w:t>合格的投标人是指：详见《第一部分投标邀请》申请人的资格要求</w:t>
      </w:r>
    </w:p>
    <w:p w14:paraId="2F1173E5">
      <w:pPr>
        <w:pStyle w:val="29"/>
        <w:numPr>
          <w:ilvl w:val="0"/>
          <w:numId w:val="21"/>
        </w:numPr>
        <w:spacing w:before="312" w:beforeLines="100" w:line="360" w:lineRule="auto"/>
        <w:ind w:firstLineChars="0"/>
        <w:rPr>
          <w:rFonts w:hint="eastAsia" w:ascii="黑体" w:hAnsi="黑体" w:eastAsia="黑体" w:cs="黑体"/>
          <w:b/>
          <w:color w:val="auto"/>
          <w:highlight w:val="none"/>
        </w:rPr>
      </w:pPr>
      <w:r>
        <w:rPr>
          <w:rFonts w:hint="eastAsia" w:ascii="黑体" w:hAnsi="黑体" w:eastAsia="黑体" w:cs="黑体"/>
          <w:b/>
          <w:color w:val="auto"/>
          <w:highlight w:val="none"/>
        </w:rPr>
        <w:t>合格的货物和服务</w:t>
      </w:r>
    </w:p>
    <w:p w14:paraId="4B97E84A">
      <w:pPr>
        <w:pStyle w:val="29"/>
        <w:numPr>
          <w:ilvl w:val="0"/>
          <w:numId w:val="24"/>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货物是指投标人制造或组织符合招标文件要求的货物等。投标的货物必须是其合法生产、合法来源的符合国家有关标准要求的货物，并满足招标文件规定的规格、参数、质量、价格、有效期、售后服务等要求。</w:t>
      </w:r>
    </w:p>
    <w:p w14:paraId="1DB73F65">
      <w:pPr>
        <w:pStyle w:val="29"/>
        <w:numPr>
          <w:ilvl w:val="0"/>
          <w:numId w:val="24"/>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服务是指除货物和工程以外的其他政府采购对象，且满足实质性采购需求。</w:t>
      </w:r>
    </w:p>
    <w:p w14:paraId="1A07B75F">
      <w:pPr>
        <w:pStyle w:val="29"/>
        <w:numPr>
          <w:ilvl w:val="0"/>
          <w:numId w:val="24"/>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政府采购应当采购本国产品，确需采购进口产品（是指通过中国海关报关验放进入中国境内且产自关境外的产品）的，</w:t>
      </w:r>
      <w:bookmarkStart w:id="32" w:name="_Toc211763038"/>
      <w:r>
        <w:rPr>
          <w:rFonts w:hint="eastAsia" w:ascii="黑体" w:hAnsi="黑体" w:eastAsia="黑体" w:cs="黑体"/>
          <w:bCs/>
          <w:color w:val="auto"/>
          <w:szCs w:val="21"/>
          <w:highlight w:val="none"/>
        </w:rPr>
        <w:t>应当获得财政部门核准。依据《政府采购进口产品管理办法</w:t>
      </w:r>
      <w:bookmarkEnd w:id="32"/>
      <w:r>
        <w:rPr>
          <w:rFonts w:hint="eastAsia" w:ascii="黑体" w:hAnsi="黑体" w:eastAsia="黑体" w:cs="黑体"/>
          <w:bCs/>
          <w:color w:val="auto"/>
          <w:szCs w:val="21"/>
          <w:highlight w:val="none"/>
        </w:rPr>
        <w:t>》优先采购向我国企业转让技术、与我国企业签订消化吸收再创新方案的供应商的进口产品。</w:t>
      </w:r>
    </w:p>
    <w:p w14:paraId="75E0BCA0">
      <w:pPr>
        <w:pStyle w:val="29"/>
        <w:numPr>
          <w:ilvl w:val="0"/>
          <w:numId w:val="24"/>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如本项目采购产品属于实施政府强制采购品目清单范围的节能产品，则投标人所报产品必须获得国家确定的认证机构出具的、处于有效期之内的节能产品认证证书，否则投标无效。</w:t>
      </w:r>
    </w:p>
    <w:p w14:paraId="2114C143">
      <w:pPr>
        <w:pStyle w:val="29"/>
        <w:numPr>
          <w:ilvl w:val="0"/>
          <w:numId w:val="24"/>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投标人提供的所有服务，其质量、技术等特征必须符合国家、行业现行法律、法规的相关标准和《中华人民共和国政府采购法》的有关规定及采购需求。</w:t>
      </w:r>
    </w:p>
    <w:p w14:paraId="3446EC93">
      <w:pPr>
        <w:pStyle w:val="29"/>
        <w:numPr>
          <w:ilvl w:val="0"/>
          <w:numId w:val="24"/>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pacing w:val="-6"/>
          <w:szCs w:val="21"/>
          <w:highlight w:val="none"/>
        </w:rPr>
        <w:t>采购人有权拒绝接受任何不合格的服务，由此产生的费用及相关后果均由投标人自行承担；</w:t>
      </w:r>
    </w:p>
    <w:p w14:paraId="1FEE96F3">
      <w:pPr>
        <w:pStyle w:val="29"/>
        <w:numPr>
          <w:ilvl w:val="0"/>
          <w:numId w:val="24"/>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人应保证本项目的投标技术、服务或其任何一部分不会产生因第三方提出侵犯其专利权、商标权或其他知识产权而引起的法律和经济纠纷；如果投标人不拥有相应的知识产权，则须在报价中包括合法获取该知识产权的相关费用，并在投标文件中附有相关证明文件。如因第三方提出其专利权、商标权或其他知识产权的侵权之诉，则一切法律责任由投标人承担。</w:t>
      </w:r>
    </w:p>
    <w:p w14:paraId="1F21B010">
      <w:pPr>
        <w:pStyle w:val="29"/>
        <w:numPr>
          <w:ilvl w:val="0"/>
          <w:numId w:val="21"/>
        </w:numPr>
        <w:spacing w:before="312" w:beforeLines="100" w:line="360" w:lineRule="auto"/>
        <w:ind w:firstLineChars="0"/>
        <w:rPr>
          <w:rFonts w:hint="eastAsia" w:ascii="黑体" w:hAnsi="黑体" w:eastAsia="黑体" w:cs="黑体"/>
          <w:b/>
          <w:color w:val="auto"/>
          <w:highlight w:val="none"/>
        </w:rPr>
      </w:pPr>
      <w:r>
        <w:rPr>
          <w:rFonts w:hint="eastAsia" w:ascii="黑体" w:hAnsi="黑体" w:eastAsia="黑体" w:cs="黑体"/>
          <w:b/>
          <w:color w:val="auto"/>
          <w:highlight w:val="none"/>
        </w:rPr>
        <w:t>投标费用</w:t>
      </w:r>
    </w:p>
    <w:p w14:paraId="6A6C09BC">
      <w:pPr>
        <w:pStyle w:val="29"/>
        <w:numPr>
          <w:ilvl w:val="0"/>
          <w:numId w:val="25"/>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投标人应承担所有与准备和参加投标有关的费用。不论投标的结果如何，采购代理机构和采购人均无义务和责任承担相关费用。</w:t>
      </w:r>
    </w:p>
    <w:p w14:paraId="4DBE6CC7">
      <w:pPr>
        <w:pStyle w:val="29"/>
        <w:numPr>
          <w:ilvl w:val="0"/>
          <w:numId w:val="21"/>
        </w:numPr>
        <w:spacing w:before="312" w:beforeLines="100" w:line="360" w:lineRule="auto"/>
        <w:ind w:firstLineChars="0"/>
        <w:rPr>
          <w:rFonts w:hint="eastAsia" w:ascii="黑体" w:hAnsi="黑体" w:eastAsia="黑体" w:cs="黑体"/>
          <w:b/>
          <w:color w:val="auto"/>
          <w:highlight w:val="none"/>
        </w:rPr>
      </w:pPr>
      <w:r>
        <w:rPr>
          <w:rFonts w:hint="eastAsia" w:ascii="黑体" w:hAnsi="黑体" w:eastAsia="黑体" w:cs="黑体"/>
          <w:b/>
          <w:color w:val="auto"/>
          <w:highlight w:val="none"/>
        </w:rPr>
        <w:t>投标保证金</w:t>
      </w:r>
    </w:p>
    <w:p w14:paraId="1D5FF552">
      <w:pPr>
        <w:pStyle w:val="29"/>
        <w:numPr>
          <w:ilvl w:val="0"/>
          <w:numId w:val="26"/>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本项目不收取投标保证金</w:t>
      </w:r>
      <w:r>
        <w:rPr>
          <w:rFonts w:hint="eastAsia" w:ascii="黑体" w:hAnsi="黑体" w:eastAsia="黑体" w:cs="黑体"/>
          <w:bCs/>
          <w:color w:val="auto"/>
          <w:szCs w:val="21"/>
          <w:highlight w:val="none"/>
          <w:lang w:eastAsia="zh-CN"/>
        </w:rPr>
        <w:t>。</w:t>
      </w:r>
    </w:p>
    <w:p w14:paraId="793798A8">
      <w:pPr>
        <w:pStyle w:val="29"/>
        <w:numPr>
          <w:ilvl w:val="0"/>
          <w:numId w:val="20"/>
        </w:numPr>
        <w:spacing w:before="312" w:beforeLines="100" w:line="360" w:lineRule="auto"/>
        <w:ind w:firstLineChars="0"/>
        <w:rPr>
          <w:rFonts w:hint="eastAsia" w:ascii="黑体" w:hAnsi="黑体" w:eastAsia="黑体" w:cs="黑体"/>
          <w:b/>
          <w:bCs/>
          <w:color w:val="auto"/>
          <w:sz w:val="24"/>
          <w:szCs w:val="24"/>
          <w:highlight w:val="none"/>
        </w:rPr>
      </w:pPr>
      <w:r>
        <w:rPr>
          <w:rFonts w:hint="eastAsia" w:ascii="黑体" w:hAnsi="黑体" w:eastAsia="黑体" w:cs="黑体"/>
          <w:b/>
          <w:bCs/>
          <w:color w:val="auto"/>
          <w:sz w:val="24"/>
          <w:szCs w:val="24"/>
          <w:highlight w:val="none"/>
        </w:rPr>
        <w:t>招标文件</w:t>
      </w:r>
      <w:bookmarkStart w:id="33" w:name="_Toc357676115"/>
    </w:p>
    <w:p w14:paraId="64E86E39">
      <w:pPr>
        <w:pStyle w:val="29"/>
        <w:numPr>
          <w:ilvl w:val="0"/>
          <w:numId w:val="21"/>
        </w:numPr>
        <w:spacing w:line="360" w:lineRule="auto"/>
        <w:ind w:firstLineChars="0"/>
        <w:rPr>
          <w:rFonts w:hint="eastAsia" w:ascii="黑体" w:hAnsi="黑体" w:eastAsia="黑体" w:cs="黑体"/>
          <w:b/>
          <w:color w:val="auto"/>
          <w:highlight w:val="none"/>
        </w:rPr>
      </w:pPr>
      <w:r>
        <w:rPr>
          <w:rFonts w:hint="eastAsia" w:ascii="黑体" w:hAnsi="黑体" w:eastAsia="黑体" w:cs="黑体"/>
          <w:b/>
          <w:color w:val="auto"/>
          <w:highlight w:val="none"/>
        </w:rPr>
        <w:t>招标文件的编制依据与构成</w:t>
      </w:r>
      <w:bookmarkEnd w:id="33"/>
    </w:p>
    <w:p w14:paraId="43D97106">
      <w:pPr>
        <w:pStyle w:val="29"/>
        <w:numPr>
          <w:ilvl w:val="0"/>
          <w:numId w:val="27"/>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本招标文件的编制</w:t>
      </w:r>
      <w:r>
        <w:rPr>
          <w:rFonts w:hint="eastAsia" w:ascii="黑体" w:hAnsi="黑体" w:eastAsia="黑体" w:cs="黑体"/>
          <w:bCs/>
          <w:color w:val="auto"/>
          <w:szCs w:val="21"/>
          <w:highlight w:val="none"/>
          <w:lang w:val="en-US" w:eastAsia="zh-CN"/>
        </w:rPr>
        <w:t>参考</w:t>
      </w:r>
      <w:r>
        <w:rPr>
          <w:rFonts w:hint="eastAsia" w:ascii="黑体" w:hAnsi="黑体" w:eastAsia="黑体" w:cs="黑体"/>
          <w:bCs/>
          <w:color w:val="auto"/>
          <w:szCs w:val="21"/>
          <w:highlight w:val="none"/>
        </w:rPr>
        <w:t>是</w:t>
      </w:r>
      <w:r>
        <w:rPr>
          <w:rFonts w:hint="eastAsia" w:ascii="黑体" w:hAnsi="黑体" w:eastAsia="黑体" w:cs="黑体"/>
          <w:color w:val="auto"/>
          <w:szCs w:val="21"/>
          <w:highlight w:val="none"/>
        </w:rPr>
        <w:t>《中华人民共和国政府采购法》、《中华人民共和国政府采购法实施条例》、财政部《政府采购货物和服务招标投标管理办法》</w:t>
      </w:r>
      <w:r>
        <w:rPr>
          <w:rFonts w:hint="eastAsia" w:ascii="黑体" w:hAnsi="黑体" w:eastAsia="黑体" w:cs="黑体"/>
          <w:bCs/>
          <w:color w:val="auto"/>
          <w:szCs w:val="21"/>
          <w:highlight w:val="none"/>
        </w:rPr>
        <w:t>等法律法规。</w:t>
      </w:r>
    </w:p>
    <w:p w14:paraId="07D1D7BD">
      <w:pPr>
        <w:pStyle w:val="29"/>
        <w:numPr>
          <w:ilvl w:val="0"/>
          <w:numId w:val="27"/>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要求提供的服务、采购过程和合同条件在招标文件中均有说明。招标文件以中文文字编写。招标文件由下列文件以及在招标过程中发出的澄清、修改和补充文件组成，组成内容如下：</w:t>
      </w:r>
    </w:p>
    <w:p w14:paraId="184E17FF">
      <w:pPr>
        <w:spacing w:line="360" w:lineRule="auto"/>
        <w:ind w:firstLine="424" w:firstLineChars="202"/>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第一部分 投标邀请</w:t>
      </w:r>
    </w:p>
    <w:p w14:paraId="06FB5D2B">
      <w:pPr>
        <w:spacing w:line="360" w:lineRule="auto"/>
        <w:ind w:firstLine="424" w:firstLineChars="202"/>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第二部分 采购需求</w:t>
      </w:r>
    </w:p>
    <w:p w14:paraId="7431F1B1">
      <w:pPr>
        <w:spacing w:line="360" w:lineRule="auto"/>
        <w:ind w:firstLine="424" w:firstLineChars="202"/>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第三部分 投标人须知前附表</w:t>
      </w:r>
    </w:p>
    <w:p w14:paraId="730C8E0B">
      <w:pPr>
        <w:spacing w:line="360" w:lineRule="auto"/>
        <w:ind w:firstLine="424" w:firstLineChars="202"/>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第四部分 投标人须知</w:t>
      </w:r>
    </w:p>
    <w:p w14:paraId="3CABCE68">
      <w:pPr>
        <w:spacing w:line="360" w:lineRule="auto"/>
        <w:ind w:firstLine="424" w:firstLineChars="202"/>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第五部分 评标方法、步骤、标准</w:t>
      </w:r>
    </w:p>
    <w:p w14:paraId="261A3391">
      <w:pPr>
        <w:spacing w:line="360" w:lineRule="auto"/>
        <w:ind w:firstLine="424" w:firstLineChars="202"/>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第六部分 合同书格式</w:t>
      </w:r>
    </w:p>
    <w:p w14:paraId="5638F59A">
      <w:pPr>
        <w:spacing w:line="360" w:lineRule="auto"/>
        <w:ind w:firstLine="424" w:firstLineChars="202"/>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第七部分 投标文件格式</w:t>
      </w:r>
    </w:p>
    <w:p w14:paraId="6232EA10">
      <w:pPr>
        <w:pStyle w:val="29"/>
        <w:numPr>
          <w:ilvl w:val="0"/>
          <w:numId w:val="27"/>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人应认真阅读、并充分理解招标文件的全部内容（包括所有的补充、修改内容重要事项、格式、条款和服务要求等）。投标人没有按照招标文件要求提交全部资料，或者投标文件没有对招标文件在各方面都作出实质性响应是投标人的风险，有可能导致其投标被拒绝，或被认定为无效投标或被确定为投标无效。</w:t>
      </w:r>
    </w:p>
    <w:p w14:paraId="564A4ED6">
      <w:pPr>
        <w:pStyle w:val="29"/>
        <w:numPr>
          <w:ilvl w:val="0"/>
          <w:numId w:val="27"/>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本招标文件的解释权归“广东有德招标采购有限公司”所有。</w:t>
      </w:r>
    </w:p>
    <w:p w14:paraId="7BBF5E93">
      <w:pPr>
        <w:pStyle w:val="29"/>
        <w:numPr>
          <w:ilvl w:val="0"/>
          <w:numId w:val="21"/>
        </w:numPr>
        <w:spacing w:before="312" w:beforeLines="100" w:line="360" w:lineRule="auto"/>
        <w:ind w:firstLineChars="0"/>
        <w:rPr>
          <w:rFonts w:hint="eastAsia" w:ascii="黑体" w:hAnsi="黑体" w:eastAsia="黑体" w:cs="黑体"/>
          <w:b/>
          <w:color w:val="auto"/>
          <w:highlight w:val="none"/>
        </w:rPr>
      </w:pPr>
      <w:r>
        <w:rPr>
          <w:rFonts w:hint="eastAsia" w:ascii="黑体" w:hAnsi="黑体" w:eastAsia="黑体" w:cs="黑体"/>
          <w:b/>
          <w:color w:val="auto"/>
          <w:highlight w:val="none"/>
        </w:rPr>
        <w:t>招标文件的答疑、澄清或修改</w:t>
      </w:r>
    </w:p>
    <w:p w14:paraId="779C30C0">
      <w:pPr>
        <w:pStyle w:val="29"/>
        <w:numPr>
          <w:ilvl w:val="0"/>
          <w:numId w:val="28"/>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除非</w:t>
      </w:r>
      <w:r>
        <w:rPr>
          <w:rFonts w:hint="eastAsia" w:ascii="黑体" w:hAnsi="黑体" w:eastAsia="黑体" w:cs="黑体"/>
          <w:b/>
          <w:bCs/>
          <w:color w:val="auto"/>
          <w:szCs w:val="21"/>
          <w:highlight w:val="none"/>
          <w:u w:val="single"/>
        </w:rPr>
        <w:t xml:space="preserve">投标人须知前附表 </w:t>
      </w:r>
      <w:r>
        <w:rPr>
          <w:rFonts w:hint="eastAsia" w:ascii="黑体" w:hAnsi="黑体" w:eastAsia="黑体" w:cs="黑体"/>
          <w:bCs/>
          <w:color w:val="auto"/>
          <w:szCs w:val="21"/>
          <w:highlight w:val="none"/>
        </w:rPr>
        <w:t>中另有规定，不举行项目集中答疑会或现场考察，如举行集中答疑会或现场考察的，则按以下规定：</w:t>
      </w:r>
    </w:p>
    <w:p w14:paraId="3E071FA0">
      <w:pPr>
        <w:pStyle w:val="29"/>
        <w:numPr>
          <w:ilvl w:val="2"/>
          <w:numId w:val="21"/>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在</w:t>
      </w:r>
      <w:r>
        <w:rPr>
          <w:rFonts w:hint="eastAsia" w:ascii="黑体" w:hAnsi="黑体" w:eastAsia="黑体" w:cs="黑体"/>
          <w:bCs/>
          <w:color w:val="auto"/>
          <w:szCs w:val="21"/>
          <w:highlight w:val="none"/>
          <w:u w:val="single"/>
        </w:rPr>
        <w:t xml:space="preserve"> </w:t>
      </w:r>
      <w:r>
        <w:rPr>
          <w:rFonts w:hint="eastAsia" w:ascii="黑体" w:hAnsi="黑体" w:eastAsia="黑体" w:cs="黑体"/>
          <w:b/>
          <w:bCs/>
          <w:color w:val="auto"/>
          <w:szCs w:val="21"/>
          <w:highlight w:val="none"/>
          <w:u w:val="single"/>
        </w:rPr>
        <w:t xml:space="preserve">投标人须知前附表 </w:t>
      </w:r>
      <w:r>
        <w:rPr>
          <w:rFonts w:hint="eastAsia" w:ascii="黑体" w:hAnsi="黑体" w:eastAsia="黑体" w:cs="黑体"/>
          <w:bCs/>
          <w:color w:val="auto"/>
          <w:szCs w:val="21"/>
          <w:highlight w:val="none"/>
        </w:rPr>
        <w:t>中规定的日期、时间和地点组织公开答疑会或现场考察。</w:t>
      </w:r>
    </w:p>
    <w:p w14:paraId="325509ED">
      <w:pPr>
        <w:pStyle w:val="29"/>
        <w:numPr>
          <w:ilvl w:val="2"/>
          <w:numId w:val="21"/>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潜在投标人对本项目提出的疑问，需在答疑会或现场考察召开日前至少一个工作日将问题清单以书面形式（加盖公章）提交至采购代理机构，潜在投标人代表于上述的时间和地点出席答疑会或现场考察。</w:t>
      </w:r>
    </w:p>
    <w:p w14:paraId="036AA9E9">
      <w:pPr>
        <w:pStyle w:val="29"/>
        <w:numPr>
          <w:ilvl w:val="2"/>
          <w:numId w:val="21"/>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已获取招标文件的投标人如不出席答疑会或现场考察视为对招标文件所有内容无任何异议。</w:t>
      </w:r>
    </w:p>
    <w:p w14:paraId="2E04F6D5">
      <w:pPr>
        <w:pStyle w:val="29"/>
        <w:numPr>
          <w:ilvl w:val="2"/>
          <w:numId w:val="21"/>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投标人在规定的时间内未对招标文件提出澄清或疑问的，采购代理机构将视其为无异议。</w:t>
      </w:r>
    </w:p>
    <w:p w14:paraId="0F7E2325">
      <w:pPr>
        <w:pStyle w:val="29"/>
        <w:numPr>
          <w:ilvl w:val="2"/>
          <w:numId w:val="21"/>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对招标文件中描述有歧义或前后不一致的地方，评标委员会有权进行评判，但对同一条款的评判应适用于每个投标人。</w:t>
      </w:r>
    </w:p>
    <w:p w14:paraId="75170D24">
      <w:pPr>
        <w:pStyle w:val="29"/>
        <w:numPr>
          <w:ilvl w:val="0"/>
          <w:numId w:val="28"/>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采购人或者采购代理机构可以对已发出的招标文件进行必要的澄清或者修改。澄清或者修改的内容可能影响投标文件编制的，采购人或者采购代理机构应当在投标截止时间至少15日前，以书面形式通知所有获取招标文件的潜在投标人；不足15日的，采购人或者采购代理机构应当顺延提交投标文件的截止时间。</w:t>
      </w:r>
    </w:p>
    <w:p w14:paraId="106021F5">
      <w:pPr>
        <w:pStyle w:val="29"/>
        <w:numPr>
          <w:ilvl w:val="0"/>
          <w:numId w:val="28"/>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招标文件的澄清或修改内容作为招标文件的组成部分，具有约束作用。当招标文件、招标文件的澄清或修改等在同一内容的表述上不一致时，以最后发出的书面文件为准。</w:t>
      </w:r>
    </w:p>
    <w:p w14:paraId="53035B7E">
      <w:pPr>
        <w:pStyle w:val="29"/>
        <w:numPr>
          <w:ilvl w:val="0"/>
          <w:numId w:val="28"/>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招标期间，投标人有义务上网查看，公告一经上网发布，即视为送达。投标人应于收到该澄清或修改文件的二十四小时内以书面形式给予确认。</w:t>
      </w:r>
    </w:p>
    <w:p w14:paraId="42D9C00C">
      <w:pPr>
        <w:pStyle w:val="29"/>
        <w:numPr>
          <w:ilvl w:val="0"/>
          <w:numId w:val="20"/>
        </w:numPr>
        <w:spacing w:before="312" w:beforeLines="100" w:line="360" w:lineRule="auto"/>
        <w:ind w:firstLineChars="0"/>
        <w:rPr>
          <w:rFonts w:hint="eastAsia" w:ascii="黑体" w:hAnsi="黑体" w:eastAsia="黑体" w:cs="黑体"/>
          <w:b/>
          <w:bCs/>
          <w:color w:val="auto"/>
          <w:sz w:val="24"/>
          <w:szCs w:val="24"/>
          <w:highlight w:val="none"/>
        </w:rPr>
      </w:pPr>
      <w:r>
        <w:rPr>
          <w:rFonts w:hint="eastAsia" w:ascii="黑体" w:hAnsi="黑体" w:eastAsia="黑体" w:cs="黑体"/>
          <w:b/>
          <w:bCs/>
          <w:color w:val="auto"/>
          <w:sz w:val="24"/>
          <w:szCs w:val="24"/>
          <w:highlight w:val="none"/>
        </w:rPr>
        <w:t>投标文件的编制</w:t>
      </w:r>
    </w:p>
    <w:p w14:paraId="36A96CF1">
      <w:pPr>
        <w:pStyle w:val="29"/>
        <w:numPr>
          <w:ilvl w:val="0"/>
          <w:numId w:val="21"/>
        </w:numPr>
        <w:spacing w:line="360" w:lineRule="auto"/>
        <w:ind w:firstLineChars="0"/>
        <w:rPr>
          <w:rFonts w:hint="eastAsia" w:ascii="黑体" w:hAnsi="黑体" w:eastAsia="黑体" w:cs="黑体"/>
          <w:b/>
          <w:color w:val="auto"/>
          <w:highlight w:val="none"/>
        </w:rPr>
      </w:pPr>
      <w:r>
        <w:rPr>
          <w:rFonts w:hint="eastAsia" w:ascii="黑体" w:hAnsi="黑体" w:eastAsia="黑体" w:cs="黑体"/>
          <w:b/>
          <w:color w:val="auto"/>
          <w:highlight w:val="none"/>
        </w:rPr>
        <w:t>投标的语言</w:t>
      </w:r>
    </w:p>
    <w:p w14:paraId="1CC53890">
      <w:pPr>
        <w:pStyle w:val="29"/>
        <w:numPr>
          <w:ilvl w:val="0"/>
          <w:numId w:val="29"/>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人提交的投标文件以及投标人与招标采购单位就有关投标的所有来往函电均应使用中文书写。投标人提交的支持资料和己印刷的文献可以用另一种语言，但相应内容应附有中文翻译本，在解释投标文件的修改内容时以中文翻译本为准。对中文翻译有异议的，以权威机构的译本为准。</w:t>
      </w:r>
    </w:p>
    <w:p w14:paraId="5517AC13">
      <w:pPr>
        <w:pStyle w:val="29"/>
        <w:numPr>
          <w:ilvl w:val="0"/>
          <w:numId w:val="21"/>
        </w:numPr>
        <w:spacing w:before="312" w:beforeLines="100" w:line="360" w:lineRule="auto"/>
        <w:ind w:firstLineChars="0"/>
        <w:rPr>
          <w:rFonts w:hint="eastAsia" w:ascii="黑体" w:hAnsi="黑体" w:eastAsia="黑体" w:cs="黑体"/>
          <w:b/>
          <w:color w:val="auto"/>
          <w:highlight w:val="none"/>
        </w:rPr>
      </w:pPr>
      <w:bookmarkStart w:id="34" w:name="_Toc357676120"/>
      <w:r>
        <w:rPr>
          <w:rFonts w:hint="eastAsia" w:ascii="黑体" w:hAnsi="黑体" w:eastAsia="黑体" w:cs="黑体"/>
          <w:b/>
          <w:color w:val="auto"/>
          <w:highlight w:val="none"/>
        </w:rPr>
        <w:t>投标文件的构成</w:t>
      </w:r>
      <w:bookmarkEnd w:id="34"/>
    </w:p>
    <w:p w14:paraId="083144D9">
      <w:pPr>
        <w:pStyle w:val="29"/>
        <w:numPr>
          <w:ilvl w:val="0"/>
          <w:numId w:val="30"/>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投标人编写的投标文件，编排顺序参见投标文件格式。投标文件的构成应符合法律法规及招标文件的要求。</w:t>
      </w:r>
    </w:p>
    <w:p w14:paraId="652AFA8B">
      <w:pPr>
        <w:pStyle w:val="29"/>
        <w:numPr>
          <w:ilvl w:val="0"/>
          <w:numId w:val="21"/>
        </w:numPr>
        <w:spacing w:before="312" w:beforeLines="100" w:line="360" w:lineRule="auto"/>
        <w:ind w:firstLineChars="0"/>
        <w:rPr>
          <w:rFonts w:hint="eastAsia" w:ascii="黑体" w:hAnsi="黑体" w:eastAsia="黑体" w:cs="黑体"/>
          <w:b/>
          <w:color w:val="auto"/>
          <w:highlight w:val="none"/>
        </w:rPr>
      </w:pPr>
      <w:r>
        <w:rPr>
          <w:rFonts w:hint="eastAsia" w:ascii="黑体" w:hAnsi="黑体" w:eastAsia="黑体" w:cs="黑体"/>
          <w:b/>
          <w:color w:val="auto"/>
          <w:highlight w:val="none"/>
        </w:rPr>
        <w:t>投标文件的编写</w:t>
      </w:r>
    </w:p>
    <w:p w14:paraId="3CDA8BCD">
      <w:pPr>
        <w:pStyle w:val="29"/>
        <w:numPr>
          <w:ilvl w:val="0"/>
          <w:numId w:val="31"/>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投标人应完整、真实、准确地填写招标文件中提供的投标函、开标一览表、分项报价表（如适用）以及招标文件中规定的其它所有内容。</w:t>
      </w:r>
    </w:p>
    <w:p w14:paraId="27320121">
      <w:pPr>
        <w:pStyle w:val="29"/>
        <w:numPr>
          <w:ilvl w:val="0"/>
          <w:numId w:val="31"/>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人对招标文件中多个包组进行投标的，其投标文件的编制可按每个包组的要求分别装订和封装。投标人应当对投标文件进行装订，对未经装订的投标文件可能发生的文件散落或缺损，由此造成的后果和责任由投标人承担。</w:t>
      </w:r>
    </w:p>
    <w:p w14:paraId="446217AB">
      <w:pPr>
        <w:pStyle w:val="29"/>
        <w:numPr>
          <w:ilvl w:val="0"/>
          <w:numId w:val="31"/>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投标人必须对投标文件所提供的全部资料的真实性承担法律责任，并无条件接受采购人和政府采购监督管理部门对其中任何资料进行核实（核对原件）的要求。</w:t>
      </w:r>
    </w:p>
    <w:p w14:paraId="0232DC4F">
      <w:pPr>
        <w:pStyle w:val="29"/>
        <w:numPr>
          <w:ilvl w:val="0"/>
          <w:numId w:val="31"/>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如果因为投标人的投标文件只填写和提供了本招标文件要求的部分内容和附件，或没有提供招标文件中所要求的全部资料及数据，由此造成的后果和责任由投标人承担。</w:t>
      </w:r>
    </w:p>
    <w:p w14:paraId="743A665D">
      <w:pPr>
        <w:pStyle w:val="29"/>
        <w:numPr>
          <w:ilvl w:val="0"/>
          <w:numId w:val="21"/>
        </w:numPr>
        <w:spacing w:before="312" w:beforeLines="100" w:line="360" w:lineRule="auto"/>
        <w:ind w:firstLineChars="0"/>
        <w:rPr>
          <w:rFonts w:hint="eastAsia" w:ascii="黑体" w:hAnsi="黑体" w:eastAsia="黑体" w:cs="黑体"/>
          <w:b/>
          <w:color w:val="auto"/>
          <w:highlight w:val="none"/>
        </w:rPr>
      </w:pPr>
      <w:r>
        <w:rPr>
          <w:rFonts w:hint="eastAsia" w:ascii="黑体" w:hAnsi="黑体" w:eastAsia="黑体" w:cs="黑体"/>
          <w:b/>
          <w:color w:val="auto"/>
          <w:highlight w:val="none"/>
        </w:rPr>
        <w:t>投标报价</w:t>
      </w:r>
    </w:p>
    <w:p w14:paraId="7F75E94E">
      <w:pPr>
        <w:pStyle w:val="29"/>
        <w:numPr>
          <w:ilvl w:val="0"/>
          <w:numId w:val="32"/>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投标人应按照“第二部分　采购需求”中采购项目服务要求规定的内容、责任范围进行报价。并按《开标一览表》及《分项报价表》（如适用）的要求报出总价和分项价格。</w:t>
      </w:r>
    </w:p>
    <w:p w14:paraId="69845F47">
      <w:pPr>
        <w:pStyle w:val="29"/>
        <w:numPr>
          <w:ilvl w:val="0"/>
          <w:numId w:val="32"/>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投标分项报价表内容应包含：</w:t>
      </w:r>
    </w:p>
    <w:p w14:paraId="16481012">
      <w:pPr>
        <w:pStyle w:val="29"/>
        <w:numPr>
          <w:ilvl w:val="2"/>
          <w:numId w:val="33"/>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招标文件要求全部货物及服务所需的费用；</w:t>
      </w:r>
    </w:p>
    <w:p w14:paraId="659D3DE1">
      <w:pPr>
        <w:pStyle w:val="29"/>
        <w:numPr>
          <w:ilvl w:val="2"/>
          <w:numId w:val="33"/>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投标报价包含履行合同所有相关内容所需的费用；</w:t>
      </w:r>
    </w:p>
    <w:p w14:paraId="5C5BDB8B">
      <w:pPr>
        <w:pStyle w:val="29"/>
        <w:numPr>
          <w:ilvl w:val="2"/>
          <w:numId w:val="33"/>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投标报价均应包含所有的税费；</w:t>
      </w:r>
    </w:p>
    <w:p w14:paraId="4B025889">
      <w:pPr>
        <w:pStyle w:val="29"/>
        <w:numPr>
          <w:ilvl w:val="2"/>
          <w:numId w:val="33"/>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其他一切隐含及不可预见的费用。</w:t>
      </w:r>
    </w:p>
    <w:p w14:paraId="340B4EF8">
      <w:pPr>
        <w:pStyle w:val="29"/>
        <w:numPr>
          <w:ilvl w:val="0"/>
          <w:numId w:val="32"/>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投标报价为本次招标内容的总价包干，投标报价即为合同价，不得在中标后提出任何增加费用要求，投标人在投标时应充分考虑相关风险性因素。</w:t>
      </w:r>
    </w:p>
    <w:p w14:paraId="30E159B6">
      <w:pPr>
        <w:pStyle w:val="29"/>
        <w:numPr>
          <w:ilvl w:val="0"/>
          <w:numId w:val="32"/>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投标人在中标并签署合同后，服务期限内出现的任何遗漏，均由中标人负责，采购人将不再支付任何费用。</w:t>
      </w:r>
    </w:p>
    <w:p w14:paraId="503B57E2">
      <w:pPr>
        <w:pStyle w:val="29"/>
        <w:numPr>
          <w:ilvl w:val="0"/>
          <w:numId w:val="32"/>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除</w:t>
      </w:r>
      <w:r>
        <w:rPr>
          <w:rFonts w:hint="eastAsia" w:ascii="黑体" w:hAnsi="黑体" w:eastAsia="黑体" w:cs="黑体"/>
          <w:bCs/>
          <w:color w:val="auto"/>
          <w:szCs w:val="21"/>
          <w:highlight w:val="none"/>
          <w:u w:val="single"/>
        </w:rPr>
        <w:t xml:space="preserve"> </w:t>
      </w:r>
      <w:r>
        <w:rPr>
          <w:rFonts w:hint="eastAsia" w:ascii="黑体" w:hAnsi="黑体" w:eastAsia="黑体" w:cs="黑体"/>
          <w:b/>
          <w:bCs/>
          <w:color w:val="auto"/>
          <w:szCs w:val="21"/>
          <w:highlight w:val="none"/>
          <w:u w:val="single"/>
        </w:rPr>
        <w:t xml:space="preserve">投标人须知前附表 </w:t>
      </w:r>
      <w:r>
        <w:rPr>
          <w:rFonts w:hint="eastAsia" w:ascii="黑体" w:hAnsi="黑体" w:eastAsia="黑体" w:cs="黑体"/>
          <w:bCs/>
          <w:color w:val="auto"/>
          <w:szCs w:val="21"/>
          <w:highlight w:val="none"/>
        </w:rPr>
        <w:t>中另有规定外，投标人所报的投标价在合同执行过程中是固定不变的，不得以任何理由予以变更。任何包含价格调整要求的投标被认为是非实质性响应投标而予以拒绝。</w:t>
      </w:r>
    </w:p>
    <w:p w14:paraId="0FA75EDC">
      <w:pPr>
        <w:pStyle w:val="29"/>
        <w:numPr>
          <w:ilvl w:val="0"/>
          <w:numId w:val="32"/>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除</w:t>
      </w:r>
      <w:r>
        <w:rPr>
          <w:rFonts w:hint="eastAsia" w:ascii="黑体" w:hAnsi="黑体" w:eastAsia="黑体" w:cs="黑体"/>
          <w:bCs/>
          <w:color w:val="auto"/>
          <w:szCs w:val="21"/>
          <w:highlight w:val="none"/>
          <w:u w:val="single"/>
        </w:rPr>
        <w:t xml:space="preserve"> </w:t>
      </w:r>
      <w:r>
        <w:rPr>
          <w:rFonts w:hint="eastAsia" w:ascii="黑体" w:hAnsi="黑体" w:eastAsia="黑体" w:cs="黑体"/>
          <w:b/>
          <w:bCs/>
          <w:color w:val="auto"/>
          <w:szCs w:val="21"/>
          <w:highlight w:val="none"/>
          <w:u w:val="single"/>
        </w:rPr>
        <w:t xml:space="preserve">投标人须知前附表 </w:t>
      </w:r>
      <w:r>
        <w:rPr>
          <w:rFonts w:hint="eastAsia" w:ascii="黑体" w:hAnsi="黑体" w:eastAsia="黑体" w:cs="黑体"/>
          <w:bCs/>
          <w:color w:val="auto"/>
          <w:szCs w:val="21"/>
          <w:highlight w:val="none"/>
        </w:rPr>
        <w:t>中允许有备选方案外，本次招标不接受选择性报价，否则将被视为无效投标。</w:t>
      </w:r>
    </w:p>
    <w:p w14:paraId="22EEC4A9">
      <w:pPr>
        <w:pStyle w:val="29"/>
        <w:numPr>
          <w:ilvl w:val="0"/>
          <w:numId w:val="32"/>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除</w:t>
      </w:r>
      <w:r>
        <w:rPr>
          <w:rFonts w:hint="eastAsia" w:ascii="黑体" w:hAnsi="黑体" w:eastAsia="黑体" w:cs="黑体"/>
          <w:bCs/>
          <w:color w:val="auto"/>
          <w:szCs w:val="21"/>
          <w:highlight w:val="none"/>
          <w:u w:val="single"/>
        </w:rPr>
        <w:t xml:space="preserve"> </w:t>
      </w:r>
      <w:r>
        <w:rPr>
          <w:rFonts w:hint="eastAsia" w:ascii="黑体" w:hAnsi="黑体" w:eastAsia="黑体" w:cs="黑体"/>
          <w:b/>
          <w:bCs/>
          <w:color w:val="auto"/>
          <w:szCs w:val="21"/>
          <w:highlight w:val="none"/>
          <w:u w:val="single"/>
        </w:rPr>
        <w:t xml:space="preserve">投标须知前附表 </w:t>
      </w:r>
      <w:r>
        <w:rPr>
          <w:rFonts w:hint="eastAsia" w:ascii="黑体" w:hAnsi="黑体" w:eastAsia="黑体" w:cs="黑体"/>
          <w:bCs/>
          <w:color w:val="auto"/>
          <w:szCs w:val="21"/>
          <w:highlight w:val="none"/>
        </w:rPr>
        <w:t>另有规定外，本次招标不接受具有附加条件的报价，否则将被视为无效投标。</w:t>
      </w:r>
    </w:p>
    <w:p w14:paraId="3CFB5DB6">
      <w:pPr>
        <w:pStyle w:val="29"/>
        <w:numPr>
          <w:ilvl w:val="0"/>
          <w:numId w:val="32"/>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
          <w:bCs/>
          <w:color w:val="auto"/>
          <w:spacing w:val="-6"/>
          <w:szCs w:val="21"/>
          <w:highlight w:val="none"/>
        </w:rPr>
        <w:t>投标人的投标报价高于采购预算或最高单价限价的，该投标人的投标文件将被视为非响应性报价作无效投标处理。</w:t>
      </w:r>
    </w:p>
    <w:p w14:paraId="46D3C01F">
      <w:pPr>
        <w:pStyle w:val="29"/>
        <w:numPr>
          <w:ilvl w:val="0"/>
          <w:numId w:val="21"/>
        </w:numPr>
        <w:spacing w:before="312" w:beforeLines="100" w:line="360" w:lineRule="auto"/>
        <w:ind w:firstLineChars="0"/>
        <w:rPr>
          <w:rFonts w:hint="eastAsia" w:ascii="黑体" w:hAnsi="黑体" w:eastAsia="黑体" w:cs="黑体"/>
          <w:b/>
          <w:color w:val="auto"/>
          <w:highlight w:val="none"/>
        </w:rPr>
      </w:pPr>
      <w:r>
        <w:rPr>
          <w:rFonts w:hint="eastAsia" w:ascii="黑体" w:hAnsi="黑体" w:eastAsia="黑体" w:cs="黑体"/>
          <w:b/>
          <w:color w:val="auto"/>
          <w:highlight w:val="none"/>
        </w:rPr>
        <w:t>投标货币</w:t>
      </w:r>
    </w:p>
    <w:p w14:paraId="447E483E">
      <w:pPr>
        <w:pStyle w:val="29"/>
        <w:numPr>
          <w:ilvl w:val="0"/>
          <w:numId w:val="34"/>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投标货币以人民币标价，以其它货币标价的投标将予以拒绝。</w:t>
      </w:r>
    </w:p>
    <w:p w14:paraId="3BA64A57">
      <w:pPr>
        <w:pStyle w:val="29"/>
        <w:numPr>
          <w:ilvl w:val="0"/>
          <w:numId w:val="21"/>
        </w:numPr>
        <w:spacing w:before="312" w:beforeLines="100" w:line="360" w:lineRule="auto"/>
        <w:ind w:firstLineChars="0"/>
        <w:rPr>
          <w:rFonts w:hint="eastAsia" w:ascii="黑体" w:hAnsi="黑体" w:eastAsia="黑体" w:cs="黑体"/>
          <w:b/>
          <w:color w:val="auto"/>
          <w:highlight w:val="none"/>
        </w:rPr>
      </w:pPr>
      <w:r>
        <w:rPr>
          <w:rFonts w:hint="eastAsia" w:ascii="黑体" w:hAnsi="黑体" w:eastAsia="黑体" w:cs="黑体"/>
          <w:b/>
          <w:color w:val="auto"/>
          <w:highlight w:val="none"/>
        </w:rPr>
        <w:t>联合体投标</w:t>
      </w:r>
    </w:p>
    <w:p w14:paraId="757EC0F2">
      <w:pPr>
        <w:pStyle w:val="29"/>
        <w:numPr>
          <w:ilvl w:val="0"/>
          <w:numId w:val="35"/>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除非</w:t>
      </w:r>
      <w:r>
        <w:rPr>
          <w:rFonts w:hint="eastAsia" w:ascii="黑体" w:hAnsi="黑体" w:eastAsia="黑体" w:cs="黑体"/>
          <w:b/>
          <w:bCs/>
          <w:color w:val="auto"/>
          <w:szCs w:val="21"/>
          <w:highlight w:val="none"/>
          <w:u w:val="single"/>
        </w:rPr>
        <w:t>投标邀请</w:t>
      </w:r>
      <w:r>
        <w:rPr>
          <w:rFonts w:hint="eastAsia" w:ascii="黑体" w:hAnsi="黑体" w:eastAsia="黑体" w:cs="黑体"/>
          <w:bCs/>
          <w:color w:val="auto"/>
          <w:szCs w:val="21"/>
          <w:highlight w:val="none"/>
        </w:rPr>
        <w:t>中另有规定，不接受联合体投标。如果投标邀请中规定允许联合体投标的，则必须满足：</w:t>
      </w:r>
    </w:p>
    <w:p w14:paraId="5FAFEC17">
      <w:pPr>
        <w:pStyle w:val="29"/>
        <w:numPr>
          <w:ilvl w:val="0"/>
          <w:numId w:val="36"/>
        </w:numPr>
        <w:spacing w:line="360" w:lineRule="auto"/>
        <w:ind w:left="709" w:hanging="709"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以联合体形式进行政府采购的，参加联合体的投标人均应当具备《中华人民共和国政府采购法》第二十二条规定的条件，联合体各方之间应当签订联合体协议，明确约定联合体各方承担的工作和义务，并将共同联合体协议连同投标文件一并提交；</w:t>
      </w:r>
    </w:p>
    <w:p w14:paraId="7B011A66">
      <w:pPr>
        <w:pStyle w:val="29"/>
        <w:numPr>
          <w:ilvl w:val="0"/>
          <w:numId w:val="36"/>
        </w:numPr>
        <w:spacing w:line="360" w:lineRule="auto"/>
        <w:ind w:left="709" w:hanging="709"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联合体各方签订共同投标协议书后，不得再以自己名义单独在同一项目（采购包）中投标，也不得组成新的联合体参加同一项目（采购包）投标，若违反规定则其参与的所有投标将视为无效投标；</w:t>
      </w:r>
    </w:p>
    <w:p w14:paraId="745EB868">
      <w:pPr>
        <w:pStyle w:val="29"/>
        <w:numPr>
          <w:ilvl w:val="0"/>
          <w:numId w:val="36"/>
        </w:numPr>
        <w:spacing w:line="360" w:lineRule="auto"/>
        <w:ind w:left="709" w:hanging="709"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联合体投标的，可以由联合体中的一方或者共同提交投标保证金，以一方名义提交投标保证金的，对联合体各方均具有约束力；</w:t>
      </w:r>
    </w:p>
    <w:p w14:paraId="70D569A3">
      <w:pPr>
        <w:pStyle w:val="29"/>
        <w:numPr>
          <w:ilvl w:val="0"/>
          <w:numId w:val="36"/>
        </w:numPr>
        <w:spacing w:line="360" w:lineRule="auto"/>
        <w:ind w:left="709" w:hanging="709"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联合体中有同类资质的投标人按照联合体分工承担相同工作的，按照资质等级较低的投标人确定资质等级。</w:t>
      </w:r>
    </w:p>
    <w:p w14:paraId="464275CB">
      <w:pPr>
        <w:pStyle w:val="29"/>
        <w:numPr>
          <w:ilvl w:val="0"/>
          <w:numId w:val="36"/>
        </w:numPr>
        <w:spacing w:line="360" w:lineRule="auto"/>
        <w:ind w:left="709" w:hanging="709"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联合体各方应当共同与采购人签订采购合同，就采购合同约定的事项对采购人承担连带责任。</w:t>
      </w:r>
    </w:p>
    <w:p w14:paraId="42F31AD6">
      <w:pPr>
        <w:pStyle w:val="29"/>
        <w:numPr>
          <w:ilvl w:val="0"/>
          <w:numId w:val="21"/>
        </w:numPr>
        <w:spacing w:before="312" w:beforeLines="100" w:line="360" w:lineRule="auto"/>
        <w:ind w:firstLineChars="0"/>
        <w:rPr>
          <w:rFonts w:hint="eastAsia" w:ascii="黑体" w:hAnsi="黑体" w:eastAsia="黑体" w:cs="黑体"/>
          <w:b/>
          <w:color w:val="auto"/>
          <w:highlight w:val="none"/>
        </w:rPr>
      </w:pPr>
      <w:bookmarkStart w:id="35" w:name="_Toc357676125"/>
      <w:r>
        <w:rPr>
          <w:rFonts w:hint="eastAsia" w:ascii="黑体" w:hAnsi="黑体" w:eastAsia="黑体" w:cs="黑体"/>
          <w:b/>
          <w:color w:val="auto"/>
          <w:highlight w:val="none"/>
        </w:rPr>
        <w:t>关于中小微企业投标</w:t>
      </w:r>
    </w:p>
    <w:p w14:paraId="359D5FDF">
      <w:pPr>
        <w:pStyle w:val="29"/>
        <w:numPr>
          <w:ilvl w:val="0"/>
          <w:numId w:val="37"/>
        </w:numPr>
        <w:spacing w:line="360" w:lineRule="auto"/>
        <w:ind w:left="567" w:hanging="567" w:firstLineChars="0"/>
        <w:rPr>
          <w:rFonts w:hint="eastAsia" w:ascii="黑体" w:hAnsi="黑体" w:eastAsia="黑体" w:cs="黑体"/>
          <w:bCs/>
          <w:color w:val="auto"/>
          <w:highlight w:val="none"/>
        </w:rPr>
      </w:pPr>
      <w:r>
        <w:rPr>
          <w:rFonts w:hint="eastAsia" w:ascii="黑体" w:hAnsi="黑体" w:eastAsia="黑体" w:cs="黑体"/>
          <w:bCs/>
          <w:color w:val="auto"/>
          <w:highlight w:val="none"/>
        </w:rPr>
        <w:t>中小微企业响应是指在政府采购活动中，供应商提供的货物均由中小微企业制造、工程均由中小微企业承建或者服务均由中小微企业承接，并在投标文件中提供《中小企业声明函》。</w:t>
      </w:r>
    </w:p>
    <w:p w14:paraId="7EADD604">
      <w:pPr>
        <w:pStyle w:val="29"/>
        <w:numPr>
          <w:ilvl w:val="0"/>
          <w:numId w:val="21"/>
        </w:numPr>
        <w:spacing w:before="312" w:beforeLines="100" w:line="360" w:lineRule="auto"/>
        <w:ind w:firstLineChars="0"/>
        <w:rPr>
          <w:rFonts w:hint="eastAsia" w:ascii="黑体" w:hAnsi="黑体" w:eastAsia="黑体" w:cs="黑体"/>
          <w:b/>
          <w:color w:val="auto"/>
          <w:highlight w:val="none"/>
        </w:rPr>
      </w:pPr>
      <w:r>
        <w:rPr>
          <w:rFonts w:hint="eastAsia" w:ascii="黑体" w:hAnsi="黑体" w:eastAsia="黑体" w:cs="黑体"/>
          <w:b/>
          <w:color w:val="auto"/>
          <w:highlight w:val="none"/>
        </w:rPr>
        <w:t>证明投标人合格和资格的文件</w:t>
      </w:r>
      <w:bookmarkEnd w:id="35"/>
    </w:p>
    <w:p w14:paraId="6DF85F85">
      <w:pPr>
        <w:pStyle w:val="29"/>
        <w:numPr>
          <w:ilvl w:val="0"/>
          <w:numId w:val="38"/>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人应提交证明其有资格参加投标和中标后有能力履行合同的文件，并作为其投标文件的一部分。如果投标人为联合体，应提交联合体各方的资格证明文件、共同投标协议并注明主体方及各方拟承担的工作和责任。</w:t>
      </w:r>
    </w:p>
    <w:p w14:paraId="6C756C1F">
      <w:pPr>
        <w:pStyle w:val="29"/>
        <w:numPr>
          <w:ilvl w:val="0"/>
          <w:numId w:val="38"/>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投标人提交的资格证明文件应证明其满足本须知定义的合格投标人。</w:t>
      </w:r>
    </w:p>
    <w:p w14:paraId="6C5B86C0">
      <w:pPr>
        <w:pStyle w:val="29"/>
        <w:numPr>
          <w:ilvl w:val="0"/>
          <w:numId w:val="21"/>
        </w:numPr>
        <w:spacing w:before="312" w:beforeLines="100" w:line="360" w:lineRule="auto"/>
        <w:ind w:firstLineChars="0"/>
        <w:rPr>
          <w:rFonts w:hint="eastAsia" w:ascii="黑体" w:hAnsi="黑体" w:eastAsia="黑体" w:cs="黑体"/>
          <w:b/>
          <w:color w:val="auto"/>
          <w:highlight w:val="none"/>
        </w:rPr>
      </w:pPr>
      <w:r>
        <w:rPr>
          <w:rFonts w:hint="eastAsia" w:ascii="黑体" w:hAnsi="黑体" w:eastAsia="黑体" w:cs="黑体"/>
          <w:b/>
          <w:color w:val="auto"/>
          <w:highlight w:val="none"/>
        </w:rPr>
        <w:t>投标担保</w:t>
      </w:r>
      <w:r>
        <w:rPr>
          <w:rFonts w:hint="eastAsia" w:ascii="黑体" w:hAnsi="黑体" w:eastAsia="黑体" w:cs="黑体"/>
          <w:b/>
          <w:color w:val="auto"/>
          <w:highlight w:val="none"/>
          <w:lang w:eastAsia="zh-CN"/>
        </w:rPr>
        <w:t>（</w:t>
      </w:r>
      <w:r>
        <w:rPr>
          <w:rFonts w:hint="eastAsia" w:ascii="黑体" w:hAnsi="黑体" w:eastAsia="黑体" w:cs="黑体"/>
          <w:b/>
          <w:color w:val="auto"/>
          <w:highlight w:val="none"/>
          <w:lang w:val="en-US" w:eastAsia="zh-CN"/>
        </w:rPr>
        <w:t>本项目不收取投标保证金</w:t>
      </w:r>
      <w:r>
        <w:rPr>
          <w:rFonts w:hint="eastAsia" w:ascii="黑体" w:hAnsi="黑体" w:eastAsia="黑体" w:cs="黑体"/>
          <w:b/>
          <w:color w:val="auto"/>
          <w:highlight w:val="none"/>
          <w:lang w:eastAsia="zh-CN"/>
        </w:rPr>
        <w:t>）</w:t>
      </w:r>
    </w:p>
    <w:p w14:paraId="0E4D5935">
      <w:pPr>
        <w:pStyle w:val="29"/>
        <w:numPr>
          <w:ilvl w:val="0"/>
          <w:numId w:val="39"/>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投标人投标时须附有投标保证金为：</w:t>
      </w:r>
      <w:r>
        <w:rPr>
          <w:rFonts w:hint="eastAsia" w:ascii="黑体" w:hAnsi="黑体" w:eastAsia="黑体" w:cs="黑体"/>
          <w:bCs/>
          <w:color w:val="auto"/>
          <w:szCs w:val="21"/>
          <w:highlight w:val="none"/>
          <w:u w:val="single"/>
        </w:rPr>
        <w:t>（</w:t>
      </w:r>
      <w:r>
        <w:rPr>
          <w:rFonts w:hint="eastAsia" w:ascii="黑体" w:hAnsi="黑体" w:eastAsia="黑体" w:cs="黑体"/>
          <w:b/>
          <w:bCs/>
          <w:color w:val="auto"/>
          <w:szCs w:val="21"/>
          <w:highlight w:val="none"/>
          <w:u w:val="single"/>
        </w:rPr>
        <w:t>详见投标人须知前附表</w:t>
      </w:r>
      <w:r>
        <w:rPr>
          <w:rFonts w:hint="eastAsia" w:ascii="黑体" w:hAnsi="黑体" w:eastAsia="黑体" w:cs="黑体"/>
          <w:bCs/>
          <w:color w:val="auto"/>
          <w:szCs w:val="21"/>
          <w:highlight w:val="none"/>
          <w:u w:val="single"/>
        </w:rPr>
        <w:t>）</w:t>
      </w:r>
      <w:r>
        <w:rPr>
          <w:rFonts w:hint="eastAsia" w:ascii="黑体" w:hAnsi="黑体" w:eastAsia="黑体" w:cs="黑体"/>
          <w:bCs/>
          <w:color w:val="auto"/>
          <w:szCs w:val="21"/>
          <w:highlight w:val="none"/>
        </w:rPr>
        <w:t>。</w:t>
      </w:r>
    </w:p>
    <w:p w14:paraId="48640E8F">
      <w:pPr>
        <w:pStyle w:val="29"/>
        <w:numPr>
          <w:ilvl w:val="0"/>
          <w:numId w:val="39"/>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投标保证金作为供应商投标的组成部分，与投标文件一同递交。</w:t>
      </w:r>
    </w:p>
    <w:p w14:paraId="1EB0FE1B">
      <w:pPr>
        <w:pStyle w:val="29"/>
        <w:numPr>
          <w:ilvl w:val="0"/>
          <w:numId w:val="39"/>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投标保证金应当以支票、汇票、本票或者金融机构、担保机构出具的保函等非现金形式提交。投标人与交款人名称必须一致，非投标人缴纳的投标保证金无效。</w:t>
      </w:r>
    </w:p>
    <w:p w14:paraId="35AEAD4E">
      <w:pPr>
        <w:pStyle w:val="29"/>
        <w:numPr>
          <w:ilvl w:val="0"/>
          <w:numId w:val="39"/>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如项目出现分包情况的，投标人必须按包号分别提交投标保证金并注明包号；</w:t>
      </w:r>
    </w:p>
    <w:p w14:paraId="093B4CA0">
      <w:pPr>
        <w:pStyle w:val="29"/>
        <w:numPr>
          <w:ilvl w:val="0"/>
          <w:numId w:val="39"/>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提交保证金时应符合下列规定：</w:t>
      </w:r>
    </w:p>
    <w:p w14:paraId="42F74DF2">
      <w:pPr>
        <w:pStyle w:val="29"/>
        <w:numPr>
          <w:ilvl w:val="0"/>
          <w:numId w:val="40"/>
        </w:numPr>
        <w:spacing w:line="360" w:lineRule="auto"/>
        <w:ind w:left="709" w:hanging="709"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投标保证金以转账形式递交的，请务必按以下信息填写汇款单：</w:t>
      </w:r>
      <w:r>
        <w:rPr>
          <w:rFonts w:hint="eastAsia" w:ascii="黑体" w:hAnsi="黑体" w:eastAsia="黑体" w:cs="黑体"/>
          <w:bCs/>
          <w:color w:val="auto"/>
          <w:szCs w:val="21"/>
          <w:highlight w:val="none"/>
          <w:u w:val="single"/>
        </w:rPr>
        <w:t>（</w:t>
      </w:r>
      <w:r>
        <w:rPr>
          <w:rFonts w:hint="eastAsia" w:ascii="黑体" w:hAnsi="黑体" w:eastAsia="黑体" w:cs="黑体"/>
          <w:b/>
          <w:bCs/>
          <w:color w:val="auto"/>
          <w:szCs w:val="21"/>
          <w:highlight w:val="none"/>
          <w:u w:val="single"/>
        </w:rPr>
        <w:t>详见投标人须知前附表</w:t>
      </w:r>
      <w:r>
        <w:rPr>
          <w:rFonts w:hint="eastAsia" w:ascii="黑体" w:hAnsi="黑体" w:eastAsia="黑体" w:cs="黑体"/>
          <w:bCs/>
          <w:color w:val="auto"/>
          <w:szCs w:val="21"/>
          <w:highlight w:val="none"/>
          <w:u w:val="single"/>
        </w:rPr>
        <w:t>）</w:t>
      </w:r>
      <w:r>
        <w:rPr>
          <w:rFonts w:hint="eastAsia" w:ascii="黑体" w:hAnsi="黑体" w:eastAsia="黑体" w:cs="黑体"/>
          <w:bCs/>
          <w:color w:val="auto"/>
          <w:szCs w:val="21"/>
          <w:highlight w:val="none"/>
        </w:rPr>
        <w:t>账户上；</w:t>
      </w:r>
    </w:p>
    <w:p w14:paraId="2476231E">
      <w:pPr>
        <w:pStyle w:val="29"/>
        <w:numPr>
          <w:ilvl w:val="0"/>
          <w:numId w:val="40"/>
        </w:numPr>
        <w:spacing w:line="360" w:lineRule="auto"/>
        <w:ind w:left="709" w:hanging="709"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采用《政府采购投标担保函》递交的，投标担保函有效期应与投标有效期一致。</w:t>
      </w:r>
    </w:p>
    <w:p w14:paraId="77BA275E">
      <w:pPr>
        <w:pStyle w:val="29"/>
        <w:numPr>
          <w:ilvl w:val="0"/>
          <w:numId w:val="39"/>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未中标的投标人的投标保证金将在本项目《中标通知书》发出之日起5个工作日内退还。中标人的投标保证金自政府采购合同签订之日起5个工作日内退还。</w:t>
      </w:r>
    </w:p>
    <w:p w14:paraId="3B8526D4">
      <w:pPr>
        <w:pStyle w:val="29"/>
        <w:numPr>
          <w:ilvl w:val="0"/>
          <w:numId w:val="39"/>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中标人有下列情形之一的，投标保证金将被没收：</w:t>
      </w:r>
    </w:p>
    <w:p w14:paraId="7E2F5938">
      <w:pPr>
        <w:pStyle w:val="29"/>
        <w:numPr>
          <w:ilvl w:val="0"/>
          <w:numId w:val="41"/>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投标人在招标文件中规定的投标有效期内撤销其投标文件；</w:t>
      </w:r>
    </w:p>
    <w:p w14:paraId="754FC69F">
      <w:pPr>
        <w:pStyle w:val="29"/>
        <w:numPr>
          <w:ilvl w:val="0"/>
          <w:numId w:val="41"/>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提供虚假材料谋取中标的；</w:t>
      </w:r>
    </w:p>
    <w:p w14:paraId="77BFCE53">
      <w:pPr>
        <w:pStyle w:val="29"/>
        <w:numPr>
          <w:ilvl w:val="0"/>
          <w:numId w:val="41"/>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中标后，无正当理由放弃中标资格；</w:t>
      </w:r>
    </w:p>
    <w:p w14:paraId="51D094F1">
      <w:pPr>
        <w:pStyle w:val="29"/>
        <w:numPr>
          <w:ilvl w:val="0"/>
          <w:numId w:val="41"/>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中标后，无正当理由不与采购人签订合同；</w:t>
      </w:r>
    </w:p>
    <w:p w14:paraId="797EC11C">
      <w:pPr>
        <w:pStyle w:val="29"/>
        <w:numPr>
          <w:ilvl w:val="0"/>
          <w:numId w:val="41"/>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法律法规规定的其它行为。</w:t>
      </w:r>
    </w:p>
    <w:p w14:paraId="0EC35479">
      <w:pPr>
        <w:pStyle w:val="29"/>
        <w:numPr>
          <w:ilvl w:val="0"/>
          <w:numId w:val="21"/>
        </w:numPr>
        <w:spacing w:before="312" w:beforeLines="100" w:line="360" w:lineRule="auto"/>
        <w:ind w:firstLineChars="0"/>
        <w:rPr>
          <w:rFonts w:hint="eastAsia" w:ascii="黑体" w:hAnsi="黑体" w:eastAsia="黑体" w:cs="黑体"/>
          <w:b/>
          <w:color w:val="auto"/>
          <w:highlight w:val="none"/>
        </w:rPr>
      </w:pPr>
      <w:r>
        <w:rPr>
          <w:rFonts w:hint="eastAsia" w:ascii="黑体" w:hAnsi="黑体" w:eastAsia="黑体" w:cs="黑体"/>
          <w:b/>
          <w:color w:val="auto"/>
          <w:highlight w:val="none"/>
        </w:rPr>
        <w:t>投标有效期</w:t>
      </w:r>
    </w:p>
    <w:p w14:paraId="768C5ED3">
      <w:pPr>
        <w:pStyle w:val="29"/>
        <w:numPr>
          <w:ilvl w:val="0"/>
          <w:numId w:val="42"/>
        </w:numPr>
        <w:spacing w:line="360" w:lineRule="auto"/>
        <w:ind w:left="567" w:hanging="567" w:firstLineChars="0"/>
        <w:rPr>
          <w:rFonts w:hint="eastAsia" w:ascii="黑体" w:hAnsi="黑体" w:eastAsia="黑体" w:cs="黑体"/>
          <w:bCs/>
          <w:color w:val="auto"/>
          <w:spacing w:val="-2"/>
          <w:szCs w:val="21"/>
          <w:highlight w:val="none"/>
        </w:rPr>
      </w:pPr>
      <w:r>
        <w:rPr>
          <w:rFonts w:hint="eastAsia" w:ascii="黑体" w:hAnsi="黑体" w:eastAsia="黑体" w:cs="黑体"/>
          <w:bCs/>
          <w:color w:val="auto"/>
          <w:spacing w:val="-2"/>
          <w:szCs w:val="21"/>
          <w:highlight w:val="none"/>
        </w:rPr>
        <w:t>投标</w:t>
      </w:r>
      <w:r>
        <w:rPr>
          <w:rFonts w:hint="eastAsia" w:ascii="黑体" w:hAnsi="黑体" w:eastAsia="黑体" w:cs="黑体"/>
          <w:color w:val="auto"/>
          <w:highlight w:val="none"/>
        </w:rPr>
        <w:t>有效期自招标文件规定的</w:t>
      </w:r>
      <w:r>
        <w:rPr>
          <w:rFonts w:hint="eastAsia" w:ascii="黑体" w:hAnsi="黑体" w:eastAsia="黑体" w:cs="黑体"/>
          <w:bCs/>
          <w:color w:val="auto"/>
          <w:spacing w:val="-2"/>
          <w:szCs w:val="21"/>
          <w:highlight w:val="none"/>
        </w:rPr>
        <w:t>投标文件</w:t>
      </w:r>
      <w:r>
        <w:rPr>
          <w:rFonts w:hint="eastAsia" w:ascii="黑体" w:hAnsi="黑体" w:eastAsia="黑体" w:cs="黑体"/>
          <w:color w:val="auto"/>
          <w:highlight w:val="none"/>
        </w:rPr>
        <w:t>递交截止时间起算</w:t>
      </w:r>
      <w:r>
        <w:rPr>
          <w:rFonts w:hint="eastAsia" w:ascii="黑体" w:hAnsi="黑体" w:eastAsia="黑体" w:cs="黑体"/>
          <w:bCs/>
          <w:color w:val="auto"/>
          <w:spacing w:val="-2"/>
          <w:szCs w:val="21"/>
          <w:highlight w:val="none"/>
        </w:rPr>
        <w:t>，并在</w:t>
      </w:r>
      <w:r>
        <w:rPr>
          <w:rFonts w:hint="eastAsia" w:ascii="黑体" w:hAnsi="黑体" w:eastAsia="黑体" w:cs="黑体"/>
          <w:b/>
          <w:color w:val="auto"/>
          <w:szCs w:val="21"/>
          <w:highlight w:val="none"/>
          <w:u w:val="single"/>
        </w:rPr>
        <w:t>投标人须知前附表</w:t>
      </w:r>
      <w:r>
        <w:rPr>
          <w:rFonts w:hint="eastAsia" w:ascii="黑体" w:hAnsi="黑体" w:eastAsia="黑体" w:cs="黑体"/>
          <w:color w:val="auto"/>
          <w:highlight w:val="none"/>
        </w:rPr>
        <w:t>中所述期限内有效</w:t>
      </w:r>
      <w:r>
        <w:rPr>
          <w:rFonts w:hint="eastAsia" w:ascii="黑体" w:hAnsi="黑体" w:eastAsia="黑体" w:cs="黑体"/>
          <w:bCs/>
          <w:color w:val="auto"/>
          <w:spacing w:val="-2"/>
          <w:szCs w:val="21"/>
          <w:highlight w:val="none"/>
        </w:rPr>
        <w:t>。投标有效期</w:t>
      </w:r>
      <w:r>
        <w:rPr>
          <w:rFonts w:hint="eastAsia" w:ascii="黑体" w:hAnsi="黑体" w:eastAsia="黑体" w:cs="黑体"/>
          <w:color w:val="auto"/>
          <w:highlight w:val="none"/>
        </w:rPr>
        <w:t>比规定时间短</w:t>
      </w:r>
      <w:r>
        <w:rPr>
          <w:rFonts w:hint="eastAsia" w:ascii="黑体" w:hAnsi="黑体" w:eastAsia="黑体" w:cs="黑体"/>
          <w:bCs/>
          <w:color w:val="auto"/>
          <w:spacing w:val="-2"/>
          <w:szCs w:val="21"/>
          <w:highlight w:val="none"/>
        </w:rPr>
        <w:t>的投标将被视为非实质性响应，视为无效投标。</w:t>
      </w:r>
    </w:p>
    <w:p w14:paraId="021EBFB0">
      <w:pPr>
        <w:pStyle w:val="29"/>
        <w:numPr>
          <w:ilvl w:val="0"/>
          <w:numId w:val="42"/>
        </w:numPr>
        <w:spacing w:line="360" w:lineRule="auto"/>
        <w:ind w:left="567" w:hanging="567" w:firstLineChars="0"/>
        <w:rPr>
          <w:rFonts w:hint="eastAsia" w:ascii="黑体" w:hAnsi="黑体" w:eastAsia="黑体" w:cs="黑体"/>
          <w:bCs/>
          <w:color w:val="auto"/>
          <w:spacing w:val="-2"/>
          <w:szCs w:val="21"/>
          <w:highlight w:val="none"/>
        </w:rPr>
      </w:pPr>
      <w:r>
        <w:rPr>
          <w:rFonts w:hint="eastAsia" w:ascii="黑体" w:hAnsi="黑体" w:eastAsia="黑体" w:cs="黑体"/>
          <w:bCs/>
          <w:color w:val="auto"/>
          <w:szCs w:val="21"/>
          <w:highlight w:val="none"/>
        </w:rPr>
        <w:t>出现特殊情况需延长投标有效期的，采购人或采购代理机构可于投标有效期满之前要求投标人同意延长有效期，要求与答复均以书面形式通知所有投标人。投标人同意延长的，应相应延长其投标保证金的有效期，但不得要求或被允许修改或撤销其投标文件；投标人可以拒绝延长有效期，但其投标将会被视为无效，拒绝延长有效期的投标人有权收回其投标保证金。</w:t>
      </w:r>
    </w:p>
    <w:p w14:paraId="70AC804D">
      <w:pPr>
        <w:pStyle w:val="29"/>
        <w:numPr>
          <w:ilvl w:val="0"/>
          <w:numId w:val="21"/>
        </w:numPr>
        <w:spacing w:before="312" w:beforeLines="100" w:line="360" w:lineRule="auto"/>
        <w:ind w:firstLineChars="0"/>
        <w:rPr>
          <w:rFonts w:hint="eastAsia" w:ascii="黑体" w:hAnsi="黑体" w:eastAsia="黑体" w:cs="黑体"/>
          <w:b/>
          <w:color w:val="auto"/>
          <w:highlight w:val="none"/>
        </w:rPr>
      </w:pPr>
      <w:bookmarkStart w:id="36" w:name="_Toc357676129"/>
      <w:r>
        <w:rPr>
          <w:rFonts w:hint="eastAsia" w:ascii="黑体" w:hAnsi="黑体" w:eastAsia="黑体" w:cs="黑体"/>
          <w:b/>
          <w:color w:val="auto"/>
          <w:highlight w:val="none"/>
        </w:rPr>
        <w:t>投标文件的式样和签署</w:t>
      </w:r>
      <w:bookmarkEnd w:id="36"/>
    </w:p>
    <w:p w14:paraId="24C3011D">
      <w:pPr>
        <w:pStyle w:val="29"/>
        <w:numPr>
          <w:ilvl w:val="0"/>
          <w:numId w:val="43"/>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投标文件的式样：投标人应准备一份投标文件正本、电子文件、唱标信封和</w:t>
      </w:r>
      <w:r>
        <w:rPr>
          <w:rFonts w:hint="eastAsia" w:ascii="黑体" w:hAnsi="黑体" w:eastAsia="黑体" w:cs="黑体"/>
          <w:bCs/>
          <w:color w:val="auto"/>
          <w:szCs w:val="21"/>
          <w:highlight w:val="none"/>
          <w:u w:val="single"/>
        </w:rPr>
        <w:t xml:space="preserve"> </w:t>
      </w:r>
      <w:bookmarkStart w:id="37" w:name="_Hlk81180014"/>
      <w:r>
        <w:rPr>
          <w:rFonts w:hint="eastAsia" w:ascii="黑体" w:hAnsi="黑体" w:eastAsia="黑体" w:cs="黑体"/>
          <w:b/>
          <w:color w:val="auto"/>
          <w:szCs w:val="21"/>
          <w:highlight w:val="none"/>
          <w:u w:val="single"/>
        </w:rPr>
        <w:t xml:space="preserve">详见投标人须知前附表 </w:t>
      </w:r>
      <w:bookmarkEnd w:id="37"/>
      <w:r>
        <w:rPr>
          <w:rFonts w:hint="eastAsia" w:ascii="黑体" w:hAnsi="黑体" w:eastAsia="黑体" w:cs="黑体"/>
          <w:bCs/>
          <w:color w:val="auto"/>
          <w:szCs w:val="21"/>
          <w:highlight w:val="none"/>
        </w:rPr>
        <w:t>中规定数目的副本，投标文件的副本可采用正本的复印件。每套投标文件须清楚地标明“正本”或“副本”。若副本与正本不符，以正本为准。</w:t>
      </w:r>
    </w:p>
    <w:p w14:paraId="680E78BE">
      <w:pPr>
        <w:pStyle w:val="29"/>
        <w:numPr>
          <w:ilvl w:val="0"/>
          <w:numId w:val="43"/>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投标文件的签署：</w:t>
      </w:r>
    </w:p>
    <w:p w14:paraId="0E3B0E9B">
      <w:pPr>
        <w:pStyle w:val="29"/>
        <w:numPr>
          <w:ilvl w:val="2"/>
          <w:numId w:val="44"/>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14:paraId="0AAC1446">
      <w:pPr>
        <w:pStyle w:val="29"/>
        <w:numPr>
          <w:ilvl w:val="2"/>
          <w:numId w:val="44"/>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投标文件中的任何重要的插字、涂改和增删，必须由法定代表人或经其正式授权的代表在旁边签署。</w:t>
      </w:r>
    </w:p>
    <w:p w14:paraId="06926B3E">
      <w:pPr>
        <w:pStyle w:val="29"/>
        <w:numPr>
          <w:ilvl w:val="0"/>
          <w:numId w:val="43"/>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投标文件的“正本”及所有“副本”的封面及骑缝均须由投标人加盖投标人公章。</w:t>
      </w:r>
    </w:p>
    <w:p w14:paraId="3A28EAA3">
      <w:pPr>
        <w:pStyle w:val="29"/>
        <w:numPr>
          <w:ilvl w:val="0"/>
          <w:numId w:val="20"/>
        </w:numPr>
        <w:spacing w:before="312" w:beforeLines="100" w:line="360" w:lineRule="auto"/>
        <w:ind w:firstLineChars="0"/>
        <w:rPr>
          <w:rFonts w:hint="eastAsia" w:ascii="黑体" w:hAnsi="黑体" w:eastAsia="黑体" w:cs="黑体"/>
          <w:b/>
          <w:bCs/>
          <w:color w:val="auto"/>
          <w:sz w:val="24"/>
          <w:szCs w:val="24"/>
          <w:highlight w:val="none"/>
        </w:rPr>
      </w:pPr>
      <w:r>
        <w:rPr>
          <w:rFonts w:hint="eastAsia" w:ascii="黑体" w:hAnsi="黑体" w:eastAsia="黑体" w:cs="黑体"/>
          <w:b/>
          <w:bCs/>
          <w:color w:val="auto"/>
          <w:sz w:val="24"/>
          <w:szCs w:val="24"/>
          <w:highlight w:val="none"/>
        </w:rPr>
        <w:t>投标文件的递交</w:t>
      </w:r>
    </w:p>
    <w:p w14:paraId="4EBE4322">
      <w:pPr>
        <w:pStyle w:val="29"/>
        <w:numPr>
          <w:ilvl w:val="0"/>
          <w:numId w:val="21"/>
        </w:numPr>
        <w:spacing w:line="360" w:lineRule="auto"/>
        <w:ind w:firstLineChars="0"/>
        <w:rPr>
          <w:rFonts w:hint="eastAsia" w:ascii="黑体" w:hAnsi="黑体" w:eastAsia="黑体" w:cs="黑体"/>
          <w:b/>
          <w:color w:val="auto"/>
          <w:highlight w:val="none"/>
        </w:rPr>
      </w:pPr>
      <w:bookmarkStart w:id="38" w:name="_Toc357676131"/>
      <w:r>
        <w:rPr>
          <w:rFonts w:hint="eastAsia" w:ascii="黑体" w:hAnsi="黑体" w:eastAsia="黑体" w:cs="黑体"/>
          <w:b/>
          <w:color w:val="auto"/>
          <w:highlight w:val="none"/>
        </w:rPr>
        <w:t>投标文件的装订、密封和标记</w:t>
      </w:r>
      <w:bookmarkEnd w:id="38"/>
    </w:p>
    <w:p w14:paraId="742259F9">
      <w:pPr>
        <w:pStyle w:val="29"/>
        <w:numPr>
          <w:ilvl w:val="0"/>
          <w:numId w:val="45"/>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投标人应当对投标文件进行装订（所有文件均不允许采用活动夹方式装订），如投标人对招标文件多个包组进行投标的，其投标文件的编制应按每个包的要求分别装订和封装。</w:t>
      </w:r>
    </w:p>
    <w:tbl>
      <w:tblPr>
        <w:tblStyle w:val="2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4"/>
        <w:gridCol w:w="2478"/>
        <w:gridCol w:w="1624"/>
        <w:gridCol w:w="3971"/>
      </w:tblGrid>
      <w:tr w14:paraId="1F3AD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1" w:hRule="atLeast"/>
        </w:trPr>
        <w:tc>
          <w:tcPr>
            <w:tcW w:w="396" w:type="pct"/>
            <w:vAlign w:val="center"/>
          </w:tcPr>
          <w:p w14:paraId="64E29180">
            <w:pPr>
              <w:spacing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序号</w:t>
            </w:r>
          </w:p>
        </w:tc>
        <w:tc>
          <w:tcPr>
            <w:tcW w:w="1413" w:type="pct"/>
            <w:vAlign w:val="center"/>
          </w:tcPr>
          <w:p w14:paraId="62F4D901">
            <w:pPr>
              <w:spacing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文件名称</w:t>
            </w:r>
          </w:p>
        </w:tc>
        <w:tc>
          <w:tcPr>
            <w:tcW w:w="926" w:type="pct"/>
            <w:vAlign w:val="center"/>
          </w:tcPr>
          <w:p w14:paraId="6635DEB7">
            <w:pPr>
              <w:spacing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装订</w:t>
            </w:r>
          </w:p>
        </w:tc>
        <w:tc>
          <w:tcPr>
            <w:tcW w:w="2264" w:type="pct"/>
            <w:vAlign w:val="center"/>
          </w:tcPr>
          <w:p w14:paraId="3BAE0D23">
            <w:pPr>
              <w:spacing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包装</w:t>
            </w:r>
          </w:p>
        </w:tc>
      </w:tr>
      <w:tr w14:paraId="03EC7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14:paraId="3082CF5E">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1</w:t>
            </w:r>
          </w:p>
        </w:tc>
        <w:tc>
          <w:tcPr>
            <w:tcW w:w="1413" w:type="pct"/>
            <w:vAlign w:val="center"/>
          </w:tcPr>
          <w:p w14:paraId="255A2204">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投标文件</w:t>
            </w:r>
          </w:p>
        </w:tc>
        <w:tc>
          <w:tcPr>
            <w:tcW w:w="926" w:type="pct"/>
            <w:vAlign w:val="center"/>
          </w:tcPr>
          <w:p w14:paraId="0DD7B744">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独立装订</w:t>
            </w:r>
          </w:p>
        </w:tc>
        <w:tc>
          <w:tcPr>
            <w:tcW w:w="2264" w:type="pct"/>
            <w:vAlign w:val="center"/>
          </w:tcPr>
          <w:p w14:paraId="279E6DF1">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正本、副本一起密封包装</w:t>
            </w:r>
          </w:p>
        </w:tc>
      </w:tr>
      <w:tr w14:paraId="1A3AA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396" w:type="pct"/>
            <w:vAlign w:val="center"/>
          </w:tcPr>
          <w:p w14:paraId="315D402F">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2</w:t>
            </w:r>
          </w:p>
        </w:tc>
        <w:tc>
          <w:tcPr>
            <w:tcW w:w="1413" w:type="pct"/>
            <w:vAlign w:val="center"/>
          </w:tcPr>
          <w:p w14:paraId="61740644">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唱标信封</w:t>
            </w:r>
          </w:p>
        </w:tc>
        <w:tc>
          <w:tcPr>
            <w:tcW w:w="926" w:type="pct"/>
            <w:vAlign w:val="center"/>
          </w:tcPr>
          <w:p w14:paraId="3B214B93">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独立装订</w:t>
            </w:r>
          </w:p>
        </w:tc>
        <w:tc>
          <w:tcPr>
            <w:tcW w:w="2264" w:type="pct"/>
            <w:vAlign w:val="center"/>
          </w:tcPr>
          <w:p w14:paraId="075D1D53">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单独密封包装(内附电子文件)</w:t>
            </w:r>
          </w:p>
        </w:tc>
      </w:tr>
    </w:tbl>
    <w:p w14:paraId="564881D1">
      <w:pPr>
        <w:pStyle w:val="29"/>
        <w:numPr>
          <w:ilvl w:val="0"/>
          <w:numId w:val="45"/>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电子文件</w:t>
      </w:r>
      <w:bookmarkStart w:id="39" w:name="_Hlk86740118"/>
      <w:r>
        <w:rPr>
          <w:rFonts w:hint="eastAsia" w:ascii="黑体" w:hAnsi="黑体" w:eastAsia="黑体" w:cs="黑体"/>
          <w:bCs/>
          <w:color w:val="auto"/>
          <w:szCs w:val="21"/>
          <w:highlight w:val="none"/>
        </w:rPr>
        <w:t>须同时提交以下文件</w:t>
      </w:r>
      <w:bookmarkEnd w:id="39"/>
      <w:r>
        <w:rPr>
          <w:rFonts w:hint="eastAsia" w:ascii="黑体" w:hAnsi="黑体" w:eastAsia="黑体" w:cs="黑体"/>
          <w:bCs/>
          <w:color w:val="auto"/>
          <w:szCs w:val="21"/>
          <w:highlight w:val="none"/>
        </w:rPr>
        <w:t>：</w:t>
      </w:r>
      <w:bookmarkStart w:id="40" w:name="_Hlk86740096"/>
      <w:r>
        <w:rPr>
          <w:rFonts w:hint="eastAsia" w:ascii="黑体" w:hAnsi="黑体" w:eastAsia="黑体" w:cs="黑体"/>
          <w:bCs/>
          <w:color w:val="auto"/>
          <w:szCs w:val="21"/>
          <w:highlight w:val="none"/>
        </w:rPr>
        <w:t>①可编辑的WORD或 EXCEL 格式文件。②按招标文件要求签署、盖章后的正本投标文件扫描成PDF格式文件。电子文件由CD-R光盘或U盘储存</w:t>
      </w:r>
      <w:bookmarkEnd w:id="40"/>
      <w:r>
        <w:rPr>
          <w:rFonts w:hint="eastAsia" w:ascii="黑体" w:hAnsi="黑体" w:eastAsia="黑体" w:cs="黑体"/>
          <w:bCs/>
          <w:color w:val="auto"/>
          <w:szCs w:val="21"/>
          <w:highlight w:val="none"/>
        </w:rPr>
        <w:t>。</w:t>
      </w:r>
    </w:p>
    <w:p w14:paraId="77FC3E50">
      <w:pPr>
        <w:pStyle w:val="29"/>
        <w:numPr>
          <w:ilvl w:val="0"/>
          <w:numId w:val="45"/>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为方便开标唱标，投标人应将投标函、开标一览表、分项报价表（如适用）、法定代表人身份证明书或法定代表人授权委托书、投标保证金缴付凭证、投标保证金汇入情况说明一起密封提交，若联合体投标，应将各方共同签署的《联合体投标协议》一并提交；并在信封上标明“唱标信封”的字样。</w:t>
      </w:r>
    </w:p>
    <w:p w14:paraId="0F93C3ED">
      <w:pPr>
        <w:pStyle w:val="29"/>
        <w:numPr>
          <w:ilvl w:val="0"/>
          <w:numId w:val="21"/>
        </w:numPr>
        <w:spacing w:line="360" w:lineRule="auto"/>
        <w:ind w:firstLineChars="0"/>
        <w:rPr>
          <w:rFonts w:hint="eastAsia" w:ascii="黑体" w:hAnsi="黑体" w:eastAsia="黑体" w:cs="黑体"/>
          <w:b/>
          <w:color w:val="auto"/>
          <w:highlight w:val="none"/>
        </w:rPr>
      </w:pPr>
      <w:r>
        <w:rPr>
          <w:rFonts w:hint="eastAsia" w:ascii="黑体" w:hAnsi="黑体" w:eastAsia="黑体" w:cs="黑体"/>
          <w:b/>
          <w:color w:val="auto"/>
          <w:highlight w:val="none"/>
        </w:rPr>
        <w:t>投标文件</w:t>
      </w:r>
      <w:r>
        <w:rPr>
          <w:rFonts w:hint="eastAsia" w:ascii="黑体" w:hAnsi="黑体" w:eastAsia="黑体" w:cs="黑体"/>
          <w:b/>
          <w:bCs/>
          <w:color w:val="auto"/>
          <w:szCs w:val="21"/>
          <w:highlight w:val="none"/>
        </w:rPr>
        <w:t>包装密封</w:t>
      </w:r>
    </w:p>
    <w:p w14:paraId="32D0250E">
      <w:pPr>
        <w:pStyle w:val="29"/>
        <w:numPr>
          <w:ilvl w:val="0"/>
          <w:numId w:val="46"/>
        </w:numPr>
        <w:tabs>
          <w:tab w:val="left" w:pos="567"/>
        </w:tabs>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投标人应将投标文件密封包装；</w:t>
      </w:r>
    </w:p>
    <w:p w14:paraId="762A4846">
      <w:pPr>
        <w:pStyle w:val="29"/>
        <w:numPr>
          <w:ilvl w:val="0"/>
          <w:numId w:val="46"/>
        </w:numPr>
        <w:tabs>
          <w:tab w:val="left" w:pos="567"/>
        </w:tabs>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不足以造成投标文件可从外包装内散出而导致投标文件泄密的，不认定为投标文件未密封。</w:t>
      </w:r>
    </w:p>
    <w:p w14:paraId="4F239C7D">
      <w:pPr>
        <w:pStyle w:val="29"/>
        <w:numPr>
          <w:ilvl w:val="0"/>
          <w:numId w:val="46"/>
        </w:numPr>
        <w:tabs>
          <w:tab w:val="left" w:pos="567"/>
        </w:tabs>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包装封套均应注明：</w:t>
      </w:r>
    </w:p>
    <w:p w14:paraId="24375961">
      <w:pPr>
        <w:pStyle w:val="29"/>
        <w:spacing w:line="360" w:lineRule="auto"/>
        <w:ind w:left="567" w:firstLine="0" w:firstLineChars="0"/>
        <w:rPr>
          <w:rFonts w:hint="eastAsia" w:ascii="黑体" w:hAnsi="黑体" w:eastAsia="黑体" w:cs="黑体"/>
          <w:color w:val="auto"/>
          <w:szCs w:val="21"/>
          <w:highlight w:val="none"/>
          <w:u w:val="single"/>
        </w:rPr>
      </w:pPr>
      <w:r>
        <w:rPr>
          <w:rFonts w:hint="eastAsia" w:ascii="黑体" w:hAnsi="黑体" w:eastAsia="黑体" w:cs="黑体"/>
          <w:bCs/>
          <w:color w:val="auto"/>
          <w:szCs w:val="21"/>
          <w:highlight w:val="none"/>
        </w:rPr>
        <w:t>收件人名称：</w:t>
      </w:r>
      <w:r>
        <w:rPr>
          <w:rFonts w:hint="eastAsia" w:ascii="黑体" w:hAnsi="黑体" w:eastAsia="黑体" w:cs="黑体"/>
          <w:color w:val="auto"/>
          <w:szCs w:val="21"/>
          <w:highlight w:val="none"/>
          <w:u w:val="single"/>
        </w:rPr>
        <w:t xml:space="preserve">广东有德招标采购有限公司         </w:t>
      </w:r>
    </w:p>
    <w:p w14:paraId="7A6C9C47">
      <w:pPr>
        <w:pStyle w:val="29"/>
        <w:spacing w:line="360" w:lineRule="auto"/>
        <w:ind w:left="567" w:firstLine="0" w:firstLineChars="0"/>
        <w:rPr>
          <w:rFonts w:hint="eastAsia" w:ascii="黑体" w:hAnsi="黑体" w:eastAsia="黑体" w:cs="黑体"/>
          <w:bCs/>
          <w:color w:val="auto"/>
          <w:szCs w:val="21"/>
          <w:highlight w:val="none"/>
        </w:rPr>
      </w:pPr>
      <w:r>
        <w:rPr>
          <w:rFonts w:hint="eastAsia" w:ascii="黑体" w:hAnsi="黑体" w:eastAsia="黑体" w:cs="黑体"/>
          <w:color w:val="auto"/>
          <w:szCs w:val="21"/>
          <w:highlight w:val="none"/>
        </w:rPr>
        <w:t>投标人名称：</w:t>
      </w:r>
      <w:r>
        <w:rPr>
          <w:rFonts w:hint="eastAsia" w:ascii="黑体" w:hAnsi="黑体" w:eastAsia="黑体" w:cs="黑体"/>
          <w:color w:val="auto"/>
          <w:szCs w:val="21"/>
          <w:highlight w:val="none"/>
          <w:u w:val="single"/>
        </w:rPr>
        <w:t xml:space="preserve">                                 </w:t>
      </w:r>
    </w:p>
    <w:p w14:paraId="33B438EB">
      <w:pPr>
        <w:pStyle w:val="29"/>
        <w:spacing w:line="360" w:lineRule="auto"/>
        <w:ind w:left="567" w:firstLine="0"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项目名称：</w:t>
      </w:r>
      <w:r>
        <w:rPr>
          <w:rFonts w:hint="eastAsia" w:ascii="黑体" w:hAnsi="黑体" w:eastAsia="黑体" w:cs="黑体"/>
          <w:bCs/>
          <w:color w:val="auto"/>
          <w:szCs w:val="21"/>
          <w:highlight w:val="none"/>
          <w:u w:val="single"/>
        </w:rPr>
        <w:t xml:space="preserve">        （详见投标邀请）         </w:t>
      </w:r>
    </w:p>
    <w:p w14:paraId="23F86338">
      <w:pPr>
        <w:pStyle w:val="29"/>
        <w:spacing w:line="360" w:lineRule="auto"/>
        <w:ind w:left="567" w:firstLine="0"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项目编号：</w:t>
      </w:r>
      <w:r>
        <w:rPr>
          <w:rFonts w:hint="eastAsia" w:ascii="黑体" w:hAnsi="黑体" w:eastAsia="黑体" w:cs="黑体"/>
          <w:bCs/>
          <w:color w:val="auto"/>
          <w:szCs w:val="21"/>
          <w:highlight w:val="none"/>
          <w:u w:val="single"/>
        </w:rPr>
        <w:t xml:space="preserve">        （详见投标邀请）         </w:t>
      </w:r>
    </w:p>
    <w:p w14:paraId="0B0318A3">
      <w:pPr>
        <w:pStyle w:val="29"/>
        <w:spacing w:line="360" w:lineRule="auto"/>
        <w:ind w:left="567" w:firstLine="0"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注明：“</w:t>
      </w:r>
      <w:r>
        <w:rPr>
          <w:rFonts w:hint="eastAsia" w:ascii="黑体" w:hAnsi="黑体" w:eastAsia="黑体" w:cs="黑体"/>
          <w:bCs/>
          <w:color w:val="auto"/>
          <w:szCs w:val="21"/>
          <w:highlight w:val="none"/>
          <w:u w:val="single"/>
        </w:rPr>
        <w:t xml:space="preserve">于  年  月  日北京时间  ：  </w:t>
      </w:r>
      <w:r>
        <w:rPr>
          <w:rFonts w:hint="eastAsia" w:ascii="黑体" w:hAnsi="黑体" w:eastAsia="黑体" w:cs="黑体"/>
          <w:bCs/>
          <w:color w:val="auto"/>
          <w:szCs w:val="21"/>
          <w:highlight w:val="none"/>
        </w:rPr>
        <w:t>（详见投标邀请）之前不得启封”的字样。</w:t>
      </w:r>
    </w:p>
    <w:p w14:paraId="10D4EF06">
      <w:pPr>
        <w:pStyle w:val="29"/>
        <w:numPr>
          <w:ilvl w:val="0"/>
          <w:numId w:val="46"/>
        </w:numPr>
        <w:tabs>
          <w:tab w:val="left" w:pos="567"/>
        </w:tabs>
        <w:spacing w:line="360" w:lineRule="auto"/>
        <w:ind w:left="567" w:hanging="567" w:firstLineChars="0"/>
        <w:rPr>
          <w:rFonts w:hint="eastAsia" w:ascii="黑体" w:hAnsi="黑体" w:eastAsia="黑体" w:cs="黑体"/>
          <w:bCs/>
          <w:color w:val="auto"/>
          <w:spacing w:val="-4"/>
          <w:szCs w:val="21"/>
          <w:highlight w:val="none"/>
        </w:rPr>
      </w:pPr>
      <w:r>
        <w:rPr>
          <w:rFonts w:hint="eastAsia" w:ascii="黑体" w:hAnsi="黑体" w:eastAsia="黑体" w:cs="黑体"/>
          <w:bCs/>
          <w:color w:val="auto"/>
          <w:spacing w:val="-4"/>
          <w:szCs w:val="21"/>
          <w:highlight w:val="none"/>
        </w:rPr>
        <w:t>如果未按本须知上款要求加写标记和密封，采购代理机构对误投或提前启封概不负责。</w:t>
      </w:r>
    </w:p>
    <w:p w14:paraId="53E2696F">
      <w:pPr>
        <w:pStyle w:val="29"/>
        <w:numPr>
          <w:ilvl w:val="0"/>
          <w:numId w:val="21"/>
        </w:numPr>
        <w:spacing w:before="312" w:beforeLines="100" w:line="360" w:lineRule="auto"/>
        <w:ind w:firstLineChars="0"/>
        <w:rPr>
          <w:rFonts w:hint="eastAsia" w:ascii="黑体" w:hAnsi="黑体" w:eastAsia="黑体" w:cs="黑体"/>
          <w:b/>
          <w:color w:val="auto"/>
          <w:highlight w:val="none"/>
        </w:rPr>
      </w:pPr>
      <w:r>
        <w:rPr>
          <w:rFonts w:hint="eastAsia" w:ascii="黑体" w:hAnsi="黑体" w:eastAsia="黑体" w:cs="黑体"/>
          <w:b/>
          <w:color w:val="auto"/>
          <w:highlight w:val="none"/>
        </w:rPr>
        <w:t>投标截止期</w:t>
      </w:r>
    </w:p>
    <w:p w14:paraId="2FF3A044">
      <w:pPr>
        <w:pStyle w:val="29"/>
        <w:numPr>
          <w:ilvl w:val="0"/>
          <w:numId w:val="47"/>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投标人应在不迟于</w:t>
      </w:r>
      <w:r>
        <w:rPr>
          <w:rFonts w:hint="eastAsia" w:ascii="黑体" w:hAnsi="黑体" w:eastAsia="黑体" w:cs="黑体"/>
          <w:b/>
          <w:bCs/>
          <w:color w:val="auto"/>
          <w:szCs w:val="21"/>
          <w:highlight w:val="none"/>
          <w:u w:val="single"/>
        </w:rPr>
        <w:t>投标邀请</w:t>
      </w:r>
      <w:r>
        <w:rPr>
          <w:rFonts w:hint="eastAsia" w:ascii="黑体" w:hAnsi="黑体" w:eastAsia="黑体" w:cs="黑体"/>
          <w:bCs/>
          <w:color w:val="auto"/>
          <w:szCs w:val="21"/>
          <w:highlight w:val="none"/>
        </w:rPr>
        <w:t>中规定的截止日期和时间将投标文件递交至采购代理机构，递交地点应是</w:t>
      </w:r>
      <w:r>
        <w:rPr>
          <w:rFonts w:hint="eastAsia" w:ascii="黑体" w:hAnsi="黑体" w:eastAsia="黑体" w:cs="黑体"/>
          <w:b/>
          <w:bCs/>
          <w:color w:val="auto"/>
          <w:szCs w:val="21"/>
          <w:highlight w:val="none"/>
          <w:u w:val="single"/>
        </w:rPr>
        <w:t>投标邀请</w:t>
      </w:r>
      <w:r>
        <w:rPr>
          <w:rFonts w:hint="eastAsia" w:ascii="黑体" w:hAnsi="黑体" w:eastAsia="黑体" w:cs="黑体"/>
          <w:bCs/>
          <w:color w:val="auto"/>
          <w:szCs w:val="21"/>
          <w:highlight w:val="none"/>
        </w:rPr>
        <w:t>中指明的地址。</w:t>
      </w:r>
    </w:p>
    <w:p w14:paraId="3F23222A">
      <w:pPr>
        <w:pStyle w:val="29"/>
        <w:numPr>
          <w:ilvl w:val="0"/>
          <w:numId w:val="47"/>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采购代理机构将拒绝在规定的投标截止期后收到的任何投标文件。</w:t>
      </w:r>
    </w:p>
    <w:p w14:paraId="41E26EFD">
      <w:pPr>
        <w:pStyle w:val="29"/>
        <w:numPr>
          <w:ilvl w:val="0"/>
          <w:numId w:val="21"/>
        </w:numPr>
        <w:spacing w:before="312" w:beforeLines="100" w:line="360" w:lineRule="auto"/>
        <w:ind w:firstLineChars="0"/>
        <w:rPr>
          <w:rFonts w:hint="eastAsia" w:ascii="黑体" w:hAnsi="黑体" w:eastAsia="黑体" w:cs="黑体"/>
          <w:b/>
          <w:color w:val="auto"/>
          <w:highlight w:val="none"/>
        </w:rPr>
      </w:pPr>
      <w:bookmarkStart w:id="41" w:name="_Toc357676133"/>
      <w:r>
        <w:rPr>
          <w:rFonts w:hint="eastAsia" w:ascii="黑体" w:hAnsi="黑体" w:eastAsia="黑体" w:cs="黑体"/>
          <w:b/>
          <w:color w:val="auto"/>
          <w:highlight w:val="none"/>
        </w:rPr>
        <w:t>投标文件的修改和撤回</w:t>
      </w:r>
      <w:bookmarkEnd w:id="41"/>
    </w:p>
    <w:p w14:paraId="26C8AF90">
      <w:pPr>
        <w:pStyle w:val="29"/>
        <w:numPr>
          <w:ilvl w:val="0"/>
          <w:numId w:val="48"/>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pacing w:val="-2"/>
          <w:szCs w:val="21"/>
          <w:highlight w:val="none"/>
        </w:rPr>
        <w:t>投</w:t>
      </w:r>
      <w:r>
        <w:rPr>
          <w:rFonts w:hint="eastAsia" w:ascii="黑体" w:hAnsi="黑体" w:eastAsia="黑体" w:cs="黑体"/>
          <w:bCs/>
          <w:color w:val="auto"/>
          <w:szCs w:val="21"/>
          <w:highlight w:val="none"/>
        </w:rPr>
        <w:t>标人在投标截止时间前，可以对所递交的投标文件进行补充、修改或者撤回，并书面通知采购代理机构。补充、修改的内容应当按照招标文件要求签署、盖章，密封后，作为投标文件的组成部分。</w:t>
      </w:r>
    </w:p>
    <w:p w14:paraId="7C03DE02">
      <w:pPr>
        <w:pStyle w:val="29"/>
        <w:numPr>
          <w:ilvl w:val="0"/>
          <w:numId w:val="48"/>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在投标截止时间之后，投标人不得对其投标文件做任何修改和补充。</w:t>
      </w:r>
    </w:p>
    <w:p w14:paraId="726E810D">
      <w:pPr>
        <w:pStyle w:val="29"/>
        <w:numPr>
          <w:ilvl w:val="0"/>
          <w:numId w:val="48"/>
        </w:numPr>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 xml:space="preserve"> 在提交投标文件截止时间至投标有效期满之前，投标人不得撤回其投标文件。</w:t>
      </w:r>
    </w:p>
    <w:p w14:paraId="41EC40D9">
      <w:pPr>
        <w:pStyle w:val="29"/>
        <w:numPr>
          <w:ilvl w:val="0"/>
          <w:numId w:val="20"/>
        </w:numPr>
        <w:spacing w:before="312" w:beforeLines="100" w:line="360" w:lineRule="auto"/>
        <w:ind w:firstLineChars="0"/>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开标与评标准则</w:t>
      </w:r>
    </w:p>
    <w:p w14:paraId="1F80AA23">
      <w:pPr>
        <w:pStyle w:val="29"/>
        <w:numPr>
          <w:ilvl w:val="0"/>
          <w:numId w:val="21"/>
        </w:numPr>
        <w:spacing w:line="360" w:lineRule="auto"/>
        <w:ind w:firstLineChars="0"/>
        <w:rPr>
          <w:rFonts w:hint="eastAsia" w:ascii="黑体" w:hAnsi="黑体" w:eastAsia="黑体" w:cs="黑体"/>
          <w:b/>
          <w:color w:val="auto"/>
          <w:highlight w:val="none"/>
        </w:rPr>
      </w:pPr>
      <w:r>
        <w:rPr>
          <w:rFonts w:hint="eastAsia" w:ascii="黑体" w:hAnsi="黑体" w:eastAsia="黑体" w:cs="黑体"/>
          <w:b/>
          <w:color w:val="auto"/>
          <w:highlight w:val="none"/>
        </w:rPr>
        <w:t>开标</w:t>
      </w:r>
    </w:p>
    <w:p w14:paraId="260BCA5F">
      <w:pPr>
        <w:pStyle w:val="29"/>
        <w:numPr>
          <w:ilvl w:val="0"/>
          <w:numId w:val="49"/>
        </w:numPr>
        <w:tabs>
          <w:tab w:val="left" w:pos="709"/>
        </w:tabs>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采购代理机构按</w:t>
      </w:r>
      <w:r>
        <w:rPr>
          <w:rFonts w:hint="eastAsia" w:ascii="黑体" w:hAnsi="黑体" w:eastAsia="黑体" w:cs="黑体"/>
          <w:b/>
          <w:bCs/>
          <w:color w:val="auto"/>
          <w:szCs w:val="21"/>
          <w:highlight w:val="none"/>
          <w:u w:val="single"/>
        </w:rPr>
        <w:t>投标邀请</w:t>
      </w:r>
      <w:r>
        <w:rPr>
          <w:rFonts w:hint="eastAsia" w:ascii="黑体" w:hAnsi="黑体" w:eastAsia="黑体" w:cs="黑体"/>
          <w:bCs/>
          <w:color w:val="auto"/>
          <w:szCs w:val="21"/>
          <w:highlight w:val="none"/>
        </w:rPr>
        <w:t>中规定的日期、时间和地点组织公开开标。开标时邀请所有投标人代表参加。参加开标的法定代表人或其授权代表携带有效身份证签名报到以证明其出席。</w:t>
      </w:r>
    </w:p>
    <w:p w14:paraId="2D5F6732">
      <w:pPr>
        <w:pStyle w:val="29"/>
        <w:numPr>
          <w:ilvl w:val="0"/>
          <w:numId w:val="49"/>
        </w:numPr>
        <w:tabs>
          <w:tab w:val="left" w:pos="709"/>
        </w:tabs>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开标由采购代理机构主持，邀请投标人参加。评标委员会成员不得参加开标活动。</w:t>
      </w:r>
    </w:p>
    <w:p w14:paraId="4006A3FC">
      <w:pPr>
        <w:pStyle w:val="29"/>
        <w:numPr>
          <w:ilvl w:val="0"/>
          <w:numId w:val="49"/>
        </w:numPr>
        <w:tabs>
          <w:tab w:val="left" w:pos="709"/>
        </w:tabs>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投标人不足3家的，不得开标。</w:t>
      </w:r>
    </w:p>
    <w:p w14:paraId="59CDC493">
      <w:pPr>
        <w:pStyle w:val="29"/>
        <w:numPr>
          <w:ilvl w:val="0"/>
          <w:numId w:val="49"/>
        </w:numPr>
        <w:tabs>
          <w:tab w:val="left" w:pos="709"/>
        </w:tabs>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开标时，由投标人或其推选的代表检查投标文件的密封情况；经确认无误后，由采购人或采购代理机构工作人员当众拆封，宣布投标人名称、投标价格和招标文件规定的需要宣布的其他内容。</w:t>
      </w:r>
    </w:p>
    <w:p w14:paraId="45FB26ED">
      <w:pPr>
        <w:pStyle w:val="29"/>
        <w:numPr>
          <w:ilvl w:val="0"/>
          <w:numId w:val="49"/>
        </w:numPr>
        <w:tabs>
          <w:tab w:val="left" w:pos="709"/>
        </w:tabs>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开标过程应当由采购人或者采购代理机构负责记录，由参加开标的各投标人代表和相关工作人员签字确认。</w:t>
      </w:r>
    </w:p>
    <w:p w14:paraId="4F111EAC">
      <w:pPr>
        <w:pStyle w:val="29"/>
        <w:numPr>
          <w:ilvl w:val="0"/>
          <w:numId w:val="49"/>
        </w:numPr>
        <w:tabs>
          <w:tab w:val="left" w:pos="709"/>
        </w:tabs>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14:paraId="5ED29EC0">
      <w:pPr>
        <w:pStyle w:val="29"/>
        <w:numPr>
          <w:ilvl w:val="0"/>
          <w:numId w:val="49"/>
        </w:numPr>
        <w:tabs>
          <w:tab w:val="left" w:pos="709"/>
        </w:tabs>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投标人未参加开标的，视同认可开标结果。</w:t>
      </w:r>
    </w:p>
    <w:p w14:paraId="512105AA">
      <w:pPr>
        <w:pStyle w:val="29"/>
        <w:numPr>
          <w:ilvl w:val="0"/>
          <w:numId w:val="21"/>
        </w:numPr>
        <w:spacing w:before="312" w:beforeLines="100" w:line="360" w:lineRule="auto"/>
        <w:ind w:firstLineChars="0"/>
        <w:rPr>
          <w:rFonts w:hint="eastAsia" w:ascii="黑体" w:hAnsi="黑体" w:eastAsia="黑体" w:cs="黑体"/>
          <w:b/>
          <w:color w:val="auto"/>
          <w:highlight w:val="none"/>
        </w:rPr>
      </w:pPr>
      <w:r>
        <w:rPr>
          <w:rFonts w:hint="eastAsia" w:ascii="黑体" w:hAnsi="黑体" w:eastAsia="黑体" w:cs="黑体"/>
          <w:b/>
          <w:color w:val="auto"/>
          <w:highlight w:val="none"/>
        </w:rPr>
        <w:t>评标委员会和评标方法</w:t>
      </w:r>
    </w:p>
    <w:p w14:paraId="7AE32365">
      <w:pPr>
        <w:pStyle w:val="29"/>
        <w:numPr>
          <w:ilvl w:val="0"/>
          <w:numId w:val="50"/>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评标由依照政府采购法律、法规、规章、政策的规定，组建的评标委员会负责。</w:t>
      </w:r>
    </w:p>
    <w:p w14:paraId="76D1D552">
      <w:pPr>
        <w:pStyle w:val="29"/>
        <w:numPr>
          <w:ilvl w:val="0"/>
          <w:numId w:val="50"/>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评标委员会由采购人代表和评审专家组成，成员人数应为</w:t>
      </w:r>
      <w:r>
        <w:rPr>
          <w:rFonts w:hint="eastAsia" w:ascii="黑体" w:hAnsi="黑体" w:eastAsia="黑体" w:cs="黑体"/>
          <w:b/>
          <w:color w:val="auto"/>
          <w:szCs w:val="21"/>
          <w:highlight w:val="none"/>
          <w:u w:val="single"/>
        </w:rPr>
        <w:t>详见投标人须知前附表</w:t>
      </w:r>
      <w:r>
        <w:rPr>
          <w:rFonts w:hint="eastAsia" w:ascii="黑体" w:hAnsi="黑体" w:eastAsia="黑体" w:cs="黑体"/>
          <w:bCs/>
          <w:color w:val="auto"/>
          <w:szCs w:val="21"/>
          <w:highlight w:val="none"/>
        </w:rPr>
        <w:t>，其中评审专家不得少于成员总数的三分之二。</w:t>
      </w:r>
    </w:p>
    <w:p w14:paraId="6AF19FE6">
      <w:pPr>
        <w:pStyle w:val="29"/>
        <w:numPr>
          <w:ilvl w:val="0"/>
          <w:numId w:val="50"/>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评标委员会成员依法从政府采购评审专家库中，通过随机方式抽取。</w:t>
      </w:r>
    </w:p>
    <w:p w14:paraId="52903729">
      <w:pPr>
        <w:pStyle w:val="29"/>
        <w:numPr>
          <w:ilvl w:val="0"/>
          <w:numId w:val="50"/>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评标委员会将按照招标文件确定的评标方法进行评标。评标委员会对投标文件的评审分为符合性检查和商务评审、技术评审、价格评审。</w:t>
      </w:r>
    </w:p>
    <w:p w14:paraId="01A0FC6F">
      <w:pPr>
        <w:pStyle w:val="29"/>
        <w:numPr>
          <w:ilvl w:val="0"/>
          <w:numId w:val="50"/>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本次评标采用</w:t>
      </w:r>
      <w:r>
        <w:rPr>
          <w:rFonts w:hint="eastAsia" w:ascii="黑体" w:hAnsi="黑体" w:eastAsia="黑体" w:cs="黑体"/>
          <w:b/>
          <w:bCs/>
          <w:color w:val="auto"/>
          <w:szCs w:val="21"/>
          <w:highlight w:val="none"/>
          <w:u w:val="single"/>
        </w:rPr>
        <w:t xml:space="preserve"> 详见投标人须知前附表 </w:t>
      </w:r>
      <w:r>
        <w:rPr>
          <w:rFonts w:hint="eastAsia" w:ascii="黑体" w:hAnsi="黑体" w:eastAsia="黑体" w:cs="黑体"/>
          <w:bCs/>
          <w:color w:val="auto"/>
          <w:szCs w:val="21"/>
          <w:highlight w:val="none"/>
        </w:rPr>
        <w:t>中选定的方法，具体见招标文件第五部分“评标方法、步骤、标准”。</w:t>
      </w:r>
    </w:p>
    <w:p w14:paraId="1800EE51">
      <w:pPr>
        <w:pStyle w:val="29"/>
        <w:numPr>
          <w:ilvl w:val="0"/>
          <w:numId w:val="21"/>
        </w:numPr>
        <w:spacing w:before="312" w:beforeLines="100" w:line="360" w:lineRule="auto"/>
        <w:ind w:firstLineChars="0"/>
        <w:rPr>
          <w:rFonts w:hint="eastAsia" w:ascii="黑体" w:hAnsi="黑体" w:eastAsia="黑体" w:cs="黑体"/>
          <w:b/>
          <w:color w:val="auto"/>
          <w:highlight w:val="none"/>
        </w:rPr>
      </w:pPr>
      <w:r>
        <w:rPr>
          <w:rFonts w:hint="eastAsia" w:ascii="黑体" w:hAnsi="黑体" w:eastAsia="黑体" w:cs="黑体"/>
          <w:b/>
          <w:color w:val="auto"/>
          <w:highlight w:val="none"/>
        </w:rPr>
        <w:t>投标文件的资格性与符合性审查</w:t>
      </w:r>
    </w:p>
    <w:p w14:paraId="76C3518C">
      <w:pPr>
        <w:pStyle w:val="29"/>
        <w:numPr>
          <w:ilvl w:val="0"/>
          <w:numId w:val="51"/>
        </w:numPr>
        <w:tabs>
          <w:tab w:val="left" w:pos="426"/>
          <w:tab w:val="left" w:pos="567"/>
        </w:tabs>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 xml:space="preserve"> 资格性审查：</w:t>
      </w:r>
      <w:bookmarkStart w:id="42" w:name="_Hlk90649924"/>
      <w:bookmarkStart w:id="43" w:name="_Hlk79422321"/>
      <w:r>
        <w:rPr>
          <w:rFonts w:hint="eastAsia" w:ascii="黑体" w:hAnsi="黑体" w:eastAsia="黑体" w:cs="黑体"/>
          <w:bCs/>
          <w:color w:val="auto"/>
          <w:szCs w:val="21"/>
          <w:highlight w:val="none"/>
        </w:rPr>
        <w:t>公开招标采购项目开标结束后</w:t>
      </w:r>
      <w:bookmarkEnd w:id="42"/>
      <w:r>
        <w:rPr>
          <w:rFonts w:hint="eastAsia" w:ascii="黑体" w:hAnsi="黑体" w:eastAsia="黑体" w:cs="黑体"/>
          <w:bCs/>
          <w:color w:val="auto"/>
          <w:szCs w:val="21"/>
          <w:highlight w:val="none"/>
        </w:rPr>
        <w:t>，采购人或者采购代理机构应当依法对投标人的资格进行审查</w:t>
      </w:r>
      <w:bookmarkEnd w:id="43"/>
      <w:r>
        <w:rPr>
          <w:rFonts w:hint="eastAsia" w:ascii="黑体" w:hAnsi="黑体" w:eastAsia="黑体" w:cs="黑体"/>
          <w:bCs/>
          <w:color w:val="auto"/>
          <w:szCs w:val="21"/>
          <w:highlight w:val="none"/>
        </w:rPr>
        <w:t>。</w:t>
      </w:r>
    </w:p>
    <w:p w14:paraId="3E1C4F13">
      <w:pPr>
        <w:pStyle w:val="29"/>
        <w:numPr>
          <w:ilvl w:val="0"/>
          <w:numId w:val="51"/>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符合性审查：评标委员会对符合资格的投标人的投标文件进行符合性审查，以确定其是否满足招标文件实质性要求。</w:t>
      </w:r>
    </w:p>
    <w:p w14:paraId="5F125AA7">
      <w:pPr>
        <w:pStyle w:val="29"/>
        <w:numPr>
          <w:ilvl w:val="0"/>
          <w:numId w:val="21"/>
        </w:numPr>
        <w:spacing w:before="312" w:beforeLines="100" w:line="360" w:lineRule="auto"/>
        <w:ind w:firstLineChars="0"/>
        <w:rPr>
          <w:rFonts w:hint="eastAsia" w:ascii="黑体" w:hAnsi="黑体" w:eastAsia="黑体" w:cs="黑体"/>
          <w:b/>
          <w:color w:val="auto"/>
          <w:highlight w:val="none"/>
        </w:rPr>
      </w:pPr>
      <w:r>
        <w:rPr>
          <w:rFonts w:hint="eastAsia" w:ascii="黑体" w:hAnsi="黑体" w:eastAsia="黑体" w:cs="黑体"/>
          <w:b/>
          <w:color w:val="auto"/>
          <w:highlight w:val="none"/>
        </w:rPr>
        <w:t>投标文件的澄清</w:t>
      </w:r>
    </w:p>
    <w:p w14:paraId="5E2C8ED6">
      <w:pPr>
        <w:pStyle w:val="29"/>
        <w:numPr>
          <w:ilvl w:val="0"/>
          <w:numId w:val="52"/>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评标期间，对于投标文件中含义不明确、同类问题表述不一致或者有明显文字和计算错误的内容，评标委员会以书面的形式要求投标人作出必要的澄清、说明或者补正。</w:t>
      </w:r>
    </w:p>
    <w:p w14:paraId="6E707D3C">
      <w:pPr>
        <w:pStyle w:val="29"/>
        <w:numPr>
          <w:ilvl w:val="0"/>
          <w:numId w:val="52"/>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投标人的澄清、说明或者补正采用书面形式，并加盖公章，或者由法定代表人或其授权的代表签字。投标人的澄清、说明或者补正不得超出投标文件的范围或者改变投标文件的实质性内容。</w:t>
      </w:r>
    </w:p>
    <w:p w14:paraId="6C814A4D">
      <w:pPr>
        <w:pStyle w:val="29"/>
        <w:numPr>
          <w:ilvl w:val="0"/>
          <w:numId w:val="52"/>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投标人的澄清文件是其投标文件的组成部分。</w:t>
      </w:r>
    </w:p>
    <w:p w14:paraId="030320D1">
      <w:pPr>
        <w:pStyle w:val="29"/>
        <w:numPr>
          <w:ilvl w:val="0"/>
          <w:numId w:val="21"/>
        </w:numPr>
        <w:spacing w:before="312" w:beforeLines="100" w:line="360" w:lineRule="auto"/>
        <w:ind w:firstLineChars="0"/>
        <w:rPr>
          <w:rFonts w:hint="eastAsia" w:ascii="黑体" w:hAnsi="黑体" w:eastAsia="黑体" w:cs="黑体"/>
          <w:b/>
          <w:color w:val="auto"/>
          <w:highlight w:val="none"/>
        </w:rPr>
      </w:pPr>
      <w:r>
        <w:rPr>
          <w:rFonts w:hint="eastAsia" w:ascii="黑体" w:hAnsi="黑体" w:eastAsia="黑体" w:cs="黑体"/>
          <w:b/>
          <w:color w:val="auto"/>
          <w:highlight w:val="none"/>
        </w:rPr>
        <w:t>定标原则与授标</w:t>
      </w:r>
    </w:p>
    <w:p w14:paraId="2A0E996A">
      <w:pPr>
        <w:pStyle w:val="29"/>
        <w:numPr>
          <w:ilvl w:val="0"/>
          <w:numId w:val="53"/>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评标委员会按照招标文件确定的评标方法、步骤、标准，对投标文件进行评审，提出书面评标报告。</w:t>
      </w:r>
    </w:p>
    <w:p w14:paraId="0D2046CA">
      <w:pPr>
        <w:pStyle w:val="29"/>
        <w:numPr>
          <w:ilvl w:val="0"/>
          <w:numId w:val="53"/>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采购代理机构自评标结束后2个工作日内将评标报告送采购人。采购人应当自收到评标报告之日起5个工作日内在评标报告确定的中标候选人名单中按顺序确定中标人。</w:t>
      </w:r>
    </w:p>
    <w:p w14:paraId="2A485E3E">
      <w:pPr>
        <w:pStyle w:val="29"/>
        <w:numPr>
          <w:ilvl w:val="0"/>
          <w:numId w:val="53"/>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采购人在收到评标报告5个工作日内未按评标报告推荐的中标候选人顺序确定中标人，又不</w:t>
      </w:r>
      <w:r>
        <w:rPr>
          <w:rFonts w:hint="eastAsia" w:ascii="黑体" w:hAnsi="黑体" w:eastAsia="黑体" w:cs="黑体"/>
          <w:bCs/>
          <w:color w:val="auto"/>
          <w:spacing w:val="-4"/>
          <w:szCs w:val="21"/>
          <w:highlight w:val="none"/>
        </w:rPr>
        <w:t>能说明合法理由的，视同按评标报告推荐的顺序确定排名第一的中标候选人为中标人。</w:t>
      </w:r>
    </w:p>
    <w:p w14:paraId="35544678">
      <w:pPr>
        <w:pStyle w:val="29"/>
        <w:widowControl/>
        <w:numPr>
          <w:ilvl w:val="0"/>
          <w:numId w:val="21"/>
        </w:numPr>
        <w:spacing w:line="360" w:lineRule="auto"/>
        <w:ind w:firstLineChars="0"/>
        <w:jc w:val="left"/>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特别说明</w:t>
      </w:r>
    </w:p>
    <w:p w14:paraId="7D202A2E">
      <w:pPr>
        <w:pStyle w:val="29"/>
        <w:widowControl/>
        <w:numPr>
          <w:ilvl w:val="0"/>
          <w:numId w:val="54"/>
        </w:numPr>
        <w:tabs>
          <w:tab w:val="left" w:pos="567"/>
        </w:tabs>
        <w:spacing w:line="360" w:lineRule="auto"/>
        <w:ind w:firstLineChars="0"/>
        <w:jc w:val="left"/>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有下列情形之一的，视为投标人串通投标，其投标无效：</w:t>
      </w:r>
    </w:p>
    <w:p w14:paraId="55FF1694">
      <w:pPr>
        <w:pStyle w:val="29"/>
        <w:widowControl/>
        <w:numPr>
          <w:ilvl w:val="2"/>
          <w:numId w:val="21"/>
        </w:numPr>
        <w:spacing w:line="360" w:lineRule="auto"/>
        <w:ind w:firstLineChars="0"/>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不同投标人的投标文件由同一单位或者个人编制；</w:t>
      </w:r>
    </w:p>
    <w:p w14:paraId="36120CF3">
      <w:pPr>
        <w:pStyle w:val="29"/>
        <w:widowControl/>
        <w:numPr>
          <w:ilvl w:val="2"/>
          <w:numId w:val="21"/>
        </w:numPr>
        <w:spacing w:line="360" w:lineRule="auto"/>
        <w:ind w:firstLineChars="0"/>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不同投标人委托同一单位或者个人办理投标事宜；</w:t>
      </w:r>
    </w:p>
    <w:p w14:paraId="6D87904E">
      <w:pPr>
        <w:pStyle w:val="29"/>
        <w:widowControl/>
        <w:numPr>
          <w:ilvl w:val="2"/>
          <w:numId w:val="21"/>
        </w:numPr>
        <w:spacing w:line="360" w:lineRule="auto"/>
        <w:ind w:firstLineChars="0"/>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不同投标人的投标文件载明的项目管理成员或者联系人员为同一人；</w:t>
      </w:r>
    </w:p>
    <w:p w14:paraId="04B7EBDD">
      <w:pPr>
        <w:pStyle w:val="29"/>
        <w:widowControl/>
        <w:numPr>
          <w:ilvl w:val="2"/>
          <w:numId w:val="21"/>
        </w:numPr>
        <w:spacing w:line="360" w:lineRule="auto"/>
        <w:ind w:firstLineChars="0"/>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不同投标人的投标文件异常一致或者投标报价呈规律性差异；</w:t>
      </w:r>
    </w:p>
    <w:p w14:paraId="1EE02393">
      <w:pPr>
        <w:pStyle w:val="29"/>
        <w:widowControl/>
        <w:numPr>
          <w:ilvl w:val="2"/>
          <w:numId w:val="21"/>
        </w:numPr>
        <w:spacing w:line="360" w:lineRule="auto"/>
        <w:ind w:firstLineChars="0"/>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不同投标人的投标文件相互混装；</w:t>
      </w:r>
    </w:p>
    <w:p w14:paraId="17C19147">
      <w:pPr>
        <w:pStyle w:val="29"/>
        <w:widowControl/>
        <w:numPr>
          <w:ilvl w:val="2"/>
          <w:numId w:val="21"/>
        </w:numPr>
        <w:spacing w:line="360" w:lineRule="auto"/>
        <w:ind w:firstLineChars="0"/>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不同投标人的投标保证金从同一单位或者个人的账户转出。</w:t>
      </w:r>
    </w:p>
    <w:p w14:paraId="77EF0038">
      <w:pPr>
        <w:pStyle w:val="29"/>
        <w:widowControl/>
        <w:numPr>
          <w:ilvl w:val="1"/>
          <w:numId w:val="21"/>
        </w:numPr>
        <w:spacing w:line="360" w:lineRule="auto"/>
        <w:ind w:firstLineChars="0"/>
        <w:jc w:val="left"/>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投标人存在下列情况之一的，投标无效：</w:t>
      </w:r>
    </w:p>
    <w:p w14:paraId="26E863B9">
      <w:pPr>
        <w:pStyle w:val="29"/>
        <w:widowControl/>
        <w:numPr>
          <w:ilvl w:val="2"/>
          <w:numId w:val="21"/>
        </w:numPr>
        <w:spacing w:line="360" w:lineRule="auto"/>
        <w:ind w:firstLineChars="0"/>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未按照招标文件的规定提交投标保证金的；</w:t>
      </w:r>
    </w:p>
    <w:p w14:paraId="3C4681F4">
      <w:pPr>
        <w:pStyle w:val="29"/>
        <w:widowControl/>
        <w:numPr>
          <w:ilvl w:val="2"/>
          <w:numId w:val="21"/>
        </w:numPr>
        <w:spacing w:line="360" w:lineRule="auto"/>
        <w:ind w:firstLineChars="0"/>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投标文件未按招标文件要求签署、盖章的；</w:t>
      </w:r>
    </w:p>
    <w:p w14:paraId="77F44DFF">
      <w:pPr>
        <w:pStyle w:val="29"/>
        <w:widowControl/>
        <w:numPr>
          <w:ilvl w:val="2"/>
          <w:numId w:val="21"/>
        </w:numPr>
        <w:spacing w:line="360" w:lineRule="auto"/>
        <w:ind w:firstLineChars="0"/>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不具备招标文件中规定的资格要求的；</w:t>
      </w:r>
    </w:p>
    <w:p w14:paraId="7261201A">
      <w:pPr>
        <w:pStyle w:val="29"/>
        <w:widowControl/>
        <w:numPr>
          <w:ilvl w:val="2"/>
          <w:numId w:val="21"/>
        </w:numPr>
        <w:spacing w:line="360" w:lineRule="auto"/>
        <w:ind w:firstLineChars="0"/>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报价超过招标文件中规定的预算金额或者最高限价的；</w:t>
      </w:r>
    </w:p>
    <w:p w14:paraId="13197804">
      <w:pPr>
        <w:pStyle w:val="29"/>
        <w:widowControl/>
        <w:numPr>
          <w:ilvl w:val="2"/>
          <w:numId w:val="21"/>
        </w:numPr>
        <w:spacing w:line="360" w:lineRule="auto"/>
        <w:ind w:firstLineChars="0"/>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投标文件含有采购人不能接受的附加条件的；</w:t>
      </w:r>
    </w:p>
    <w:p w14:paraId="531DDA97">
      <w:pPr>
        <w:pStyle w:val="29"/>
        <w:widowControl/>
        <w:numPr>
          <w:ilvl w:val="2"/>
          <w:numId w:val="21"/>
        </w:numPr>
        <w:spacing w:line="360" w:lineRule="auto"/>
        <w:ind w:firstLineChars="0"/>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法律、法规和招标文件规定的其他无效情形。</w:t>
      </w:r>
    </w:p>
    <w:p w14:paraId="3B57A1FB">
      <w:pPr>
        <w:pStyle w:val="29"/>
        <w:widowControl/>
        <w:numPr>
          <w:ilvl w:val="1"/>
          <w:numId w:val="21"/>
        </w:numPr>
        <w:spacing w:line="360" w:lineRule="auto"/>
        <w:ind w:firstLineChars="0"/>
        <w:jc w:val="left"/>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废标</w:t>
      </w:r>
    </w:p>
    <w:p w14:paraId="2BEDECD5">
      <w:pPr>
        <w:pStyle w:val="29"/>
        <w:widowControl/>
        <w:numPr>
          <w:ilvl w:val="2"/>
          <w:numId w:val="21"/>
        </w:numPr>
        <w:spacing w:line="360" w:lineRule="auto"/>
        <w:ind w:firstLineChars="0"/>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在招标采购中，出现下列情形之一的，应予废标。</w:t>
      </w:r>
    </w:p>
    <w:p w14:paraId="61A36844">
      <w:pPr>
        <w:pStyle w:val="29"/>
        <w:widowControl/>
        <w:numPr>
          <w:ilvl w:val="3"/>
          <w:numId w:val="55"/>
        </w:numPr>
        <w:tabs>
          <w:tab w:val="left" w:pos="1134"/>
        </w:tabs>
        <w:spacing w:line="360" w:lineRule="auto"/>
        <w:ind w:left="993" w:hanging="993" w:firstLineChars="0"/>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符合专业条件的供应商或者对招标文件作实质响应的供应商不足三家的；</w:t>
      </w:r>
    </w:p>
    <w:p w14:paraId="54E3DE15">
      <w:pPr>
        <w:pStyle w:val="29"/>
        <w:widowControl/>
        <w:numPr>
          <w:ilvl w:val="3"/>
          <w:numId w:val="55"/>
        </w:numPr>
        <w:tabs>
          <w:tab w:val="left" w:pos="1134"/>
        </w:tabs>
        <w:spacing w:line="360" w:lineRule="auto"/>
        <w:ind w:left="993" w:hanging="993" w:firstLineChars="0"/>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出现影响采购公正的违法、违规行为的；</w:t>
      </w:r>
    </w:p>
    <w:p w14:paraId="44CB9C40">
      <w:pPr>
        <w:pStyle w:val="29"/>
        <w:widowControl/>
        <w:numPr>
          <w:ilvl w:val="3"/>
          <w:numId w:val="55"/>
        </w:numPr>
        <w:tabs>
          <w:tab w:val="left" w:pos="1134"/>
        </w:tabs>
        <w:spacing w:line="360" w:lineRule="auto"/>
        <w:ind w:left="993" w:hanging="993" w:firstLineChars="0"/>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投标人的报价均超过了采购预算，采购人不能支付的；</w:t>
      </w:r>
    </w:p>
    <w:p w14:paraId="52362E2C">
      <w:pPr>
        <w:pStyle w:val="29"/>
        <w:widowControl/>
        <w:numPr>
          <w:ilvl w:val="3"/>
          <w:numId w:val="55"/>
        </w:numPr>
        <w:tabs>
          <w:tab w:val="left" w:pos="1134"/>
        </w:tabs>
        <w:spacing w:line="360" w:lineRule="auto"/>
        <w:ind w:left="993" w:hanging="993" w:firstLineChars="0"/>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因重大变故，采购任务取消的。</w:t>
      </w:r>
    </w:p>
    <w:p w14:paraId="03962F8C">
      <w:pPr>
        <w:pStyle w:val="29"/>
        <w:numPr>
          <w:ilvl w:val="0"/>
          <w:numId w:val="21"/>
        </w:numPr>
        <w:spacing w:before="312" w:beforeLines="100" w:line="360" w:lineRule="auto"/>
        <w:ind w:firstLineChars="0"/>
        <w:rPr>
          <w:rFonts w:hint="eastAsia" w:ascii="黑体" w:hAnsi="黑体" w:eastAsia="黑体" w:cs="黑体"/>
          <w:b/>
          <w:color w:val="auto"/>
          <w:highlight w:val="none"/>
        </w:rPr>
      </w:pPr>
      <w:r>
        <w:rPr>
          <w:rFonts w:hint="eastAsia" w:ascii="黑体" w:hAnsi="黑体" w:eastAsia="黑体" w:cs="黑体"/>
          <w:b/>
          <w:color w:val="auto"/>
          <w:highlight w:val="none"/>
        </w:rPr>
        <w:t>询问、质疑、投诉</w:t>
      </w:r>
    </w:p>
    <w:p w14:paraId="33AAAE01">
      <w:pPr>
        <w:pStyle w:val="29"/>
        <w:numPr>
          <w:ilvl w:val="0"/>
          <w:numId w:val="56"/>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 xml:space="preserve"> 询问</w:t>
      </w:r>
    </w:p>
    <w:p w14:paraId="35E23348">
      <w:pPr>
        <w:pStyle w:val="29"/>
        <w:numPr>
          <w:ilvl w:val="2"/>
          <w:numId w:val="57"/>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供应商对政府采购活动事项有疑问的，可以向采购人或者采购代理机构提出询问，询问可以口头方式提出，也可以书面方式提出。</w:t>
      </w:r>
    </w:p>
    <w:p w14:paraId="41D61F9B">
      <w:pPr>
        <w:pStyle w:val="29"/>
        <w:numPr>
          <w:ilvl w:val="2"/>
          <w:numId w:val="57"/>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如采用书面方式提出询问，供应商为自然人的，询问函应当由本人签字；供应商为法人或者其他组织的，应当由法定代表人、主要负责人或授权代表签字并加盖公章或者盖章，并加盖公章。响应供应商递交询问函时非法定代表人亲自办理的需提供法定代表人授权委托书（应载明授权代表的姓名或者名称、代理事项、具体权限、期限和相关事项）及授权代表身份证复印件。</w:t>
      </w:r>
    </w:p>
    <w:p w14:paraId="4E875DF7">
      <w:pPr>
        <w:pStyle w:val="29"/>
        <w:numPr>
          <w:ilvl w:val="2"/>
          <w:numId w:val="57"/>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采购人或者采购代理机构在三个工作日内对供应商依法提出的询问作出答复。</w:t>
      </w:r>
    </w:p>
    <w:p w14:paraId="3A2CB2B5">
      <w:pPr>
        <w:pStyle w:val="29"/>
        <w:numPr>
          <w:ilvl w:val="0"/>
          <w:numId w:val="56"/>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 xml:space="preserve"> 质疑</w:t>
      </w:r>
    </w:p>
    <w:p w14:paraId="5FD0ABC2">
      <w:pPr>
        <w:pStyle w:val="29"/>
        <w:numPr>
          <w:ilvl w:val="2"/>
          <w:numId w:val="58"/>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color w:val="auto"/>
          <w:kern w:val="0"/>
          <w:szCs w:val="21"/>
          <w:highlight w:val="none"/>
        </w:rPr>
        <w:t>供应商认为采购文件、采购过程、中标或者成交结果使自己的权益受到损害的，可以在知道或者应知其权益受到损害之日起7个工作日内，以书面形式向采购人、采购代理机构提出质疑。</w:t>
      </w:r>
    </w:p>
    <w:p w14:paraId="635A21CB">
      <w:pPr>
        <w:pStyle w:val="29"/>
        <w:numPr>
          <w:ilvl w:val="2"/>
          <w:numId w:val="58"/>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提出质疑的供应商应当是参与所质疑项目采购活动的供应商。</w:t>
      </w:r>
    </w:p>
    <w:p w14:paraId="13CF4D4E">
      <w:pPr>
        <w:pStyle w:val="29"/>
        <w:numPr>
          <w:ilvl w:val="0"/>
          <w:numId w:val="56"/>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 xml:space="preserve"> 提交要求：</w:t>
      </w:r>
    </w:p>
    <w:p w14:paraId="12D553AC">
      <w:pPr>
        <w:pStyle w:val="29"/>
        <w:numPr>
          <w:ilvl w:val="2"/>
          <w:numId w:val="59"/>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以书面形式向采购人或者采购代理机构一次性提出针对同一采购程序环节的质疑。</w:t>
      </w:r>
    </w:p>
    <w:p w14:paraId="1CF7B904">
      <w:pPr>
        <w:pStyle w:val="29"/>
        <w:numPr>
          <w:ilvl w:val="2"/>
          <w:numId w:val="59"/>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pacing w:val="-4"/>
          <w:szCs w:val="21"/>
          <w:highlight w:val="none"/>
        </w:rPr>
        <w:t>以联合体形式参加政府采购活动的，其质疑应当由组成联合体的所有供应商共同提出</w:t>
      </w:r>
      <w:r>
        <w:rPr>
          <w:rFonts w:hint="eastAsia" w:ascii="黑体" w:hAnsi="黑体" w:eastAsia="黑体" w:cs="黑体"/>
          <w:bCs/>
          <w:color w:val="auto"/>
          <w:szCs w:val="21"/>
          <w:highlight w:val="none"/>
        </w:rPr>
        <w:t>。</w:t>
      </w:r>
    </w:p>
    <w:p w14:paraId="66818586">
      <w:pPr>
        <w:pStyle w:val="29"/>
        <w:numPr>
          <w:ilvl w:val="2"/>
          <w:numId w:val="59"/>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质疑函内容：应包括供应商的姓名或者名称、地址、邮编、联系人及联系电话；质疑项目的名称及编号；具体且明确的质疑事项和与质疑事项相关的请求；事实依据、必要的法律依据、提出质疑的日期。供应商为自然人的，质疑函应当由本人签字；供应商为法人或者其他组织的，应当由法定代表人、主要负责人或授权代表签字或者盖章，并加盖公章。响应供应商递交质疑函时非法定代表人亲自办理的需提供法定代表人授权委托书（应载明授权代表的姓名或者名称、代理事项、具体权限、期限和相关事项）及授权代表身份证复印件。</w:t>
      </w:r>
    </w:p>
    <w:p w14:paraId="11EC52EE">
      <w:pPr>
        <w:pStyle w:val="29"/>
        <w:numPr>
          <w:ilvl w:val="2"/>
          <w:numId w:val="59"/>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供应商捏造事实、提供虚假材料或者以非法手段取得证明材料不能作为质疑的证明材料。采购人或者采购代理机构在收到投标人的书面质疑后7个工作日内作出答复，并以书面形式通知质疑投标人和其他有关投标人，但答复内容不涉及商业秘密。质疑投标人须提供相关证明材料，包括但不限于权益受损害的情况说明及受损害的原因、证据内容等，并对质疑内容的真实性承担责任。</w:t>
      </w:r>
    </w:p>
    <w:p w14:paraId="3236217E">
      <w:pPr>
        <w:pStyle w:val="29"/>
        <w:numPr>
          <w:ilvl w:val="2"/>
          <w:numId w:val="59"/>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采购人或采购代理机构接收以书面形式递交的质疑函，接收质疑函的联系人、联系方式和通讯地址：</w:t>
      </w:r>
    </w:p>
    <w:p w14:paraId="61AFBEFB">
      <w:pPr>
        <w:ind w:firstLine="707" w:firstLineChars="337"/>
        <w:rPr>
          <w:rFonts w:hint="eastAsia" w:ascii="黑体" w:hAnsi="黑体" w:eastAsia="黑体" w:cs="黑体"/>
          <w:color w:val="auto"/>
          <w:szCs w:val="21"/>
          <w:highlight w:val="none"/>
        </w:rPr>
      </w:pPr>
      <w:r>
        <w:rPr>
          <w:rFonts w:hint="eastAsia" w:ascii="黑体" w:hAnsi="黑体" w:eastAsia="黑体" w:cs="黑体"/>
          <w:color w:val="auto"/>
          <w:szCs w:val="21"/>
          <w:highlight w:val="none"/>
        </w:rPr>
        <w:t>联系人：</w:t>
      </w:r>
      <w:r>
        <w:rPr>
          <w:rFonts w:hint="eastAsia" w:ascii="黑体" w:hAnsi="黑体" w:eastAsia="黑体" w:cs="黑体"/>
          <w:color w:val="auto"/>
          <w:szCs w:val="21"/>
          <w:highlight w:val="none"/>
          <w:lang w:val="en-US" w:eastAsia="zh-CN"/>
        </w:rPr>
        <w:t>缪俊豪</w:t>
      </w:r>
      <w:r>
        <w:rPr>
          <w:rFonts w:hint="eastAsia" w:ascii="黑体" w:hAnsi="黑体" w:eastAsia="黑体" w:cs="黑体"/>
          <w:color w:val="auto"/>
          <w:szCs w:val="21"/>
          <w:highlight w:val="none"/>
        </w:rPr>
        <w:t xml:space="preserve">       联系电话：（0769）23362836</w:t>
      </w:r>
    </w:p>
    <w:p w14:paraId="2E3E85B7">
      <w:pPr>
        <w:spacing w:line="360" w:lineRule="auto"/>
        <w:ind w:firstLine="707" w:firstLineChars="337"/>
        <w:rPr>
          <w:rFonts w:hint="eastAsia" w:ascii="黑体" w:hAnsi="黑体" w:eastAsia="黑体" w:cs="黑体"/>
          <w:color w:val="auto"/>
          <w:szCs w:val="21"/>
          <w:highlight w:val="none"/>
        </w:rPr>
      </w:pPr>
      <w:r>
        <w:rPr>
          <w:rFonts w:hint="eastAsia" w:ascii="黑体" w:hAnsi="黑体" w:eastAsia="黑体" w:cs="黑体"/>
          <w:color w:val="auto"/>
          <w:szCs w:val="21"/>
          <w:highlight w:val="none"/>
        </w:rPr>
        <w:t>联系地址：</w:t>
      </w:r>
      <w:r>
        <w:rPr>
          <w:rFonts w:hint="eastAsia" w:ascii="黑体" w:hAnsi="黑体" w:eastAsia="黑体" w:cs="黑体"/>
          <w:color w:val="auto"/>
          <w:highlight w:val="none"/>
        </w:rPr>
        <w:t>东莞市东城街道新源路海德琥珀台6栋1703室</w:t>
      </w:r>
    </w:p>
    <w:p w14:paraId="2F9C91DA">
      <w:pPr>
        <w:pStyle w:val="29"/>
        <w:numPr>
          <w:ilvl w:val="0"/>
          <w:numId w:val="56"/>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 xml:space="preserve">  投诉</w:t>
      </w:r>
    </w:p>
    <w:p w14:paraId="24941FE7">
      <w:pPr>
        <w:pStyle w:val="29"/>
        <w:widowControl/>
        <w:numPr>
          <w:ilvl w:val="2"/>
          <w:numId w:val="60"/>
        </w:numPr>
        <w:shd w:val="clear" w:color="auto" w:fill="FFFFFF"/>
        <w:wordWrap w:val="0"/>
        <w:spacing w:line="360" w:lineRule="auto"/>
        <w:ind w:firstLineChars="0"/>
        <w:jc w:val="left"/>
        <w:rPr>
          <w:rFonts w:hint="eastAsia" w:ascii="黑体" w:hAnsi="黑体" w:eastAsia="黑体" w:cs="黑体"/>
          <w:color w:val="auto"/>
          <w:kern w:val="0"/>
          <w:szCs w:val="21"/>
          <w:highlight w:val="none"/>
        </w:rPr>
      </w:pPr>
      <w:r>
        <w:rPr>
          <w:rFonts w:hint="eastAsia" w:ascii="黑体" w:hAnsi="黑体" w:eastAsia="黑体" w:cs="黑体"/>
          <w:color w:val="auto"/>
          <w:kern w:val="0"/>
          <w:szCs w:val="21"/>
          <w:highlight w:val="none"/>
        </w:rPr>
        <w:t>质疑供应商对采购人、采购代理机构的答复不满意，或者采购人、采购代理机构未在规定时间内作出答复的，可以在答复期满后15个工作日内根据《政府采购质疑和投诉办法》(财政部令第94号)第六条规定向</w:t>
      </w:r>
      <w:r>
        <w:rPr>
          <w:rFonts w:hint="eastAsia" w:ascii="黑体" w:hAnsi="黑体" w:eastAsia="黑体" w:cs="黑体"/>
          <w:color w:val="auto"/>
          <w:kern w:val="0"/>
          <w:szCs w:val="21"/>
          <w:highlight w:val="none"/>
          <w:lang w:val="en-US" w:eastAsia="zh-CN"/>
        </w:rPr>
        <w:t>采购人</w:t>
      </w:r>
      <w:r>
        <w:rPr>
          <w:rFonts w:hint="eastAsia" w:ascii="黑体" w:hAnsi="黑体" w:eastAsia="黑体" w:cs="黑体"/>
          <w:color w:val="auto"/>
          <w:kern w:val="0"/>
          <w:szCs w:val="21"/>
          <w:highlight w:val="none"/>
        </w:rPr>
        <w:t>提起投诉。</w:t>
      </w:r>
    </w:p>
    <w:p w14:paraId="6198B43D">
      <w:pPr>
        <w:pStyle w:val="29"/>
        <w:widowControl/>
        <w:numPr>
          <w:ilvl w:val="2"/>
          <w:numId w:val="60"/>
        </w:numPr>
        <w:shd w:val="clear" w:color="auto" w:fill="FFFFFF"/>
        <w:wordWrap w:val="0"/>
        <w:spacing w:line="360" w:lineRule="auto"/>
        <w:ind w:firstLineChars="0"/>
        <w:jc w:val="left"/>
        <w:rPr>
          <w:rFonts w:hint="eastAsia" w:ascii="黑体" w:hAnsi="黑体" w:eastAsia="黑体" w:cs="黑体"/>
          <w:color w:val="auto"/>
          <w:kern w:val="0"/>
          <w:szCs w:val="21"/>
          <w:highlight w:val="none"/>
        </w:rPr>
      </w:pPr>
      <w:r>
        <w:rPr>
          <w:rFonts w:hint="eastAsia" w:ascii="黑体" w:hAnsi="黑体" w:eastAsia="黑体" w:cs="黑体"/>
          <w:color w:val="auto"/>
          <w:kern w:val="0"/>
          <w:szCs w:val="21"/>
          <w:highlight w:val="none"/>
        </w:rPr>
        <w:t>投诉人在全国范围12个月内三次以上投诉查无实据的，由财政部门列入不良行为记录名单。</w:t>
      </w:r>
    </w:p>
    <w:p w14:paraId="3A476167">
      <w:pPr>
        <w:pStyle w:val="29"/>
        <w:widowControl/>
        <w:numPr>
          <w:ilvl w:val="2"/>
          <w:numId w:val="60"/>
        </w:numPr>
        <w:shd w:val="clear" w:color="auto" w:fill="FFFFFF"/>
        <w:wordWrap w:val="0"/>
        <w:spacing w:line="360" w:lineRule="auto"/>
        <w:ind w:firstLineChars="0"/>
        <w:jc w:val="left"/>
        <w:rPr>
          <w:rFonts w:hint="eastAsia" w:ascii="黑体" w:hAnsi="黑体" w:eastAsia="黑体" w:cs="黑体"/>
          <w:color w:val="auto"/>
          <w:kern w:val="0"/>
          <w:szCs w:val="21"/>
          <w:highlight w:val="none"/>
        </w:rPr>
      </w:pPr>
      <w:r>
        <w:rPr>
          <w:rFonts w:hint="eastAsia" w:ascii="黑体" w:hAnsi="黑体" w:eastAsia="黑体" w:cs="黑体"/>
          <w:color w:val="auto"/>
          <w:kern w:val="0"/>
          <w:szCs w:val="21"/>
          <w:highlight w:val="none"/>
        </w:rPr>
        <w:t>投诉人有下列行为之一的，属于虚假、恶意投诉，由财政部门列入不良行为记录名单，禁止其1至3年内参加政府采购活动：（一）捏造事实</w:t>
      </w:r>
      <w:r>
        <w:rPr>
          <w:rFonts w:hint="eastAsia" w:ascii="黑体" w:hAnsi="黑体" w:eastAsia="黑体" w:cs="黑体"/>
          <w:color w:val="auto"/>
          <w:kern w:val="0"/>
          <w:szCs w:val="21"/>
          <w:highlight w:val="none"/>
          <w:lang w:eastAsia="zh-CN"/>
        </w:rPr>
        <w:t>；</w:t>
      </w:r>
      <w:r>
        <w:rPr>
          <w:rFonts w:hint="eastAsia" w:ascii="黑体" w:hAnsi="黑体" w:eastAsia="黑体" w:cs="黑体"/>
          <w:color w:val="auto"/>
          <w:kern w:val="0"/>
          <w:szCs w:val="21"/>
          <w:highlight w:val="none"/>
        </w:rPr>
        <w:t>（二）提供虚假材料</w:t>
      </w:r>
      <w:r>
        <w:rPr>
          <w:rFonts w:hint="eastAsia" w:ascii="黑体" w:hAnsi="黑体" w:eastAsia="黑体" w:cs="黑体"/>
          <w:color w:val="auto"/>
          <w:kern w:val="0"/>
          <w:szCs w:val="21"/>
          <w:highlight w:val="none"/>
          <w:lang w:eastAsia="zh-CN"/>
        </w:rPr>
        <w:t>；</w:t>
      </w:r>
      <w:r>
        <w:rPr>
          <w:rFonts w:hint="eastAsia" w:ascii="黑体" w:hAnsi="黑体" w:eastAsia="黑体" w:cs="黑体"/>
          <w:color w:val="auto"/>
          <w:kern w:val="0"/>
          <w:szCs w:val="21"/>
          <w:highlight w:val="none"/>
        </w:rPr>
        <w:t>（三）以非法手段取得证明材料。证据来源的合法性存在明显疑问，投诉人无法证明其取得方式合法的，视为以非法手段取得证明材料。</w:t>
      </w:r>
    </w:p>
    <w:p w14:paraId="5F706CB4">
      <w:pPr>
        <w:pStyle w:val="29"/>
        <w:widowControl/>
        <w:numPr>
          <w:ilvl w:val="2"/>
          <w:numId w:val="60"/>
        </w:numPr>
        <w:shd w:val="clear" w:color="auto" w:fill="FFFFFF"/>
        <w:wordWrap w:val="0"/>
        <w:spacing w:line="360" w:lineRule="auto"/>
        <w:ind w:firstLineChars="0"/>
        <w:jc w:val="left"/>
        <w:rPr>
          <w:rFonts w:hint="eastAsia" w:ascii="黑体" w:hAnsi="黑体" w:eastAsia="黑体" w:cs="黑体"/>
          <w:color w:val="auto"/>
          <w:spacing w:val="-4"/>
          <w:kern w:val="0"/>
          <w:szCs w:val="21"/>
          <w:highlight w:val="none"/>
        </w:rPr>
      </w:pPr>
      <w:r>
        <w:rPr>
          <w:rFonts w:hint="eastAsia" w:ascii="黑体" w:hAnsi="黑体" w:eastAsia="黑体" w:cs="黑体"/>
          <w:color w:val="auto"/>
          <w:spacing w:val="-4"/>
          <w:kern w:val="0"/>
          <w:szCs w:val="21"/>
          <w:highlight w:val="none"/>
        </w:rPr>
        <w:t>以联合体形式参加政府采购活动的，其投诉应当由组成联合体的所有供应商共同提出。</w:t>
      </w:r>
    </w:p>
    <w:p w14:paraId="77072FBF">
      <w:pPr>
        <w:pStyle w:val="29"/>
        <w:numPr>
          <w:ilvl w:val="0"/>
          <w:numId w:val="21"/>
        </w:numPr>
        <w:spacing w:before="312" w:beforeLines="100" w:line="360" w:lineRule="auto"/>
        <w:ind w:firstLineChars="0"/>
        <w:rPr>
          <w:rFonts w:hint="eastAsia" w:ascii="黑体" w:hAnsi="黑体" w:eastAsia="黑体" w:cs="黑体"/>
          <w:b/>
          <w:color w:val="auto"/>
          <w:highlight w:val="none"/>
        </w:rPr>
      </w:pPr>
      <w:r>
        <w:rPr>
          <w:rFonts w:hint="eastAsia" w:ascii="黑体" w:hAnsi="黑体" w:eastAsia="黑体" w:cs="黑体"/>
          <w:b/>
          <w:color w:val="auto"/>
          <w:highlight w:val="none"/>
        </w:rPr>
        <w:t>中标通知书</w:t>
      </w:r>
    </w:p>
    <w:p w14:paraId="69BFA3FA">
      <w:pPr>
        <w:pStyle w:val="29"/>
        <w:numPr>
          <w:ilvl w:val="0"/>
          <w:numId w:val="61"/>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采购人或者采购代理机构应当自中标人确定之日起2个工作日内在指定媒体公告中标结果和发出中标通知书，公告期为1个工作日。</w:t>
      </w:r>
    </w:p>
    <w:p w14:paraId="780295BE">
      <w:pPr>
        <w:pStyle w:val="29"/>
        <w:numPr>
          <w:ilvl w:val="0"/>
          <w:numId w:val="61"/>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《中标通知书》对中标人和采购人具有同等法律效力。</w:t>
      </w:r>
    </w:p>
    <w:p w14:paraId="163797C2">
      <w:pPr>
        <w:pStyle w:val="29"/>
        <w:numPr>
          <w:ilvl w:val="0"/>
          <w:numId w:val="61"/>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中标通知书发出后，采购人不得违法改变中标结果，中标人无正当理由不得放弃中标。</w:t>
      </w:r>
    </w:p>
    <w:p w14:paraId="6DC59928">
      <w:pPr>
        <w:pStyle w:val="29"/>
        <w:numPr>
          <w:ilvl w:val="0"/>
          <w:numId w:val="61"/>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《中标通知书》将作为授予合同资格的合法依据，是合同的一个组成部分。</w:t>
      </w:r>
    </w:p>
    <w:p w14:paraId="50918FC3">
      <w:pPr>
        <w:pStyle w:val="29"/>
        <w:numPr>
          <w:ilvl w:val="0"/>
          <w:numId w:val="20"/>
        </w:numPr>
        <w:spacing w:before="312" w:beforeLines="100" w:line="360" w:lineRule="auto"/>
        <w:ind w:firstLineChars="0"/>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授予合同</w:t>
      </w:r>
    </w:p>
    <w:p w14:paraId="7B450BF8">
      <w:pPr>
        <w:pStyle w:val="29"/>
        <w:numPr>
          <w:ilvl w:val="0"/>
          <w:numId w:val="21"/>
        </w:numPr>
        <w:spacing w:line="360" w:lineRule="auto"/>
        <w:ind w:firstLineChars="0"/>
        <w:rPr>
          <w:rFonts w:hint="eastAsia" w:ascii="黑体" w:hAnsi="黑体" w:eastAsia="黑体" w:cs="黑体"/>
          <w:b/>
          <w:color w:val="auto"/>
          <w:highlight w:val="none"/>
        </w:rPr>
      </w:pPr>
      <w:r>
        <w:rPr>
          <w:rFonts w:hint="eastAsia" w:ascii="黑体" w:hAnsi="黑体" w:eastAsia="黑体" w:cs="黑体"/>
          <w:b/>
          <w:color w:val="auto"/>
          <w:highlight w:val="none"/>
        </w:rPr>
        <w:t>合同的订立</w:t>
      </w:r>
    </w:p>
    <w:p w14:paraId="40C2D455">
      <w:pPr>
        <w:pStyle w:val="29"/>
        <w:numPr>
          <w:ilvl w:val="0"/>
          <w:numId w:val="62"/>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采购人应当自《中标通知书》发出之日起30日内，按照招标文件和中标人投标文件的约定，与中标人签订书面合同。所签订的合同不得对招标文件确定的事项和中标人投标文件作实质性修改。</w:t>
      </w:r>
    </w:p>
    <w:p w14:paraId="0D58A43D">
      <w:pPr>
        <w:pStyle w:val="29"/>
        <w:numPr>
          <w:ilvl w:val="0"/>
          <w:numId w:val="62"/>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采购人或者采购代理机构不得向中标人提出任何不合理的要求，作为签订合同的条件，不得与中标人私下订立背离合同实质性内容的协议。</w:t>
      </w:r>
    </w:p>
    <w:p w14:paraId="1CA16618">
      <w:pPr>
        <w:pStyle w:val="29"/>
        <w:numPr>
          <w:ilvl w:val="0"/>
          <w:numId w:val="62"/>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中标人拒绝与采购人签订合同的，采购人可以按照评审报告推荐的中标候选人名单排序，确定下一候选人为中标人，也可以重新开展政府采购活动。</w:t>
      </w:r>
    </w:p>
    <w:p w14:paraId="7ED893A2">
      <w:pPr>
        <w:pStyle w:val="29"/>
        <w:numPr>
          <w:ilvl w:val="0"/>
          <w:numId w:val="21"/>
        </w:numPr>
        <w:spacing w:before="312" w:beforeLines="100" w:line="360" w:lineRule="auto"/>
        <w:ind w:firstLineChars="0"/>
        <w:rPr>
          <w:rFonts w:hint="eastAsia" w:ascii="黑体" w:hAnsi="黑体" w:eastAsia="黑体" w:cs="黑体"/>
          <w:b/>
          <w:color w:val="auto"/>
          <w:highlight w:val="none"/>
        </w:rPr>
      </w:pPr>
      <w:r>
        <w:rPr>
          <w:rFonts w:hint="eastAsia" w:ascii="黑体" w:hAnsi="黑体" w:eastAsia="黑体" w:cs="黑体"/>
          <w:b/>
          <w:color w:val="auto"/>
          <w:highlight w:val="none"/>
        </w:rPr>
        <w:t>合同的履行</w:t>
      </w:r>
    </w:p>
    <w:p w14:paraId="55A4B1F3">
      <w:pPr>
        <w:pStyle w:val="29"/>
        <w:numPr>
          <w:ilvl w:val="0"/>
          <w:numId w:val="63"/>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 xml:space="preserve"> 采购人和中标人应当根据合同的约定依法履行合同义务。</w:t>
      </w:r>
    </w:p>
    <w:p w14:paraId="2A4B9A1C">
      <w:pPr>
        <w:pStyle w:val="29"/>
        <w:numPr>
          <w:ilvl w:val="0"/>
          <w:numId w:val="63"/>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政府采购合同订立后，合同各方不得擅自变更、中止或者终止合同。政府采购合同需要变更的，采购人应将有关合同变更内容，以书面形式报相关监管部门备案；因特殊情况需要中止或终止合同的，采购人应将中止或终止合同的理由以及相应措施，以书面形式报同级政府采购监督管理部门备案。</w:t>
      </w:r>
    </w:p>
    <w:p w14:paraId="3163EE0D">
      <w:pPr>
        <w:pStyle w:val="29"/>
        <w:numPr>
          <w:ilvl w:val="0"/>
          <w:numId w:val="63"/>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政府采购合同履行中，采购人需追加与合同标的相同的货物、工程或者服务的，在不改变合同其他条款的前提下，可以与中标人签订补充合同，但所补充合同的采购金额不得超过原合同采购金额的百分之十。签订补充合同的必须按规定备案。</w:t>
      </w:r>
    </w:p>
    <w:p w14:paraId="2D8DCE79">
      <w:pPr>
        <w:pStyle w:val="29"/>
        <w:numPr>
          <w:ilvl w:val="0"/>
          <w:numId w:val="21"/>
        </w:numPr>
        <w:spacing w:before="312" w:beforeLines="100" w:line="360" w:lineRule="auto"/>
        <w:ind w:firstLineChars="0"/>
        <w:rPr>
          <w:rFonts w:hint="eastAsia" w:ascii="黑体" w:hAnsi="黑体" w:eastAsia="黑体" w:cs="黑体"/>
          <w:b/>
          <w:color w:val="auto"/>
          <w:highlight w:val="none"/>
        </w:rPr>
      </w:pPr>
      <w:r>
        <w:rPr>
          <w:rFonts w:hint="eastAsia" w:ascii="黑体" w:hAnsi="黑体" w:eastAsia="黑体" w:cs="黑体"/>
          <w:b/>
          <w:color w:val="auto"/>
          <w:highlight w:val="none"/>
        </w:rPr>
        <w:t>履约担保</w:t>
      </w:r>
    </w:p>
    <w:p w14:paraId="3436B28D">
      <w:pPr>
        <w:pStyle w:val="29"/>
        <w:numPr>
          <w:ilvl w:val="0"/>
          <w:numId w:val="64"/>
        </w:numPr>
        <w:tabs>
          <w:tab w:val="left" w:pos="709"/>
        </w:tabs>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color w:val="auto"/>
          <w:szCs w:val="21"/>
          <w:highlight w:val="none"/>
        </w:rPr>
        <w:t>中标人应按</w:t>
      </w:r>
      <w:r>
        <w:rPr>
          <w:rFonts w:hint="eastAsia" w:ascii="黑体" w:hAnsi="黑体" w:eastAsia="黑体" w:cs="黑体"/>
          <w:b/>
          <w:bCs/>
          <w:color w:val="auto"/>
          <w:szCs w:val="21"/>
          <w:highlight w:val="none"/>
          <w:u w:val="single"/>
        </w:rPr>
        <w:t>投标人须知前附表</w:t>
      </w:r>
      <w:r>
        <w:rPr>
          <w:rFonts w:hint="eastAsia" w:ascii="黑体" w:hAnsi="黑体" w:eastAsia="黑体" w:cs="黑体"/>
          <w:color w:val="auto"/>
          <w:szCs w:val="21"/>
          <w:highlight w:val="none"/>
        </w:rPr>
        <w:t>要求向采购人缴纳履约担保（如采用保函形式，格式详见招标文件第七部分投标文件格式—政府采购履约担保）。履约担保可以采用银行转账或者以专业担保机构、金融机构出具的担保函的形式缴交。履约保函的内容，应符合招标文件、投标响应文件和采购合同的要求。履约保函应在采购合同有效期满后28天内继续有效。</w:t>
      </w:r>
    </w:p>
    <w:p w14:paraId="316CA6B6">
      <w:pPr>
        <w:pStyle w:val="29"/>
        <w:numPr>
          <w:ilvl w:val="0"/>
          <w:numId w:val="64"/>
        </w:numPr>
        <w:tabs>
          <w:tab w:val="left" w:pos="709"/>
        </w:tabs>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在整个项目验收合格后，中标人向采购人提交退回履约保证金的申请，采购人办理履约保证金退还手续，将履约保证金退回原中标人的汇入账户。</w:t>
      </w:r>
    </w:p>
    <w:p w14:paraId="304465A4">
      <w:pPr>
        <w:pStyle w:val="29"/>
        <w:numPr>
          <w:ilvl w:val="0"/>
          <w:numId w:val="21"/>
        </w:numPr>
        <w:spacing w:before="312" w:beforeLines="100" w:line="360" w:lineRule="auto"/>
        <w:ind w:firstLineChars="0"/>
        <w:rPr>
          <w:rFonts w:hint="eastAsia" w:ascii="黑体" w:hAnsi="黑体" w:eastAsia="黑体" w:cs="黑体"/>
          <w:b/>
          <w:color w:val="auto"/>
          <w:highlight w:val="none"/>
        </w:rPr>
      </w:pPr>
      <w:r>
        <w:rPr>
          <w:rFonts w:hint="eastAsia" w:ascii="黑体" w:hAnsi="黑体" w:eastAsia="黑体" w:cs="黑体"/>
          <w:b/>
          <w:color w:val="auto"/>
          <w:highlight w:val="none"/>
        </w:rPr>
        <w:t>发票</w:t>
      </w:r>
    </w:p>
    <w:p w14:paraId="4AFC1008">
      <w:pPr>
        <w:pStyle w:val="29"/>
        <w:numPr>
          <w:ilvl w:val="0"/>
          <w:numId w:val="65"/>
        </w:numPr>
        <w:spacing w:line="360" w:lineRule="auto"/>
        <w:ind w:firstLineChars="0"/>
        <w:rPr>
          <w:rFonts w:hint="eastAsia" w:ascii="黑体" w:hAnsi="黑体" w:eastAsia="黑体" w:cs="黑体"/>
          <w:bCs/>
          <w:color w:val="auto"/>
          <w:spacing w:val="-2"/>
          <w:szCs w:val="21"/>
          <w:highlight w:val="none"/>
        </w:rPr>
      </w:pPr>
      <w:r>
        <w:rPr>
          <w:rFonts w:hint="eastAsia" w:ascii="黑体" w:hAnsi="黑体" w:eastAsia="黑体" w:cs="黑体"/>
          <w:bCs/>
          <w:color w:val="auto"/>
          <w:spacing w:val="-2"/>
          <w:szCs w:val="21"/>
          <w:highlight w:val="none"/>
        </w:rPr>
        <w:t xml:space="preserve"> 中标人与采购人签署合同后，开具发票时，开发票的单位名称必须与中标人的名称一致。</w:t>
      </w:r>
    </w:p>
    <w:p w14:paraId="42FFD960">
      <w:pPr>
        <w:pStyle w:val="29"/>
        <w:numPr>
          <w:ilvl w:val="0"/>
          <w:numId w:val="21"/>
        </w:numPr>
        <w:spacing w:before="312" w:beforeLines="100" w:line="360" w:lineRule="auto"/>
        <w:ind w:firstLineChars="0"/>
        <w:rPr>
          <w:rFonts w:hint="eastAsia" w:ascii="黑体" w:hAnsi="黑体" w:eastAsia="黑体" w:cs="黑体"/>
          <w:b/>
          <w:color w:val="auto"/>
          <w:highlight w:val="none"/>
        </w:rPr>
      </w:pPr>
      <w:bookmarkStart w:id="44" w:name="_Toc357676148"/>
      <w:r>
        <w:rPr>
          <w:rFonts w:hint="eastAsia" w:ascii="黑体" w:hAnsi="黑体" w:eastAsia="黑体" w:cs="黑体"/>
          <w:b/>
          <w:color w:val="auto"/>
          <w:highlight w:val="none"/>
        </w:rPr>
        <w:t>招标代理服务费</w:t>
      </w:r>
      <w:bookmarkEnd w:id="44"/>
    </w:p>
    <w:p w14:paraId="6C4302E0">
      <w:pPr>
        <w:pStyle w:val="29"/>
        <w:numPr>
          <w:ilvl w:val="0"/>
          <w:numId w:val="66"/>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中标人应在领取《中标通知书》原件时向采购代理机构一次性支付招标代理服务费(</w:t>
      </w:r>
      <w:r>
        <w:rPr>
          <w:rFonts w:hint="eastAsia" w:ascii="黑体" w:hAnsi="黑体" w:eastAsia="黑体" w:cs="黑体"/>
          <w:color w:val="auto"/>
          <w:sz w:val="21"/>
          <w:szCs w:val="21"/>
          <w:highlight w:val="none"/>
        </w:rPr>
        <w:t>中标服务费根据国家计委[计价格[2002]1980号]文和国家发改委[发改价格[2011]534号]文及相关规定的收费标准</w:t>
      </w:r>
      <w:r>
        <w:rPr>
          <w:rFonts w:hint="eastAsia" w:ascii="黑体" w:hAnsi="黑体" w:eastAsia="黑体" w:cs="黑体"/>
          <w:color w:val="auto"/>
          <w:sz w:val="21"/>
          <w:szCs w:val="21"/>
          <w:highlight w:val="none"/>
          <w:lang w:val="en-US" w:eastAsia="zh-CN"/>
        </w:rPr>
        <w:t>的80</w:t>
      </w:r>
      <w:r>
        <w:rPr>
          <w:rFonts w:hint="eastAsia" w:ascii="黑体" w:hAnsi="黑体" w:eastAsia="黑体" w:cs="黑体"/>
          <w:color w:val="auto"/>
          <w:sz w:val="21"/>
          <w:szCs w:val="21"/>
          <w:highlight w:val="none"/>
        </w:rPr>
        <w:t>%收取，按差额定率累进法计算，以中标通知书中确定的中标总金额（或预算金额）作为收费的计算依据，经计算中标服务费不足6000元的按6000元收取。</w:t>
      </w:r>
      <w:r>
        <w:rPr>
          <w:rFonts w:hint="eastAsia" w:ascii="黑体" w:hAnsi="黑体" w:eastAsia="黑体" w:cs="黑体"/>
          <w:bCs/>
          <w:color w:val="auto"/>
          <w:szCs w:val="21"/>
          <w:highlight w:val="none"/>
        </w:rPr>
        <w:t>)。</w:t>
      </w:r>
    </w:p>
    <w:p w14:paraId="5AA4AA34">
      <w:pPr>
        <w:pStyle w:val="29"/>
        <w:numPr>
          <w:ilvl w:val="0"/>
          <w:numId w:val="66"/>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招标代理服务收费标准：</w:t>
      </w:r>
    </w:p>
    <w:tbl>
      <w:tblPr>
        <w:tblStyle w:val="19"/>
        <w:tblW w:w="5000" w:type="pct"/>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2445"/>
        <w:gridCol w:w="1457"/>
        <w:gridCol w:w="2332"/>
        <w:gridCol w:w="2533"/>
      </w:tblGrid>
      <w:tr w14:paraId="183CE4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874" w:hRule="atLeast"/>
          <w:jc w:val="center"/>
        </w:trPr>
        <w:tc>
          <w:tcPr>
            <w:tcW w:w="1394" w:type="pct"/>
            <w:tcBorders>
              <w:tl2br w:val="single" w:color="000000" w:sz="8" w:space="0"/>
            </w:tcBorders>
            <w:shd w:val="clear" w:color="auto" w:fill="auto"/>
          </w:tcPr>
          <w:p w14:paraId="7A228406">
            <w:pPr>
              <w:rPr>
                <w:rFonts w:hint="eastAsia" w:ascii="黑体" w:hAnsi="黑体" w:eastAsia="黑体" w:cs="黑体"/>
                <w:color w:val="auto"/>
                <w:szCs w:val="21"/>
                <w:highlight w:val="none"/>
              </w:rPr>
            </w:pPr>
            <w:r>
              <w:rPr>
                <w:rFonts w:hint="eastAsia" w:ascii="黑体" w:hAnsi="黑体" w:eastAsia="黑体" w:cs="黑体"/>
                <w:color w:val="auto"/>
                <w:szCs w:val="21"/>
                <w:highlight w:val="none"/>
              </w:rPr>
              <w:t xml:space="preserve">                费率</w:t>
            </w:r>
          </w:p>
          <w:p w14:paraId="192FD30B">
            <w:pPr>
              <w:rPr>
                <w:rFonts w:hint="eastAsia" w:ascii="黑体" w:hAnsi="黑体" w:eastAsia="黑体" w:cs="黑体"/>
                <w:color w:val="auto"/>
                <w:szCs w:val="21"/>
                <w:highlight w:val="none"/>
              </w:rPr>
            </w:pPr>
            <w:r>
              <w:rPr>
                <w:rFonts w:hint="eastAsia" w:ascii="黑体" w:hAnsi="黑体" w:eastAsia="黑体" w:cs="黑体"/>
                <w:color w:val="auto"/>
                <w:szCs w:val="21"/>
                <w:highlight w:val="none"/>
              </w:rPr>
              <w:t>中标金额</w:t>
            </w:r>
          </w:p>
        </w:tc>
        <w:tc>
          <w:tcPr>
            <w:tcW w:w="831" w:type="pct"/>
            <w:shd w:val="clear" w:color="auto" w:fill="auto"/>
            <w:vAlign w:val="center"/>
          </w:tcPr>
          <w:p w14:paraId="5AC00005">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货物招标</w:t>
            </w:r>
          </w:p>
        </w:tc>
        <w:tc>
          <w:tcPr>
            <w:tcW w:w="1330" w:type="pct"/>
            <w:shd w:val="clear" w:color="auto" w:fill="auto"/>
            <w:vAlign w:val="center"/>
          </w:tcPr>
          <w:p w14:paraId="12CDB468">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服务招标</w:t>
            </w:r>
          </w:p>
        </w:tc>
        <w:tc>
          <w:tcPr>
            <w:tcW w:w="1446" w:type="pct"/>
            <w:shd w:val="clear" w:color="auto" w:fill="auto"/>
            <w:vAlign w:val="center"/>
          </w:tcPr>
          <w:p w14:paraId="788EC588">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工程招标</w:t>
            </w:r>
          </w:p>
        </w:tc>
      </w:tr>
      <w:tr w14:paraId="29E348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30" w:hRule="atLeast"/>
          <w:jc w:val="center"/>
        </w:trPr>
        <w:tc>
          <w:tcPr>
            <w:tcW w:w="1394" w:type="pct"/>
            <w:vAlign w:val="center"/>
          </w:tcPr>
          <w:p w14:paraId="7320546B">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100万元以下</w:t>
            </w:r>
          </w:p>
        </w:tc>
        <w:tc>
          <w:tcPr>
            <w:tcW w:w="831" w:type="pct"/>
            <w:vAlign w:val="center"/>
          </w:tcPr>
          <w:p w14:paraId="3A536F54">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1.5%</w:t>
            </w:r>
          </w:p>
        </w:tc>
        <w:tc>
          <w:tcPr>
            <w:tcW w:w="1330" w:type="pct"/>
            <w:vAlign w:val="center"/>
          </w:tcPr>
          <w:p w14:paraId="2DE2B711">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1.5%</w:t>
            </w:r>
          </w:p>
        </w:tc>
        <w:tc>
          <w:tcPr>
            <w:tcW w:w="1446" w:type="pct"/>
            <w:vAlign w:val="center"/>
          </w:tcPr>
          <w:p w14:paraId="6D95E0F0">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1.0%</w:t>
            </w:r>
          </w:p>
        </w:tc>
      </w:tr>
      <w:tr w14:paraId="48E958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8" w:hRule="atLeast"/>
          <w:jc w:val="center"/>
        </w:trPr>
        <w:tc>
          <w:tcPr>
            <w:tcW w:w="1394" w:type="pct"/>
            <w:vAlign w:val="center"/>
          </w:tcPr>
          <w:p w14:paraId="0F57C334">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100-500万元</w:t>
            </w:r>
          </w:p>
        </w:tc>
        <w:tc>
          <w:tcPr>
            <w:tcW w:w="831" w:type="pct"/>
            <w:vAlign w:val="center"/>
          </w:tcPr>
          <w:p w14:paraId="34E85059">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1.1%</w:t>
            </w:r>
          </w:p>
        </w:tc>
        <w:tc>
          <w:tcPr>
            <w:tcW w:w="1330" w:type="pct"/>
            <w:vAlign w:val="center"/>
          </w:tcPr>
          <w:p w14:paraId="4F5F317C">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0.8%</w:t>
            </w:r>
          </w:p>
        </w:tc>
        <w:tc>
          <w:tcPr>
            <w:tcW w:w="1446" w:type="pct"/>
            <w:vAlign w:val="center"/>
          </w:tcPr>
          <w:p w14:paraId="11FA4302">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0.7%</w:t>
            </w:r>
          </w:p>
        </w:tc>
      </w:tr>
      <w:tr w14:paraId="6B8DA0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1" w:hRule="atLeast"/>
          <w:jc w:val="center"/>
        </w:trPr>
        <w:tc>
          <w:tcPr>
            <w:tcW w:w="1394" w:type="pct"/>
            <w:vAlign w:val="center"/>
          </w:tcPr>
          <w:p w14:paraId="3B0274B8">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500-1000万元</w:t>
            </w:r>
          </w:p>
        </w:tc>
        <w:tc>
          <w:tcPr>
            <w:tcW w:w="831" w:type="pct"/>
            <w:vAlign w:val="center"/>
          </w:tcPr>
          <w:p w14:paraId="6844824B">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0.8%</w:t>
            </w:r>
          </w:p>
        </w:tc>
        <w:tc>
          <w:tcPr>
            <w:tcW w:w="1330" w:type="pct"/>
            <w:vAlign w:val="center"/>
          </w:tcPr>
          <w:p w14:paraId="27477414">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0.45%</w:t>
            </w:r>
          </w:p>
        </w:tc>
        <w:tc>
          <w:tcPr>
            <w:tcW w:w="1446" w:type="pct"/>
            <w:vAlign w:val="center"/>
          </w:tcPr>
          <w:p w14:paraId="7B3CEE44">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0.55%</w:t>
            </w:r>
          </w:p>
        </w:tc>
      </w:tr>
      <w:tr w14:paraId="16B461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7" w:hRule="atLeast"/>
          <w:jc w:val="center"/>
        </w:trPr>
        <w:tc>
          <w:tcPr>
            <w:tcW w:w="1394" w:type="pct"/>
            <w:vAlign w:val="center"/>
          </w:tcPr>
          <w:p w14:paraId="33434FB9">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1000-5000万元</w:t>
            </w:r>
          </w:p>
        </w:tc>
        <w:tc>
          <w:tcPr>
            <w:tcW w:w="831" w:type="pct"/>
            <w:vAlign w:val="center"/>
          </w:tcPr>
          <w:p w14:paraId="38563D0E">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 xml:space="preserve">0.5%                </w:t>
            </w:r>
          </w:p>
        </w:tc>
        <w:tc>
          <w:tcPr>
            <w:tcW w:w="1330" w:type="pct"/>
            <w:vAlign w:val="center"/>
          </w:tcPr>
          <w:p w14:paraId="5F711B8C">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0.25%</w:t>
            </w:r>
          </w:p>
        </w:tc>
        <w:tc>
          <w:tcPr>
            <w:tcW w:w="1446" w:type="pct"/>
            <w:vAlign w:val="center"/>
          </w:tcPr>
          <w:p w14:paraId="113AC56B">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0.35%</w:t>
            </w:r>
          </w:p>
        </w:tc>
      </w:tr>
      <w:tr w14:paraId="0A073A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98" w:hRule="atLeast"/>
          <w:jc w:val="center"/>
        </w:trPr>
        <w:tc>
          <w:tcPr>
            <w:tcW w:w="1394" w:type="pct"/>
            <w:vAlign w:val="center"/>
          </w:tcPr>
          <w:p w14:paraId="210D5E38">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5000万元-1亿元</w:t>
            </w:r>
          </w:p>
        </w:tc>
        <w:tc>
          <w:tcPr>
            <w:tcW w:w="831" w:type="pct"/>
            <w:vAlign w:val="center"/>
          </w:tcPr>
          <w:p w14:paraId="18E44158">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 xml:space="preserve">0.25%                 </w:t>
            </w:r>
          </w:p>
        </w:tc>
        <w:tc>
          <w:tcPr>
            <w:tcW w:w="1330" w:type="pct"/>
            <w:vAlign w:val="center"/>
          </w:tcPr>
          <w:p w14:paraId="07AB8CE3">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0.1%</w:t>
            </w:r>
          </w:p>
        </w:tc>
        <w:tc>
          <w:tcPr>
            <w:tcW w:w="1446" w:type="pct"/>
            <w:vAlign w:val="center"/>
          </w:tcPr>
          <w:p w14:paraId="5B48919E">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0.2%</w:t>
            </w:r>
          </w:p>
        </w:tc>
      </w:tr>
      <w:tr w14:paraId="0ECF05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4" w:hRule="atLeast"/>
          <w:jc w:val="center"/>
        </w:trPr>
        <w:tc>
          <w:tcPr>
            <w:tcW w:w="1394" w:type="pct"/>
            <w:vAlign w:val="center"/>
          </w:tcPr>
          <w:p w14:paraId="5251CF7C">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1-5亿元</w:t>
            </w:r>
          </w:p>
        </w:tc>
        <w:tc>
          <w:tcPr>
            <w:tcW w:w="831" w:type="pct"/>
            <w:vAlign w:val="center"/>
          </w:tcPr>
          <w:p w14:paraId="2791B106">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0.05%</w:t>
            </w:r>
          </w:p>
        </w:tc>
        <w:tc>
          <w:tcPr>
            <w:tcW w:w="1330" w:type="pct"/>
            <w:vAlign w:val="center"/>
          </w:tcPr>
          <w:p w14:paraId="1B40F904">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0.05%</w:t>
            </w:r>
          </w:p>
        </w:tc>
        <w:tc>
          <w:tcPr>
            <w:tcW w:w="1446" w:type="pct"/>
            <w:vAlign w:val="center"/>
          </w:tcPr>
          <w:p w14:paraId="269DCD05">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0.05%</w:t>
            </w:r>
          </w:p>
        </w:tc>
      </w:tr>
      <w:tr w14:paraId="2F716F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11" w:hRule="atLeast"/>
          <w:jc w:val="center"/>
        </w:trPr>
        <w:tc>
          <w:tcPr>
            <w:tcW w:w="1394" w:type="pct"/>
            <w:vAlign w:val="center"/>
          </w:tcPr>
          <w:p w14:paraId="3725BE8F">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5-10亿元</w:t>
            </w:r>
          </w:p>
        </w:tc>
        <w:tc>
          <w:tcPr>
            <w:tcW w:w="831" w:type="pct"/>
            <w:vAlign w:val="center"/>
          </w:tcPr>
          <w:p w14:paraId="3E0C5342">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0.035%</w:t>
            </w:r>
          </w:p>
        </w:tc>
        <w:tc>
          <w:tcPr>
            <w:tcW w:w="1330" w:type="pct"/>
            <w:vAlign w:val="center"/>
          </w:tcPr>
          <w:p w14:paraId="79E2E69C">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0.035%</w:t>
            </w:r>
          </w:p>
        </w:tc>
        <w:tc>
          <w:tcPr>
            <w:tcW w:w="1446" w:type="pct"/>
            <w:vAlign w:val="center"/>
          </w:tcPr>
          <w:p w14:paraId="10B5F47F">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0.035%</w:t>
            </w:r>
          </w:p>
        </w:tc>
      </w:tr>
      <w:tr w14:paraId="59EE44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3" w:hRule="atLeast"/>
          <w:jc w:val="center"/>
        </w:trPr>
        <w:tc>
          <w:tcPr>
            <w:tcW w:w="1394" w:type="pct"/>
            <w:vAlign w:val="center"/>
          </w:tcPr>
          <w:p w14:paraId="2DCF404B">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10-50亿元</w:t>
            </w:r>
          </w:p>
        </w:tc>
        <w:tc>
          <w:tcPr>
            <w:tcW w:w="831" w:type="pct"/>
            <w:vAlign w:val="center"/>
          </w:tcPr>
          <w:p w14:paraId="02E238F8">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0.008%</w:t>
            </w:r>
          </w:p>
        </w:tc>
        <w:tc>
          <w:tcPr>
            <w:tcW w:w="1330" w:type="pct"/>
            <w:vAlign w:val="center"/>
          </w:tcPr>
          <w:p w14:paraId="3BB02CA7">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0.008%</w:t>
            </w:r>
          </w:p>
        </w:tc>
        <w:tc>
          <w:tcPr>
            <w:tcW w:w="1446" w:type="pct"/>
            <w:vAlign w:val="center"/>
          </w:tcPr>
          <w:p w14:paraId="70ADE31A">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0.008%</w:t>
            </w:r>
          </w:p>
        </w:tc>
      </w:tr>
      <w:tr w14:paraId="3FE652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8" w:hRule="atLeast"/>
          <w:jc w:val="center"/>
        </w:trPr>
        <w:tc>
          <w:tcPr>
            <w:tcW w:w="1394" w:type="pct"/>
            <w:vAlign w:val="center"/>
          </w:tcPr>
          <w:p w14:paraId="24C787B2">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50-100亿元</w:t>
            </w:r>
          </w:p>
        </w:tc>
        <w:tc>
          <w:tcPr>
            <w:tcW w:w="831" w:type="pct"/>
            <w:vAlign w:val="center"/>
          </w:tcPr>
          <w:p w14:paraId="15AD884A">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0.006%</w:t>
            </w:r>
          </w:p>
        </w:tc>
        <w:tc>
          <w:tcPr>
            <w:tcW w:w="1330" w:type="pct"/>
            <w:vAlign w:val="center"/>
          </w:tcPr>
          <w:p w14:paraId="3D524371">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0.006%</w:t>
            </w:r>
          </w:p>
        </w:tc>
        <w:tc>
          <w:tcPr>
            <w:tcW w:w="1446" w:type="pct"/>
            <w:vAlign w:val="center"/>
          </w:tcPr>
          <w:p w14:paraId="17F2279C">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0.006%</w:t>
            </w:r>
          </w:p>
        </w:tc>
      </w:tr>
      <w:tr w14:paraId="06A12D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05" w:hRule="atLeast"/>
          <w:jc w:val="center"/>
        </w:trPr>
        <w:tc>
          <w:tcPr>
            <w:tcW w:w="1394" w:type="pct"/>
            <w:vAlign w:val="center"/>
          </w:tcPr>
          <w:p w14:paraId="01EB85A2">
            <w:pPr>
              <w:jc w:val="center"/>
              <w:rPr>
                <w:rFonts w:hint="eastAsia" w:ascii="黑体" w:hAnsi="黑体" w:eastAsia="黑体" w:cs="黑体"/>
                <w:color w:val="auto"/>
                <w:highlight w:val="none"/>
              </w:rPr>
            </w:pPr>
            <w:r>
              <w:rPr>
                <w:rFonts w:hint="eastAsia" w:ascii="黑体" w:hAnsi="黑体" w:eastAsia="黑体" w:cs="黑体"/>
                <w:color w:val="auto"/>
                <w:highlight w:val="none"/>
              </w:rPr>
              <w:t>100亿以上</w:t>
            </w:r>
          </w:p>
        </w:tc>
        <w:tc>
          <w:tcPr>
            <w:tcW w:w="831" w:type="pct"/>
            <w:vAlign w:val="center"/>
          </w:tcPr>
          <w:p w14:paraId="43723FF0">
            <w:pPr>
              <w:jc w:val="center"/>
              <w:rPr>
                <w:rFonts w:hint="eastAsia" w:ascii="黑体" w:hAnsi="黑体" w:eastAsia="黑体" w:cs="黑体"/>
                <w:color w:val="auto"/>
                <w:highlight w:val="none"/>
              </w:rPr>
            </w:pPr>
            <w:r>
              <w:rPr>
                <w:rFonts w:hint="eastAsia" w:ascii="黑体" w:hAnsi="黑体" w:eastAsia="黑体" w:cs="黑体"/>
                <w:color w:val="auto"/>
                <w:highlight w:val="none"/>
              </w:rPr>
              <w:t>0.004%</w:t>
            </w:r>
          </w:p>
        </w:tc>
        <w:tc>
          <w:tcPr>
            <w:tcW w:w="1330" w:type="pct"/>
            <w:vAlign w:val="center"/>
          </w:tcPr>
          <w:p w14:paraId="110BBADA">
            <w:pPr>
              <w:jc w:val="center"/>
              <w:rPr>
                <w:rFonts w:hint="eastAsia" w:ascii="黑体" w:hAnsi="黑体" w:eastAsia="黑体" w:cs="黑体"/>
                <w:color w:val="auto"/>
                <w:highlight w:val="none"/>
              </w:rPr>
            </w:pPr>
            <w:r>
              <w:rPr>
                <w:rFonts w:hint="eastAsia" w:ascii="黑体" w:hAnsi="黑体" w:eastAsia="黑体" w:cs="黑体"/>
                <w:color w:val="auto"/>
                <w:highlight w:val="none"/>
              </w:rPr>
              <w:t>0.004%</w:t>
            </w:r>
          </w:p>
        </w:tc>
        <w:tc>
          <w:tcPr>
            <w:tcW w:w="1446" w:type="pct"/>
            <w:vAlign w:val="center"/>
          </w:tcPr>
          <w:p w14:paraId="0A0BED74">
            <w:pPr>
              <w:jc w:val="center"/>
              <w:rPr>
                <w:rFonts w:hint="eastAsia" w:ascii="黑体" w:hAnsi="黑体" w:eastAsia="黑体" w:cs="黑体"/>
                <w:color w:val="auto"/>
                <w:highlight w:val="none"/>
              </w:rPr>
            </w:pPr>
            <w:r>
              <w:rPr>
                <w:rFonts w:hint="eastAsia" w:ascii="黑体" w:hAnsi="黑体" w:eastAsia="黑体" w:cs="黑体"/>
                <w:color w:val="auto"/>
                <w:highlight w:val="none"/>
              </w:rPr>
              <w:t>0.004%</w:t>
            </w:r>
          </w:p>
        </w:tc>
      </w:tr>
    </w:tbl>
    <w:p w14:paraId="7063B69F">
      <w:pPr>
        <w:pStyle w:val="29"/>
        <w:numPr>
          <w:ilvl w:val="0"/>
          <w:numId w:val="66"/>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招标代理服务费按差额定率累进法计算。</w:t>
      </w:r>
    </w:p>
    <w:p w14:paraId="3C61D63E">
      <w:pPr>
        <w:pStyle w:val="29"/>
        <w:numPr>
          <w:ilvl w:val="0"/>
          <w:numId w:val="66"/>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招标代理服务费币种为人民币。</w:t>
      </w:r>
    </w:p>
    <w:p w14:paraId="1064D255">
      <w:pPr>
        <w:pStyle w:val="29"/>
        <w:numPr>
          <w:ilvl w:val="0"/>
          <w:numId w:val="66"/>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招标服务费只收现金、银行转账或电汇。</w:t>
      </w:r>
    </w:p>
    <w:p w14:paraId="06E5B723">
      <w:pPr>
        <w:pStyle w:val="29"/>
        <w:numPr>
          <w:ilvl w:val="0"/>
          <w:numId w:val="66"/>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招标代理服务费收取账户：</w:t>
      </w:r>
    </w:p>
    <w:p w14:paraId="35AF6C4B">
      <w:pPr>
        <w:pStyle w:val="29"/>
        <w:spacing w:line="360" w:lineRule="auto"/>
        <w:ind w:firstLine="567" w:firstLineChars="27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收款单位名称：广东有德招标采购有限公司东莞分公司</w:t>
      </w:r>
    </w:p>
    <w:p w14:paraId="25DA4407">
      <w:pPr>
        <w:pStyle w:val="29"/>
        <w:spacing w:line="360" w:lineRule="auto"/>
        <w:ind w:firstLine="567" w:firstLineChars="27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开户银行：中国建设银行股份有限公司东莞南城支行</w:t>
      </w:r>
    </w:p>
    <w:p w14:paraId="41707EA9">
      <w:pPr>
        <w:pStyle w:val="29"/>
        <w:spacing w:line="360" w:lineRule="auto"/>
        <w:ind w:firstLine="567" w:firstLineChars="27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收款账号：44001776040053011261</w:t>
      </w:r>
    </w:p>
    <w:p w14:paraId="13B7E321">
      <w:pPr>
        <w:pStyle w:val="29"/>
        <w:numPr>
          <w:ilvl w:val="0"/>
          <w:numId w:val="21"/>
        </w:numPr>
        <w:spacing w:before="312" w:beforeLines="100" w:line="360" w:lineRule="auto"/>
        <w:ind w:firstLineChars="0"/>
        <w:rPr>
          <w:rFonts w:hint="eastAsia" w:ascii="黑体" w:hAnsi="黑体" w:eastAsia="黑体" w:cs="黑体"/>
          <w:b/>
          <w:color w:val="auto"/>
          <w:highlight w:val="none"/>
        </w:rPr>
      </w:pPr>
      <w:r>
        <w:rPr>
          <w:rFonts w:hint="eastAsia" w:ascii="黑体" w:hAnsi="黑体" w:eastAsia="黑体" w:cs="黑体"/>
          <w:b/>
          <w:color w:val="auto"/>
          <w:highlight w:val="none"/>
        </w:rPr>
        <w:t>招标文件符号说明</w:t>
      </w:r>
    </w:p>
    <w:p w14:paraId="10911247">
      <w:pPr>
        <w:pStyle w:val="29"/>
        <w:numPr>
          <w:ilvl w:val="0"/>
          <w:numId w:val="67"/>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招标文件中，打“★”号条款为实质性条款，若有任何一条负偏离或不满足则导致投标无效。打“▲”号条款为重要技术参数，若有部分“▲”条款未响应或不满足，将根据评审要求影响其得分，但不作为无效投标条款。打“◆”号条款为核心产品。</w:t>
      </w:r>
    </w:p>
    <w:p w14:paraId="2876E47E">
      <w:pPr>
        <w:pageBreakBefore/>
        <w:rPr>
          <w:rFonts w:hint="eastAsia" w:ascii="黑体" w:hAnsi="黑体" w:eastAsia="黑体" w:cs="黑体"/>
          <w:color w:val="auto"/>
          <w:highlight w:val="none"/>
        </w:rPr>
      </w:pPr>
      <w:bookmarkStart w:id="45" w:name="_Toc515040753"/>
      <w:bookmarkStart w:id="46" w:name="_Toc515363625"/>
      <w:r>
        <w:rPr>
          <w:rFonts w:hint="eastAsia" w:ascii="黑体" w:hAnsi="黑体" w:eastAsia="黑体" w:cs="黑体"/>
          <w:color w:val="auto"/>
          <w:highlight w:val="none"/>
        </w:rPr>
        <w:t>附件1  询问函格式</w:t>
      </w:r>
      <w:bookmarkEnd w:id="45"/>
      <w:bookmarkEnd w:id="46"/>
    </w:p>
    <w:p w14:paraId="7428802D">
      <w:pPr>
        <w:spacing w:before="312" w:beforeLines="100" w:after="312" w:afterLines="100"/>
        <w:jc w:val="center"/>
        <w:rPr>
          <w:rFonts w:hint="eastAsia" w:ascii="黑体" w:hAnsi="黑体" w:eastAsia="黑体" w:cs="黑体"/>
          <w:b/>
          <w:bCs/>
          <w:color w:val="auto"/>
          <w:spacing w:val="20"/>
          <w:sz w:val="28"/>
          <w:szCs w:val="28"/>
          <w:highlight w:val="none"/>
        </w:rPr>
      </w:pPr>
      <w:r>
        <w:rPr>
          <w:rFonts w:hint="eastAsia" w:ascii="黑体" w:hAnsi="黑体" w:eastAsia="黑体" w:cs="黑体"/>
          <w:b/>
          <w:bCs/>
          <w:color w:val="auto"/>
          <w:spacing w:val="20"/>
          <w:sz w:val="28"/>
          <w:szCs w:val="28"/>
          <w:highlight w:val="none"/>
        </w:rPr>
        <w:t>询问函</w:t>
      </w:r>
    </w:p>
    <w:p w14:paraId="50CA2659">
      <w:pPr>
        <w:widowControl/>
        <w:adjustRightInd w:val="0"/>
        <w:spacing w:after="156" w:afterLines="50"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u w:val="single"/>
        </w:rPr>
        <w:t>广东有德招标采购有限公司</w:t>
      </w:r>
      <w:r>
        <w:rPr>
          <w:rFonts w:hint="eastAsia" w:ascii="黑体" w:hAnsi="黑体" w:eastAsia="黑体" w:cs="黑体"/>
          <w:color w:val="auto"/>
          <w:szCs w:val="21"/>
          <w:highlight w:val="none"/>
        </w:rPr>
        <w:t>：</w:t>
      </w:r>
    </w:p>
    <w:p w14:paraId="762E02AA">
      <w:pPr>
        <w:widowControl/>
        <w:tabs>
          <w:tab w:val="left" w:pos="6300"/>
        </w:tabs>
        <w:adjustRightInd w:val="0"/>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我单位已获取招标文件并准备参与</w:t>
      </w:r>
      <w:r>
        <w:rPr>
          <w:rFonts w:hint="eastAsia" w:ascii="黑体" w:hAnsi="黑体" w:eastAsia="黑体" w:cs="黑体"/>
          <w:i/>
          <w:color w:val="auto"/>
          <w:szCs w:val="21"/>
          <w:highlight w:val="none"/>
          <w:u w:val="single"/>
        </w:rPr>
        <w:t xml:space="preserve">           </w:t>
      </w:r>
      <w:r>
        <w:rPr>
          <w:rFonts w:hint="eastAsia" w:ascii="黑体" w:hAnsi="黑体" w:eastAsia="黑体" w:cs="黑体"/>
          <w:color w:val="auto"/>
          <w:szCs w:val="21"/>
          <w:highlight w:val="none"/>
        </w:rPr>
        <w:t>项目（项目编号</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）的投标（或报价）活动，现有以下几个内容（或条款）存在疑问（或无法理解），特提出询问。</w:t>
      </w:r>
    </w:p>
    <w:p w14:paraId="5E2927E5">
      <w:pPr>
        <w:widowControl/>
        <w:tabs>
          <w:tab w:val="center" w:pos="5019"/>
        </w:tabs>
        <w:adjustRightInd w:val="0"/>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一、</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（事项一）</w:t>
      </w:r>
      <w:r>
        <w:rPr>
          <w:rFonts w:hint="eastAsia" w:ascii="黑体" w:hAnsi="黑体" w:eastAsia="黑体" w:cs="黑体"/>
          <w:color w:val="auto"/>
          <w:szCs w:val="21"/>
          <w:highlight w:val="none"/>
        </w:rPr>
        <w:tab/>
      </w:r>
    </w:p>
    <w:p w14:paraId="6BEC6B02">
      <w:pPr>
        <w:widowControl/>
        <w:tabs>
          <w:tab w:val="left" w:pos="6300"/>
        </w:tabs>
        <w:adjustRightInd w:val="0"/>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（1）</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（问题或条款内容）</w:t>
      </w:r>
    </w:p>
    <w:p w14:paraId="67D21E5D">
      <w:pPr>
        <w:widowControl/>
        <w:tabs>
          <w:tab w:val="left" w:pos="6300"/>
        </w:tabs>
        <w:adjustRightInd w:val="0"/>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（2）</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（说明疑问或无法理解原因）</w:t>
      </w:r>
    </w:p>
    <w:p w14:paraId="02E3D2B2">
      <w:pPr>
        <w:widowControl/>
        <w:tabs>
          <w:tab w:val="left" w:pos="6300"/>
        </w:tabs>
        <w:adjustRightInd w:val="0"/>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（3）</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（建议）</w:t>
      </w:r>
    </w:p>
    <w:p w14:paraId="7916A245">
      <w:pPr>
        <w:widowControl/>
        <w:tabs>
          <w:tab w:val="left" w:pos="6300"/>
        </w:tabs>
        <w:adjustRightInd w:val="0"/>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二、</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 xml:space="preserve"> （事项二）</w:t>
      </w:r>
    </w:p>
    <w:p w14:paraId="745C2654">
      <w:pPr>
        <w:widowControl/>
        <w:tabs>
          <w:tab w:val="left" w:pos="6300"/>
        </w:tabs>
        <w:adjustRightInd w:val="0"/>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w:t>
      </w:r>
    </w:p>
    <w:p w14:paraId="0E375FA0">
      <w:pPr>
        <w:widowControl/>
        <w:tabs>
          <w:tab w:val="left" w:pos="6300"/>
        </w:tabs>
        <w:adjustRightInd w:val="0"/>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随附相关证明材料如下：（目录）。</w:t>
      </w:r>
    </w:p>
    <w:p w14:paraId="7D5C4162">
      <w:pPr>
        <w:widowControl/>
        <w:tabs>
          <w:tab w:val="left" w:pos="6300"/>
        </w:tabs>
        <w:adjustRightInd w:val="0"/>
        <w:spacing w:line="360" w:lineRule="auto"/>
        <w:ind w:firstLine="1260" w:firstLineChars="600"/>
        <w:rPr>
          <w:rFonts w:hint="eastAsia" w:ascii="黑体" w:hAnsi="黑体" w:eastAsia="黑体" w:cs="黑体"/>
          <w:color w:val="auto"/>
          <w:szCs w:val="21"/>
          <w:highlight w:val="none"/>
        </w:rPr>
      </w:pPr>
      <w:r>
        <w:rPr>
          <w:rFonts w:hint="eastAsia" w:ascii="黑体" w:hAnsi="黑体" w:eastAsia="黑体" w:cs="黑体"/>
          <w:color w:val="auto"/>
          <w:szCs w:val="21"/>
          <w:highlight w:val="none"/>
        </w:rPr>
        <w:t>询问人：（公章）</w:t>
      </w:r>
    </w:p>
    <w:p w14:paraId="574538A6">
      <w:pPr>
        <w:widowControl/>
        <w:tabs>
          <w:tab w:val="left" w:pos="6300"/>
        </w:tabs>
        <w:adjustRightInd w:val="0"/>
        <w:spacing w:line="360" w:lineRule="auto"/>
        <w:ind w:firstLine="1260" w:firstLineChars="600"/>
        <w:rPr>
          <w:rFonts w:hint="eastAsia" w:ascii="黑体" w:hAnsi="黑体" w:eastAsia="黑体" w:cs="黑体"/>
          <w:color w:val="auto"/>
          <w:szCs w:val="21"/>
          <w:highlight w:val="none"/>
        </w:rPr>
      </w:pPr>
      <w:r>
        <w:rPr>
          <w:rFonts w:hint="eastAsia" w:ascii="黑体" w:hAnsi="黑体" w:eastAsia="黑体" w:cs="黑体"/>
          <w:color w:val="auto"/>
          <w:szCs w:val="21"/>
          <w:highlight w:val="none"/>
        </w:rPr>
        <w:t>法定代表人（授权代表）：</w:t>
      </w:r>
    </w:p>
    <w:p w14:paraId="159B0F73">
      <w:pPr>
        <w:tabs>
          <w:tab w:val="left" w:pos="6300"/>
        </w:tabs>
        <w:adjustRightInd w:val="0"/>
        <w:spacing w:line="360" w:lineRule="auto"/>
        <w:ind w:firstLine="1260" w:firstLineChars="600"/>
        <w:rPr>
          <w:rFonts w:hint="eastAsia" w:ascii="黑体" w:hAnsi="黑体" w:eastAsia="黑体" w:cs="黑体"/>
          <w:color w:val="auto"/>
          <w:szCs w:val="21"/>
          <w:highlight w:val="none"/>
        </w:rPr>
      </w:pPr>
      <w:r>
        <w:rPr>
          <w:rFonts w:hint="eastAsia" w:ascii="黑体" w:hAnsi="黑体" w:eastAsia="黑体" w:cs="黑体"/>
          <w:color w:val="auto"/>
          <w:szCs w:val="21"/>
          <w:highlight w:val="none"/>
        </w:rPr>
        <w:t>地址/邮编：</w:t>
      </w:r>
    </w:p>
    <w:p w14:paraId="78AC6BC4">
      <w:pPr>
        <w:tabs>
          <w:tab w:val="left" w:pos="6300"/>
        </w:tabs>
        <w:adjustRightInd w:val="0"/>
        <w:spacing w:line="360" w:lineRule="auto"/>
        <w:ind w:firstLine="1260" w:firstLineChars="600"/>
        <w:rPr>
          <w:rFonts w:hint="eastAsia" w:ascii="黑体" w:hAnsi="黑体" w:eastAsia="黑体" w:cs="黑体"/>
          <w:color w:val="auto"/>
          <w:szCs w:val="21"/>
          <w:highlight w:val="none"/>
        </w:rPr>
      </w:pPr>
      <w:r>
        <w:rPr>
          <w:rFonts w:hint="eastAsia" w:ascii="黑体" w:hAnsi="黑体" w:eastAsia="黑体" w:cs="黑体"/>
          <w:color w:val="auto"/>
          <w:szCs w:val="21"/>
          <w:highlight w:val="none"/>
        </w:rPr>
        <w:t>电话/传真：</w:t>
      </w:r>
    </w:p>
    <w:p w14:paraId="09AF38DD">
      <w:pPr>
        <w:adjustRightInd w:val="0"/>
        <w:spacing w:before="624" w:beforeLines="200" w:line="360" w:lineRule="auto"/>
        <w:jc w:val="right"/>
        <w:rPr>
          <w:rFonts w:hint="eastAsia" w:ascii="黑体" w:hAnsi="黑体" w:eastAsia="黑体" w:cs="黑体"/>
          <w:color w:val="auto"/>
          <w:szCs w:val="21"/>
          <w:highlight w:val="none"/>
        </w:rPr>
      </w:pPr>
      <w:r>
        <w:rPr>
          <w:rFonts w:hint="eastAsia" w:ascii="黑体" w:hAnsi="黑体" w:eastAsia="黑体" w:cs="黑体"/>
          <w:color w:val="auto"/>
          <w:szCs w:val="21"/>
          <w:highlight w:val="none"/>
        </w:rPr>
        <w:t>年     月     日</w:t>
      </w:r>
    </w:p>
    <w:p w14:paraId="2225371A">
      <w:pPr>
        <w:snapToGrid w:val="0"/>
        <w:spacing w:line="360" w:lineRule="auto"/>
        <w:ind w:firstLine="422" w:firstLineChars="201"/>
        <w:rPr>
          <w:rFonts w:hint="eastAsia" w:ascii="黑体" w:hAnsi="黑体" w:eastAsia="黑体" w:cs="黑体"/>
          <w:color w:val="auto"/>
          <w:szCs w:val="21"/>
          <w:highlight w:val="none"/>
        </w:rPr>
      </w:pPr>
    </w:p>
    <w:p w14:paraId="08BF987F">
      <w:pPr>
        <w:pageBreakBefore/>
        <w:rPr>
          <w:rFonts w:hint="eastAsia" w:ascii="黑体" w:hAnsi="黑体" w:eastAsia="黑体" w:cs="黑体"/>
          <w:b/>
          <w:color w:val="auto"/>
          <w:highlight w:val="none"/>
        </w:rPr>
      </w:pPr>
      <w:bookmarkStart w:id="47" w:name="_Toc515040754"/>
      <w:bookmarkStart w:id="48" w:name="_Toc515363626"/>
      <w:r>
        <w:rPr>
          <w:rFonts w:hint="eastAsia" w:ascii="黑体" w:hAnsi="黑体" w:eastAsia="黑体" w:cs="黑体"/>
          <w:b/>
          <w:color w:val="auto"/>
          <w:highlight w:val="none"/>
        </w:rPr>
        <w:t>附件2  质疑函格式</w:t>
      </w:r>
      <w:bookmarkEnd w:id="47"/>
      <w:bookmarkEnd w:id="48"/>
    </w:p>
    <w:p w14:paraId="3949EE85">
      <w:pPr>
        <w:spacing w:before="312" w:beforeLines="100" w:after="312" w:afterLines="100"/>
        <w:jc w:val="center"/>
        <w:rPr>
          <w:rFonts w:hint="eastAsia" w:ascii="黑体" w:hAnsi="黑体" w:eastAsia="黑体" w:cs="黑体"/>
          <w:b/>
          <w:color w:val="auto"/>
          <w:spacing w:val="20"/>
          <w:sz w:val="28"/>
          <w:szCs w:val="28"/>
          <w:highlight w:val="none"/>
        </w:rPr>
      </w:pPr>
      <w:r>
        <w:rPr>
          <w:rFonts w:hint="eastAsia" w:ascii="黑体" w:hAnsi="黑体" w:eastAsia="黑体" w:cs="黑体"/>
          <w:b/>
          <w:color w:val="auto"/>
          <w:spacing w:val="20"/>
          <w:sz w:val="28"/>
          <w:szCs w:val="28"/>
          <w:highlight w:val="none"/>
        </w:rPr>
        <w:t>质疑函</w:t>
      </w:r>
    </w:p>
    <w:p w14:paraId="64502880">
      <w:pPr>
        <w:adjustRightInd w:val="0"/>
        <w:snapToGrid w:val="0"/>
        <w:spacing w:line="360" w:lineRule="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一、质疑供应商基本信息</w:t>
      </w:r>
    </w:p>
    <w:p w14:paraId="722E9B93">
      <w:pPr>
        <w:adjustRightInd w:val="0"/>
        <w:snapToGrid w:val="0"/>
        <w:spacing w:line="360" w:lineRule="auto"/>
        <w:rPr>
          <w:rFonts w:hint="eastAsia" w:ascii="黑体" w:hAnsi="黑体" w:eastAsia="黑体" w:cs="黑体"/>
          <w:color w:val="auto"/>
          <w:szCs w:val="21"/>
          <w:highlight w:val="none"/>
          <w:u w:val="dotted"/>
        </w:rPr>
      </w:pPr>
      <w:r>
        <w:rPr>
          <w:rFonts w:hint="eastAsia" w:ascii="黑体" w:hAnsi="黑体" w:eastAsia="黑体" w:cs="黑体"/>
          <w:color w:val="auto"/>
          <w:szCs w:val="21"/>
          <w:highlight w:val="none"/>
        </w:rPr>
        <w:t>质疑供应商：</w:t>
      </w:r>
      <w:r>
        <w:rPr>
          <w:rFonts w:hint="eastAsia" w:ascii="黑体" w:hAnsi="黑体" w:eastAsia="黑体" w:cs="黑体"/>
          <w:color w:val="auto"/>
          <w:szCs w:val="21"/>
          <w:highlight w:val="none"/>
          <w:u w:val="single"/>
        </w:rPr>
        <w:t xml:space="preserve">                                                                  </w:t>
      </w:r>
    </w:p>
    <w:p w14:paraId="011357E2">
      <w:pPr>
        <w:adjustRightInd w:val="0"/>
        <w:snapToGri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地址：</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邮编：</w:t>
      </w:r>
      <w:r>
        <w:rPr>
          <w:rFonts w:hint="eastAsia" w:ascii="黑体" w:hAnsi="黑体" w:eastAsia="黑体" w:cs="黑体"/>
          <w:color w:val="auto"/>
          <w:szCs w:val="21"/>
          <w:highlight w:val="none"/>
          <w:u w:val="single"/>
        </w:rPr>
        <w:t xml:space="preserve">                                  </w:t>
      </w:r>
    </w:p>
    <w:p w14:paraId="5E1F27C8">
      <w:pPr>
        <w:adjustRightInd w:val="0"/>
        <w:snapToGri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联系人：</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联系电话：</w:t>
      </w:r>
      <w:r>
        <w:rPr>
          <w:rFonts w:hint="eastAsia" w:ascii="黑体" w:hAnsi="黑体" w:eastAsia="黑体" w:cs="黑体"/>
          <w:color w:val="auto"/>
          <w:szCs w:val="21"/>
          <w:highlight w:val="none"/>
          <w:u w:val="single"/>
        </w:rPr>
        <w:t xml:space="preserve">                              </w:t>
      </w:r>
    </w:p>
    <w:p w14:paraId="6C4603B7">
      <w:pPr>
        <w:adjustRightInd w:val="0"/>
        <w:snapToGrid w:val="0"/>
        <w:spacing w:line="360" w:lineRule="auto"/>
        <w:rPr>
          <w:rFonts w:hint="eastAsia" w:ascii="黑体" w:hAnsi="黑体" w:eastAsia="黑体" w:cs="黑体"/>
          <w:color w:val="auto"/>
          <w:szCs w:val="21"/>
          <w:highlight w:val="none"/>
          <w:u w:val="dotted"/>
        </w:rPr>
      </w:pPr>
      <w:r>
        <w:rPr>
          <w:rFonts w:hint="eastAsia" w:ascii="黑体" w:hAnsi="黑体" w:eastAsia="黑体" w:cs="黑体"/>
          <w:color w:val="auto"/>
          <w:szCs w:val="21"/>
          <w:highlight w:val="none"/>
        </w:rPr>
        <w:t>授权代表：</w:t>
      </w:r>
      <w:r>
        <w:rPr>
          <w:rFonts w:hint="eastAsia" w:ascii="黑体" w:hAnsi="黑体" w:eastAsia="黑体" w:cs="黑体"/>
          <w:color w:val="auto"/>
          <w:szCs w:val="21"/>
          <w:highlight w:val="none"/>
          <w:u w:val="single"/>
        </w:rPr>
        <w:t xml:space="preserve">                                                                    </w:t>
      </w:r>
    </w:p>
    <w:p w14:paraId="5509638A">
      <w:pPr>
        <w:adjustRightInd w:val="0"/>
        <w:snapToGrid w:val="0"/>
        <w:spacing w:line="360" w:lineRule="auto"/>
        <w:rPr>
          <w:rFonts w:hint="eastAsia" w:ascii="黑体" w:hAnsi="黑体" w:eastAsia="黑体" w:cs="黑体"/>
          <w:b/>
          <w:color w:val="auto"/>
          <w:szCs w:val="21"/>
          <w:highlight w:val="none"/>
        </w:rPr>
      </w:pPr>
      <w:r>
        <w:rPr>
          <w:rFonts w:hint="eastAsia" w:ascii="黑体" w:hAnsi="黑体" w:eastAsia="黑体" w:cs="黑体"/>
          <w:color w:val="auto"/>
          <w:szCs w:val="21"/>
          <w:highlight w:val="none"/>
        </w:rPr>
        <w:t>联系电话：</w:t>
      </w:r>
      <w:r>
        <w:rPr>
          <w:rFonts w:hint="eastAsia" w:ascii="黑体" w:hAnsi="黑体" w:eastAsia="黑体" w:cs="黑体"/>
          <w:color w:val="auto"/>
          <w:szCs w:val="21"/>
          <w:highlight w:val="none"/>
          <w:u w:val="single"/>
        </w:rPr>
        <w:t xml:space="preserve">                                                                    </w:t>
      </w:r>
    </w:p>
    <w:p w14:paraId="643C79E0">
      <w:pPr>
        <w:adjustRightInd w:val="0"/>
        <w:snapToGrid w:val="0"/>
        <w:spacing w:line="360" w:lineRule="auto"/>
        <w:rPr>
          <w:rFonts w:hint="eastAsia" w:ascii="黑体" w:hAnsi="黑体" w:eastAsia="黑体" w:cs="黑体"/>
          <w:b/>
          <w:color w:val="auto"/>
          <w:szCs w:val="21"/>
          <w:highlight w:val="none"/>
        </w:rPr>
      </w:pPr>
      <w:r>
        <w:rPr>
          <w:rFonts w:hint="eastAsia" w:ascii="黑体" w:hAnsi="黑体" w:eastAsia="黑体" w:cs="黑体"/>
          <w:color w:val="auto"/>
          <w:szCs w:val="21"/>
          <w:highlight w:val="none"/>
        </w:rPr>
        <w:t>地   址：</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邮编：</w:t>
      </w:r>
      <w:r>
        <w:rPr>
          <w:rFonts w:hint="eastAsia" w:ascii="黑体" w:hAnsi="黑体" w:eastAsia="黑体" w:cs="黑体"/>
          <w:color w:val="auto"/>
          <w:szCs w:val="21"/>
          <w:highlight w:val="none"/>
          <w:u w:val="single"/>
        </w:rPr>
        <w:t xml:space="preserve">                                  </w:t>
      </w:r>
    </w:p>
    <w:p w14:paraId="7F1C70EB">
      <w:pPr>
        <w:adjustRightInd w:val="0"/>
        <w:snapToGrid w:val="0"/>
        <w:spacing w:before="156" w:beforeLines="50" w:line="360" w:lineRule="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 xml:space="preserve">二、质疑项目基本情况 </w:t>
      </w:r>
    </w:p>
    <w:p w14:paraId="0124F2D1">
      <w:pPr>
        <w:adjustRightInd w:val="0"/>
        <w:snapToGri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质疑项目的名称：</w:t>
      </w:r>
      <w:r>
        <w:rPr>
          <w:rFonts w:hint="eastAsia" w:ascii="黑体" w:hAnsi="黑体" w:eastAsia="黑体" w:cs="黑体"/>
          <w:color w:val="auto"/>
          <w:szCs w:val="21"/>
          <w:highlight w:val="none"/>
          <w:u w:val="single"/>
        </w:rPr>
        <w:t xml:space="preserve">                                                              </w:t>
      </w:r>
    </w:p>
    <w:p w14:paraId="0183F0C1">
      <w:pPr>
        <w:adjustRightInd w:val="0"/>
        <w:snapToGri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质疑项目的编号：</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包号：</w:t>
      </w:r>
      <w:r>
        <w:rPr>
          <w:rFonts w:hint="eastAsia" w:ascii="黑体" w:hAnsi="黑体" w:eastAsia="黑体" w:cs="黑体"/>
          <w:color w:val="auto"/>
          <w:szCs w:val="21"/>
          <w:highlight w:val="none"/>
          <w:u w:val="single"/>
        </w:rPr>
        <w:t xml:space="preserve">                                  </w:t>
      </w:r>
    </w:p>
    <w:p w14:paraId="3DB7D1C3">
      <w:pPr>
        <w:adjustRightInd w:val="0"/>
        <w:snapToGrid w:val="0"/>
        <w:spacing w:line="360" w:lineRule="auto"/>
        <w:rPr>
          <w:rFonts w:hint="eastAsia" w:ascii="黑体" w:hAnsi="黑体" w:eastAsia="黑体" w:cs="黑体"/>
          <w:color w:val="auto"/>
          <w:szCs w:val="21"/>
          <w:highlight w:val="none"/>
          <w:u w:val="single"/>
        </w:rPr>
      </w:pPr>
      <w:r>
        <w:rPr>
          <w:rFonts w:hint="eastAsia" w:ascii="黑体" w:hAnsi="黑体" w:eastAsia="黑体" w:cs="黑体"/>
          <w:color w:val="auto"/>
          <w:szCs w:val="21"/>
          <w:highlight w:val="none"/>
        </w:rPr>
        <w:t>采购人名称：</w:t>
      </w:r>
      <w:r>
        <w:rPr>
          <w:rFonts w:hint="eastAsia" w:ascii="黑体" w:hAnsi="黑体" w:eastAsia="黑体" w:cs="黑体"/>
          <w:color w:val="auto"/>
          <w:szCs w:val="21"/>
          <w:highlight w:val="none"/>
          <w:u w:val="single"/>
        </w:rPr>
        <w:t xml:space="preserve">                                                                  </w:t>
      </w:r>
    </w:p>
    <w:p w14:paraId="4FF70D46">
      <w:pPr>
        <w:adjustRightInd w:val="0"/>
        <w:snapToGrid w:val="0"/>
        <w:spacing w:line="360" w:lineRule="auto"/>
        <w:rPr>
          <w:rFonts w:hint="eastAsia" w:ascii="黑体" w:hAnsi="黑体" w:eastAsia="黑体" w:cs="黑体"/>
          <w:color w:val="auto"/>
          <w:szCs w:val="21"/>
          <w:highlight w:val="none"/>
          <w:u w:val="single"/>
        </w:rPr>
      </w:pPr>
      <w:r>
        <w:rPr>
          <w:rFonts w:hint="eastAsia" w:ascii="黑体" w:hAnsi="黑体" w:eastAsia="黑体" w:cs="黑体"/>
          <w:color w:val="auto"/>
          <w:szCs w:val="21"/>
          <w:highlight w:val="none"/>
        </w:rPr>
        <w:t>采购文件获取日期：</w:t>
      </w:r>
      <w:r>
        <w:rPr>
          <w:rFonts w:hint="eastAsia" w:ascii="黑体" w:hAnsi="黑体" w:eastAsia="黑体" w:cs="黑体"/>
          <w:color w:val="auto"/>
          <w:szCs w:val="21"/>
          <w:highlight w:val="none"/>
          <w:u w:val="single"/>
        </w:rPr>
        <w:t xml:space="preserve">                                                            </w:t>
      </w:r>
    </w:p>
    <w:p w14:paraId="53C52972">
      <w:pPr>
        <w:adjustRightInd w:val="0"/>
        <w:snapToGrid w:val="0"/>
        <w:spacing w:before="156" w:beforeLines="50" w:line="360" w:lineRule="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三、质疑事项具体内容</w:t>
      </w:r>
    </w:p>
    <w:p w14:paraId="4DD3CD49">
      <w:pPr>
        <w:adjustRightInd w:val="0"/>
        <w:snapToGrid w:val="0"/>
        <w:spacing w:line="360" w:lineRule="auto"/>
        <w:rPr>
          <w:rFonts w:hint="eastAsia" w:ascii="黑体" w:hAnsi="黑体" w:eastAsia="黑体" w:cs="黑体"/>
          <w:color w:val="auto"/>
          <w:szCs w:val="21"/>
          <w:highlight w:val="none"/>
          <w:u w:val="single"/>
        </w:rPr>
      </w:pPr>
      <w:r>
        <w:rPr>
          <w:rFonts w:hint="eastAsia" w:ascii="黑体" w:hAnsi="黑体" w:eastAsia="黑体" w:cs="黑体"/>
          <w:color w:val="auto"/>
          <w:szCs w:val="21"/>
          <w:highlight w:val="none"/>
        </w:rPr>
        <w:t>质疑事项1：</w:t>
      </w:r>
      <w:r>
        <w:rPr>
          <w:rFonts w:hint="eastAsia" w:ascii="黑体" w:hAnsi="黑体" w:eastAsia="黑体" w:cs="黑体"/>
          <w:color w:val="auto"/>
          <w:szCs w:val="21"/>
          <w:highlight w:val="none"/>
          <w:u w:val="single"/>
        </w:rPr>
        <w:t xml:space="preserve">                                                                   </w:t>
      </w:r>
    </w:p>
    <w:p w14:paraId="51773F50">
      <w:pPr>
        <w:adjustRightInd w:val="0"/>
        <w:snapToGrid w:val="0"/>
        <w:spacing w:line="360" w:lineRule="auto"/>
        <w:rPr>
          <w:rFonts w:hint="eastAsia" w:ascii="黑体" w:hAnsi="黑体" w:eastAsia="黑体" w:cs="黑体"/>
          <w:color w:val="auto"/>
          <w:szCs w:val="21"/>
          <w:highlight w:val="none"/>
          <w:u w:val="single"/>
        </w:rPr>
      </w:pPr>
      <w:r>
        <w:rPr>
          <w:rFonts w:hint="eastAsia" w:ascii="黑体" w:hAnsi="黑体" w:eastAsia="黑体" w:cs="黑体"/>
          <w:color w:val="auto"/>
          <w:szCs w:val="21"/>
          <w:highlight w:val="none"/>
        </w:rPr>
        <w:t>事实依据：</w:t>
      </w:r>
      <w:r>
        <w:rPr>
          <w:rFonts w:hint="eastAsia" w:ascii="黑体" w:hAnsi="黑体" w:eastAsia="黑体" w:cs="黑体"/>
          <w:color w:val="auto"/>
          <w:szCs w:val="21"/>
          <w:highlight w:val="none"/>
          <w:u w:val="single"/>
        </w:rPr>
        <w:t xml:space="preserve">                                                                     </w:t>
      </w:r>
    </w:p>
    <w:p w14:paraId="66C4B913">
      <w:pPr>
        <w:adjustRightInd w:val="0"/>
        <w:snapToGrid w:val="0"/>
        <w:spacing w:line="360" w:lineRule="auto"/>
        <w:rPr>
          <w:rFonts w:hint="eastAsia" w:ascii="黑体" w:hAnsi="黑体" w:eastAsia="黑体" w:cs="黑体"/>
          <w:color w:val="auto"/>
          <w:szCs w:val="21"/>
          <w:highlight w:val="none"/>
          <w:u w:val="single"/>
        </w:rPr>
      </w:pPr>
      <w:r>
        <w:rPr>
          <w:rFonts w:hint="eastAsia" w:ascii="黑体" w:hAnsi="黑体" w:eastAsia="黑体" w:cs="黑体"/>
          <w:color w:val="auto"/>
          <w:szCs w:val="21"/>
          <w:highlight w:val="none"/>
        </w:rPr>
        <w:t>法律依据：</w:t>
      </w:r>
      <w:r>
        <w:rPr>
          <w:rFonts w:hint="eastAsia" w:ascii="黑体" w:hAnsi="黑体" w:eastAsia="黑体" w:cs="黑体"/>
          <w:color w:val="auto"/>
          <w:szCs w:val="21"/>
          <w:highlight w:val="none"/>
          <w:u w:val="single"/>
        </w:rPr>
        <w:t xml:space="preserve">                                                                     </w:t>
      </w:r>
    </w:p>
    <w:p w14:paraId="23FD0604">
      <w:pPr>
        <w:adjustRightInd w:val="0"/>
        <w:snapToGrid w:val="0"/>
        <w:spacing w:line="360" w:lineRule="auto"/>
        <w:rPr>
          <w:rFonts w:hint="eastAsia" w:ascii="黑体" w:hAnsi="黑体" w:eastAsia="黑体" w:cs="黑体"/>
          <w:color w:val="auto"/>
          <w:szCs w:val="21"/>
          <w:highlight w:val="none"/>
          <w:u w:val="dotted"/>
        </w:rPr>
      </w:pPr>
      <w:r>
        <w:rPr>
          <w:rFonts w:hint="eastAsia" w:ascii="黑体" w:hAnsi="黑体" w:eastAsia="黑体" w:cs="黑体"/>
          <w:color w:val="auto"/>
          <w:szCs w:val="21"/>
          <w:highlight w:val="none"/>
        </w:rPr>
        <w:t>质疑事项2</w:t>
      </w:r>
    </w:p>
    <w:p w14:paraId="3CDC8173">
      <w:pPr>
        <w:adjustRightInd w:val="0"/>
        <w:snapToGri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w:t>
      </w:r>
    </w:p>
    <w:p w14:paraId="725EE2E1">
      <w:pPr>
        <w:adjustRightInd w:val="0"/>
        <w:snapToGrid w:val="0"/>
        <w:spacing w:line="360" w:lineRule="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四、与质疑事项相关的质疑请求</w:t>
      </w:r>
    </w:p>
    <w:p w14:paraId="3D32C43B">
      <w:pPr>
        <w:adjustRightInd w:val="0"/>
        <w:snapToGrid w:val="0"/>
        <w:spacing w:line="360" w:lineRule="auto"/>
        <w:rPr>
          <w:rFonts w:hint="eastAsia" w:ascii="黑体" w:hAnsi="黑体" w:eastAsia="黑体" w:cs="黑体"/>
          <w:color w:val="auto"/>
          <w:szCs w:val="21"/>
          <w:highlight w:val="none"/>
          <w:u w:val="dotted"/>
        </w:rPr>
      </w:pPr>
      <w:r>
        <w:rPr>
          <w:rFonts w:hint="eastAsia" w:ascii="黑体" w:hAnsi="黑体" w:eastAsia="黑体" w:cs="黑体"/>
          <w:color w:val="auto"/>
          <w:szCs w:val="21"/>
          <w:highlight w:val="none"/>
        </w:rPr>
        <w:t>请求：</w:t>
      </w:r>
      <w:r>
        <w:rPr>
          <w:rFonts w:hint="eastAsia" w:ascii="黑体" w:hAnsi="黑体" w:eastAsia="黑体" w:cs="黑体"/>
          <w:color w:val="auto"/>
          <w:szCs w:val="21"/>
          <w:highlight w:val="none"/>
          <w:u w:val="single"/>
        </w:rPr>
        <w:t xml:space="preserve">                                                                         </w:t>
      </w:r>
    </w:p>
    <w:p w14:paraId="5F9ED3E3">
      <w:pPr>
        <w:adjustRightInd w:val="0"/>
        <w:snapToGri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 xml:space="preserve">签字(签章)：                   公章：                      </w:t>
      </w:r>
    </w:p>
    <w:p w14:paraId="6B339E1A">
      <w:pPr>
        <w:adjustRightInd w:val="0"/>
        <w:snapToGri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 xml:space="preserve">日    期：    </w:t>
      </w:r>
    </w:p>
    <w:p w14:paraId="36454834">
      <w:pPr>
        <w:adjustRightInd w:val="0"/>
        <w:snapToGrid w:val="0"/>
        <w:spacing w:line="360" w:lineRule="auto"/>
        <w:rPr>
          <w:rFonts w:hint="eastAsia" w:ascii="黑体" w:hAnsi="黑体" w:eastAsia="黑体" w:cs="黑体"/>
          <w:color w:val="auto"/>
          <w:szCs w:val="21"/>
          <w:highlight w:val="none"/>
        </w:rPr>
      </w:pPr>
    </w:p>
    <w:p w14:paraId="1AEFB701">
      <w:pPr>
        <w:adjustRightInd w:val="0"/>
        <w:snapToGrid w:val="0"/>
        <w:spacing w:line="360" w:lineRule="auto"/>
        <w:rPr>
          <w:rFonts w:hint="eastAsia" w:ascii="黑体" w:hAnsi="黑体" w:eastAsia="黑体" w:cs="黑体"/>
          <w:color w:val="auto"/>
          <w:szCs w:val="21"/>
          <w:highlight w:val="none"/>
        </w:rPr>
      </w:pPr>
    </w:p>
    <w:p w14:paraId="794C591B">
      <w:pPr>
        <w:adjustRightInd w:val="0"/>
        <w:snapToGrid w:val="0"/>
        <w:spacing w:line="360" w:lineRule="auto"/>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质疑函制作说明：</w:t>
      </w:r>
    </w:p>
    <w:p w14:paraId="01036669">
      <w:pPr>
        <w:pStyle w:val="29"/>
        <w:widowControl/>
        <w:numPr>
          <w:ilvl w:val="0"/>
          <w:numId w:val="68"/>
        </w:numPr>
        <w:adjustRightInd w:val="0"/>
        <w:snapToGrid w:val="0"/>
        <w:spacing w:line="360" w:lineRule="auto"/>
        <w:ind w:firstLineChars="0"/>
        <w:jc w:val="left"/>
        <w:rPr>
          <w:rFonts w:hint="eastAsia" w:ascii="黑体" w:hAnsi="黑体" w:eastAsia="黑体" w:cs="黑体"/>
          <w:b/>
          <w:color w:val="auto"/>
          <w:szCs w:val="21"/>
          <w:highlight w:val="none"/>
        </w:rPr>
      </w:pPr>
      <w:r>
        <w:rPr>
          <w:rFonts w:hint="eastAsia" w:ascii="黑体" w:hAnsi="黑体" w:eastAsia="黑体" w:cs="黑体"/>
          <w:color w:val="auto"/>
          <w:szCs w:val="21"/>
          <w:highlight w:val="none"/>
        </w:rPr>
        <w:t>供应商提出质疑时，应提交质疑函和必要的证明材料。</w:t>
      </w:r>
    </w:p>
    <w:p w14:paraId="7A7C7886">
      <w:pPr>
        <w:pStyle w:val="29"/>
        <w:widowControl/>
        <w:numPr>
          <w:ilvl w:val="0"/>
          <w:numId w:val="68"/>
        </w:numPr>
        <w:adjustRightInd w:val="0"/>
        <w:snapToGrid w:val="0"/>
        <w:spacing w:line="360" w:lineRule="auto"/>
        <w:ind w:firstLineChars="0"/>
        <w:jc w:val="left"/>
        <w:rPr>
          <w:rFonts w:hint="eastAsia" w:ascii="黑体" w:hAnsi="黑体" w:eastAsia="黑体" w:cs="黑体"/>
          <w:b/>
          <w:color w:val="auto"/>
          <w:szCs w:val="21"/>
          <w:highlight w:val="none"/>
        </w:rPr>
      </w:pPr>
      <w:r>
        <w:rPr>
          <w:rFonts w:hint="eastAsia" w:ascii="黑体" w:hAnsi="黑体" w:eastAsia="黑体" w:cs="黑体"/>
          <w:color w:val="auto"/>
          <w:szCs w:val="21"/>
          <w:highlight w:val="none"/>
        </w:rPr>
        <w:t>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1428973B">
      <w:pPr>
        <w:pStyle w:val="29"/>
        <w:widowControl/>
        <w:numPr>
          <w:ilvl w:val="0"/>
          <w:numId w:val="68"/>
        </w:numPr>
        <w:adjustRightInd w:val="0"/>
        <w:snapToGrid w:val="0"/>
        <w:spacing w:line="360" w:lineRule="auto"/>
        <w:ind w:firstLineChars="0"/>
        <w:jc w:val="left"/>
        <w:rPr>
          <w:rFonts w:hint="eastAsia" w:ascii="黑体" w:hAnsi="黑体" w:eastAsia="黑体" w:cs="黑体"/>
          <w:b/>
          <w:color w:val="auto"/>
          <w:szCs w:val="21"/>
          <w:highlight w:val="none"/>
        </w:rPr>
      </w:pPr>
      <w:r>
        <w:rPr>
          <w:rFonts w:hint="eastAsia" w:ascii="黑体" w:hAnsi="黑体" w:eastAsia="黑体" w:cs="黑体"/>
          <w:color w:val="auto"/>
          <w:szCs w:val="21"/>
          <w:highlight w:val="none"/>
        </w:rPr>
        <w:t>质疑供应商若对项目的某一分包进行质疑，质疑函中应列明具体分包号。</w:t>
      </w:r>
    </w:p>
    <w:p w14:paraId="743E7CAF">
      <w:pPr>
        <w:pStyle w:val="29"/>
        <w:widowControl/>
        <w:numPr>
          <w:ilvl w:val="0"/>
          <w:numId w:val="68"/>
        </w:numPr>
        <w:adjustRightInd w:val="0"/>
        <w:snapToGrid w:val="0"/>
        <w:spacing w:line="360" w:lineRule="auto"/>
        <w:ind w:firstLineChars="0"/>
        <w:jc w:val="left"/>
        <w:rPr>
          <w:rFonts w:hint="eastAsia" w:ascii="黑体" w:hAnsi="黑体" w:eastAsia="黑体" w:cs="黑体"/>
          <w:b/>
          <w:color w:val="auto"/>
          <w:szCs w:val="21"/>
          <w:highlight w:val="none"/>
        </w:rPr>
      </w:pPr>
      <w:r>
        <w:rPr>
          <w:rFonts w:hint="eastAsia" w:ascii="黑体" w:hAnsi="黑体" w:eastAsia="黑体" w:cs="黑体"/>
          <w:color w:val="auto"/>
          <w:szCs w:val="21"/>
          <w:highlight w:val="none"/>
        </w:rPr>
        <w:t>质疑函的质疑事项应具体、明确，并有必要的事实依据和法律依据。</w:t>
      </w:r>
    </w:p>
    <w:p w14:paraId="1C424601">
      <w:pPr>
        <w:pStyle w:val="29"/>
        <w:widowControl/>
        <w:numPr>
          <w:ilvl w:val="0"/>
          <w:numId w:val="68"/>
        </w:numPr>
        <w:adjustRightInd w:val="0"/>
        <w:snapToGrid w:val="0"/>
        <w:spacing w:line="360" w:lineRule="auto"/>
        <w:ind w:firstLineChars="0"/>
        <w:jc w:val="left"/>
        <w:rPr>
          <w:rFonts w:hint="eastAsia" w:ascii="黑体" w:hAnsi="黑体" w:eastAsia="黑体" w:cs="黑体"/>
          <w:b/>
          <w:color w:val="auto"/>
          <w:szCs w:val="21"/>
          <w:highlight w:val="none"/>
        </w:rPr>
      </w:pPr>
      <w:r>
        <w:rPr>
          <w:rFonts w:hint="eastAsia" w:ascii="黑体" w:hAnsi="黑体" w:eastAsia="黑体" w:cs="黑体"/>
          <w:color w:val="auto"/>
          <w:szCs w:val="21"/>
          <w:highlight w:val="none"/>
        </w:rPr>
        <w:t>质疑函的质疑请求应与质疑事项相关。</w:t>
      </w:r>
    </w:p>
    <w:p w14:paraId="358454BA">
      <w:pPr>
        <w:pStyle w:val="29"/>
        <w:widowControl/>
        <w:numPr>
          <w:ilvl w:val="0"/>
          <w:numId w:val="68"/>
        </w:numPr>
        <w:adjustRightInd w:val="0"/>
        <w:snapToGrid w:val="0"/>
        <w:spacing w:line="360" w:lineRule="auto"/>
        <w:ind w:firstLineChars="0"/>
        <w:jc w:val="left"/>
        <w:rPr>
          <w:rFonts w:hint="eastAsia" w:ascii="黑体" w:hAnsi="黑体" w:eastAsia="黑体" w:cs="黑体"/>
          <w:b/>
          <w:color w:val="auto"/>
          <w:szCs w:val="21"/>
          <w:highlight w:val="none"/>
        </w:rPr>
      </w:pPr>
      <w:r>
        <w:rPr>
          <w:rFonts w:hint="eastAsia" w:ascii="黑体" w:hAnsi="黑体" w:eastAsia="黑体" w:cs="黑体"/>
          <w:color w:val="auto"/>
          <w:szCs w:val="21"/>
          <w:highlight w:val="none"/>
        </w:rPr>
        <w:t>质疑供应商为自然人的，质疑函应由本人签字；质疑供应商为法人或者其他组织的，质疑函应由法定代表人、主要负责人，或者其授权代表签字或者盖章，并加盖公章。</w:t>
      </w:r>
    </w:p>
    <w:p w14:paraId="30B33E89">
      <w:pPr>
        <w:pStyle w:val="29"/>
        <w:spacing w:line="360" w:lineRule="auto"/>
        <w:ind w:left="420" w:firstLine="0" w:firstLineChars="0"/>
        <w:rPr>
          <w:rFonts w:hint="eastAsia" w:ascii="黑体" w:hAnsi="黑体" w:eastAsia="黑体" w:cs="黑体"/>
          <w:bCs/>
          <w:color w:val="auto"/>
          <w:szCs w:val="21"/>
          <w:highlight w:val="none"/>
        </w:rPr>
      </w:pPr>
    </w:p>
    <w:p w14:paraId="6772D4E0">
      <w:pPr>
        <w:pStyle w:val="2"/>
        <w:keepNext w:val="0"/>
        <w:keepLines w:val="0"/>
        <w:pageBreakBefore/>
        <w:spacing w:line="360" w:lineRule="auto"/>
        <w:jc w:val="center"/>
        <w:rPr>
          <w:rFonts w:hint="eastAsia" w:ascii="黑体" w:hAnsi="黑体" w:eastAsia="黑体" w:cs="黑体"/>
          <w:color w:val="auto"/>
          <w:spacing w:val="20"/>
          <w:sz w:val="32"/>
          <w:szCs w:val="32"/>
          <w:highlight w:val="none"/>
        </w:rPr>
      </w:pPr>
      <w:bookmarkStart w:id="49" w:name="_Toc405313955"/>
      <w:bookmarkStart w:id="50" w:name="_Toc17743"/>
      <w:bookmarkStart w:id="51" w:name="_Toc391627751"/>
      <w:r>
        <w:rPr>
          <w:rFonts w:hint="eastAsia" w:ascii="黑体" w:hAnsi="黑体" w:eastAsia="黑体" w:cs="黑体"/>
          <w:color w:val="auto"/>
          <w:spacing w:val="20"/>
          <w:sz w:val="32"/>
          <w:szCs w:val="32"/>
          <w:highlight w:val="none"/>
        </w:rPr>
        <w:t>第五部分 评标方法、步骤、标准</w:t>
      </w:r>
      <w:bookmarkEnd w:id="49"/>
      <w:bookmarkEnd w:id="50"/>
      <w:bookmarkEnd w:id="51"/>
    </w:p>
    <w:p w14:paraId="0CAB29B2">
      <w:pPr>
        <w:pStyle w:val="29"/>
        <w:numPr>
          <w:ilvl w:val="0"/>
          <w:numId w:val="69"/>
        </w:numPr>
        <w:spacing w:before="312" w:beforeLines="100" w:line="360" w:lineRule="auto"/>
        <w:ind w:firstLineChars="0"/>
        <w:rPr>
          <w:rFonts w:hint="eastAsia" w:ascii="黑体" w:hAnsi="黑体" w:eastAsia="黑体" w:cs="黑体"/>
          <w:b/>
          <w:bCs/>
          <w:color w:val="auto"/>
          <w:sz w:val="24"/>
          <w:szCs w:val="24"/>
          <w:highlight w:val="none"/>
        </w:rPr>
      </w:pPr>
      <w:r>
        <w:rPr>
          <w:rFonts w:hint="eastAsia" w:ascii="黑体" w:hAnsi="黑体" w:eastAsia="黑体" w:cs="黑体"/>
          <w:b/>
          <w:bCs/>
          <w:color w:val="auto"/>
          <w:sz w:val="24"/>
          <w:szCs w:val="24"/>
          <w:highlight w:val="none"/>
        </w:rPr>
        <w:t>总则</w:t>
      </w:r>
    </w:p>
    <w:p w14:paraId="1D6B4EF5">
      <w:pPr>
        <w:pStyle w:val="29"/>
        <w:numPr>
          <w:ilvl w:val="0"/>
          <w:numId w:val="70"/>
        </w:numPr>
        <w:spacing w:line="360" w:lineRule="auto"/>
        <w:ind w:firstLineChars="0"/>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评标委员会</w:t>
      </w:r>
    </w:p>
    <w:p w14:paraId="38C0D6CF">
      <w:pPr>
        <w:pStyle w:val="29"/>
        <w:numPr>
          <w:ilvl w:val="1"/>
          <w:numId w:val="71"/>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本次招标依法组建评标委员会。</w:t>
      </w:r>
    </w:p>
    <w:p w14:paraId="58FD99D1">
      <w:pPr>
        <w:pStyle w:val="29"/>
        <w:numPr>
          <w:ilvl w:val="1"/>
          <w:numId w:val="71"/>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color w:val="auto"/>
          <w:szCs w:val="21"/>
          <w:highlight w:val="none"/>
          <w:lang w:eastAsia="zh-TW"/>
        </w:rPr>
        <w:t>评标委员会成员名单在评标结果公告前应当保密。</w:t>
      </w:r>
      <w:r>
        <w:rPr>
          <w:rFonts w:hint="eastAsia" w:ascii="黑体" w:hAnsi="黑体" w:eastAsia="黑体" w:cs="黑体"/>
          <w:bCs/>
          <w:color w:val="auto"/>
          <w:szCs w:val="21"/>
          <w:highlight w:val="none"/>
        </w:rPr>
        <w:t>评审专家有下列情形之一的，受到邀请应主动提出回避，采购当事人也可以要求该评审专家回避：</w:t>
      </w:r>
    </w:p>
    <w:p w14:paraId="1402BFDE">
      <w:pPr>
        <w:pStyle w:val="29"/>
        <w:numPr>
          <w:ilvl w:val="2"/>
          <w:numId w:val="72"/>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color w:val="auto"/>
          <w:szCs w:val="21"/>
          <w:highlight w:val="none"/>
          <w:lang w:eastAsia="zh-TW"/>
        </w:rPr>
        <w:t>参加采购活动前3年内与供应商存在劳动关系；</w:t>
      </w:r>
    </w:p>
    <w:p w14:paraId="4887726D">
      <w:pPr>
        <w:pStyle w:val="29"/>
        <w:numPr>
          <w:ilvl w:val="2"/>
          <w:numId w:val="72"/>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color w:val="auto"/>
          <w:szCs w:val="21"/>
          <w:highlight w:val="none"/>
          <w:lang w:eastAsia="zh-TW"/>
        </w:rPr>
        <w:t>参加采购活动前3年内担任供应商的董事、监事；</w:t>
      </w:r>
    </w:p>
    <w:p w14:paraId="0F3DA414">
      <w:pPr>
        <w:pStyle w:val="29"/>
        <w:numPr>
          <w:ilvl w:val="2"/>
          <w:numId w:val="72"/>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参加采购活动前3年内是供应商的控股股东或者实际控制人；</w:t>
      </w:r>
    </w:p>
    <w:p w14:paraId="4ACC5CFF">
      <w:pPr>
        <w:pStyle w:val="29"/>
        <w:numPr>
          <w:ilvl w:val="2"/>
          <w:numId w:val="72"/>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与供应商的法定代表人或者负责人有夫妻、直系血亲、三代以内旁系血亲或者近姻亲关系；</w:t>
      </w:r>
    </w:p>
    <w:p w14:paraId="1D18724A">
      <w:pPr>
        <w:pStyle w:val="29"/>
        <w:numPr>
          <w:ilvl w:val="2"/>
          <w:numId w:val="72"/>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color w:val="auto"/>
          <w:szCs w:val="21"/>
          <w:highlight w:val="none"/>
          <w:lang w:eastAsia="zh-TW"/>
        </w:rPr>
        <w:t>与供应商有其他可能影响政府采购活动公平、公正进行的关系。</w:t>
      </w:r>
    </w:p>
    <w:p w14:paraId="6D921988">
      <w:pPr>
        <w:pStyle w:val="29"/>
        <w:numPr>
          <w:ilvl w:val="1"/>
          <w:numId w:val="71"/>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评标委员会负责具体评标事务，并独立履行下列职责：</w:t>
      </w:r>
    </w:p>
    <w:p w14:paraId="18EA5E69">
      <w:pPr>
        <w:pStyle w:val="29"/>
        <w:widowControl/>
        <w:numPr>
          <w:ilvl w:val="2"/>
          <w:numId w:val="71"/>
        </w:numPr>
        <w:spacing w:line="360" w:lineRule="auto"/>
        <w:ind w:firstLineChars="0"/>
        <w:jc w:val="left"/>
        <w:rPr>
          <w:rFonts w:hint="eastAsia" w:ascii="黑体" w:hAnsi="黑体" w:eastAsia="黑体" w:cs="黑体"/>
          <w:color w:val="auto"/>
          <w:szCs w:val="21"/>
          <w:highlight w:val="none"/>
          <w:lang w:eastAsia="zh-TW"/>
        </w:rPr>
      </w:pPr>
      <w:r>
        <w:rPr>
          <w:rFonts w:hint="eastAsia" w:ascii="黑体" w:hAnsi="黑体" w:eastAsia="黑体" w:cs="黑体"/>
          <w:color w:val="auto"/>
          <w:szCs w:val="21"/>
          <w:highlight w:val="none"/>
          <w:lang w:eastAsia="zh-TW"/>
        </w:rPr>
        <w:t>审查、评价投标文件是否符合招标文件的商务、技术等实质性要求；</w:t>
      </w:r>
    </w:p>
    <w:p w14:paraId="72349A1D">
      <w:pPr>
        <w:pStyle w:val="29"/>
        <w:widowControl/>
        <w:numPr>
          <w:ilvl w:val="2"/>
          <w:numId w:val="71"/>
        </w:numPr>
        <w:spacing w:line="360" w:lineRule="auto"/>
        <w:ind w:firstLineChars="0"/>
        <w:jc w:val="left"/>
        <w:rPr>
          <w:rFonts w:hint="eastAsia" w:ascii="黑体" w:hAnsi="黑体" w:eastAsia="黑体" w:cs="黑体"/>
          <w:color w:val="auto"/>
          <w:szCs w:val="21"/>
          <w:highlight w:val="none"/>
          <w:lang w:eastAsia="zh-TW"/>
        </w:rPr>
      </w:pPr>
      <w:r>
        <w:rPr>
          <w:rFonts w:hint="eastAsia" w:ascii="黑体" w:hAnsi="黑体" w:eastAsia="黑体" w:cs="黑体"/>
          <w:color w:val="auto"/>
          <w:szCs w:val="21"/>
          <w:highlight w:val="none"/>
          <w:lang w:eastAsia="zh-TW"/>
        </w:rPr>
        <w:t>要求投标人对投标文件有关事项作出澄清或者说明；</w:t>
      </w:r>
    </w:p>
    <w:p w14:paraId="67093EAC">
      <w:pPr>
        <w:pStyle w:val="29"/>
        <w:widowControl/>
        <w:numPr>
          <w:ilvl w:val="2"/>
          <w:numId w:val="71"/>
        </w:numPr>
        <w:spacing w:line="360" w:lineRule="auto"/>
        <w:ind w:firstLineChars="0"/>
        <w:jc w:val="left"/>
        <w:rPr>
          <w:rFonts w:hint="eastAsia" w:ascii="黑体" w:hAnsi="黑体" w:eastAsia="黑体" w:cs="黑体"/>
          <w:color w:val="auto"/>
          <w:szCs w:val="21"/>
          <w:highlight w:val="none"/>
          <w:lang w:eastAsia="zh-TW"/>
        </w:rPr>
      </w:pPr>
      <w:r>
        <w:rPr>
          <w:rFonts w:hint="eastAsia" w:ascii="黑体" w:hAnsi="黑体" w:eastAsia="黑体" w:cs="黑体"/>
          <w:color w:val="auto"/>
          <w:szCs w:val="21"/>
          <w:highlight w:val="none"/>
          <w:lang w:eastAsia="zh-TW"/>
        </w:rPr>
        <w:t>对投标文件进行比较和评价；</w:t>
      </w:r>
    </w:p>
    <w:p w14:paraId="68B63B4D">
      <w:pPr>
        <w:pStyle w:val="29"/>
        <w:widowControl/>
        <w:numPr>
          <w:ilvl w:val="2"/>
          <w:numId w:val="71"/>
        </w:numPr>
        <w:spacing w:line="360" w:lineRule="auto"/>
        <w:ind w:firstLineChars="0"/>
        <w:jc w:val="left"/>
        <w:rPr>
          <w:rFonts w:hint="eastAsia" w:ascii="黑体" w:hAnsi="黑体" w:eastAsia="黑体" w:cs="黑体"/>
          <w:color w:val="auto"/>
          <w:szCs w:val="21"/>
          <w:highlight w:val="none"/>
          <w:lang w:eastAsia="zh-TW"/>
        </w:rPr>
      </w:pPr>
      <w:r>
        <w:rPr>
          <w:rFonts w:hint="eastAsia" w:ascii="黑体" w:hAnsi="黑体" w:eastAsia="黑体" w:cs="黑体"/>
          <w:color w:val="auto"/>
          <w:szCs w:val="21"/>
          <w:highlight w:val="none"/>
          <w:lang w:eastAsia="zh-TW"/>
        </w:rPr>
        <w:t>确定中标候选人名单，以及根据采购人委托直接确定中标人；</w:t>
      </w:r>
    </w:p>
    <w:p w14:paraId="320DEB9D">
      <w:pPr>
        <w:pStyle w:val="29"/>
        <w:widowControl/>
        <w:numPr>
          <w:ilvl w:val="2"/>
          <w:numId w:val="71"/>
        </w:numPr>
        <w:spacing w:line="360" w:lineRule="auto"/>
        <w:ind w:firstLineChars="0"/>
        <w:jc w:val="left"/>
        <w:rPr>
          <w:rFonts w:hint="eastAsia" w:ascii="黑体" w:hAnsi="黑体" w:eastAsia="黑体" w:cs="黑体"/>
          <w:color w:val="auto"/>
          <w:szCs w:val="21"/>
          <w:highlight w:val="none"/>
          <w:lang w:eastAsia="zh-TW"/>
        </w:rPr>
      </w:pPr>
      <w:r>
        <w:rPr>
          <w:rFonts w:hint="eastAsia" w:ascii="黑体" w:hAnsi="黑体" w:eastAsia="黑体" w:cs="黑体"/>
          <w:color w:val="auto"/>
          <w:szCs w:val="21"/>
          <w:highlight w:val="none"/>
          <w:lang w:eastAsia="zh-TW"/>
        </w:rPr>
        <w:t>向采购人、采购代理机构或者有关部门报告评标中发现的违法行为。</w:t>
      </w:r>
    </w:p>
    <w:p w14:paraId="5B14BC6D">
      <w:pPr>
        <w:pStyle w:val="29"/>
        <w:widowControl/>
        <w:numPr>
          <w:ilvl w:val="1"/>
          <w:numId w:val="71"/>
        </w:numPr>
        <w:spacing w:line="360" w:lineRule="auto"/>
        <w:ind w:firstLineChars="0"/>
        <w:jc w:val="left"/>
        <w:rPr>
          <w:rFonts w:hint="eastAsia" w:ascii="黑体" w:hAnsi="黑体" w:eastAsia="黑体" w:cs="黑体"/>
          <w:color w:val="auto"/>
          <w:szCs w:val="21"/>
          <w:highlight w:val="none"/>
          <w:lang w:eastAsia="zh-TW"/>
        </w:rPr>
      </w:pPr>
      <w:r>
        <w:rPr>
          <w:rFonts w:hint="eastAsia" w:ascii="黑体" w:hAnsi="黑体" w:eastAsia="黑体" w:cs="黑体"/>
          <w:color w:val="auto"/>
          <w:szCs w:val="21"/>
          <w:highlight w:val="none"/>
          <w:lang w:eastAsia="zh-TW"/>
        </w:rPr>
        <w:t>对于投标文件中含义不明确、同类问题表述不一致或者有明显文字和计算错误的内容，评标委员会应当以书面形式要求投标人作出必要的澄清、说明或者补正。</w:t>
      </w:r>
    </w:p>
    <w:p w14:paraId="62408CC7">
      <w:pPr>
        <w:pStyle w:val="29"/>
        <w:numPr>
          <w:ilvl w:val="1"/>
          <w:numId w:val="71"/>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评标委员会成员对需要共同认定的事项存在争议的，应当按照少数服从多数的原则作出结论。持不同意见的评标委员会成员应当在评标报告上签署不同意见及理由，否则视为同意评标报告。</w:t>
      </w:r>
    </w:p>
    <w:p w14:paraId="616591A5">
      <w:pPr>
        <w:pStyle w:val="29"/>
        <w:numPr>
          <w:ilvl w:val="1"/>
          <w:numId w:val="71"/>
        </w:numPr>
        <w:spacing w:line="360" w:lineRule="auto"/>
        <w:ind w:firstLineChars="0"/>
        <w:rPr>
          <w:rFonts w:hint="eastAsia" w:ascii="黑体" w:hAnsi="黑体" w:eastAsia="黑体" w:cs="黑体"/>
          <w:bCs/>
          <w:color w:val="auto"/>
          <w:spacing w:val="-4"/>
          <w:szCs w:val="21"/>
          <w:highlight w:val="none"/>
        </w:rPr>
      </w:pPr>
      <w:r>
        <w:rPr>
          <w:rFonts w:hint="eastAsia" w:ascii="黑体" w:hAnsi="黑体" w:eastAsia="黑体" w:cs="黑体"/>
          <w:bCs/>
          <w:color w:val="auto"/>
          <w:spacing w:val="-4"/>
          <w:szCs w:val="21"/>
          <w:highlight w:val="none"/>
        </w:rPr>
        <w:t>参与评标工作的所有人员必须遵守</w:t>
      </w:r>
      <w:r>
        <w:rPr>
          <w:rFonts w:hint="eastAsia" w:ascii="黑体" w:hAnsi="黑体" w:eastAsia="黑体" w:cs="黑体"/>
          <w:color w:val="auto"/>
          <w:spacing w:val="-4"/>
          <w:szCs w:val="21"/>
          <w:highlight w:val="none"/>
        </w:rPr>
        <w:t>《中华人民共和国政府采购法》、《中华人民共和国政府采购法实施条例》、财政部《政府采购货物和服务招标投标管理办法》、广东省实施《中华人民共和国政府采购法》办法</w:t>
      </w:r>
      <w:r>
        <w:rPr>
          <w:rFonts w:hint="eastAsia" w:ascii="黑体" w:hAnsi="黑体" w:eastAsia="黑体" w:cs="黑体"/>
          <w:bCs/>
          <w:color w:val="auto"/>
          <w:spacing w:val="-4"/>
          <w:szCs w:val="21"/>
          <w:highlight w:val="none"/>
        </w:rPr>
        <w:t>及相关法律、法规的规定，以确保评标的公平、公正。</w:t>
      </w:r>
    </w:p>
    <w:p w14:paraId="1091619A">
      <w:pPr>
        <w:pStyle w:val="29"/>
        <w:numPr>
          <w:ilvl w:val="0"/>
          <w:numId w:val="70"/>
        </w:numPr>
        <w:spacing w:before="312" w:beforeLines="100" w:line="360" w:lineRule="auto"/>
        <w:ind w:firstLineChars="0"/>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评标方法</w:t>
      </w:r>
    </w:p>
    <w:p w14:paraId="345A11AF">
      <w:pPr>
        <w:pStyle w:val="29"/>
        <w:numPr>
          <w:ilvl w:val="1"/>
          <w:numId w:val="73"/>
        </w:numPr>
        <w:spacing w:line="360" w:lineRule="auto"/>
        <w:ind w:left="426" w:hanging="426"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本项目按照</w:t>
      </w:r>
      <w:r>
        <w:rPr>
          <w:rFonts w:hint="eastAsia" w:ascii="黑体" w:hAnsi="黑体" w:eastAsia="黑体" w:cs="黑体"/>
          <w:b/>
          <w:bCs/>
          <w:color w:val="auto"/>
          <w:szCs w:val="21"/>
          <w:highlight w:val="none"/>
          <w:u w:val="single"/>
        </w:rPr>
        <w:t>投标人须知前附表</w:t>
      </w:r>
      <w:r>
        <w:rPr>
          <w:rFonts w:hint="eastAsia" w:ascii="黑体" w:hAnsi="黑体" w:eastAsia="黑体" w:cs="黑体"/>
          <w:b/>
          <w:bCs/>
          <w:color w:val="auto"/>
          <w:szCs w:val="21"/>
          <w:highlight w:val="none"/>
        </w:rPr>
        <w:t>规定</w:t>
      </w:r>
      <w:r>
        <w:rPr>
          <w:rFonts w:hint="eastAsia" w:ascii="黑体" w:hAnsi="黑体" w:eastAsia="黑体" w:cs="黑体"/>
          <w:bCs/>
          <w:color w:val="auto"/>
          <w:szCs w:val="21"/>
          <w:highlight w:val="none"/>
        </w:rPr>
        <w:t>的评标方法进行评审。</w:t>
      </w:r>
    </w:p>
    <w:p w14:paraId="7E653E03">
      <w:pPr>
        <w:pStyle w:val="29"/>
        <w:numPr>
          <w:ilvl w:val="1"/>
          <w:numId w:val="73"/>
        </w:numPr>
        <w:spacing w:line="360" w:lineRule="auto"/>
        <w:ind w:left="426" w:hanging="426"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综合评分法：是指投标文件满足招标文件全部实质性要求，且按照评审因素的量化指标评审得分最高的投标人为中标候选人的评标方法。</w:t>
      </w:r>
    </w:p>
    <w:p w14:paraId="0D08F852">
      <w:pPr>
        <w:pStyle w:val="29"/>
        <w:numPr>
          <w:ilvl w:val="0"/>
          <w:numId w:val="74"/>
        </w:numPr>
        <w:tabs>
          <w:tab w:val="left" w:pos="567"/>
        </w:tabs>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各项得分按四舍五入原则精确到小数点后两位。</w:t>
      </w:r>
    </w:p>
    <w:p w14:paraId="0E5406ED">
      <w:pPr>
        <w:pStyle w:val="29"/>
        <w:numPr>
          <w:ilvl w:val="0"/>
          <w:numId w:val="70"/>
        </w:numPr>
        <w:spacing w:before="312" w:beforeLines="100" w:line="360" w:lineRule="auto"/>
        <w:ind w:firstLineChars="0"/>
        <w:rPr>
          <w:rFonts w:hint="eastAsia" w:ascii="黑体" w:hAnsi="黑体" w:eastAsia="黑体" w:cs="黑体"/>
          <w:bCs/>
          <w:color w:val="auto"/>
          <w:szCs w:val="21"/>
          <w:highlight w:val="none"/>
        </w:rPr>
      </w:pPr>
      <w:r>
        <w:rPr>
          <w:rFonts w:hint="eastAsia" w:ascii="黑体" w:hAnsi="黑体" w:eastAsia="黑体" w:cs="黑体"/>
          <w:b/>
          <w:bCs/>
          <w:color w:val="auto"/>
          <w:szCs w:val="21"/>
          <w:highlight w:val="none"/>
        </w:rPr>
        <w:t>评标步骤</w:t>
      </w:r>
    </w:p>
    <w:p w14:paraId="489A7336">
      <w:pPr>
        <w:pStyle w:val="29"/>
        <w:numPr>
          <w:ilvl w:val="1"/>
          <w:numId w:val="75"/>
        </w:numPr>
        <w:spacing w:line="360" w:lineRule="auto"/>
        <w:ind w:left="426" w:hanging="426" w:firstLineChars="0"/>
        <w:rPr>
          <w:rFonts w:hint="eastAsia" w:ascii="黑体" w:hAnsi="黑体" w:eastAsia="黑体" w:cs="黑体"/>
          <w:color w:val="auto"/>
          <w:highlight w:val="none"/>
        </w:rPr>
      </w:pPr>
      <w:r>
        <w:rPr>
          <w:rFonts w:hint="eastAsia" w:ascii="黑体" w:hAnsi="黑体" w:eastAsia="黑体" w:cs="黑体"/>
          <w:bCs/>
          <w:color w:val="auto"/>
          <w:szCs w:val="21"/>
          <w:highlight w:val="none"/>
        </w:rPr>
        <w:t>综合评分法：</w:t>
      </w:r>
      <w:bookmarkStart w:id="52" w:name="_Hlk81182166"/>
      <w:bookmarkStart w:id="53" w:name="_Hlk81181953"/>
      <w:r>
        <w:rPr>
          <w:rFonts w:hint="eastAsia" w:ascii="黑体" w:hAnsi="黑体" w:eastAsia="黑体" w:cs="黑体"/>
          <w:bCs/>
          <w:color w:val="auto"/>
          <w:szCs w:val="21"/>
          <w:highlight w:val="none"/>
        </w:rPr>
        <w:t>公开招标采购项目开标结束后，采购人或者采购代理机构应当依法对投标人的资格进行审查</w:t>
      </w:r>
      <w:bookmarkEnd w:id="52"/>
      <w:r>
        <w:rPr>
          <w:rFonts w:hint="eastAsia" w:ascii="黑体" w:hAnsi="黑体" w:eastAsia="黑体" w:cs="黑体"/>
          <w:color w:val="auto"/>
          <w:highlight w:val="none"/>
        </w:rPr>
        <w:t>（</w:t>
      </w:r>
      <w:bookmarkStart w:id="54" w:name="_Hlk79425785"/>
      <w:r>
        <w:rPr>
          <w:rFonts w:hint="eastAsia" w:ascii="黑体" w:hAnsi="黑体" w:eastAsia="黑体" w:cs="黑体"/>
          <w:color w:val="auto"/>
          <w:highlight w:val="none"/>
        </w:rPr>
        <w:t>详见附表一资格性审查表</w:t>
      </w:r>
      <w:bookmarkEnd w:id="54"/>
      <w:r>
        <w:rPr>
          <w:rFonts w:hint="eastAsia" w:ascii="黑体" w:hAnsi="黑体" w:eastAsia="黑体" w:cs="黑体"/>
          <w:color w:val="auto"/>
          <w:highlight w:val="none"/>
        </w:rPr>
        <w:t>），通过资格性审查的投标人由评标委员会对其投标文件进行符合性评审（</w:t>
      </w:r>
      <w:bookmarkStart w:id="55" w:name="_Hlk79425810"/>
      <w:r>
        <w:rPr>
          <w:rFonts w:hint="eastAsia" w:ascii="黑体" w:hAnsi="黑体" w:eastAsia="黑体" w:cs="黑体"/>
          <w:color w:val="auto"/>
          <w:highlight w:val="none"/>
        </w:rPr>
        <w:t>详见附表二符合性审查表</w:t>
      </w:r>
      <w:bookmarkEnd w:id="55"/>
      <w:r>
        <w:rPr>
          <w:rFonts w:hint="eastAsia" w:ascii="黑体" w:hAnsi="黑体" w:eastAsia="黑体" w:cs="黑体"/>
          <w:color w:val="auto"/>
          <w:highlight w:val="none"/>
        </w:rPr>
        <w:t>），</w:t>
      </w:r>
      <w:bookmarkStart w:id="56" w:name="_Hlk81182229"/>
      <w:r>
        <w:rPr>
          <w:rFonts w:hint="eastAsia" w:ascii="黑体" w:hAnsi="黑体" w:eastAsia="黑体" w:cs="黑体"/>
          <w:color w:val="auto"/>
          <w:highlight w:val="none"/>
        </w:rPr>
        <w:t>只有通过符合性审查的投标</w:t>
      </w:r>
      <w:bookmarkEnd w:id="56"/>
      <w:r>
        <w:rPr>
          <w:rFonts w:hint="eastAsia" w:ascii="黑体" w:hAnsi="黑体" w:eastAsia="黑体" w:cs="黑体"/>
          <w:color w:val="auto"/>
          <w:highlight w:val="none"/>
        </w:rPr>
        <w:t>才能进入详细的评审和价格评审，</w:t>
      </w:r>
      <w:bookmarkEnd w:id="53"/>
      <w:r>
        <w:rPr>
          <w:rFonts w:hint="eastAsia" w:ascii="黑体" w:hAnsi="黑体" w:eastAsia="黑体" w:cs="黑体"/>
          <w:color w:val="auto"/>
          <w:highlight w:val="none"/>
        </w:rPr>
        <w:t>最后评标委员会出具评标报告。</w:t>
      </w:r>
    </w:p>
    <w:p w14:paraId="436DB772">
      <w:pPr>
        <w:pStyle w:val="29"/>
        <w:numPr>
          <w:ilvl w:val="1"/>
          <w:numId w:val="75"/>
        </w:numPr>
        <w:spacing w:line="360" w:lineRule="auto"/>
        <w:ind w:left="426" w:hanging="426" w:firstLineChars="0"/>
        <w:rPr>
          <w:rFonts w:hint="eastAsia" w:ascii="黑体" w:hAnsi="黑体" w:eastAsia="黑体" w:cs="黑体"/>
          <w:color w:val="auto"/>
          <w:highlight w:val="none"/>
        </w:rPr>
      </w:pPr>
      <w:r>
        <w:rPr>
          <w:rFonts w:hint="eastAsia" w:ascii="黑体" w:hAnsi="黑体" w:eastAsia="黑体" w:cs="黑体"/>
          <w:color w:val="auto"/>
          <w:highlight w:val="none"/>
        </w:rPr>
        <w:t>评标时，评标委员会各成员应当独立对每个投标人的投标文件进行评价，并汇总每个投</w:t>
      </w:r>
    </w:p>
    <w:p w14:paraId="3B42FA31">
      <w:pPr>
        <w:pStyle w:val="29"/>
        <w:spacing w:line="360" w:lineRule="auto"/>
        <w:ind w:left="426" w:firstLine="0" w:firstLineChars="0"/>
        <w:rPr>
          <w:rFonts w:hint="eastAsia" w:ascii="黑体" w:hAnsi="黑体" w:eastAsia="黑体" w:cs="黑体"/>
          <w:color w:val="auto"/>
          <w:highlight w:val="none"/>
        </w:rPr>
      </w:pPr>
      <w:r>
        <w:rPr>
          <w:rFonts w:hint="eastAsia" w:ascii="黑体" w:hAnsi="黑体" w:eastAsia="黑体" w:cs="黑体"/>
          <w:color w:val="auto"/>
          <w:highlight w:val="none"/>
        </w:rPr>
        <w:t>标人的得分。</w:t>
      </w:r>
    </w:p>
    <w:p w14:paraId="03A8930A">
      <w:pPr>
        <w:pStyle w:val="29"/>
        <w:numPr>
          <w:ilvl w:val="1"/>
          <w:numId w:val="75"/>
        </w:numPr>
        <w:spacing w:line="360" w:lineRule="auto"/>
        <w:ind w:left="426" w:hanging="426" w:firstLineChars="0"/>
        <w:rPr>
          <w:rFonts w:hint="eastAsia" w:ascii="黑体" w:hAnsi="黑体" w:eastAsia="黑体" w:cs="黑体"/>
          <w:color w:val="auto"/>
          <w:highlight w:val="none"/>
        </w:rPr>
      </w:pPr>
      <w:r>
        <w:rPr>
          <w:rFonts w:hint="eastAsia" w:ascii="黑体" w:hAnsi="黑体" w:eastAsia="黑体" w:cs="黑体"/>
          <w:color w:val="auto"/>
          <w:highlight w:val="none"/>
        </w:rPr>
        <w:t>评标过程中，不得去掉报价中的最高报价和最低报价。</w:t>
      </w:r>
    </w:p>
    <w:p w14:paraId="7F787DDD">
      <w:pPr>
        <w:pStyle w:val="29"/>
        <w:numPr>
          <w:ilvl w:val="0"/>
          <w:numId w:val="69"/>
        </w:numPr>
        <w:spacing w:before="312" w:beforeLines="100" w:line="360" w:lineRule="auto"/>
        <w:ind w:firstLineChars="0"/>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投标无效的情形</w:t>
      </w:r>
    </w:p>
    <w:p w14:paraId="4C818311">
      <w:pPr>
        <w:pStyle w:val="29"/>
        <w:numPr>
          <w:ilvl w:val="0"/>
          <w:numId w:val="70"/>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详见资格性审查、符合性审查和招标文件其他投标无效条款。</w:t>
      </w:r>
    </w:p>
    <w:p w14:paraId="4BFF0D14">
      <w:pPr>
        <w:pStyle w:val="29"/>
        <w:numPr>
          <w:ilvl w:val="0"/>
          <w:numId w:val="69"/>
        </w:numPr>
        <w:spacing w:before="312" w:beforeLines="100" w:line="360" w:lineRule="auto"/>
        <w:ind w:firstLineChars="0"/>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详细评审</w:t>
      </w:r>
    </w:p>
    <w:p w14:paraId="12A593FB">
      <w:pPr>
        <w:pStyle w:val="29"/>
        <w:numPr>
          <w:ilvl w:val="0"/>
          <w:numId w:val="70"/>
        </w:numPr>
        <w:tabs>
          <w:tab w:val="left" w:pos="426"/>
        </w:tabs>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评标委员会应当按照招标文件中规定的评标方法和标准，对符合性审查合格的投标文件进行商务和技术评估，综合比较与评价。具体商务、技术部分的</w:t>
      </w:r>
      <w:bookmarkStart w:id="57" w:name="_Hlk75740750"/>
      <w:r>
        <w:rPr>
          <w:rFonts w:hint="eastAsia" w:ascii="黑体" w:hAnsi="黑体" w:eastAsia="黑体" w:cs="黑体"/>
          <w:bCs/>
          <w:color w:val="auto"/>
          <w:szCs w:val="21"/>
          <w:highlight w:val="none"/>
        </w:rPr>
        <w:t>评审</w:t>
      </w:r>
      <w:bookmarkEnd w:id="57"/>
      <w:r>
        <w:rPr>
          <w:rFonts w:hint="eastAsia" w:ascii="黑体" w:hAnsi="黑体" w:eastAsia="黑体" w:cs="黑体"/>
          <w:bCs/>
          <w:color w:val="auto"/>
          <w:szCs w:val="21"/>
          <w:highlight w:val="none"/>
        </w:rPr>
        <w:t>因素详见</w:t>
      </w:r>
      <w:r>
        <w:rPr>
          <w:rFonts w:hint="eastAsia" w:ascii="黑体" w:hAnsi="黑体" w:eastAsia="黑体" w:cs="黑体"/>
          <w:color w:val="auto"/>
          <w:highlight w:val="none"/>
        </w:rPr>
        <w:t>《商务、技术评审细则》（附表三）。</w:t>
      </w:r>
    </w:p>
    <w:p w14:paraId="752AC43F">
      <w:pPr>
        <w:pStyle w:val="29"/>
        <w:numPr>
          <w:ilvl w:val="0"/>
          <w:numId w:val="69"/>
        </w:numPr>
        <w:spacing w:before="312" w:beforeLines="100" w:line="360" w:lineRule="auto"/>
        <w:ind w:firstLineChars="0"/>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价格评审</w:t>
      </w:r>
    </w:p>
    <w:p w14:paraId="04B78A58">
      <w:pPr>
        <w:pStyle w:val="29"/>
        <w:numPr>
          <w:ilvl w:val="0"/>
          <w:numId w:val="70"/>
        </w:numPr>
        <w:tabs>
          <w:tab w:val="left" w:pos="426"/>
        </w:tabs>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投标文件报价出现前后不一致的，除招标文件另有规定外，按照下列规定修正：</w:t>
      </w:r>
    </w:p>
    <w:p w14:paraId="1043035A">
      <w:pPr>
        <w:pStyle w:val="29"/>
        <w:numPr>
          <w:ilvl w:val="1"/>
          <w:numId w:val="76"/>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color w:val="auto"/>
          <w:highlight w:val="none"/>
        </w:rPr>
        <w:t>投标文件中开标一览表（报价表）内容与投标文件中相应内容不一致的，以开标一览表（报价表）为准；</w:t>
      </w:r>
    </w:p>
    <w:p w14:paraId="75E43BB4">
      <w:pPr>
        <w:pStyle w:val="29"/>
        <w:numPr>
          <w:ilvl w:val="1"/>
          <w:numId w:val="76"/>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大写金额和小写金额不一致的，以大写金额为准；</w:t>
      </w:r>
    </w:p>
    <w:p w14:paraId="4FD36871">
      <w:pPr>
        <w:pStyle w:val="29"/>
        <w:numPr>
          <w:ilvl w:val="1"/>
          <w:numId w:val="76"/>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单价金额小数点或者百分比有明显错位的，以开标一览表的总价为准，并修改单价；</w:t>
      </w:r>
    </w:p>
    <w:p w14:paraId="7C5AA139">
      <w:pPr>
        <w:pStyle w:val="29"/>
        <w:numPr>
          <w:ilvl w:val="1"/>
          <w:numId w:val="76"/>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总价金额与按单价汇总金额不一致的，以单价金额计算结果为准。</w:t>
      </w:r>
    </w:p>
    <w:p w14:paraId="3BE7F04F">
      <w:pPr>
        <w:pStyle w:val="29"/>
        <w:tabs>
          <w:tab w:val="left" w:pos="426"/>
        </w:tabs>
        <w:spacing w:line="360" w:lineRule="auto"/>
        <w:ind w:left="567" w:firstLine="0"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同时出现两种以上不一致的，按照前款规定的顺序修正。修正后的报价</w:t>
      </w:r>
      <w:r>
        <w:rPr>
          <w:rFonts w:hint="eastAsia" w:ascii="黑体" w:hAnsi="黑体" w:eastAsia="黑体" w:cs="黑体"/>
          <w:color w:val="auto"/>
          <w:szCs w:val="21"/>
          <w:highlight w:val="none"/>
          <w:lang w:eastAsia="zh-TW"/>
        </w:rPr>
        <w:t>按照《政府采购货物和服务招标投标管理办法》第五十一条第二款的规定</w:t>
      </w:r>
      <w:r>
        <w:rPr>
          <w:rFonts w:hint="eastAsia" w:ascii="黑体" w:hAnsi="黑体" w:eastAsia="黑体" w:cs="黑体"/>
          <w:bCs/>
          <w:color w:val="auto"/>
          <w:szCs w:val="21"/>
          <w:highlight w:val="none"/>
        </w:rPr>
        <w:t>经投标人确认后产生约束力，投标人不确认的，其投标无效。</w:t>
      </w:r>
    </w:p>
    <w:p w14:paraId="204604FE">
      <w:pPr>
        <w:pStyle w:val="29"/>
        <w:numPr>
          <w:ilvl w:val="1"/>
          <w:numId w:val="76"/>
        </w:numPr>
        <w:spacing w:line="360" w:lineRule="auto"/>
        <w:ind w:firstLineChars="0"/>
        <w:rPr>
          <w:rFonts w:hint="eastAsia" w:ascii="黑体" w:hAnsi="黑体" w:eastAsia="黑体" w:cs="黑体"/>
          <w:bCs/>
          <w:color w:val="auto"/>
          <w:szCs w:val="21"/>
          <w:highlight w:val="none"/>
        </w:rPr>
      </w:pPr>
      <w:bookmarkStart w:id="58" w:name="_Hlk86745538"/>
      <w:r>
        <w:rPr>
          <w:rFonts w:hint="eastAsia" w:ascii="黑体" w:hAnsi="黑体" w:eastAsia="黑体" w:cs="黑体"/>
          <w:bCs/>
          <w:color w:val="auto"/>
          <w:szCs w:val="21"/>
          <w:highlight w:val="none"/>
        </w:rPr>
        <w:t>投标文件中</w:t>
      </w:r>
      <w:bookmarkStart w:id="59" w:name="_Hlk81348653"/>
      <w:r>
        <w:rPr>
          <w:rFonts w:hint="eastAsia" w:ascii="黑体" w:hAnsi="黑体" w:eastAsia="黑体" w:cs="黑体"/>
          <w:bCs/>
          <w:color w:val="auto"/>
          <w:szCs w:val="21"/>
          <w:highlight w:val="none"/>
        </w:rPr>
        <w:t>开标一览表（报价表）、</w:t>
      </w:r>
      <w:r>
        <w:rPr>
          <w:rFonts w:hint="eastAsia" w:ascii="黑体" w:hAnsi="黑体" w:eastAsia="黑体" w:cs="黑体"/>
          <w:color w:val="auto"/>
          <w:szCs w:val="21"/>
          <w:highlight w:val="none"/>
        </w:rPr>
        <w:t>分项报价表</w:t>
      </w:r>
      <w:r>
        <w:rPr>
          <w:rFonts w:hint="eastAsia" w:ascii="黑体" w:hAnsi="黑体" w:eastAsia="黑体" w:cs="黑体"/>
          <w:bCs/>
          <w:color w:val="auto"/>
          <w:szCs w:val="21"/>
          <w:highlight w:val="none"/>
        </w:rPr>
        <w:t>内容</w:t>
      </w:r>
      <w:bookmarkEnd w:id="59"/>
      <w:r>
        <w:rPr>
          <w:rFonts w:hint="eastAsia" w:ascii="黑体" w:hAnsi="黑体" w:eastAsia="黑体" w:cs="黑体"/>
          <w:bCs/>
          <w:color w:val="auto"/>
          <w:szCs w:val="21"/>
          <w:highlight w:val="none"/>
        </w:rPr>
        <w:t>与唱标信封中开标一览表（报价表、</w:t>
      </w:r>
      <w:r>
        <w:rPr>
          <w:rFonts w:hint="eastAsia" w:ascii="黑体" w:hAnsi="黑体" w:eastAsia="黑体" w:cs="黑体"/>
          <w:color w:val="auto"/>
          <w:szCs w:val="21"/>
          <w:highlight w:val="none"/>
        </w:rPr>
        <w:t>分项报价报</w:t>
      </w:r>
      <w:r>
        <w:rPr>
          <w:rFonts w:hint="eastAsia" w:ascii="黑体" w:hAnsi="黑体" w:eastAsia="黑体" w:cs="黑体"/>
          <w:bCs/>
          <w:color w:val="auto"/>
          <w:szCs w:val="21"/>
          <w:highlight w:val="none"/>
        </w:rPr>
        <w:t>内容不一致的，以唱标信封中开标一览表（报价表）、</w:t>
      </w:r>
      <w:r>
        <w:rPr>
          <w:rFonts w:hint="eastAsia" w:ascii="黑体" w:hAnsi="黑体" w:eastAsia="黑体" w:cs="黑体"/>
          <w:color w:val="auto"/>
          <w:szCs w:val="21"/>
          <w:highlight w:val="none"/>
        </w:rPr>
        <w:t>分项报价表</w:t>
      </w:r>
      <w:r>
        <w:rPr>
          <w:rFonts w:hint="eastAsia" w:ascii="黑体" w:hAnsi="黑体" w:eastAsia="黑体" w:cs="黑体"/>
          <w:bCs/>
          <w:color w:val="auto"/>
          <w:szCs w:val="21"/>
          <w:highlight w:val="none"/>
        </w:rPr>
        <w:t>内容为准。</w:t>
      </w:r>
    </w:p>
    <w:bookmarkEnd w:id="58"/>
    <w:p w14:paraId="4BFAD00E">
      <w:pPr>
        <w:pStyle w:val="29"/>
        <w:numPr>
          <w:ilvl w:val="0"/>
          <w:numId w:val="70"/>
        </w:numPr>
        <w:tabs>
          <w:tab w:val="left" w:pos="426"/>
        </w:tabs>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700C7C41">
      <w:pPr>
        <w:pStyle w:val="29"/>
        <w:numPr>
          <w:ilvl w:val="0"/>
          <w:numId w:val="70"/>
        </w:numPr>
        <w:tabs>
          <w:tab w:val="left" w:pos="426"/>
        </w:tabs>
        <w:spacing w:before="312" w:beforeLines="100" w:line="360" w:lineRule="auto"/>
        <w:ind w:firstLineChars="0"/>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政府采购政策落实</w:t>
      </w:r>
    </w:p>
    <w:p w14:paraId="5147004C">
      <w:pPr>
        <w:pStyle w:val="29"/>
        <w:numPr>
          <w:ilvl w:val="1"/>
          <w:numId w:val="77"/>
        </w:numPr>
        <w:spacing w:line="360" w:lineRule="auto"/>
        <w:ind w:firstLineChars="0"/>
        <w:rPr>
          <w:rFonts w:hint="eastAsia" w:ascii="黑体" w:hAnsi="黑体" w:eastAsia="黑体" w:cs="黑体"/>
          <w:b/>
          <w:color w:val="auto"/>
          <w:highlight w:val="none"/>
        </w:rPr>
      </w:pPr>
      <w:r>
        <w:rPr>
          <w:rFonts w:hint="eastAsia" w:ascii="黑体" w:hAnsi="黑体" w:eastAsia="黑体" w:cs="黑体"/>
          <w:b/>
          <w:color w:val="auto"/>
          <w:highlight w:val="none"/>
        </w:rPr>
        <w:t>节能产品、环境标志产品价格扣除：</w:t>
      </w:r>
    </w:p>
    <w:p w14:paraId="2BE34624">
      <w:pPr>
        <w:pStyle w:val="29"/>
        <w:numPr>
          <w:ilvl w:val="0"/>
          <w:numId w:val="78"/>
        </w:numPr>
        <w:spacing w:line="360" w:lineRule="auto"/>
        <w:ind w:left="420" w:leftChars="0" w:hanging="420"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投标产品(针对非政府强制采购产品)纳入财政部、发展改革委颁发最新节能产品政府采购品目清单的，</w:t>
      </w:r>
      <w:r>
        <w:rPr>
          <w:rFonts w:hint="eastAsia" w:ascii="黑体" w:hAnsi="黑体" w:eastAsia="黑体" w:cs="黑体"/>
          <w:bCs/>
          <w:color w:val="auto"/>
          <w:highlight w:val="none"/>
        </w:rPr>
        <w:t>对</w:t>
      </w:r>
      <w:r>
        <w:rPr>
          <w:rFonts w:hint="eastAsia" w:ascii="黑体" w:hAnsi="黑体" w:eastAsia="黑体" w:cs="黑体"/>
          <w:color w:val="auto"/>
          <w:szCs w:val="21"/>
          <w:highlight w:val="none"/>
        </w:rPr>
        <w:t>节能</w:t>
      </w:r>
      <w:r>
        <w:rPr>
          <w:rFonts w:hint="eastAsia" w:ascii="黑体" w:hAnsi="黑体" w:eastAsia="黑体" w:cs="黑体"/>
          <w:bCs/>
          <w:color w:val="auto"/>
          <w:highlight w:val="none"/>
        </w:rPr>
        <w:t>产品的价格给予1%的扣除，用扣除后的价格参与评审。（</w:t>
      </w:r>
      <w:r>
        <w:rPr>
          <w:rFonts w:hint="eastAsia" w:ascii="黑体" w:hAnsi="黑体" w:eastAsia="黑体" w:cs="黑体"/>
          <w:color w:val="auto"/>
          <w:szCs w:val="21"/>
          <w:highlight w:val="none"/>
        </w:rPr>
        <w:t>提供投标产品有效期内的节能产品认证证书复印件加盖投标人公章）。</w:t>
      </w:r>
    </w:p>
    <w:p w14:paraId="4906A772">
      <w:pPr>
        <w:pStyle w:val="29"/>
        <w:numPr>
          <w:ilvl w:val="0"/>
          <w:numId w:val="78"/>
        </w:numPr>
        <w:spacing w:line="360" w:lineRule="auto"/>
        <w:ind w:left="420" w:leftChars="0" w:hanging="420"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投标产品纳入财政部、环境保护部颁布最新环境标志产品政府采购品目清单的，</w:t>
      </w:r>
      <w:r>
        <w:rPr>
          <w:rFonts w:hint="eastAsia" w:ascii="黑体" w:hAnsi="黑体" w:eastAsia="黑体" w:cs="黑体"/>
          <w:bCs/>
          <w:color w:val="auto"/>
          <w:highlight w:val="none"/>
        </w:rPr>
        <w:t>对</w:t>
      </w:r>
      <w:r>
        <w:rPr>
          <w:rFonts w:hint="eastAsia" w:ascii="黑体" w:hAnsi="黑体" w:eastAsia="黑体" w:cs="黑体"/>
          <w:color w:val="auto"/>
          <w:szCs w:val="21"/>
          <w:highlight w:val="none"/>
        </w:rPr>
        <w:t>环境标志产品</w:t>
      </w:r>
      <w:r>
        <w:rPr>
          <w:rFonts w:hint="eastAsia" w:ascii="黑体" w:hAnsi="黑体" w:eastAsia="黑体" w:cs="黑体"/>
          <w:bCs/>
          <w:color w:val="auto"/>
          <w:highlight w:val="none"/>
        </w:rPr>
        <w:t>的价格给予1%的扣除，用扣除后的价格参与评审。（</w:t>
      </w:r>
      <w:r>
        <w:rPr>
          <w:rFonts w:hint="eastAsia" w:ascii="黑体" w:hAnsi="黑体" w:eastAsia="黑体" w:cs="黑体"/>
          <w:color w:val="auto"/>
          <w:szCs w:val="21"/>
          <w:highlight w:val="none"/>
        </w:rPr>
        <w:t>提供投标产品有效期内的环境标志产品认证证书复印件加盖投标人公章）。</w:t>
      </w:r>
    </w:p>
    <w:p w14:paraId="1F52AE7C">
      <w:pPr>
        <w:pStyle w:val="29"/>
        <w:numPr>
          <w:ilvl w:val="1"/>
          <w:numId w:val="77"/>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价格分应当采用低价优先法计算，即满足招标文件要求且投标价格最低的投标报价为评标基准价，其价格分为满分。其他投标人的价格分统一按照下列公式计算：</w:t>
      </w:r>
    </w:p>
    <w:p w14:paraId="41FC9E5E">
      <w:pPr>
        <w:pStyle w:val="29"/>
        <w:spacing w:line="360" w:lineRule="auto"/>
        <w:ind w:left="567" w:firstLine="0" w:firstLineChars="0"/>
        <w:jc w:val="left"/>
        <w:rPr>
          <w:rFonts w:hint="eastAsia" w:ascii="黑体" w:hAnsi="黑体" w:eastAsia="黑体" w:cs="黑体"/>
          <w:color w:val="auto"/>
          <w:highlight w:val="none"/>
        </w:rPr>
      </w:pPr>
      <w:r>
        <w:rPr>
          <w:rFonts w:hint="eastAsia" w:ascii="黑体" w:hAnsi="黑体" w:eastAsia="黑体" w:cs="黑体"/>
          <w:bCs/>
          <w:color w:val="auto"/>
          <w:szCs w:val="21"/>
          <w:highlight w:val="none"/>
        </w:rPr>
        <w:t>投标人价格得分=(评标基准价／投标报价)×</w:t>
      </w:r>
      <w:r>
        <w:rPr>
          <w:rFonts w:hint="eastAsia" w:ascii="黑体" w:hAnsi="黑体" w:eastAsia="黑体" w:cs="黑体"/>
          <w:color w:val="auto"/>
          <w:highlight w:val="none"/>
        </w:rPr>
        <w:t>价格权值</w:t>
      </w:r>
      <w:r>
        <w:rPr>
          <w:rFonts w:hint="eastAsia" w:ascii="黑体" w:hAnsi="黑体" w:eastAsia="黑体" w:cs="黑体"/>
          <w:bCs/>
          <w:color w:val="auto"/>
          <w:szCs w:val="21"/>
          <w:highlight w:val="none"/>
        </w:rPr>
        <w:t>×100</w:t>
      </w:r>
    </w:p>
    <w:p w14:paraId="255C9D9E">
      <w:pPr>
        <w:tabs>
          <w:tab w:val="left" w:pos="567"/>
        </w:tabs>
        <w:spacing w:line="360" w:lineRule="auto"/>
        <w:ind w:firstLine="565" w:firstLineChars="280"/>
        <w:jc w:val="left"/>
        <w:rPr>
          <w:rFonts w:hint="eastAsia" w:ascii="黑体" w:hAnsi="黑体" w:eastAsia="黑体" w:cs="黑体"/>
          <w:bCs/>
          <w:color w:val="auto"/>
          <w:spacing w:val="-4"/>
          <w:szCs w:val="21"/>
          <w:highlight w:val="none"/>
        </w:rPr>
      </w:pPr>
      <w:r>
        <w:rPr>
          <w:rFonts w:hint="eastAsia" w:ascii="黑体" w:hAnsi="黑体" w:eastAsia="黑体" w:cs="黑体"/>
          <w:bCs/>
          <w:color w:val="auto"/>
          <w:spacing w:val="-4"/>
          <w:szCs w:val="21"/>
          <w:highlight w:val="none"/>
        </w:rPr>
        <w:t>注：因落实政府采购政策进行价格调整的，以调整后的价格计算评标基准价和投标报价。</w:t>
      </w:r>
    </w:p>
    <w:p w14:paraId="6D178A64">
      <w:pPr>
        <w:pStyle w:val="29"/>
        <w:numPr>
          <w:ilvl w:val="0"/>
          <w:numId w:val="70"/>
        </w:numPr>
        <w:tabs>
          <w:tab w:val="left" w:pos="426"/>
        </w:tabs>
        <w:spacing w:before="156" w:beforeLines="50" w:after="156" w:afterLines="50" w:line="360" w:lineRule="auto"/>
        <w:ind w:firstLineChars="0"/>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商务技术及价格评分</w:t>
      </w:r>
      <w:r>
        <w:rPr>
          <w:rFonts w:hint="eastAsia" w:ascii="黑体" w:hAnsi="黑体" w:eastAsia="黑体" w:cs="黑体"/>
          <w:b/>
          <w:bCs/>
          <w:color w:val="auto"/>
          <w:highlight w:val="none"/>
        </w:rPr>
        <w:t>权值</w:t>
      </w:r>
      <w:r>
        <w:rPr>
          <w:rFonts w:hint="eastAsia" w:ascii="黑体" w:hAnsi="黑体" w:eastAsia="黑体" w:cs="黑体"/>
          <w:b/>
          <w:bCs/>
          <w:color w:val="auto"/>
          <w:szCs w:val="21"/>
          <w:highlight w:val="none"/>
        </w:rPr>
        <w:t>分配</w:t>
      </w:r>
    </w:p>
    <w:tbl>
      <w:tblPr>
        <w:tblStyle w:val="19"/>
        <w:tblW w:w="5000"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711"/>
        <w:gridCol w:w="1897"/>
        <w:gridCol w:w="1895"/>
        <w:gridCol w:w="1895"/>
        <w:gridCol w:w="1369"/>
      </w:tblGrid>
      <w:tr w14:paraId="03B0222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6" w:type="pct"/>
            <w:vAlign w:val="center"/>
          </w:tcPr>
          <w:p w14:paraId="3B250FEC">
            <w:pPr>
              <w:jc w:val="center"/>
              <w:rPr>
                <w:rFonts w:hint="eastAsia" w:ascii="黑体" w:hAnsi="黑体" w:eastAsia="黑体" w:cs="黑体"/>
                <w:color w:val="auto"/>
                <w:highlight w:val="none"/>
              </w:rPr>
            </w:pPr>
            <w:r>
              <w:rPr>
                <w:rFonts w:hint="eastAsia" w:ascii="黑体" w:hAnsi="黑体" w:eastAsia="黑体" w:cs="黑体"/>
                <w:color w:val="auto"/>
                <w:highlight w:val="none"/>
              </w:rPr>
              <w:t>评分项目</w:t>
            </w:r>
          </w:p>
        </w:tc>
        <w:tc>
          <w:tcPr>
            <w:tcW w:w="1082" w:type="pct"/>
            <w:vAlign w:val="center"/>
          </w:tcPr>
          <w:p w14:paraId="17E0924D">
            <w:pPr>
              <w:jc w:val="center"/>
              <w:rPr>
                <w:rFonts w:hint="eastAsia" w:ascii="黑体" w:hAnsi="黑体" w:eastAsia="黑体" w:cs="黑体"/>
                <w:color w:val="auto"/>
                <w:highlight w:val="none"/>
              </w:rPr>
            </w:pPr>
            <w:r>
              <w:rPr>
                <w:rFonts w:hint="eastAsia" w:ascii="黑体" w:hAnsi="黑体" w:eastAsia="黑体" w:cs="黑体"/>
                <w:color w:val="auto"/>
                <w:highlight w:val="none"/>
              </w:rPr>
              <w:t>价格部分</w:t>
            </w:r>
          </w:p>
        </w:tc>
        <w:tc>
          <w:tcPr>
            <w:tcW w:w="1081" w:type="pct"/>
            <w:vAlign w:val="center"/>
          </w:tcPr>
          <w:p w14:paraId="1D5944FA">
            <w:pPr>
              <w:jc w:val="center"/>
              <w:rPr>
                <w:rFonts w:hint="eastAsia" w:ascii="黑体" w:hAnsi="黑体" w:eastAsia="黑体" w:cs="黑体"/>
                <w:color w:val="auto"/>
                <w:highlight w:val="none"/>
              </w:rPr>
            </w:pPr>
            <w:r>
              <w:rPr>
                <w:rFonts w:hint="eastAsia" w:ascii="黑体" w:hAnsi="黑体" w:eastAsia="黑体" w:cs="黑体"/>
                <w:color w:val="auto"/>
                <w:highlight w:val="none"/>
              </w:rPr>
              <w:t>商务部分</w:t>
            </w:r>
          </w:p>
        </w:tc>
        <w:tc>
          <w:tcPr>
            <w:tcW w:w="1081" w:type="pct"/>
            <w:vAlign w:val="center"/>
          </w:tcPr>
          <w:p w14:paraId="04B7FCB9">
            <w:pPr>
              <w:jc w:val="center"/>
              <w:rPr>
                <w:rFonts w:hint="eastAsia" w:ascii="黑体" w:hAnsi="黑体" w:eastAsia="黑体" w:cs="黑体"/>
                <w:color w:val="auto"/>
                <w:highlight w:val="none"/>
              </w:rPr>
            </w:pPr>
            <w:r>
              <w:rPr>
                <w:rFonts w:hint="eastAsia" w:ascii="黑体" w:hAnsi="黑体" w:eastAsia="黑体" w:cs="黑体"/>
                <w:color w:val="auto"/>
                <w:highlight w:val="none"/>
              </w:rPr>
              <w:t>技术部分</w:t>
            </w:r>
          </w:p>
        </w:tc>
        <w:tc>
          <w:tcPr>
            <w:tcW w:w="780" w:type="pct"/>
            <w:vAlign w:val="center"/>
          </w:tcPr>
          <w:p w14:paraId="2166E6C7">
            <w:pPr>
              <w:jc w:val="center"/>
              <w:rPr>
                <w:rFonts w:hint="eastAsia" w:ascii="黑体" w:hAnsi="黑体" w:eastAsia="黑体" w:cs="黑体"/>
                <w:color w:val="auto"/>
                <w:highlight w:val="none"/>
              </w:rPr>
            </w:pPr>
            <w:r>
              <w:rPr>
                <w:rFonts w:hint="eastAsia" w:ascii="黑体" w:hAnsi="黑体" w:eastAsia="黑体" w:cs="黑体"/>
                <w:color w:val="auto"/>
                <w:highlight w:val="none"/>
              </w:rPr>
              <w:t>合计</w:t>
            </w:r>
          </w:p>
        </w:tc>
      </w:tr>
      <w:tr w14:paraId="2901040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6" w:type="pct"/>
            <w:vAlign w:val="center"/>
          </w:tcPr>
          <w:p w14:paraId="171B2569">
            <w:pPr>
              <w:jc w:val="center"/>
              <w:rPr>
                <w:rFonts w:hint="eastAsia" w:ascii="黑体" w:hAnsi="黑体" w:eastAsia="黑体" w:cs="黑体"/>
                <w:color w:val="auto"/>
                <w:highlight w:val="none"/>
              </w:rPr>
            </w:pPr>
            <w:r>
              <w:rPr>
                <w:rFonts w:hint="eastAsia" w:ascii="黑体" w:hAnsi="黑体" w:eastAsia="黑体" w:cs="黑体"/>
                <w:color w:val="auto"/>
                <w:highlight w:val="none"/>
              </w:rPr>
              <w:t>权值（%）</w:t>
            </w:r>
          </w:p>
        </w:tc>
        <w:tc>
          <w:tcPr>
            <w:tcW w:w="1082" w:type="pct"/>
            <w:vAlign w:val="center"/>
          </w:tcPr>
          <w:p w14:paraId="0776EE90">
            <w:pPr>
              <w:jc w:val="center"/>
              <w:rPr>
                <w:rFonts w:hint="eastAsia" w:ascii="黑体" w:hAnsi="黑体" w:eastAsia="黑体" w:cs="黑体"/>
                <w:color w:val="auto"/>
                <w:highlight w:val="none"/>
              </w:rPr>
            </w:pPr>
            <w:r>
              <w:rPr>
                <w:rFonts w:hint="eastAsia" w:ascii="黑体" w:hAnsi="黑体" w:eastAsia="黑体" w:cs="黑体"/>
                <w:color w:val="auto"/>
                <w:highlight w:val="none"/>
                <w:lang w:val="en-US" w:eastAsia="zh-CN"/>
              </w:rPr>
              <w:t>30</w:t>
            </w:r>
            <w:r>
              <w:rPr>
                <w:rFonts w:hint="eastAsia" w:ascii="黑体" w:hAnsi="黑体" w:eastAsia="黑体" w:cs="黑体"/>
                <w:color w:val="auto"/>
                <w:highlight w:val="none"/>
              </w:rPr>
              <w:t>%</w:t>
            </w:r>
          </w:p>
        </w:tc>
        <w:tc>
          <w:tcPr>
            <w:tcW w:w="1081" w:type="pct"/>
            <w:vAlign w:val="center"/>
          </w:tcPr>
          <w:p w14:paraId="78AAAD60">
            <w:pPr>
              <w:jc w:val="center"/>
              <w:rPr>
                <w:rFonts w:hint="eastAsia" w:ascii="黑体" w:hAnsi="黑体" w:eastAsia="黑体" w:cs="黑体"/>
                <w:color w:val="auto"/>
                <w:highlight w:val="none"/>
              </w:rPr>
            </w:pPr>
            <w:r>
              <w:rPr>
                <w:rFonts w:hint="eastAsia" w:ascii="黑体" w:hAnsi="黑体" w:eastAsia="黑体" w:cs="黑体"/>
                <w:color w:val="auto"/>
                <w:highlight w:val="none"/>
                <w:lang w:val="en-US" w:eastAsia="zh-CN"/>
              </w:rPr>
              <w:t>10</w:t>
            </w:r>
            <w:r>
              <w:rPr>
                <w:rFonts w:hint="eastAsia" w:ascii="黑体" w:hAnsi="黑体" w:eastAsia="黑体" w:cs="黑体"/>
                <w:color w:val="auto"/>
                <w:highlight w:val="none"/>
              </w:rPr>
              <w:t>%</w:t>
            </w:r>
          </w:p>
        </w:tc>
        <w:tc>
          <w:tcPr>
            <w:tcW w:w="1081" w:type="pct"/>
            <w:vAlign w:val="center"/>
          </w:tcPr>
          <w:p w14:paraId="46CA3C60">
            <w:pPr>
              <w:jc w:val="center"/>
              <w:rPr>
                <w:rFonts w:hint="eastAsia" w:ascii="黑体" w:hAnsi="黑体" w:eastAsia="黑体" w:cs="黑体"/>
                <w:i/>
                <w:color w:val="auto"/>
                <w:highlight w:val="none"/>
              </w:rPr>
            </w:pPr>
            <w:r>
              <w:rPr>
                <w:rFonts w:hint="eastAsia" w:ascii="黑体" w:hAnsi="黑体" w:eastAsia="黑体" w:cs="黑体"/>
                <w:color w:val="auto"/>
                <w:highlight w:val="none"/>
                <w:lang w:val="en-US" w:eastAsia="zh-CN"/>
              </w:rPr>
              <w:t>60</w:t>
            </w:r>
            <w:r>
              <w:rPr>
                <w:rFonts w:hint="eastAsia" w:ascii="黑体" w:hAnsi="黑体" w:eastAsia="黑体" w:cs="黑体"/>
                <w:color w:val="auto"/>
                <w:highlight w:val="none"/>
              </w:rPr>
              <w:t>%</w:t>
            </w:r>
          </w:p>
        </w:tc>
        <w:tc>
          <w:tcPr>
            <w:tcW w:w="780" w:type="pct"/>
          </w:tcPr>
          <w:p w14:paraId="577B1C7E">
            <w:pPr>
              <w:jc w:val="center"/>
              <w:rPr>
                <w:rFonts w:hint="eastAsia" w:ascii="黑体" w:hAnsi="黑体" w:eastAsia="黑体" w:cs="黑体"/>
                <w:color w:val="auto"/>
                <w:highlight w:val="none"/>
              </w:rPr>
            </w:pPr>
            <w:r>
              <w:rPr>
                <w:rFonts w:hint="eastAsia" w:ascii="黑体" w:hAnsi="黑体" w:eastAsia="黑体" w:cs="黑体"/>
                <w:color w:val="auto"/>
                <w:highlight w:val="none"/>
                <w:lang w:val="en-US" w:eastAsia="zh-CN"/>
              </w:rPr>
              <w:t>100</w:t>
            </w:r>
            <w:r>
              <w:rPr>
                <w:rFonts w:hint="eastAsia" w:ascii="黑体" w:hAnsi="黑体" w:eastAsia="黑体" w:cs="黑体"/>
                <w:color w:val="auto"/>
                <w:highlight w:val="none"/>
              </w:rPr>
              <w:t>%</w:t>
            </w:r>
          </w:p>
        </w:tc>
      </w:tr>
    </w:tbl>
    <w:p w14:paraId="2703B2B2">
      <w:pPr>
        <w:pStyle w:val="29"/>
        <w:numPr>
          <w:ilvl w:val="0"/>
          <w:numId w:val="79"/>
        </w:numPr>
        <w:spacing w:before="156" w:beforeLines="50"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综合得分＝商务得分＋技术得分＋价格得分</w:t>
      </w:r>
    </w:p>
    <w:p w14:paraId="53EB14B4">
      <w:pPr>
        <w:pStyle w:val="29"/>
        <w:numPr>
          <w:ilvl w:val="0"/>
          <w:numId w:val="70"/>
        </w:numPr>
        <w:tabs>
          <w:tab w:val="left" w:pos="426"/>
        </w:tabs>
        <w:spacing w:line="360" w:lineRule="auto"/>
        <w:ind w:firstLineChars="0"/>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中标候选人</w:t>
      </w:r>
    </w:p>
    <w:p w14:paraId="45C42DA0">
      <w:pPr>
        <w:pStyle w:val="29"/>
        <w:numPr>
          <w:ilvl w:val="1"/>
          <w:numId w:val="80"/>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评标委员会将根据各投标人的评标排序，依次推荐本项目（各采购包）的中标候选人，起草并签署评标报告。本项目（各采购包）评标委员会共（各）推荐</w:t>
      </w:r>
      <w:r>
        <w:rPr>
          <w:rFonts w:hint="eastAsia" w:ascii="黑体" w:hAnsi="黑体" w:eastAsia="黑体" w:cs="黑体"/>
          <w:bCs/>
          <w:color w:val="auto"/>
          <w:szCs w:val="21"/>
          <w:highlight w:val="none"/>
          <w:u w:val="single"/>
        </w:rPr>
        <w:t>2</w:t>
      </w:r>
      <w:r>
        <w:rPr>
          <w:rFonts w:hint="eastAsia" w:ascii="黑体" w:hAnsi="黑体" w:eastAsia="黑体" w:cs="黑体"/>
          <w:bCs/>
          <w:color w:val="auto"/>
          <w:szCs w:val="21"/>
          <w:highlight w:val="none"/>
        </w:rPr>
        <w:t>名中标候选人。</w:t>
      </w:r>
    </w:p>
    <w:p w14:paraId="0A1E2C77">
      <w:pPr>
        <w:pStyle w:val="29"/>
        <w:numPr>
          <w:ilvl w:val="1"/>
          <w:numId w:val="80"/>
        </w:numPr>
        <w:tabs>
          <w:tab w:val="left" w:pos="567"/>
          <w:tab w:val="left" w:pos="709"/>
        </w:tabs>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使用综合评分法的采购项目：提供相同品牌产品或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bookmarkStart w:id="60" w:name="_Hlk81183397"/>
      <w:r>
        <w:rPr>
          <w:rFonts w:hint="eastAsia" w:ascii="黑体" w:hAnsi="黑体" w:eastAsia="黑体" w:cs="黑体"/>
          <w:bCs/>
          <w:color w:val="auto"/>
          <w:szCs w:val="21"/>
          <w:highlight w:val="none"/>
        </w:rPr>
        <w:t>非单一产品采购项目，采购人将根据采购项目技术构成、产品价格比重等合理确定核心产品，并在招标文件中载明。多家投标人提供的核心产品品牌相同的，按上述规定处理。</w:t>
      </w:r>
    </w:p>
    <w:bookmarkEnd w:id="60"/>
    <w:p w14:paraId="7664BB0A">
      <w:pPr>
        <w:pStyle w:val="29"/>
        <w:numPr>
          <w:ilvl w:val="1"/>
          <w:numId w:val="80"/>
        </w:numPr>
        <w:tabs>
          <w:tab w:val="left" w:pos="567"/>
          <w:tab w:val="left" w:pos="709"/>
        </w:tabs>
        <w:spacing w:line="360" w:lineRule="auto"/>
        <w:ind w:firstLineChars="0"/>
        <w:rPr>
          <w:rFonts w:hint="eastAsia" w:ascii="黑体" w:hAnsi="黑体" w:eastAsia="黑体" w:cs="黑体"/>
          <w:color w:val="auto"/>
          <w:highlight w:val="none"/>
        </w:rPr>
      </w:pPr>
      <w:r>
        <w:rPr>
          <w:rFonts w:hint="eastAsia" w:ascii="黑体" w:hAnsi="黑体" w:eastAsia="黑体" w:cs="黑体"/>
          <w:bCs/>
          <w:color w:val="auto"/>
          <w:szCs w:val="21"/>
          <w:highlight w:val="none"/>
        </w:rPr>
        <w:t>采用综合评分法的，评审结果按评审后得分由高到低的顺序排列。得分相同的，按投标报价由低到高顺序排列。得分且投标报价相同并列的。投标文件满足招标文件全部实质性要求，且按照评审因素的量化指标评审得分最高的投标人为排名第一的中标候选人。</w:t>
      </w:r>
    </w:p>
    <w:p w14:paraId="1BC47BB0">
      <w:pPr>
        <w:pStyle w:val="29"/>
        <w:pageBreakBefore/>
        <w:numPr>
          <w:ilvl w:val="0"/>
          <w:numId w:val="81"/>
        </w:numPr>
        <w:spacing w:before="156" w:beforeLines="50" w:after="312" w:afterLines="100" w:line="360" w:lineRule="auto"/>
        <w:ind w:left="422" w:hanging="422" w:hangingChars="200"/>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 xml:space="preserve">附表一 </w:t>
      </w:r>
      <w:bookmarkStart w:id="61" w:name="_Hlk79422957"/>
      <w:r>
        <w:rPr>
          <w:rFonts w:hint="eastAsia" w:ascii="黑体" w:hAnsi="黑体" w:eastAsia="黑体" w:cs="黑体"/>
          <w:b/>
          <w:bCs/>
          <w:color w:val="auto"/>
          <w:szCs w:val="21"/>
          <w:highlight w:val="none"/>
        </w:rPr>
        <w:t>资格性审查表</w:t>
      </w:r>
      <w:bookmarkEnd w:id="61"/>
    </w:p>
    <w:tbl>
      <w:tblPr>
        <w:tblStyle w:val="2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5"/>
        <w:gridCol w:w="2421"/>
        <w:gridCol w:w="5571"/>
      </w:tblGrid>
      <w:tr w14:paraId="324680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2" w:type="pct"/>
            <w:vAlign w:val="center"/>
          </w:tcPr>
          <w:p w14:paraId="6AFF3892">
            <w:pPr>
              <w:spacing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序号</w:t>
            </w:r>
          </w:p>
        </w:tc>
        <w:tc>
          <w:tcPr>
            <w:tcW w:w="4558" w:type="pct"/>
            <w:gridSpan w:val="2"/>
            <w:tcBorders>
              <w:tl2br w:val="nil"/>
            </w:tcBorders>
            <w:vAlign w:val="center"/>
          </w:tcPr>
          <w:p w14:paraId="58D1E911">
            <w:pPr>
              <w:spacing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评审内容</w:t>
            </w:r>
          </w:p>
        </w:tc>
      </w:tr>
      <w:tr w14:paraId="61809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2" w:type="pct"/>
            <w:vAlign w:val="center"/>
          </w:tcPr>
          <w:p w14:paraId="53190137">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1</w:t>
            </w:r>
          </w:p>
        </w:tc>
        <w:tc>
          <w:tcPr>
            <w:tcW w:w="4558" w:type="pct"/>
            <w:gridSpan w:val="2"/>
            <w:tcBorders>
              <w:tl2br w:val="nil"/>
            </w:tcBorders>
            <w:vAlign w:val="center"/>
          </w:tcPr>
          <w:p w14:paraId="06A9ED73">
            <w:pPr>
              <w:spacing w:line="360" w:lineRule="auto"/>
              <w:jc w:val="left"/>
              <w:rPr>
                <w:rFonts w:hint="eastAsia" w:ascii="黑体" w:hAnsi="黑体" w:eastAsia="黑体" w:cs="黑体"/>
                <w:bCs/>
                <w:color w:val="auto"/>
                <w:szCs w:val="21"/>
                <w:highlight w:val="none"/>
              </w:rPr>
            </w:pPr>
            <w:r>
              <w:rPr>
                <w:rFonts w:hint="eastAsia" w:ascii="黑体" w:hAnsi="黑体" w:eastAsia="黑体" w:cs="黑体"/>
                <w:color w:val="auto"/>
                <w:szCs w:val="21"/>
                <w:highlight w:val="none"/>
              </w:rPr>
              <w:t>投标供应商应具备《中华人民共和国政府采购法》第二十二条规定的条件，提供下列材料：</w:t>
            </w:r>
          </w:p>
        </w:tc>
      </w:tr>
      <w:tr w14:paraId="04F27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2" w:type="pct"/>
            <w:vAlign w:val="center"/>
          </w:tcPr>
          <w:p w14:paraId="33F8F08F">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1.1</w:t>
            </w:r>
          </w:p>
        </w:tc>
        <w:tc>
          <w:tcPr>
            <w:tcW w:w="1381" w:type="pct"/>
            <w:tcBorders>
              <w:tl2br w:val="nil"/>
            </w:tcBorders>
            <w:vAlign w:val="center"/>
          </w:tcPr>
          <w:p w14:paraId="703169C6">
            <w:pPr>
              <w:spacing w:line="360" w:lineRule="auto"/>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具有独立承担民事责任的能力</w:t>
            </w:r>
          </w:p>
        </w:tc>
        <w:tc>
          <w:tcPr>
            <w:tcW w:w="3177" w:type="pct"/>
            <w:vAlign w:val="center"/>
          </w:tcPr>
          <w:p w14:paraId="32B3CA3D">
            <w:pPr>
              <w:widowControl/>
              <w:shd w:val="clear" w:color="auto" w:fill="FFFFFF"/>
              <w:spacing w:line="360" w:lineRule="auto"/>
              <w:textAlignment w:val="baseline"/>
              <w:rPr>
                <w:rFonts w:hint="eastAsia" w:ascii="黑体" w:hAnsi="黑体" w:eastAsia="黑体" w:cs="黑体"/>
                <w:color w:val="auto"/>
                <w:kern w:val="0"/>
                <w:szCs w:val="21"/>
                <w:highlight w:val="none"/>
              </w:rPr>
            </w:pPr>
            <w:r>
              <w:rPr>
                <w:rFonts w:hint="eastAsia" w:ascii="黑体" w:hAnsi="黑体" w:eastAsia="黑体" w:cs="黑体"/>
                <w:color w:val="auto"/>
                <w:kern w:val="0"/>
                <w:szCs w:val="21"/>
                <w:highlight w:val="none"/>
              </w:rPr>
              <w:t>具有独立承担民事责任的能力：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7254D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2" w:type="pct"/>
            <w:vAlign w:val="center"/>
          </w:tcPr>
          <w:p w14:paraId="55C13BFC">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1.2</w:t>
            </w:r>
          </w:p>
        </w:tc>
        <w:tc>
          <w:tcPr>
            <w:tcW w:w="1381" w:type="pct"/>
            <w:tcBorders>
              <w:tl2br w:val="nil"/>
            </w:tcBorders>
            <w:vAlign w:val="center"/>
          </w:tcPr>
          <w:p w14:paraId="712725C9">
            <w:pPr>
              <w:spacing w:line="360" w:lineRule="auto"/>
              <w:jc w:val="left"/>
              <w:rPr>
                <w:rFonts w:hint="eastAsia" w:ascii="黑体" w:hAnsi="黑体" w:eastAsia="黑体" w:cs="黑体"/>
                <w:color w:val="auto"/>
                <w:szCs w:val="21"/>
                <w:highlight w:val="none"/>
              </w:rPr>
            </w:pPr>
            <w:r>
              <w:rPr>
                <w:rFonts w:hint="eastAsia" w:ascii="黑体" w:hAnsi="黑体" w:eastAsia="黑体" w:cs="黑体"/>
                <w:color w:val="auto"/>
                <w:kern w:val="0"/>
                <w:szCs w:val="21"/>
                <w:highlight w:val="none"/>
              </w:rPr>
              <w:t>有依法缴纳税收和社会保障资金的良好记录</w:t>
            </w:r>
          </w:p>
        </w:tc>
        <w:tc>
          <w:tcPr>
            <w:tcW w:w="3177" w:type="pct"/>
            <w:vAlign w:val="center"/>
          </w:tcPr>
          <w:p w14:paraId="05E177CD">
            <w:pPr>
              <w:spacing w:line="360" w:lineRule="auto"/>
              <w:jc w:val="left"/>
              <w:rPr>
                <w:rFonts w:hint="eastAsia" w:ascii="黑体" w:hAnsi="黑体" w:eastAsia="黑体" w:cs="黑体"/>
                <w:bCs/>
                <w:color w:val="auto"/>
                <w:szCs w:val="21"/>
                <w:highlight w:val="none"/>
              </w:rPr>
            </w:pPr>
            <w:r>
              <w:rPr>
                <w:rFonts w:hint="eastAsia" w:ascii="黑体" w:hAnsi="黑体" w:eastAsia="黑体" w:cs="黑体"/>
                <w:color w:val="auto"/>
                <w:kern w:val="0"/>
                <w:szCs w:val="21"/>
                <w:highlight w:val="none"/>
              </w:rPr>
              <w:t>提供资格声明函，详见投标文件格式。</w:t>
            </w:r>
          </w:p>
        </w:tc>
      </w:tr>
      <w:tr w14:paraId="04CECA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2" w:type="pct"/>
            <w:vAlign w:val="center"/>
          </w:tcPr>
          <w:p w14:paraId="3C9C0A25">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1.3</w:t>
            </w:r>
          </w:p>
        </w:tc>
        <w:tc>
          <w:tcPr>
            <w:tcW w:w="1381" w:type="pct"/>
            <w:tcBorders>
              <w:tl2br w:val="nil"/>
            </w:tcBorders>
            <w:vAlign w:val="center"/>
          </w:tcPr>
          <w:p w14:paraId="493DF9CB">
            <w:pPr>
              <w:spacing w:line="360" w:lineRule="auto"/>
              <w:jc w:val="left"/>
              <w:rPr>
                <w:rFonts w:hint="eastAsia" w:ascii="黑体" w:hAnsi="黑体" w:eastAsia="黑体" w:cs="黑体"/>
                <w:color w:val="auto"/>
                <w:szCs w:val="21"/>
                <w:highlight w:val="none"/>
              </w:rPr>
            </w:pPr>
            <w:r>
              <w:rPr>
                <w:rFonts w:hint="eastAsia" w:ascii="黑体" w:hAnsi="黑体" w:eastAsia="黑体" w:cs="黑体"/>
                <w:color w:val="auto"/>
                <w:kern w:val="0"/>
                <w:szCs w:val="21"/>
                <w:highlight w:val="none"/>
              </w:rPr>
              <w:t>具有良好的商业信誉和健全的财务会计制度</w:t>
            </w:r>
          </w:p>
        </w:tc>
        <w:tc>
          <w:tcPr>
            <w:tcW w:w="3177" w:type="pct"/>
            <w:vAlign w:val="center"/>
          </w:tcPr>
          <w:p w14:paraId="69A4BE1B">
            <w:pPr>
              <w:spacing w:line="360" w:lineRule="auto"/>
              <w:jc w:val="left"/>
              <w:rPr>
                <w:rFonts w:hint="eastAsia" w:ascii="黑体" w:hAnsi="黑体" w:eastAsia="黑体" w:cs="黑体"/>
                <w:bCs/>
                <w:color w:val="auto"/>
                <w:szCs w:val="21"/>
                <w:highlight w:val="none"/>
              </w:rPr>
            </w:pPr>
            <w:r>
              <w:rPr>
                <w:rFonts w:hint="eastAsia" w:ascii="黑体" w:hAnsi="黑体" w:eastAsia="黑体" w:cs="黑体"/>
                <w:color w:val="auto"/>
                <w:kern w:val="0"/>
                <w:szCs w:val="21"/>
                <w:highlight w:val="none"/>
              </w:rPr>
              <w:t>提供资格声明函，详见投标文件格式。</w:t>
            </w:r>
          </w:p>
        </w:tc>
      </w:tr>
      <w:tr w14:paraId="02A30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2" w:type="pct"/>
            <w:vAlign w:val="center"/>
          </w:tcPr>
          <w:p w14:paraId="0C2A8781">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1.4</w:t>
            </w:r>
          </w:p>
        </w:tc>
        <w:tc>
          <w:tcPr>
            <w:tcW w:w="1381" w:type="pct"/>
            <w:tcBorders>
              <w:tl2br w:val="nil"/>
            </w:tcBorders>
            <w:vAlign w:val="center"/>
          </w:tcPr>
          <w:p w14:paraId="569D2279">
            <w:pPr>
              <w:spacing w:line="360" w:lineRule="auto"/>
              <w:jc w:val="left"/>
              <w:rPr>
                <w:rFonts w:hint="eastAsia" w:ascii="黑体" w:hAnsi="黑体" w:eastAsia="黑体" w:cs="黑体"/>
                <w:color w:val="auto"/>
                <w:szCs w:val="21"/>
                <w:highlight w:val="none"/>
                <w:lang w:eastAsia="zh-CN"/>
              </w:rPr>
            </w:pPr>
            <w:r>
              <w:rPr>
                <w:rFonts w:hint="eastAsia" w:ascii="黑体" w:hAnsi="黑体" w:eastAsia="黑体" w:cs="黑体"/>
                <w:color w:val="auto"/>
                <w:szCs w:val="21"/>
                <w:highlight w:val="none"/>
                <w:lang w:eastAsia="zh-CN"/>
              </w:rPr>
              <w:t>履行合同所必需的设备和专业技术能力</w:t>
            </w:r>
          </w:p>
        </w:tc>
        <w:tc>
          <w:tcPr>
            <w:tcW w:w="3177" w:type="pct"/>
            <w:vAlign w:val="center"/>
          </w:tcPr>
          <w:p w14:paraId="65406827">
            <w:pPr>
              <w:spacing w:line="360" w:lineRule="auto"/>
              <w:jc w:val="left"/>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提供资格声明函，详见投标文件格式。</w:t>
            </w:r>
          </w:p>
        </w:tc>
      </w:tr>
      <w:tr w14:paraId="0245B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2" w:type="pct"/>
            <w:vAlign w:val="center"/>
          </w:tcPr>
          <w:p w14:paraId="43D34B64">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1.5</w:t>
            </w:r>
          </w:p>
        </w:tc>
        <w:tc>
          <w:tcPr>
            <w:tcW w:w="1381" w:type="pct"/>
            <w:tcBorders>
              <w:tl2br w:val="nil"/>
            </w:tcBorders>
            <w:vAlign w:val="center"/>
          </w:tcPr>
          <w:p w14:paraId="1C000EBA">
            <w:pPr>
              <w:spacing w:line="360" w:lineRule="auto"/>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参加采购活动前3年内，在经营活动中没有重大违法记录：</w:t>
            </w:r>
          </w:p>
        </w:tc>
        <w:tc>
          <w:tcPr>
            <w:tcW w:w="3177" w:type="pct"/>
            <w:vAlign w:val="center"/>
          </w:tcPr>
          <w:p w14:paraId="13B8E6AE">
            <w:pPr>
              <w:spacing w:line="360" w:lineRule="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4941C66B">
            <w:pPr>
              <w:spacing w:line="360" w:lineRule="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提供资格声明函，详见投标文件格式。</w:t>
            </w:r>
          </w:p>
        </w:tc>
      </w:tr>
      <w:tr w14:paraId="003B08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2" w:type="pct"/>
            <w:vAlign w:val="center"/>
          </w:tcPr>
          <w:p w14:paraId="47BFCE03">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1.6</w:t>
            </w:r>
          </w:p>
        </w:tc>
        <w:tc>
          <w:tcPr>
            <w:tcW w:w="1381" w:type="pct"/>
            <w:tcBorders>
              <w:tl2br w:val="nil"/>
            </w:tcBorders>
            <w:vAlign w:val="center"/>
          </w:tcPr>
          <w:p w14:paraId="244F2255">
            <w:pPr>
              <w:spacing w:line="360" w:lineRule="auto"/>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信用记录</w:t>
            </w:r>
          </w:p>
        </w:tc>
        <w:tc>
          <w:tcPr>
            <w:tcW w:w="3177" w:type="pct"/>
            <w:vAlign w:val="center"/>
          </w:tcPr>
          <w:p w14:paraId="0AE4EE2D">
            <w:pPr>
              <w:spacing w:line="360" w:lineRule="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供应商未被列入“信用中国”网站(www.creditchina.gov.cn)“失信被执行人或重大税收违法失信主体或政府采购严重违法失信行为记录名单”；不处于中国政府采购网(www.ccgp.gov.cn)“政府采购严重违法失信行为信息记录”中的禁止参加政府采购活动期间。（以采购代理机构于投标截止时间当天在“信用中国”网站（www.creditchina.gov.cn）及中国政府采购网（http://www.ccgp.gov.cn/）查询结果为准，如相关失信记录已失效，供应商需提供相关证明资料）。</w:t>
            </w:r>
          </w:p>
        </w:tc>
      </w:tr>
      <w:tr w14:paraId="0F94A3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2" w:type="pct"/>
            <w:vAlign w:val="center"/>
          </w:tcPr>
          <w:p w14:paraId="73BA4285">
            <w:pPr>
              <w:jc w:val="center"/>
              <w:rPr>
                <w:rFonts w:hint="eastAsia" w:ascii="黑体" w:hAnsi="黑体" w:eastAsia="黑体" w:cs="黑体"/>
                <w:color w:val="auto"/>
                <w:highlight w:val="none"/>
              </w:rPr>
            </w:pPr>
            <w:r>
              <w:rPr>
                <w:rFonts w:hint="eastAsia" w:ascii="黑体" w:hAnsi="黑体" w:eastAsia="黑体" w:cs="黑体"/>
                <w:color w:val="auto"/>
                <w:highlight w:val="none"/>
              </w:rPr>
              <w:t>2</w:t>
            </w:r>
          </w:p>
        </w:tc>
        <w:tc>
          <w:tcPr>
            <w:tcW w:w="1381" w:type="pct"/>
            <w:tcBorders>
              <w:tl2br w:val="nil"/>
            </w:tcBorders>
            <w:vAlign w:val="center"/>
          </w:tcPr>
          <w:p w14:paraId="7DF62E2A">
            <w:pPr>
              <w:spacing w:line="360" w:lineRule="auto"/>
              <w:rPr>
                <w:rFonts w:hint="eastAsia" w:ascii="黑体" w:hAnsi="黑体" w:eastAsia="黑体" w:cs="黑体"/>
                <w:color w:val="auto"/>
                <w:kern w:val="0"/>
                <w:szCs w:val="21"/>
                <w:highlight w:val="none"/>
              </w:rPr>
            </w:pPr>
            <w:r>
              <w:rPr>
                <w:rFonts w:hint="eastAsia" w:ascii="黑体" w:hAnsi="黑体" w:eastAsia="黑体" w:cs="黑体"/>
                <w:color w:val="auto"/>
                <w:kern w:val="0"/>
                <w:szCs w:val="21"/>
                <w:highlight w:val="none"/>
              </w:rPr>
              <w:t>供应商必须符合法律、行政法规规定的其他条件</w:t>
            </w:r>
          </w:p>
        </w:tc>
        <w:tc>
          <w:tcPr>
            <w:tcW w:w="3177" w:type="pct"/>
            <w:tcBorders>
              <w:tl2br w:val="nil"/>
            </w:tcBorders>
            <w:vAlign w:val="center"/>
          </w:tcPr>
          <w:p w14:paraId="6489F904">
            <w:pPr>
              <w:spacing w:line="360" w:lineRule="auto"/>
              <w:rPr>
                <w:rFonts w:hint="eastAsia" w:ascii="黑体" w:hAnsi="黑体" w:eastAsia="黑体" w:cs="黑体"/>
                <w:color w:val="auto"/>
                <w:kern w:val="0"/>
                <w:szCs w:val="21"/>
                <w:highlight w:val="none"/>
              </w:rPr>
            </w:pPr>
            <w:r>
              <w:rPr>
                <w:rFonts w:hint="eastAsia" w:ascii="黑体" w:hAnsi="黑体" w:eastAsia="黑体" w:cs="黑体"/>
                <w:color w:val="auto"/>
                <w:kern w:val="0"/>
                <w:szCs w:val="21"/>
                <w:highlight w:val="none"/>
              </w:rPr>
              <w:t>单位负责人为同一人或者存在直接控股、管理关系的不同供应商，不得同时参加本采购项目（或采购包）投标。为本项目提供整体设计、规范编制或者项目管理、监理、检测等服务的供应商，不得再参与本项目投标。</w:t>
            </w:r>
          </w:p>
          <w:p w14:paraId="73276721">
            <w:pPr>
              <w:spacing w:line="360" w:lineRule="auto"/>
              <w:rPr>
                <w:rFonts w:hint="eastAsia" w:ascii="黑体" w:hAnsi="黑体" w:eastAsia="黑体" w:cs="黑体"/>
                <w:color w:val="auto"/>
                <w:kern w:val="0"/>
                <w:szCs w:val="21"/>
                <w:highlight w:val="none"/>
              </w:rPr>
            </w:pPr>
            <w:r>
              <w:rPr>
                <w:rFonts w:hint="eastAsia" w:ascii="黑体" w:hAnsi="黑体" w:eastAsia="黑体" w:cs="黑体"/>
                <w:bCs/>
                <w:color w:val="auto"/>
                <w:szCs w:val="21"/>
                <w:highlight w:val="none"/>
              </w:rPr>
              <w:t>提供资格声明函，详见投标文件格式。</w:t>
            </w:r>
          </w:p>
        </w:tc>
      </w:tr>
      <w:tr w14:paraId="67852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2" w:type="pct"/>
            <w:vAlign w:val="center"/>
          </w:tcPr>
          <w:p w14:paraId="5441E367">
            <w:pPr>
              <w:jc w:val="center"/>
              <w:rPr>
                <w:rFonts w:hint="eastAsia" w:ascii="黑体" w:hAnsi="黑体" w:eastAsia="黑体" w:cs="黑体"/>
                <w:color w:val="auto"/>
                <w:highlight w:val="none"/>
              </w:rPr>
            </w:pPr>
            <w:r>
              <w:rPr>
                <w:rFonts w:hint="eastAsia" w:ascii="黑体" w:hAnsi="黑体" w:eastAsia="黑体" w:cs="黑体"/>
                <w:color w:val="auto"/>
                <w:highlight w:val="none"/>
              </w:rPr>
              <w:t>3</w:t>
            </w:r>
          </w:p>
        </w:tc>
        <w:tc>
          <w:tcPr>
            <w:tcW w:w="1381" w:type="pct"/>
            <w:tcBorders>
              <w:tl2br w:val="nil"/>
            </w:tcBorders>
            <w:vAlign w:val="center"/>
          </w:tcPr>
          <w:p w14:paraId="7EBDC0C7">
            <w:pPr>
              <w:spacing w:line="360" w:lineRule="auto"/>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落实政府采购政策需满足的资格要求</w:t>
            </w:r>
          </w:p>
        </w:tc>
        <w:tc>
          <w:tcPr>
            <w:tcW w:w="3177" w:type="pct"/>
            <w:vAlign w:val="center"/>
          </w:tcPr>
          <w:p w14:paraId="509994BE">
            <w:pPr>
              <w:spacing w:line="360" w:lineRule="auto"/>
              <w:jc w:val="left"/>
              <w:rPr>
                <w:rFonts w:hint="eastAsia" w:ascii="黑体" w:hAnsi="黑体" w:eastAsia="黑体" w:cs="黑体"/>
                <w:bCs/>
                <w:color w:val="auto"/>
                <w:szCs w:val="21"/>
                <w:highlight w:val="none"/>
              </w:rPr>
            </w:pPr>
            <w:r>
              <w:rPr>
                <w:rFonts w:hint="eastAsia" w:ascii="黑体" w:hAnsi="黑体" w:eastAsia="黑体" w:cs="黑体"/>
                <w:b/>
                <w:bCs/>
                <w:color w:val="auto"/>
                <w:highlight w:val="none"/>
              </w:rPr>
              <w:t>本项目为专门面向中小企业采购项目，参与的供应商提供的货物全部由符合政策要求的中小企业制造，以提供《中小企业声明函》为准。（监狱企业及残疾人福利性单位视同小微企业，以提供的监狱企业证明文件或残疾人福利性单位声明函为准。）相关格式详见投标文件格式与要求。</w:t>
            </w:r>
          </w:p>
        </w:tc>
      </w:tr>
      <w:tr w14:paraId="3EB5B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2" w:type="pct"/>
            <w:vAlign w:val="center"/>
          </w:tcPr>
          <w:p w14:paraId="418D12CD">
            <w:pPr>
              <w:jc w:val="center"/>
              <w:rPr>
                <w:rFonts w:hint="eastAsia" w:ascii="黑体" w:hAnsi="黑体" w:eastAsia="黑体" w:cs="黑体"/>
                <w:color w:val="auto"/>
                <w:highlight w:val="none"/>
              </w:rPr>
            </w:pPr>
            <w:r>
              <w:rPr>
                <w:rFonts w:hint="eastAsia" w:ascii="黑体" w:hAnsi="黑体" w:eastAsia="黑体" w:cs="黑体"/>
                <w:color w:val="auto"/>
                <w:highlight w:val="none"/>
              </w:rPr>
              <w:t>4</w:t>
            </w:r>
          </w:p>
        </w:tc>
        <w:tc>
          <w:tcPr>
            <w:tcW w:w="1381" w:type="pct"/>
            <w:tcBorders>
              <w:tl2br w:val="nil"/>
            </w:tcBorders>
            <w:vAlign w:val="center"/>
          </w:tcPr>
          <w:p w14:paraId="5C1721EE">
            <w:pPr>
              <w:spacing w:line="360" w:lineRule="auto"/>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本项目的特定资格要求</w:t>
            </w:r>
          </w:p>
        </w:tc>
        <w:tc>
          <w:tcPr>
            <w:tcW w:w="3177" w:type="pct"/>
            <w:vAlign w:val="center"/>
          </w:tcPr>
          <w:p w14:paraId="7E7D9108">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无</w:t>
            </w:r>
          </w:p>
        </w:tc>
      </w:tr>
    </w:tbl>
    <w:p w14:paraId="3BF65A1D">
      <w:pPr>
        <w:rPr>
          <w:rFonts w:hint="eastAsia" w:ascii="黑体" w:hAnsi="黑体" w:eastAsia="黑体" w:cs="黑体"/>
          <w:color w:val="auto"/>
          <w:highlight w:val="none"/>
        </w:rPr>
      </w:pPr>
    </w:p>
    <w:p w14:paraId="74EBE9B1">
      <w:pPr>
        <w:pStyle w:val="29"/>
        <w:numPr>
          <w:ilvl w:val="0"/>
          <w:numId w:val="82"/>
        </w:numPr>
        <w:spacing w:before="156" w:beforeLines="50" w:line="360" w:lineRule="auto"/>
        <w:ind w:firstLineChars="0"/>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说明：</w:t>
      </w:r>
    </w:p>
    <w:p w14:paraId="50F2ED01">
      <w:pPr>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投标人必须严格按照《资格性审查表》的评审内容的要求如实提供证明材料并应加盖投标人公章，若投标人不满足《资格性审查表》中任何情形之一的，则其投标无效。</w:t>
      </w:r>
      <w:r>
        <w:rPr>
          <w:rFonts w:hint="eastAsia" w:ascii="黑体" w:hAnsi="黑体" w:eastAsia="黑体" w:cs="黑体"/>
          <w:color w:val="auto"/>
          <w:szCs w:val="21"/>
          <w:highlight w:val="none"/>
        </w:rPr>
        <w:cr/>
      </w:r>
    </w:p>
    <w:p w14:paraId="085DC072">
      <w:pPr>
        <w:pStyle w:val="29"/>
        <w:pageBreakBefore/>
        <w:numPr>
          <w:ilvl w:val="0"/>
          <w:numId w:val="81"/>
        </w:numPr>
        <w:spacing w:before="156" w:beforeLines="50" w:after="312" w:afterLines="100" w:line="360" w:lineRule="auto"/>
        <w:ind w:left="422" w:hanging="422" w:hangingChars="200"/>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 xml:space="preserve">附表二 </w:t>
      </w:r>
      <w:bookmarkStart w:id="62" w:name="_Hlk79425582"/>
      <w:r>
        <w:rPr>
          <w:rFonts w:hint="eastAsia" w:ascii="黑体" w:hAnsi="黑体" w:eastAsia="黑体" w:cs="黑体"/>
          <w:b/>
          <w:bCs/>
          <w:color w:val="auto"/>
          <w:szCs w:val="21"/>
          <w:highlight w:val="none"/>
        </w:rPr>
        <w:t xml:space="preserve"> </w:t>
      </w:r>
      <w:bookmarkStart w:id="63" w:name="_Hlk80867805"/>
      <w:r>
        <w:rPr>
          <w:rFonts w:hint="eastAsia" w:ascii="黑体" w:hAnsi="黑体" w:eastAsia="黑体" w:cs="黑体"/>
          <w:b/>
          <w:bCs/>
          <w:color w:val="auto"/>
          <w:szCs w:val="21"/>
          <w:highlight w:val="none"/>
        </w:rPr>
        <w:t>符合性审查表</w:t>
      </w:r>
      <w:bookmarkEnd w:id="62"/>
      <w:bookmarkEnd w:id="63"/>
    </w:p>
    <w:tbl>
      <w:tblPr>
        <w:tblStyle w:val="2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2"/>
        <w:gridCol w:w="7755"/>
      </w:tblGrid>
      <w:tr w14:paraId="6FA91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577" w:type="pct"/>
            <w:vAlign w:val="center"/>
          </w:tcPr>
          <w:p w14:paraId="29A43514">
            <w:pPr>
              <w:spacing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序号</w:t>
            </w:r>
          </w:p>
        </w:tc>
        <w:tc>
          <w:tcPr>
            <w:tcW w:w="4422" w:type="pct"/>
            <w:vAlign w:val="center"/>
          </w:tcPr>
          <w:p w14:paraId="1B94FD09">
            <w:pPr>
              <w:spacing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评审内容</w:t>
            </w:r>
          </w:p>
        </w:tc>
      </w:tr>
      <w:tr w14:paraId="49A37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577" w:type="pct"/>
            <w:vAlign w:val="center"/>
          </w:tcPr>
          <w:p w14:paraId="4FAAAF0F">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1</w:t>
            </w:r>
          </w:p>
        </w:tc>
        <w:tc>
          <w:tcPr>
            <w:tcW w:w="4422" w:type="pct"/>
            <w:vAlign w:val="center"/>
          </w:tcPr>
          <w:p w14:paraId="620AACE3">
            <w:pPr>
              <w:spacing w:line="360" w:lineRule="auto"/>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投标报价不超过本项目采购预算或最高限价。</w:t>
            </w:r>
          </w:p>
        </w:tc>
      </w:tr>
      <w:tr w14:paraId="25096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577" w:type="pct"/>
            <w:vAlign w:val="center"/>
          </w:tcPr>
          <w:p w14:paraId="43ED8C4D">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2</w:t>
            </w:r>
          </w:p>
        </w:tc>
        <w:tc>
          <w:tcPr>
            <w:tcW w:w="4422" w:type="pct"/>
            <w:vAlign w:val="center"/>
          </w:tcPr>
          <w:p w14:paraId="3C7F9F85">
            <w:pPr>
              <w:spacing w:line="360" w:lineRule="auto"/>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法人授权委托证明。</w:t>
            </w:r>
          </w:p>
          <w:p w14:paraId="60D60AA3">
            <w:pPr>
              <w:spacing w:line="360" w:lineRule="auto"/>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(投标人代表为法定代表人的除外)</w:t>
            </w:r>
          </w:p>
        </w:tc>
      </w:tr>
      <w:tr w14:paraId="623596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 w:type="pct"/>
            <w:vAlign w:val="center"/>
          </w:tcPr>
          <w:p w14:paraId="751830F6">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3</w:t>
            </w:r>
          </w:p>
        </w:tc>
        <w:tc>
          <w:tcPr>
            <w:tcW w:w="4422" w:type="pct"/>
            <w:vAlign w:val="center"/>
          </w:tcPr>
          <w:p w14:paraId="7FDA5C01">
            <w:pPr>
              <w:spacing w:line="360" w:lineRule="auto"/>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投标函已提交并符合招标文件要求的，且投标有效期不少于招标文件中载明的投标有效期。</w:t>
            </w:r>
          </w:p>
        </w:tc>
      </w:tr>
      <w:tr w14:paraId="50B40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577" w:type="pct"/>
            <w:vAlign w:val="center"/>
          </w:tcPr>
          <w:p w14:paraId="3CEE7B25">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4</w:t>
            </w:r>
          </w:p>
        </w:tc>
        <w:tc>
          <w:tcPr>
            <w:tcW w:w="4422" w:type="pct"/>
            <w:vAlign w:val="center"/>
          </w:tcPr>
          <w:p w14:paraId="23F7115C">
            <w:pPr>
              <w:spacing w:line="360" w:lineRule="auto"/>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投标文件的签署、盖章符合招标文件要求。</w:t>
            </w:r>
          </w:p>
        </w:tc>
      </w:tr>
      <w:tr w14:paraId="2F286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577" w:type="pct"/>
            <w:vAlign w:val="center"/>
          </w:tcPr>
          <w:p w14:paraId="255A6A50">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5</w:t>
            </w:r>
          </w:p>
        </w:tc>
        <w:tc>
          <w:tcPr>
            <w:tcW w:w="4422" w:type="pct"/>
            <w:vAlign w:val="center"/>
          </w:tcPr>
          <w:p w14:paraId="6EAF7295">
            <w:pPr>
              <w:spacing w:line="360" w:lineRule="auto"/>
              <w:jc w:val="left"/>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采购需求当中的★条款满足要求。</w:t>
            </w:r>
          </w:p>
          <w:p w14:paraId="7E12EC2B">
            <w:pPr>
              <w:spacing w:line="360" w:lineRule="auto"/>
              <w:jc w:val="left"/>
              <w:rPr>
                <w:rFonts w:hint="eastAsia" w:ascii="黑体" w:hAnsi="黑体" w:eastAsia="黑体" w:cs="黑体"/>
                <w:color w:val="auto"/>
                <w:szCs w:val="21"/>
                <w:highlight w:val="none"/>
              </w:rPr>
            </w:pPr>
            <w:r>
              <w:rPr>
                <w:rFonts w:hint="eastAsia" w:ascii="黑体" w:hAnsi="黑体" w:eastAsia="黑体" w:cs="黑体"/>
                <w:bCs/>
                <w:color w:val="auto"/>
                <w:szCs w:val="21"/>
                <w:highlight w:val="none"/>
              </w:rPr>
              <w:t>(若本项目无★条款，此项通过)</w:t>
            </w:r>
          </w:p>
        </w:tc>
      </w:tr>
      <w:tr w14:paraId="17D5C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577" w:type="pct"/>
            <w:vAlign w:val="center"/>
          </w:tcPr>
          <w:p w14:paraId="3BBC7662">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6</w:t>
            </w:r>
          </w:p>
        </w:tc>
        <w:tc>
          <w:tcPr>
            <w:tcW w:w="4422" w:type="pct"/>
            <w:vAlign w:val="center"/>
          </w:tcPr>
          <w:p w14:paraId="1F7F80BB">
            <w:pPr>
              <w:spacing w:line="360" w:lineRule="auto"/>
              <w:jc w:val="left"/>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投标文件未出现选择性报价或有附加条件报价的情形。</w:t>
            </w:r>
          </w:p>
        </w:tc>
      </w:tr>
      <w:tr w14:paraId="3602F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577" w:type="pct"/>
            <w:vAlign w:val="center"/>
          </w:tcPr>
          <w:p w14:paraId="7FEE294C">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7</w:t>
            </w:r>
          </w:p>
        </w:tc>
        <w:tc>
          <w:tcPr>
            <w:tcW w:w="4422" w:type="pct"/>
            <w:vAlign w:val="center"/>
          </w:tcPr>
          <w:p w14:paraId="6EB34357">
            <w:pPr>
              <w:spacing w:line="360" w:lineRule="auto"/>
              <w:jc w:val="left"/>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投标文件没有招标文件中规定的其它无效投标条款的。</w:t>
            </w:r>
          </w:p>
        </w:tc>
      </w:tr>
      <w:tr w14:paraId="5B496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577" w:type="pct"/>
            <w:vAlign w:val="center"/>
          </w:tcPr>
          <w:p w14:paraId="29DA723B">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8</w:t>
            </w:r>
          </w:p>
        </w:tc>
        <w:tc>
          <w:tcPr>
            <w:tcW w:w="4422" w:type="pct"/>
            <w:vAlign w:val="center"/>
          </w:tcPr>
          <w:p w14:paraId="3C5D06AB">
            <w:pPr>
              <w:spacing w:line="360" w:lineRule="auto"/>
              <w:jc w:val="left"/>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按有关法律、法规、规章不属于投标无效的。</w:t>
            </w:r>
          </w:p>
        </w:tc>
      </w:tr>
    </w:tbl>
    <w:p w14:paraId="66281C73">
      <w:pPr>
        <w:pStyle w:val="29"/>
        <w:numPr>
          <w:ilvl w:val="0"/>
          <w:numId w:val="82"/>
        </w:numPr>
        <w:spacing w:before="468" w:beforeLines="150" w:line="360" w:lineRule="auto"/>
        <w:ind w:firstLineChars="0"/>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说明：</w:t>
      </w:r>
    </w:p>
    <w:p w14:paraId="4C546796">
      <w:pPr>
        <w:spacing w:before="156" w:beforeLines="50" w:line="360" w:lineRule="auto"/>
        <w:ind w:firstLine="420" w:firstLineChars="200"/>
        <w:rPr>
          <w:rFonts w:hint="eastAsia" w:ascii="黑体" w:hAnsi="黑体" w:eastAsia="黑体" w:cs="黑体"/>
          <w:b/>
          <w:bCs/>
          <w:color w:val="auto"/>
          <w:szCs w:val="21"/>
          <w:highlight w:val="none"/>
        </w:rPr>
      </w:pPr>
      <w:r>
        <w:rPr>
          <w:rFonts w:hint="eastAsia" w:ascii="黑体" w:hAnsi="黑体" w:eastAsia="黑体" w:cs="黑体"/>
          <w:color w:val="auto"/>
          <w:szCs w:val="21"/>
          <w:highlight w:val="none"/>
        </w:rPr>
        <w:t>投标人必须严格按照《符合性审查表》的评审内容的要求如实提供证明材料并应加盖投标人公章，若投标人不满足《符合性审查表》中任何情形之一的，则其投标无效。</w:t>
      </w:r>
    </w:p>
    <w:p w14:paraId="2449704E">
      <w:pPr>
        <w:pStyle w:val="29"/>
        <w:pageBreakBefore/>
        <w:numPr>
          <w:ilvl w:val="0"/>
          <w:numId w:val="81"/>
        </w:numPr>
        <w:spacing w:before="312" w:beforeLines="100" w:after="312" w:afterLines="100" w:line="360" w:lineRule="auto"/>
        <w:ind w:left="422" w:hanging="422" w:hangingChars="200"/>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附表三  详细评审表（含商务、技术评审细则）</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4"/>
        <w:gridCol w:w="1458"/>
        <w:gridCol w:w="142"/>
        <w:gridCol w:w="1169"/>
        <w:gridCol w:w="5154"/>
      </w:tblGrid>
      <w:tr w14:paraId="6ED3A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481" w:type="pct"/>
            <w:vAlign w:val="center"/>
          </w:tcPr>
          <w:p w14:paraId="306634A2">
            <w:pPr>
              <w:pStyle w:val="35"/>
              <w:keepNext w:val="0"/>
              <w:keepLines w:val="0"/>
              <w:pageBreakBefore w:val="0"/>
              <w:kinsoku/>
              <w:wordWrap/>
              <w:overflowPunct/>
              <w:topLinePunct w:val="0"/>
              <w:autoSpaceDE/>
              <w:autoSpaceDN/>
              <w:bidi w:val="0"/>
              <w:adjustRightInd/>
              <w:snapToGrid/>
              <w:spacing w:after="62" w:afterLines="20" w:line="400" w:lineRule="exact"/>
              <w:ind w:firstLine="0" w:firstLineChars="0"/>
              <w:jc w:val="center"/>
              <w:textAlignment w:val="auto"/>
              <w:rPr>
                <w:rFonts w:hint="eastAsia" w:ascii="黑体" w:hAnsi="黑体" w:eastAsia="黑体" w:cs="黑体"/>
                <w:b/>
                <w:color w:val="auto"/>
                <w:sz w:val="21"/>
                <w:szCs w:val="21"/>
                <w:highlight w:val="none"/>
              </w:rPr>
            </w:pPr>
            <w:r>
              <w:rPr>
                <w:rFonts w:hint="eastAsia" w:ascii="黑体" w:hAnsi="黑体" w:eastAsia="黑体" w:cs="黑体"/>
                <w:b/>
                <w:color w:val="auto"/>
                <w:sz w:val="21"/>
                <w:szCs w:val="21"/>
                <w:highlight w:val="none"/>
              </w:rPr>
              <w:t>序号</w:t>
            </w:r>
          </w:p>
        </w:tc>
        <w:tc>
          <w:tcPr>
            <w:tcW w:w="831" w:type="pct"/>
            <w:vAlign w:val="center"/>
          </w:tcPr>
          <w:p w14:paraId="5BFDEB97">
            <w:pPr>
              <w:pStyle w:val="35"/>
              <w:keepNext w:val="0"/>
              <w:keepLines w:val="0"/>
              <w:pageBreakBefore w:val="0"/>
              <w:kinsoku/>
              <w:wordWrap/>
              <w:overflowPunct/>
              <w:topLinePunct w:val="0"/>
              <w:autoSpaceDE/>
              <w:autoSpaceDN/>
              <w:bidi w:val="0"/>
              <w:adjustRightInd/>
              <w:snapToGrid/>
              <w:spacing w:after="62" w:afterLines="20" w:line="400" w:lineRule="exact"/>
              <w:ind w:firstLine="0" w:firstLineChars="0"/>
              <w:jc w:val="center"/>
              <w:textAlignment w:val="auto"/>
              <w:rPr>
                <w:rFonts w:hint="eastAsia" w:ascii="黑体" w:hAnsi="黑体" w:eastAsia="黑体" w:cs="黑体"/>
                <w:b/>
                <w:color w:val="auto"/>
                <w:sz w:val="21"/>
                <w:szCs w:val="21"/>
                <w:highlight w:val="none"/>
              </w:rPr>
            </w:pPr>
            <w:r>
              <w:rPr>
                <w:rFonts w:hint="eastAsia" w:ascii="黑体" w:hAnsi="黑体" w:eastAsia="黑体" w:cs="黑体"/>
                <w:b/>
                <w:color w:val="auto"/>
                <w:sz w:val="21"/>
                <w:szCs w:val="21"/>
                <w:highlight w:val="none"/>
              </w:rPr>
              <w:t>评分内容</w:t>
            </w:r>
          </w:p>
        </w:tc>
        <w:tc>
          <w:tcPr>
            <w:tcW w:w="747" w:type="pct"/>
            <w:gridSpan w:val="2"/>
            <w:vAlign w:val="center"/>
          </w:tcPr>
          <w:p w14:paraId="3743D74C">
            <w:pPr>
              <w:pStyle w:val="35"/>
              <w:keepNext w:val="0"/>
              <w:keepLines w:val="0"/>
              <w:pageBreakBefore w:val="0"/>
              <w:kinsoku/>
              <w:wordWrap/>
              <w:overflowPunct/>
              <w:topLinePunct w:val="0"/>
              <w:autoSpaceDE/>
              <w:autoSpaceDN/>
              <w:bidi w:val="0"/>
              <w:adjustRightInd/>
              <w:snapToGrid/>
              <w:spacing w:after="62" w:afterLines="20" w:line="400" w:lineRule="exact"/>
              <w:ind w:firstLine="0" w:firstLineChars="0"/>
              <w:jc w:val="center"/>
              <w:textAlignment w:val="auto"/>
              <w:rPr>
                <w:rFonts w:hint="eastAsia" w:ascii="黑体" w:hAnsi="黑体" w:eastAsia="黑体" w:cs="黑体"/>
                <w:b/>
                <w:color w:val="auto"/>
                <w:sz w:val="21"/>
                <w:szCs w:val="21"/>
                <w:highlight w:val="none"/>
              </w:rPr>
            </w:pPr>
            <w:r>
              <w:rPr>
                <w:rFonts w:hint="eastAsia" w:ascii="黑体" w:hAnsi="黑体" w:eastAsia="黑体" w:cs="黑体"/>
                <w:b/>
                <w:color w:val="auto"/>
                <w:sz w:val="21"/>
                <w:szCs w:val="21"/>
                <w:highlight w:val="none"/>
              </w:rPr>
              <w:t>分值</w:t>
            </w:r>
          </w:p>
        </w:tc>
        <w:tc>
          <w:tcPr>
            <w:tcW w:w="2939" w:type="pct"/>
            <w:vAlign w:val="center"/>
          </w:tcPr>
          <w:p w14:paraId="40A7577A">
            <w:pPr>
              <w:pStyle w:val="35"/>
              <w:keepNext w:val="0"/>
              <w:keepLines w:val="0"/>
              <w:pageBreakBefore w:val="0"/>
              <w:kinsoku/>
              <w:wordWrap/>
              <w:overflowPunct/>
              <w:topLinePunct w:val="0"/>
              <w:autoSpaceDE/>
              <w:autoSpaceDN/>
              <w:bidi w:val="0"/>
              <w:adjustRightInd/>
              <w:snapToGrid/>
              <w:spacing w:after="62" w:afterLines="20" w:line="400" w:lineRule="exact"/>
              <w:ind w:firstLine="0" w:firstLineChars="0"/>
              <w:jc w:val="center"/>
              <w:textAlignment w:val="auto"/>
              <w:rPr>
                <w:rFonts w:hint="eastAsia" w:ascii="黑体" w:hAnsi="黑体" w:eastAsia="黑体" w:cs="黑体"/>
                <w:b/>
                <w:color w:val="auto"/>
                <w:sz w:val="21"/>
                <w:szCs w:val="21"/>
                <w:highlight w:val="none"/>
              </w:rPr>
            </w:pPr>
            <w:r>
              <w:rPr>
                <w:rFonts w:hint="eastAsia" w:ascii="黑体" w:hAnsi="黑体" w:eastAsia="黑体" w:cs="黑体"/>
                <w:b/>
                <w:color w:val="auto"/>
                <w:sz w:val="21"/>
                <w:szCs w:val="21"/>
                <w:highlight w:val="none"/>
              </w:rPr>
              <w:t>评审标准</w:t>
            </w:r>
          </w:p>
        </w:tc>
      </w:tr>
      <w:tr w14:paraId="7674B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5"/>
            <w:vAlign w:val="center"/>
          </w:tcPr>
          <w:p w14:paraId="48BF8597">
            <w:pPr>
              <w:pStyle w:val="35"/>
              <w:keepNext w:val="0"/>
              <w:keepLines w:val="0"/>
              <w:pageBreakBefore w:val="0"/>
              <w:kinsoku/>
              <w:wordWrap/>
              <w:overflowPunct/>
              <w:topLinePunct w:val="0"/>
              <w:autoSpaceDE/>
              <w:autoSpaceDN/>
              <w:bidi w:val="0"/>
              <w:adjustRightInd/>
              <w:snapToGrid/>
              <w:spacing w:after="62" w:afterLines="20" w:line="400" w:lineRule="exact"/>
              <w:ind w:firstLine="0" w:firstLineChars="0"/>
              <w:jc w:val="center"/>
              <w:textAlignment w:val="auto"/>
              <w:rPr>
                <w:rFonts w:hint="eastAsia" w:ascii="黑体" w:hAnsi="黑体" w:eastAsia="黑体" w:cs="黑体"/>
                <w:b/>
                <w:color w:val="auto"/>
                <w:sz w:val="21"/>
                <w:szCs w:val="21"/>
                <w:highlight w:val="none"/>
              </w:rPr>
            </w:pPr>
            <w:r>
              <w:rPr>
                <w:rFonts w:hint="eastAsia" w:ascii="黑体" w:hAnsi="黑体" w:eastAsia="黑体" w:cs="黑体"/>
                <w:b/>
                <w:color w:val="auto"/>
                <w:sz w:val="21"/>
                <w:szCs w:val="21"/>
                <w:highlight w:val="none"/>
              </w:rPr>
              <w:t xml:space="preserve">商务评审细则（ </w:t>
            </w:r>
            <w:r>
              <w:rPr>
                <w:rFonts w:hint="eastAsia" w:ascii="黑体" w:hAnsi="黑体" w:eastAsia="黑体" w:cs="黑体"/>
                <w:b/>
                <w:color w:val="auto"/>
                <w:sz w:val="21"/>
                <w:szCs w:val="21"/>
                <w:highlight w:val="none"/>
                <w:lang w:val="en-US" w:eastAsia="zh-CN"/>
              </w:rPr>
              <w:t>30</w:t>
            </w:r>
            <w:r>
              <w:rPr>
                <w:rFonts w:hint="eastAsia" w:ascii="黑体" w:hAnsi="黑体" w:eastAsia="黑体" w:cs="黑体"/>
                <w:b/>
                <w:color w:val="auto"/>
                <w:sz w:val="21"/>
                <w:szCs w:val="21"/>
                <w:highlight w:val="none"/>
              </w:rPr>
              <w:t xml:space="preserve"> 分）</w:t>
            </w:r>
          </w:p>
        </w:tc>
      </w:tr>
      <w:tr w14:paraId="49DA2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81" w:type="pct"/>
            <w:vAlign w:val="center"/>
          </w:tcPr>
          <w:p w14:paraId="773ED9C9">
            <w:pPr>
              <w:keepNext w:val="0"/>
              <w:keepLines w:val="0"/>
              <w:pageBreakBefore w:val="0"/>
              <w:kinsoku/>
              <w:wordWrap/>
              <w:overflowPunct/>
              <w:topLinePunct w:val="0"/>
              <w:autoSpaceDE/>
              <w:autoSpaceDN/>
              <w:bidi w:val="0"/>
              <w:adjustRightInd/>
              <w:snapToGrid/>
              <w:spacing w:before="31" w:beforeLines="10" w:after="93" w:afterLines="30" w:line="400" w:lineRule="exact"/>
              <w:jc w:val="center"/>
              <w:textAlignment w:val="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1</w:t>
            </w:r>
          </w:p>
        </w:tc>
        <w:tc>
          <w:tcPr>
            <w:tcW w:w="912" w:type="pct"/>
            <w:gridSpan w:val="2"/>
            <w:vAlign w:val="center"/>
          </w:tcPr>
          <w:p w14:paraId="19CBCAD9">
            <w:pPr>
              <w:keepNext w:val="0"/>
              <w:keepLines w:val="0"/>
              <w:pageBreakBefore w:val="0"/>
              <w:kinsoku/>
              <w:wordWrap/>
              <w:overflowPunct/>
              <w:topLinePunct w:val="0"/>
              <w:autoSpaceDE/>
              <w:autoSpaceDN/>
              <w:bidi w:val="0"/>
              <w:adjustRightInd/>
              <w:snapToGrid/>
              <w:spacing w:before="31" w:beforeLines="10" w:after="30" w:line="400" w:lineRule="exact"/>
              <w:jc w:val="center"/>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同类业绩情况</w:t>
            </w:r>
          </w:p>
        </w:tc>
        <w:tc>
          <w:tcPr>
            <w:tcW w:w="666" w:type="pct"/>
            <w:vAlign w:val="center"/>
          </w:tcPr>
          <w:p w14:paraId="4BBF1949">
            <w:pPr>
              <w:keepNext w:val="0"/>
              <w:keepLines w:val="0"/>
              <w:pageBreakBefore w:val="0"/>
              <w:widowControl/>
              <w:kinsoku/>
              <w:wordWrap/>
              <w:overflowPunct/>
              <w:topLinePunct w:val="0"/>
              <w:autoSpaceDE/>
              <w:autoSpaceDN/>
              <w:bidi w:val="0"/>
              <w:adjustRightInd/>
              <w:snapToGrid/>
              <w:spacing w:before="31" w:beforeLines="10" w:after="30" w:line="400" w:lineRule="exact"/>
              <w:jc w:val="center"/>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lang w:val="en-US" w:eastAsia="zh-CN"/>
              </w:rPr>
              <w:t>15</w:t>
            </w:r>
            <w:r>
              <w:rPr>
                <w:rFonts w:hint="eastAsia" w:ascii="黑体" w:hAnsi="黑体" w:eastAsia="黑体" w:cs="黑体"/>
                <w:bCs/>
                <w:color w:val="auto"/>
                <w:szCs w:val="21"/>
                <w:highlight w:val="none"/>
              </w:rPr>
              <w:t>分</w:t>
            </w:r>
          </w:p>
        </w:tc>
        <w:tc>
          <w:tcPr>
            <w:tcW w:w="2939" w:type="pct"/>
            <w:vAlign w:val="center"/>
          </w:tcPr>
          <w:p w14:paraId="1CBF0E62">
            <w:pPr>
              <w:keepNext w:val="0"/>
              <w:keepLines w:val="0"/>
              <w:pageBreakBefore w:val="0"/>
              <w:kinsoku/>
              <w:wordWrap/>
              <w:overflowPunct/>
              <w:topLinePunct w:val="0"/>
              <w:autoSpaceDE/>
              <w:autoSpaceDN/>
              <w:bidi w:val="0"/>
              <w:adjustRightInd/>
              <w:snapToGrid/>
              <w:spacing w:before="31" w:beforeLines="10" w:after="30" w:line="400" w:lineRule="exact"/>
              <w:textAlignment w:val="auto"/>
              <w:rPr>
                <w:rFonts w:hint="eastAsia" w:ascii="黑体" w:hAnsi="黑体" w:eastAsia="黑体" w:cs="黑体"/>
                <w:b w:val="0"/>
                <w:bCs w:val="0"/>
                <w:color w:val="auto"/>
                <w:szCs w:val="21"/>
                <w:highlight w:val="none"/>
                <w:u w:val="none"/>
              </w:rPr>
            </w:pPr>
            <w:r>
              <w:rPr>
                <w:rFonts w:hint="eastAsia" w:ascii="黑体" w:hAnsi="黑体" w:eastAsia="黑体" w:cs="黑体"/>
                <w:b w:val="0"/>
                <w:bCs w:val="0"/>
                <w:color w:val="auto"/>
                <w:szCs w:val="21"/>
                <w:highlight w:val="none"/>
                <w:u w:val="none"/>
              </w:rPr>
              <w:t>根据投标人2020年1月1日（以签订日期为准）以来承接相关密集架业绩进行评审，每提供一个有效合同业绩得</w:t>
            </w:r>
            <w:r>
              <w:rPr>
                <w:rFonts w:hint="eastAsia" w:ascii="黑体" w:hAnsi="黑体" w:eastAsia="黑体" w:cs="黑体"/>
                <w:b w:val="0"/>
                <w:bCs w:val="0"/>
                <w:color w:val="auto"/>
                <w:szCs w:val="21"/>
                <w:highlight w:val="none"/>
                <w:u w:val="none"/>
                <w:lang w:val="en-US" w:eastAsia="zh-CN"/>
              </w:rPr>
              <w:t>3</w:t>
            </w:r>
            <w:r>
              <w:rPr>
                <w:rFonts w:hint="eastAsia" w:ascii="黑体" w:hAnsi="黑体" w:eastAsia="黑体" w:cs="黑体"/>
                <w:b w:val="0"/>
                <w:bCs w:val="0"/>
                <w:color w:val="auto"/>
                <w:szCs w:val="21"/>
                <w:highlight w:val="none"/>
                <w:u w:val="none"/>
              </w:rPr>
              <w:t>分，本项最高得</w:t>
            </w:r>
            <w:r>
              <w:rPr>
                <w:rFonts w:hint="eastAsia" w:ascii="黑体" w:hAnsi="黑体" w:eastAsia="黑体" w:cs="黑体"/>
                <w:b w:val="0"/>
                <w:bCs w:val="0"/>
                <w:color w:val="auto"/>
                <w:szCs w:val="21"/>
                <w:highlight w:val="none"/>
                <w:u w:val="none"/>
                <w:lang w:val="en-US" w:eastAsia="zh-CN"/>
              </w:rPr>
              <w:t>15</w:t>
            </w:r>
            <w:r>
              <w:rPr>
                <w:rFonts w:hint="eastAsia" w:ascii="黑体" w:hAnsi="黑体" w:eastAsia="黑体" w:cs="黑体"/>
                <w:b w:val="0"/>
                <w:bCs w:val="0"/>
                <w:color w:val="auto"/>
                <w:szCs w:val="21"/>
                <w:highlight w:val="none"/>
                <w:u w:val="none"/>
              </w:rPr>
              <w:t>分。</w:t>
            </w:r>
          </w:p>
          <w:p w14:paraId="35A06278">
            <w:pPr>
              <w:keepNext w:val="0"/>
              <w:keepLines w:val="0"/>
              <w:pageBreakBefore w:val="0"/>
              <w:kinsoku/>
              <w:wordWrap/>
              <w:overflowPunct/>
              <w:topLinePunct w:val="0"/>
              <w:autoSpaceDE/>
              <w:autoSpaceDN/>
              <w:bidi w:val="0"/>
              <w:adjustRightInd/>
              <w:snapToGrid/>
              <w:spacing w:before="31" w:beforeLines="10" w:after="30" w:line="400" w:lineRule="exact"/>
              <w:textAlignment w:val="auto"/>
              <w:rPr>
                <w:rFonts w:hint="eastAsia" w:ascii="黑体" w:hAnsi="黑体" w:eastAsia="黑体" w:cs="黑体"/>
                <w:b/>
                <w:bCs/>
                <w:color w:val="auto"/>
                <w:szCs w:val="21"/>
                <w:highlight w:val="none"/>
                <w:u w:val="single"/>
              </w:rPr>
            </w:pPr>
            <w:r>
              <w:rPr>
                <w:rFonts w:hint="eastAsia" w:ascii="黑体" w:hAnsi="黑体" w:eastAsia="黑体" w:cs="黑体"/>
                <w:b/>
                <w:bCs/>
                <w:color w:val="auto"/>
                <w:szCs w:val="21"/>
                <w:highlight w:val="none"/>
                <w:u w:val="single"/>
              </w:rPr>
              <w:t>【注：合同复印件、任意一期收款合格发票复印件并加盖投标人公章。投标人所提供的合同复印件须明确体现配置清单、送货日期等关键信息，关键信息不完整不得分。】</w:t>
            </w:r>
          </w:p>
        </w:tc>
      </w:tr>
      <w:tr w14:paraId="122679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81" w:type="pct"/>
            <w:vAlign w:val="center"/>
          </w:tcPr>
          <w:p w14:paraId="51DE9F61">
            <w:pPr>
              <w:keepNext w:val="0"/>
              <w:keepLines w:val="0"/>
              <w:pageBreakBefore w:val="0"/>
              <w:kinsoku/>
              <w:wordWrap/>
              <w:overflowPunct/>
              <w:topLinePunct w:val="0"/>
              <w:autoSpaceDE/>
              <w:autoSpaceDN/>
              <w:bidi w:val="0"/>
              <w:adjustRightInd/>
              <w:snapToGrid/>
              <w:spacing w:before="31" w:beforeLines="10" w:after="93" w:afterLines="30" w:line="400" w:lineRule="exact"/>
              <w:jc w:val="center"/>
              <w:textAlignment w:val="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2</w:t>
            </w:r>
          </w:p>
        </w:tc>
        <w:tc>
          <w:tcPr>
            <w:tcW w:w="912" w:type="pct"/>
            <w:gridSpan w:val="2"/>
            <w:vAlign w:val="center"/>
          </w:tcPr>
          <w:p w14:paraId="649539EE">
            <w:pPr>
              <w:keepNext w:val="0"/>
              <w:keepLines w:val="0"/>
              <w:pageBreakBefore w:val="0"/>
              <w:kinsoku/>
              <w:wordWrap/>
              <w:overflowPunct/>
              <w:topLinePunct w:val="0"/>
              <w:autoSpaceDE/>
              <w:autoSpaceDN/>
              <w:bidi w:val="0"/>
              <w:adjustRightInd/>
              <w:snapToGrid/>
              <w:spacing w:before="31" w:beforeLines="10" w:after="30" w:line="400" w:lineRule="exact"/>
              <w:jc w:val="center"/>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售后服务便利性</w:t>
            </w:r>
          </w:p>
        </w:tc>
        <w:tc>
          <w:tcPr>
            <w:tcW w:w="666" w:type="pct"/>
            <w:vAlign w:val="center"/>
          </w:tcPr>
          <w:p w14:paraId="4BDC5CAA">
            <w:pPr>
              <w:keepNext w:val="0"/>
              <w:keepLines w:val="0"/>
              <w:pageBreakBefore w:val="0"/>
              <w:widowControl/>
              <w:kinsoku/>
              <w:wordWrap/>
              <w:overflowPunct/>
              <w:topLinePunct w:val="0"/>
              <w:autoSpaceDE/>
              <w:autoSpaceDN/>
              <w:bidi w:val="0"/>
              <w:adjustRightInd/>
              <w:snapToGrid/>
              <w:spacing w:before="31" w:beforeLines="10" w:after="30" w:line="400" w:lineRule="exact"/>
              <w:jc w:val="center"/>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lang w:val="en-US" w:eastAsia="zh-CN"/>
              </w:rPr>
              <w:t>6</w:t>
            </w:r>
            <w:r>
              <w:rPr>
                <w:rFonts w:hint="eastAsia" w:ascii="黑体" w:hAnsi="黑体" w:eastAsia="黑体" w:cs="黑体"/>
                <w:bCs/>
                <w:color w:val="auto"/>
                <w:szCs w:val="21"/>
                <w:highlight w:val="none"/>
              </w:rPr>
              <w:t>分</w:t>
            </w:r>
          </w:p>
        </w:tc>
        <w:tc>
          <w:tcPr>
            <w:tcW w:w="2939" w:type="pct"/>
            <w:vAlign w:val="center"/>
          </w:tcPr>
          <w:p w14:paraId="01227CBD">
            <w:pPr>
              <w:keepNext w:val="0"/>
              <w:keepLines w:val="0"/>
              <w:pageBreakBefore w:val="0"/>
              <w:kinsoku/>
              <w:wordWrap/>
              <w:overflowPunct/>
              <w:topLinePunct w:val="0"/>
              <w:autoSpaceDE/>
              <w:autoSpaceDN/>
              <w:bidi w:val="0"/>
              <w:adjustRightInd/>
              <w:snapToGrid/>
              <w:spacing w:line="400" w:lineRule="exact"/>
              <w:textAlignment w:val="auto"/>
              <w:rPr>
                <w:rFonts w:hint="eastAsia" w:ascii="黑体" w:hAnsi="黑体" w:eastAsia="黑体" w:cs="黑体"/>
                <w:b w:val="0"/>
                <w:bCs w:val="0"/>
                <w:color w:val="auto"/>
                <w:szCs w:val="21"/>
                <w:highlight w:val="none"/>
                <w:u w:val="none"/>
              </w:rPr>
            </w:pPr>
            <w:r>
              <w:rPr>
                <w:rFonts w:hint="eastAsia" w:ascii="黑体" w:hAnsi="黑体" w:eastAsia="黑体" w:cs="黑体"/>
                <w:b w:val="0"/>
                <w:bCs w:val="0"/>
                <w:color w:val="auto"/>
                <w:szCs w:val="21"/>
                <w:highlight w:val="none"/>
                <w:u w:val="none"/>
              </w:rPr>
              <w:t>根据</w:t>
            </w:r>
            <w:r>
              <w:rPr>
                <w:rFonts w:hint="eastAsia" w:ascii="黑体" w:hAnsi="黑体" w:eastAsia="黑体" w:cs="黑体"/>
                <w:b w:val="0"/>
                <w:bCs w:val="0"/>
                <w:color w:val="auto"/>
                <w:szCs w:val="21"/>
                <w:highlight w:val="none"/>
                <w:u w:val="none"/>
                <w:lang w:val="en-US" w:eastAsia="zh-CN"/>
              </w:rPr>
              <w:t>投标人</w:t>
            </w:r>
            <w:r>
              <w:rPr>
                <w:rFonts w:hint="eastAsia" w:ascii="黑体" w:hAnsi="黑体" w:eastAsia="黑体" w:cs="黑体"/>
                <w:b w:val="0"/>
                <w:bCs w:val="0"/>
                <w:color w:val="auto"/>
                <w:szCs w:val="21"/>
                <w:highlight w:val="none"/>
                <w:u w:val="none"/>
              </w:rPr>
              <w:t>承诺在接到采购人通知后到达采购人指定地点的时间响应情况进行评审：</w:t>
            </w:r>
          </w:p>
          <w:p w14:paraId="79F1B5BA">
            <w:pPr>
              <w:keepNext w:val="0"/>
              <w:keepLines w:val="0"/>
              <w:pageBreakBefore w:val="0"/>
              <w:kinsoku/>
              <w:wordWrap/>
              <w:overflowPunct/>
              <w:topLinePunct w:val="0"/>
              <w:autoSpaceDE/>
              <w:autoSpaceDN/>
              <w:bidi w:val="0"/>
              <w:adjustRightInd/>
              <w:snapToGrid/>
              <w:spacing w:line="400" w:lineRule="exact"/>
              <w:textAlignment w:val="auto"/>
              <w:rPr>
                <w:rFonts w:hint="eastAsia" w:ascii="黑体" w:hAnsi="黑体" w:eastAsia="黑体" w:cs="黑体"/>
                <w:b w:val="0"/>
                <w:bCs w:val="0"/>
                <w:color w:val="auto"/>
                <w:szCs w:val="21"/>
                <w:highlight w:val="none"/>
                <w:u w:val="none"/>
              </w:rPr>
            </w:pPr>
            <w:r>
              <w:rPr>
                <w:rFonts w:hint="eastAsia" w:ascii="黑体" w:hAnsi="黑体" w:eastAsia="黑体" w:cs="黑体"/>
                <w:b w:val="0"/>
                <w:bCs w:val="0"/>
                <w:color w:val="auto"/>
                <w:szCs w:val="21"/>
                <w:highlight w:val="none"/>
                <w:u w:val="none"/>
              </w:rPr>
              <w:t>1、承诺接到采购人通知后</w:t>
            </w:r>
            <w:r>
              <w:rPr>
                <w:rFonts w:hint="eastAsia" w:ascii="黑体" w:hAnsi="黑体" w:eastAsia="黑体" w:cs="黑体"/>
                <w:color w:val="auto"/>
                <w:szCs w:val="21"/>
                <w:highlight w:val="none"/>
              </w:rPr>
              <w:t>1小时（含）</w:t>
            </w:r>
            <w:r>
              <w:rPr>
                <w:rFonts w:hint="eastAsia" w:ascii="黑体" w:hAnsi="黑体" w:eastAsia="黑体" w:cs="黑体"/>
                <w:b w:val="0"/>
                <w:bCs w:val="0"/>
                <w:color w:val="auto"/>
                <w:szCs w:val="21"/>
                <w:highlight w:val="none"/>
                <w:u w:val="none"/>
              </w:rPr>
              <w:t>内达到采购人指定地点，得</w:t>
            </w:r>
            <w:r>
              <w:rPr>
                <w:rFonts w:hint="eastAsia" w:ascii="黑体" w:hAnsi="黑体" w:eastAsia="黑体" w:cs="黑体"/>
                <w:b w:val="0"/>
                <w:bCs w:val="0"/>
                <w:color w:val="auto"/>
                <w:szCs w:val="21"/>
                <w:highlight w:val="none"/>
                <w:u w:val="none"/>
                <w:lang w:val="en-US" w:eastAsia="zh-CN"/>
              </w:rPr>
              <w:t>6</w:t>
            </w:r>
            <w:r>
              <w:rPr>
                <w:rFonts w:hint="eastAsia" w:ascii="黑体" w:hAnsi="黑体" w:eastAsia="黑体" w:cs="黑体"/>
                <w:b w:val="0"/>
                <w:bCs w:val="0"/>
                <w:color w:val="auto"/>
                <w:szCs w:val="21"/>
                <w:highlight w:val="none"/>
                <w:u w:val="none"/>
              </w:rPr>
              <w:t>分；</w:t>
            </w:r>
          </w:p>
          <w:p w14:paraId="2573EA0A">
            <w:pPr>
              <w:keepNext w:val="0"/>
              <w:keepLines w:val="0"/>
              <w:pageBreakBefore w:val="0"/>
              <w:kinsoku/>
              <w:wordWrap/>
              <w:overflowPunct/>
              <w:topLinePunct w:val="0"/>
              <w:autoSpaceDE/>
              <w:autoSpaceDN/>
              <w:bidi w:val="0"/>
              <w:adjustRightInd/>
              <w:snapToGrid/>
              <w:spacing w:line="400" w:lineRule="exact"/>
              <w:textAlignment w:val="auto"/>
              <w:rPr>
                <w:rFonts w:hint="eastAsia" w:ascii="黑体" w:hAnsi="黑体" w:eastAsia="黑体" w:cs="黑体"/>
                <w:b w:val="0"/>
                <w:bCs w:val="0"/>
                <w:color w:val="auto"/>
                <w:szCs w:val="21"/>
                <w:highlight w:val="none"/>
                <w:u w:val="none"/>
              </w:rPr>
            </w:pPr>
            <w:r>
              <w:rPr>
                <w:rFonts w:hint="eastAsia" w:ascii="黑体" w:hAnsi="黑体" w:eastAsia="黑体" w:cs="黑体"/>
                <w:b w:val="0"/>
                <w:bCs w:val="0"/>
                <w:color w:val="auto"/>
                <w:szCs w:val="21"/>
                <w:highlight w:val="none"/>
                <w:u w:val="none"/>
              </w:rPr>
              <w:t>2、承诺接到采购人通知后1</w:t>
            </w:r>
            <w:r>
              <w:rPr>
                <w:rFonts w:hint="eastAsia" w:ascii="黑体" w:hAnsi="黑体" w:eastAsia="黑体" w:cs="黑体"/>
                <w:b w:val="0"/>
                <w:bCs w:val="0"/>
                <w:color w:val="auto"/>
                <w:szCs w:val="21"/>
                <w:highlight w:val="none"/>
                <w:u w:val="none"/>
                <w:lang w:val="en-US" w:eastAsia="zh-CN"/>
              </w:rPr>
              <w:t>小时</w:t>
            </w:r>
            <w:r>
              <w:rPr>
                <w:rFonts w:hint="eastAsia" w:ascii="黑体" w:hAnsi="黑体" w:eastAsia="黑体" w:cs="黑体"/>
                <w:b w:val="0"/>
                <w:bCs w:val="0"/>
                <w:color w:val="auto"/>
                <w:szCs w:val="21"/>
                <w:highlight w:val="none"/>
                <w:u w:val="none"/>
                <w:lang w:eastAsia="zh-CN"/>
              </w:rPr>
              <w:t>（</w:t>
            </w:r>
            <w:r>
              <w:rPr>
                <w:rFonts w:hint="eastAsia" w:ascii="黑体" w:hAnsi="黑体" w:eastAsia="黑体" w:cs="黑体"/>
                <w:b w:val="0"/>
                <w:bCs w:val="0"/>
                <w:color w:val="auto"/>
                <w:szCs w:val="21"/>
                <w:highlight w:val="none"/>
                <w:u w:val="none"/>
                <w:lang w:val="en-US" w:eastAsia="zh-CN"/>
              </w:rPr>
              <w:t>不含</w:t>
            </w:r>
            <w:r>
              <w:rPr>
                <w:rFonts w:hint="eastAsia" w:ascii="黑体" w:hAnsi="黑体" w:eastAsia="黑体" w:cs="黑体"/>
                <w:b w:val="0"/>
                <w:bCs w:val="0"/>
                <w:color w:val="auto"/>
                <w:szCs w:val="21"/>
                <w:highlight w:val="none"/>
                <w:u w:val="none"/>
                <w:lang w:eastAsia="zh-CN"/>
              </w:rPr>
              <w:t>）</w:t>
            </w:r>
            <w:r>
              <w:rPr>
                <w:rFonts w:hint="eastAsia" w:ascii="黑体" w:hAnsi="黑体" w:eastAsia="黑体" w:cs="黑体"/>
                <w:b w:val="0"/>
                <w:bCs w:val="0"/>
                <w:color w:val="auto"/>
                <w:szCs w:val="21"/>
                <w:highlight w:val="none"/>
                <w:u w:val="none"/>
                <w:lang w:val="en-US" w:eastAsia="zh-CN"/>
              </w:rPr>
              <w:t>至</w:t>
            </w:r>
            <w:r>
              <w:rPr>
                <w:rFonts w:hint="eastAsia" w:ascii="黑体" w:hAnsi="黑体" w:eastAsia="黑体" w:cs="黑体"/>
                <w:b w:val="0"/>
                <w:bCs w:val="0"/>
                <w:color w:val="auto"/>
                <w:szCs w:val="21"/>
                <w:highlight w:val="none"/>
                <w:u w:val="none"/>
              </w:rPr>
              <w:t>1.5小时</w:t>
            </w:r>
            <w:r>
              <w:rPr>
                <w:rFonts w:hint="eastAsia" w:ascii="黑体" w:hAnsi="黑体" w:eastAsia="黑体" w:cs="黑体"/>
                <w:b w:val="0"/>
                <w:bCs w:val="0"/>
                <w:color w:val="auto"/>
                <w:szCs w:val="21"/>
                <w:highlight w:val="none"/>
                <w:u w:val="none"/>
                <w:lang w:eastAsia="zh-CN"/>
              </w:rPr>
              <w:t>（</w:t>
            </w:r>
            <w:r>
              <w:rPr>
                <w:rFonts w:hint="eastAsia" w:ascii="黑体" w:hAnsi="黑体" w:eastAsia="黑体" w:cs="黑体"/>
                <w:b w:val="0"/>
                <w:bCs w:val="0"/>
                <w:color w:val="auto"/>
                <w:szCs w:val="21"/>
                <w:highlight w:val="none"/>
                <w:u w:val="none"/>
                <w:lang w:val="en-US" w:eastAsia="zh-CN"/>
              </w:rPr>
              <w:t>含</w:t>
            </w:r>
            <w:r>
              <w:rPr>
                <w:rFonts w:hint="eastAsia" w:ascii="黑体" w:hAnsi="黑体" w:eastAsia="黑体" w:cs="黑体"/>
                <w:b w:val="0"/>
                <w:bCs w:val="0"/>
                <w:color w:val="auto"/>
                <w:szCs w:val="21"/>
                <w:highlight w:val="none"/>
                <w:u w:val="none"/>
                <w:lang w:eastAsia="zh-CN"/>
              </w:rPr>
              <w:t>）</w:t>
            </w:r>
            <w:r>
              <w:rPr>
                <w:rFonts w:hint="eastAsia" w:ascii="黑体" w:hAnsi="黑体" w:eastAsia="黑体" w:cs="黑体"/>
                <w:b w:val="0"/>
                <w:bCs w:val="0"/>
                <w:color w:val="auto"/>
                <w:szCs w:val="21"/>
                <w:highlight w:val="none"/>
                <w:u w:val="none"/>
              </w:rPr>
              <w:t>内达到采购人指定地点，得</w:t>
            </w:r>
            <w:r>
              <w:rPr>
                <w:rFonts w:hint="eastAsia" w:ascii="黑体" w:hAnsi="黑体" w:eastAsia="黑体" w:cs="黑体"/>
                <w:b w:val="0"/>
                <w:bCs w:val="0"/>
                <w:color w:val="auto"/>
                <w:szCs w:val="21"/>
                <w:highlight w:val="none"/>
                <w:u w:val="none"/>
                <w:lang w:val="en-US" w:eastAsia="zh-CN"/>
              </w:rPr>
              <w:t>4</w:t>
            </w:r>
            <w:r>
              <w:rPr>
                <w:rFonts w:hint="eastAsia" w:ascii="黑体" w:hAnsi="黑体" w:eastAsia="黑体" w:cs="黑体"/>
                <w:b w:val="0"/>
                <w:bCs w:val="0"/>
                <w:color w:val="auto"/>
                <w:szCs w:val="21"/>
                <w:highlight w:val="none"/>
                <w:u w:val="none"/>
              </w:rPr>
              <w:t>分；</w:t>
            </w:r>
          </w:p>
          <w:p w14:paraId="2C4FCD10">
            <w:pPr>
              <w:keepNext w:val="0"/>
              <w:keepLines w:val="0"/>
              <w:pageBreakBefore w:val="0"/>
              <w:kinsoku/>
              <w:wordWrap/>
              <w:overflowPunct/>
              <w:topLinePunct w:val="0"/>
              <w:autoSpaceDE/>
              <w:autoSpaceDN/>
              <w:bidi w:val="0"/>
              <w:adjustRightInd/>
              <w:snapToGrid/>
              <w:spacing w:line="400" w:lineRule="exact"/>
              <w:textAlignment w:val="auto"/>
              <w:rPr>
                <w:rFonts w:hint="eastAsia" w:ascii="黑体" w:hAnsi="黑体" w:eastAsia="黑体" w:cs="黑体"/>
                <w:b w:val="0"/>
                <w:bCs w:val="0"/>
                <w:color w:val="auto"/>
                <w:szCs w:val="21"/>
                <w:highlight w:val="none"/>
                <w:u w:val="none"/>
              </w:rPr>
            </w:pPr>
            <w:r>
              <w:rPr>
                <w:rFonts w:hint="eastAsia" w:ascii="黑体" w:hAnsi="黑体" w:eastAsia="黑体" w:cs="黑体"/>
                <w:b w:val="0"/>
                <w:bCs w:val="0"/>
                <w:color w:val="auto"/>
                <w:szCs w:val="21"/>
                <w:highlight w:val="none"/>
                <w:u w:val="none"/>
              </w:rPr>
              <w:t>3、承诺接到采购人通知后1.5</w:t>
            </w:r>
            <w:r>
              <w:rPr>
                <w:rFonts w:hint="eastAsia" w:ascii="黑体" w:hAnsi="黑体" w:eastAsia="黑体" w:cs="黑体"/>
                <w:b w:val="0"/>
                <w:bCs w:val="0"/>
                <w:color w:val="auto"/>
                <w:szCs w:val="21"/>
                <w:highlight w:val="none"/>
                <w:u w:val="none"/>
                <w:lang w:val="en-US" w:eastAsia="zh-CN"/>
              </w:rPr>
              <w:t>小时</w:t>
            </w:r>
            <w:r>
              <w:rPr>
                <w:rFonts w:hint="eastAsia" w:ascii="黑体" w:hAnsi="黑体" w:eastAsia="黑体" w:cs="黑体"/>
                <w:b w:val="0"/>
                <w:bCs w:val="0"/>
                <w:color w:val="auto"/>
                <w:szCs w:val="21"/>
                <w:highlight w:val="none"/>
                <w:u w:val="none"/>
                <w:lang w:eastAsia="zh-CN"/>
              </w:rPr>
              <w:t>（</w:t>
            </w:r>
            <w:r>
              <w:rPr>
                <w:rFonts w:hint="eastAsia" w:ascii="黑体" w:hAnsi="黑体" w:eastAsia="黑体" w:cs="黑体"/>
                <w:b w:val="0"/>
                <w:bCs w:val="0"/>
                <w:color w:val="auto"/>
                <w:szCs w:val="21"/>
                <w:highlight w:val="none"/>
                <w:u w:val="none"/>
                <w:lang w:val="en-US" w:eastAsia="zh-CN"/>
              </w:rPr>
              <w:t>不含</w:t>
            </w:r>
            <w:r>
              <w:rPr>
                <w:rFonts w:hint="eastAsia" w:ascii="黑体" w:hAnsi="黑体" w:eastAsia="黑体" w:cs="黑体"/>
                <w:b w:val="0"/>
                <w:bCs w:val="0"/>
                <w:color w:val="auto"/>
                <w:szCs w:val="21"/>
                <w:highlight w:val="none"/>
                <w:u w:val="none"/>
                <w:lang w:eastAsia="zh-CN"/>
              </w:rPr>
              <w:t>）</w:t>
            </w:r>
            <w:r>
              <w:rPr>
                <w:rFonts w:hint="eastAsia" w:ascii="黑体" w:hAnsi="黑体" w:eastAsia="黑体" w:cs="黑体"/>
                <w:b w:val="0"/>
                <w:bCs w:val="0"/>
                <w:color w:val="auto"/>
                <w:szCs w:val="21"/>
                <w:highlight w:val="none"/>
                <w:u w:val="none"/>
                <w:lang w:val="en-US" w:eastAsia="zh-CN"/>
              </w:rPr>
              <w:t>至</w:t>
            </w:r>
            <w:r>
              <w:rPr>
                <w:rFonts w:hint="eastAsia" w:ascii="黑体" w:hAnsi="黑体" w:eastAsia="黑体" w:cs="黑体"/>
                <w:b w:val="0"/>
                <w:bCs w:val="0"/>
                <w:color w:val="auto"/>
                <w:szCs w:val="21"/>
                <w:highlight w:val="none"/>
                <w:u w:val="none"/>
              </w:rPr>
              <w:t>2小时</w:t>
            </w:r>
            <w:r>
              <w:rPr>
                <w:rFonts w:hint="eastAsia" w:ascii="黑体" w:hAnsi="黑体" w:eastAsia="黑体" w:cs="黑体"/>
                <w:b w:val="0"/>
                <w:bCs w:val="0"/>
                <w:color w:val="auto"/>
                <w:szCs w:val="21"/>
                <w:highlight w:val="none"/>
                <w:u w:val="none"/>
                <w:lang w:eastAsia="zh-CN"/>
              </w:rPr>
              <w:t>（</w:t>
            </w:r>
            <w:r>
              <w:rPr>
                <w:rFonts w:hint="eastAsia" w:ascii="黑体" w:hAnsi="黑体" w:eastAsia="黑体" w:cs="黑体"/>
                <w:b w:val="0"/>
                <w:bCs w:val="0"/>
                <w:color w:val="auto"/>
                <w:szCs w:val="21"/>
                <w:highlight w:val="none"/>
                <w:u w:val="none"/>
                <w:lang w:val="en-US" w:eastAsia="zh-CN"/>
              </w:rPr>
              <w:t>含</w:t>
            </w:r>
            <w:r>
              <w:rPr>
                <w:rFonts w:hint="eastAsia" w:ascii="黑体" w:hAnsi="黑体" w:eastAsia="黑体" w:cs="黑体"/>
                <w:b w:val="0"/>
                <w:bCs w:val="0"/>
                <w:color w:val="auto"/>
                <w:szCs w:val="21"/>
                <w:highlight w:val="none"/>
                <w:u w:val="none"/>
                <w:lang w:eastAsia="zh-CN"/>
              </w:rPr>
              <w:t>）</w:t>
            </w:r>
            <w:r>
              <w:rPr>
                <w:rFonts w:hint="eastAsia" w:ascii="黑体" w:hAnsi="黑体" w:eastAsia="黑体" w:cs="黑体"/>
                <w:b w:val="0"/>
                <w:bCs w:val="0"/>
                <w:color w:val="auto"/>
                <w:szCs w:val="21"/>
                <w:highlight w:val="none"/>
                <w:u w:val="none"/>
              </w:rPr>
              <w:t>内达到采购人指定地点，得2分；</w:t>
            </w:r>
          </w:p>
          <w:p w14:paraId="44FF255E">
            <w:pPr>
              <w:keepNext w:val="0"/>
              <w:keepLines w:val="0"/>
              <w:pageBreakBefore w:val="0"/>
              <w:kinsoku/>
              <w:wordWrap/>
              <w:overflowPunct/>
              <w:topLinePunct w:val="0"/>
              <w:autoSpaceDE/>
              <w:autoSpaceDN/>
              <w:bidi w:val="0"/>
              <w:adjustRightInd/>
              <w:snapToGrid/>
              <w:spacing w:line="400" w:lineRule="exact"/>
              <w:textAlignment w:val="auto"/>
              <w:rPr>
                <w:rFonts w:hint="eastAsia" w:ascii="黑体" w:hAnsi="黑体" w:eastAsia="黑体" w:cs="黑体"/>
                <w:b w:val="0"/>
                <w:bCs w:val="0"/>
                <w:color w:val="auto"/>
                <w:szCs w:val="21"/>
                <w:highlight w:val="none"/>
                <w:u w:val="none"/>
              </w:rPr>
            </w:pPr>
            <w:r>
              <w:rPr>
                <w:rFonts w:hint="eastAsia" w:ascii="黑体" w:hAnsi="黑体" w:eastAsia="黑体" w:cs="黑体"/>
                <w:b w:val="0"/>
                <w:bCs w:val="0"/>
                <w:color w:val="auto"/>
                <w:szCs w:val="21"/>
                <w:highlight w:val="none"/>
                <w:u w:val="none"/>
              </w:rPr>
              <w:t>4、其他情况不得分。</w:t>
            </w:r>
          </w:p>
          <w:p w14:paraId="3B920459">
            <w:pPr>
              <w:keepNext w:val="0"/>
              <w:keepLines w:val="0"/>
              <w:pageBreakBefore w:val="0"/>
              <w:kinsoku/>
              <w:wordWrap/>
              <w:overflowPunct/>
              <w:topLinePunct w:val="0"/>
              <w:autoSpaceDE/>
              <w:autoSpaceDN/>
              <w:bidi w:val="0"/>
              <w:adjustRightInd/>
              <w:snapToGrid/>
              <w:spacing w:line="400" w:lineRule="exact"/>
              <w:textAlignment w:val="auto"/>
              <w:rPr>
                <w:rFonts w:hint="eastAsia" w:ascii="黑体" w:hAnsi="黑体" w:eastAsia="黑体" w:cs="黑体"/>
                <w:b/>
                <w:bCs/>
                <w:color w:val="auto"/>
                <w:szCs w:val="21"/>
                <w:highlight w:val="none"/>
                <w:u w:val="single"/>
              </w:rPr>
            </w:pPr>
            <w:r>
              <w:rPr>
                <w:rFonts w:hint="eastAsia" w:ascii="黑体" w:hAnsi="黑体" w:eastAsia="黑体" w:cs="黑体"/>
                <w:b/>
                <w:bCs/>
                <w:color w:val="auto"/>
                <w:szCs w:val="21"/>
                <w:highlight w:val="none"/>
                <w:u w:val="single"/>
              </w:rPr>
              <w:t>（以投标人提供的单独承诺函为准，无承诺不得分）</w:t>
            </w:r>
          </w:p>
        </w:tc>
      </w:tr>
      <w:tr w14:paraId="6722F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81" w:type="pct"/>
            <w:vAlign w:val="center"/>
          </w:tcPr>
          <w:p w14:paraId="51C2C304">
            <w:pPr>
              <w:keepNext w:val="0"/>
              <w:keepLines w:val="0"/>
              <w:pageBreakBefore w:val="0"/>
              <w:kinsoku/>
              <w:wordWrap/>
              <w:overflowPunct/>
              <w:topLinePunct w:val="0"/>
              <w:autoSpaceDE/>
              <w:autoSpaceDN/>
              <w:bidi w:val="0"/>
              <w:adjustRightInd/>
              <w:snapToGrid/>
              <w:spacing w:before="31" w:beforeLines="10" w:after="93" w:afterLines="30" w:line="400" w:lineRule="exact"/>
              <w:jc w:val="center"/>
              <w:textAlignment w:val="auto"/>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3</w:t>
            </w:r>
          </w:p>
        </w:tc>
        <w:tc>
          <w:tcPr>
            <w:tcW w:w="1555" w:type="dxa"/>
            <w:gridSpan w:val="2"/>
            <w:vAlign w:val="center"/>
          </w:tcPr>
          <w:p w14:paraId="44236EA3">
            <w:pPr>
              <w:keepNext w:val="0"/>
              <w:keepLines w:val="0"/>
              <w:pageBreakBefore w:val="0"/>
              <w:kinsoku/>
              <w:wordWrap/>
              <w:overflowPunct/>
              <w:topLinePunct w:val="0"/>
              <w:autoSpaceDE/>
              <w:autoSpaceDN/>
              <w:bidi w:val="0"/>
              <w:adjustRightInd/>
              <w:snapToGrid/>
              <w:spacing w:before="31" w:beforeLines="10" w:after="30" w:line="400" w:lineRule="exact"/>
              <w:jc w:val="center"/>
              <w:textAlignment w:val="auto"/>
              <w:rPr>
                <w:rFonts w:hint="eastAsia" w:ascii="黑体" w:hAnsi="黑体" w:eastAsia="黑体" w:cs="黑体"/>
                <w:bCs/>
                <w:color w:val="auto"/>
                <w:szCs w:val="21"/>
                <w:highlight w:val="none"/>
              </w:rPr>
            </w:pPr>
            <w:r>
              <w:rPr>
                <w:rFonts w:hint="eastAsia" w:ascii="黑体" w:hAnsi="黑体" w:eastAsia="黑体" w:cs="黑体"/>
                <w:color w:val="auto"/>
                <w:sz w:val="21"/>
                <w:szCs w:val="21"/>
                <w:highlight w:val="none"/>
              </w:rPr>
              <w:t>企业实力</w:t>
            </w:r>
          </w:p>
        </w:tc>
        <w:tc>
          <w:tcPr>
            <w:tcW w:w="1136" w:type="dxa"/>
            <w:vAlign w:val="center"/>
          </w:tcPr>
          <w:p w14:paraId="295F329E">
            <w:pPr>
              <w:keepNext w:val="0"/>
              <w:keepLines w:val="0"/>
              <w:pageBreakBefore w:val="0"/>
              <w:widowControl/>
              <w:kinsoku/>
              <w:wordWrap/>
              <w:overflowPunct/>
              <w:topLinePunct w:val="0"/>
              <w:autoSpaceDE/>
              <w:autoSpaceDN/>
              <w:bidi w:val="0"/>
              <w:adjustRightInd/>
              <w:snapToGrid/>
              <w:spacing w:before="31" w:beforeLines="10" w:after="30" w:line="400" w:lineRule="exact"/>
              <w:jc w:val="center"/>
              <w:textAlignment w:val="auto"/>
              <w:rPr>
                <w:rFonts w:hint="eastAsia" w:ascii="黑体" w:hAnsi="黑体" w:eastAsia="黑体" w:cs="黑体"/>
                <w:bCs/>
                <w:color w:val="auto"/>
                <w:szCs w:val="21"/>
                <w:highlight w:val="none"/>
                <w:lang w:val="en-US" w:eastAsia="zh-CN"/>
              </w:rPr>
            </w:pPr>
            <w:r>
              <w:rPr>
                <w:rFonts w:hint="eastAsia" w:ascii="黑体" w:hAnsi="黑体" w:eastAsia="黑体" w:cs="黑体"/>
                <w:bCs/>
                <w:color w:val="auto"/>
                <w:szCs w:val="21"/>
                <w:highlight w:val="none"/>
                <w:lang w:val="en-US" w:eastAsia="zh-CN"/>
              </w:rPr>
              <w:t>9</w:t>
            </w:r>
            <w:r>
              <w:rPr>
                <w:rFonts w:hint="eastAsia" w:ascii="黑体" w:hAnsi="黑体" w:eastAsia="黑体" w:cs="黑体"/>
                <w:bCs/>
                <w:color w:val="auto"/>
                <w:szCs w:val="21"/>
                <w:highlight w:val="none"/>
              </w:rPr>
              <w:t>分</w:t>
            </w:r>
          </w:p>
        </w:tc>
        <w:tc>
          <w:tcPr>
            <w:tcW w:w="5011" w:type="dxa"/>
            <w:vAlign w:val="center"/>
          </w:tcPr>
          <w:p w14:paraId="280125F3">
            <w:pPr>
              <w:keepNext w:val="0"/>
              <w:keepLines w:val="0"/>
              <w:pageBreakBefore w:val="0"/>
              <w:kinsoku/>
              <w:wordWrap/>
              <w:overflowPunct/>
              <w:topLinePunct w:val="0"/>
              <w:autoSpaceDE/>
              <w:autoSpaceDN/>
              <w:bidi w:val="0"/>
              <w:adjustRightInd/>
              <w:snapToGrid/>
              <w:spacing w:before="31" w:beforeLines="10" w:after="30" w:line="400" w:lineRule="exact"/>
              <w:textAlignment w:val="auto"/>
              <w:rPr>
                <w:rFonts w:hint="eastAsia" w:ascii="黑体" w:hAnsi="黑体" w:eastAsia="黑体" w:cs="黑体"/>
                <w:b w:val="0"/>
                <w:bCs w:val="0"/>
                <w:color w:val="auto"/>
                <w:szCs w:val="21"/>
                <w:highlight w:val="none"/>
                <w:u w:val="none"/>
              </w:rPr>
            </w:pPr>
            <w:r>
              <w:rPr>
                <w:rFonts w:hint="eastAsia" w:ascii="黑体" w:hAnsi="黑体" w:eastAsia="黑体" w:cs="黑体"/>
                <w:b w:val="0"/>
                <w:bCs w:val="0"/>
                <w:color w:val="auto"/>
                <w:szCs w:val="21"/>
                <w:highlight w:val="none"/>
                <w:u w:val="none"/>
              </w:rPr>
              <w:t>投标人具有由国家认证认可监督管理部门批准设立的认证机构颁发的以下认证证书：</w:t>
            </w:r>
          </w:p>
          <w:p w14:paraId="5FF01C17">
            <w:pPr>
              <w:keepNext w:val="0"/>
              <w:keepLines w:val="0"/>
              <w:pageBreakBefore w:val="0"/>
              <w:kinsoku/>
              <w:wordWrap/>
              <w:overflowPunct/>
              <w:topLinePunct w:val="0"/>
              <w:autoSpaceDE/>
              <w:autoSpaceDN/>
              <w:bidi w:val="0"/>
              <w:adjustRightInd/>
              <w:snapToGrid/>
              <w:spacing w:before="31" w:beforeLines="10" w:after="30" w:line="400" w:lineRule="exact"/>
              <w:textAlignment w:val="auto"/>
              <w:rPr>
                <w:rFonts w:hint="eastAsia" w:ascii="黑体" w:hAnsi="黑体" w:eastAsia="黑体" w:cs="黑体"/>
                <w:b w:val="0"/>
                <w:bCs w:val="0"/>
                <w:color w:val="auto"/>
                <w:szCs w:val="21"/>
                <w:highlight w:val="none"/>
                <w:u w:val="none"/>
              </w:rPr>
            </w:pPr>
            <w:r>
              <w:rPr>
                <w:rFonts w:hint="eastAsia" w:ascii="黑体" w:hAnsi="黑体" w:eastAsia="黑体" w:cs="黑体"/>
                <w:b w:val="0"/>
                <w:bCs w:val="0"/>
                <w:color w:val="auto"/>
                <w:szCs w:val="21"/>
                <w:highlight w:val="none"/>
                <w:u w:val="none"/>
                <w:lang w:val="en-US" w:eastAsia="zh-CN"/>
              </w:rPr>
              <w:t>1、</w:t>
            </w:r>
            <w:r>
              <w:rPr>
                <w:rFonts w:hint="eastAsia" w:ascii="黑体" w:hAnsi="黑体" w:eastAsia="黑体" w:cs="黑体"/>
                <w:b w:val="0"/>
                <w:bCs w:val="0"/>
                <w:color w:val="auto"/>
                <w:szCs w:val="21"/>
                <w:highlight w:val="none"/>
                <w:u w:val="none"/>
              </w:rPr>
              <w:t>质量管理体系认证证书；</w:t>
            </w:r>
          </w:p>
          <w:p w14:paraId="7D3014FF">
            <w:pPr>
              <w:keepNext w:val="0"/>
              <w:keepLines w:val="0"/>
              <w:pageBreakBefore w:val="0"/>
              <w:kinsoku/>
              <w:wordWrap/>
              <w:overflowPunct/>
              <w:topLinePunct w:val="0"/>
              <w:autoSpaceDE/>
              <w:autoSpaceDN/>
              <w:bidi w:val="0"/>
              <w:adjustRightInd/>
              <w:snapToGrid/>
              <w:spacing w:before="31" w:beforeLines="10" w:after="30" w:line="400" w:lineRule="exact"/>
              <w:textAlignment w:val="auto"/>
              <w:rPr>
                <w:rFonts w:hint="eastAsia" w:ascii="黑体" w:hAnsi="黑体" w:eastAsia="黑体" w:cs="黑体"/>
                <w:b w:val="0"/>
                <w:bCs w:val="0"/>
                <w:color w:val="auto"/>
                <w:szCs w:val="21"/>
                <w:highlight w:val="none"/>
                <w:u w:val="none"/>
              </w:rPr>
            </w:pPr>
            <w:r>
              <w:rPr>
                <w:rFonts w:hint="eastAsia" w:ascii="黑体" w:hAnsi="黑体" w:eastAsia="黑体" w:cs="黑体"/>
                <w:b w:val="0"/>
                <w:bCs w:val="0"/>
                <w:color w:val="auto"/>
                <w:szCs w:val="21"/>
                <w:highlight w:val="none"/>
                <w:u w:val="none"/>
                <w:lang w:val="en-US" w:eastAsia="zh-CN"/>
              </w:rPr>
              <w:t>2、</w:t>
            </w:r>
            <w:r>
              <w:rPr>
                <w:rFonts w:hint="eastAsia" w:ascii="黑体" w:hAnsi="黑体" w:eastAsia="黑体" w:cs="黑体"/>
                <w:b w:val="0"/>
                <w:bCs w:val="0"/>
                <w:color w:val="auto"/>
                <w:szCs w:val="21"/>
                <w:highlight w:val="none"/>
                <w:u w:val="none"/>
              </w:rPr>
              <w:t>环境管理体系认证证书；</w:t>
            </w:r>
          </w:p>
          <w:p w14:paraId="5925CFFF">
            <w:pPr>
              <w:keepNext w:val="0"/>
              <w:keepLines w:val="0"/>
              <w:pageBreakBefore w:val="0"/>
              <w:kinsoku/>
              <w:wordWrap/>
              <w:overflowPunct/>
              <w:topLinePunct w:val="0"/>
              <w:autoSpaceDE/>
              <w:autoSpaceDN/>
              <w:bidi w:val="0"/>
              <w:adjustRightInd/>
              <w:snapToGrid/>
              <w:spacing w:before="31" w:beforeLines="10" w:after="30" w:line="400" w:lineRule="exact"/>
              <w:textAlignment w:val="auto"/>
              <w:rPr>
                <w:rFonts w:hint="eastAsia" w:ascii="黑体" w:hAnsi="黑体" w:eastAsia="黑体" w:cs="黑体"/>
                <w:b w:val="0"/>
                <w:bCs w:val="0"/>
                <w:color w:val="auto"/>
                <w:szCs w:val="21"/>
                <w:highlight w:val="none"/>
                <w:u w:val="none"/>
              </w:rPr>
            </w:pPr>
            <w:r>
              <w:rPr>
                <w:rFonts w:hint="eastAsia" w:ascii="黑体" w:hAnsi="黑体" w:eastAsia="黑体" w:cs="黑体"/>
                <w:b w:val="0"/>
                <w:bCs w:val="0"/>
                <w:color w:val="auto"/>
                <w:szCs w:val="21"/>
                <w:highlight w:val="none"/>
                <w:u w:val="none"/>
                <w:lang w:val="en-US" w:eastAsia="zh-CN"/>
              </w:rPr>
              <w:t>3、</w:t>
            </w:r>
            <w:r>
              <w:rPr>
                <w:rFonts w:hint="eastAsia" w:ascii="黑体" w:hAnsi="黑体" w:eastAsia="黑体" w:cs="黑体"/>
                <w:b w:val="0"/>
                <w:bCs w:val="0"/>
                <w:color w:val="auto"/>
                <w:szCs w:val="21"/>
                <w:highlight w:val="none"/>
                <w:u w:val="none"/>
              </w:rPr>
              <w:t>职业健康安全管理体系认证证书；</w:t>
            </w:r>
          </w:p>
          <w:p w14:paraId="6543BCF8">
            <w:pPr>
              <w:keepNext w:val="0"/>
              <w:keepLines w:val="0"/>
              <w:pageBreakBefore w:val="0"/>
              <w:kinsoku/>
              <w:wordWrap/>
              <w:overflowPunct/>
              <w:topLinePunct w:val="0"/>
              <w:autoSpaceDE/>
              <w:autoSpaceDN/>
              <w:bidi w:val="0"/>
              <w:adjustRightInd/>
              <w:snapToGrid/>
              <w:spacing w:before="31" w:beforeLines="10" w:after="30" w:line="400" w:lineRule="exact"/>
              <w:textAlignment w:val="auto"/>
              <w:rPr>
                <w:rFonts w:hint="eastAsia" w:ascii="黑体" w:hAnsi="黑体" w:eastAsia="黑体" w:cs="黑体"/>
                <w:b w:val="0"/>
                <w:bCs w:val="0"/>
                <w:color w:val="auto"/>
                <w:szCs w:val="21"/>
                <w:highlight w:val="none"/>
                <w:u w:val="none"/>
              </w:rPr>
            </w:pPr>
            <w:r>
              <w:rPr>
                <w:rFonts w:hint="eastAsia" w:ascii="黑体" w:hAnsi="黑体" w:eastAsia="黑体" w:cs="黑体"/>
                <w:b w:val="0"/>
                <w:bCs w:val="0"/>
                <w:color w:val="auto"/>
                <w:szCs w:val="21"/>
                <w:highlight w:val="none"/>
                <w:u w:val="none"/>
              </w:rPr>
              <w:t>每个得</w:t>
            </w:r>
            <w:r>
              <w:rPr>
                <w:rFonts w:hint="eastAsia" w:ascii="黑体" w:hAnsi="黑体" w:eastAsia="黑体" w:cs="黑体"/>
                <w:b w:val="0"/>
                <w:bCs w:val="0"/>
                <w:color w:val="auto"/>
                <w:szCs w:val="21"/>
                <w:highlight w:val="none"/>
                <w:u w:val="none"/>
                <w:lang w:val="en-US" w:eastAsia="zh-CN"/>
              </w:rPr>
              <w:t>3</w:t>
            </w:r>
            <w:r>
              <w:rPr>
                <w:rFonts w:hint="eastAsia" w:ascii="黑体" w:hAnsi="黑体" w:eastAsia="黑体" w:cs="黑体"/>
                <w:b w:val="0"/>
                <w:bCs w:val="0"/>
                <w:color w:val="auto"/>
                <w:szCs w:val="21"/>
                <w:highlight w:val="none"/>
                <w:u w:val="none"/>
              </w:rPr>
              <w:t>分，本项最高的</w:t>
            </w:r>
            <w:r>
              <w:rPr>
                <w:rFonts w:hint="eastAsia" w:ascii="黑体" w:hAnsi="黑体" w:eastAsia="黑体" w:cs="黑体"/>
                <w:b w:val="0"/>
                <w:bCs w:val="0"/>
                <w:color w:val="auto"/>
                <w:szCs w:val="21"/>
                <w:highlight w:val="none"/>
                <w:u w:val="none"/>
                <w:lang w:val="en-US" w:eastAsia="zh-CN"/>
              </w:rPr>
              <w:t>9</w:t>
            </w:r>
            <w:r>
              <w:rPr>
                <w:rFonts w:hint="eastAsia" w:ascii="黑体" w:hAnsi="黑体" w:eastAsia="黑体" w:cs="黑体"/>
                <w:b w:val="0"/>
                <w:bCs w:val="0"/>
                <w:color w:val="auto"/>
                <w:szCs w:val="21"/>
                <w:highlight w:val="none"/>
                <w:u w:val="none"/>
              </w:rPr>
              <w:t>分。</w:t>
            </w:r>
          </w:p>
          <w:p w14:paraId="39B406A7">
            <w:pPr>
              <w:keepNext w:val="0"/>
              <w:keepLines w:val="0"/>
              <w:pageBreakBefore w:val="0"/>
              <w:kinsoku/>
              <w:wordWrap/>
              <w:overflowPunct/>
              <w:topLinePunct w:val="0"/>
              <w:autoSpaceDE/>
              <w:autoSpaceDN/>
              <w:bidi w:val="0"/>
              <w:adjustRightInd/>
              <w:snapToGrid/>
              <w:spacing w:before="31" w:beforeLines="10" w:after="30" w:line="400" w:lineRule="exact"/>
              <w:textAlignment w:val="auto"/>
              <w:rPr>
                <w:rFonts w:hint="eastAsia" w:ascii="黑体" w:hAnsi="黑体" w:eastAsia="黑体" w:cs="黑体"/>
                <w:b/>
                <w:bCs/>
                <w:color w:val="auto"/>
                <w:szCs w:val="21"/>
                <w:highlight w:val="none"/>
                <w:u w:val="single"/>
              </w:rPr>
            </w:pPr>
            <w:r>
              <w:rPr>
                <w:rFonts w:hint="eastAsia" w:ascii="黑体" w:hAnsi="黑体" w:eastAsia="黑体" w:cs="黑体"/>
                <w:b/>
                <w:bCs/>
                <w:color w:val="auto"/>
                <w:szCs w:val="21"/>
                <w:highlight w:val="none"/>
                <w:u w:val="single"/>
              </w:rPr>
              <w:t>【须提供有效期内的证书复印件及“全国认证认可信息公共服务平台”网站（http://cx.cnca.cn/CertECloud/index/index/page）查询状态为有效的截图，加盖投标人公章】</w:t>
            </w:r>
          </w:p>
        </w:tc>
      </w:tr>
      <w:tr w14:paraId="119C6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5"/>
            <w:vAlign w:val="center"/>
          </w:tcPr>
          <w:p w14:paraId="1DCE6243">
            <w:pPr>
              <w:pStyle w:val="35"/>
              <w:keepNext w:val="0"/>
              <w:keepLines w:val="0"/>
              <w:pageBreakBefore w:val="0"/>
              <w:kinsoku/>
              <w:wordWrap/>
              <w:overflowPunct/>
              <w:topLinePunct w:val="0"/>
              <w:autoSpaceDE/>
              <w:autoSpaceDN/>
              <w:bidi w:val="0"/>
              <w:adjustRightInd/>
              <w:snapToGrid/>
              <w:spacing w:after="62" w:afterLines="20" w:line="400" w:lineRule="exact"/>
              <w:ind w:firstLine="0" w:firstLineChars="0"/>
              <w:jc w:val="center"/>
              <w:textAlignment w:val="auto"/>
              <w:rPr>
                <w:rFonts w:hint="eastAsia" w:ascii="黑体" w:hAnsi="黑体" w:eastAsia="黑体" w:cs="黑体"/>
                <w:color w:val="auto"/>
                <w:highlight w:val="none"/>
              </w:rPr>
            </w:pPr>
            <w:r>
              <w:rPr>
                <w:rFonts w:hint="eastAsia" w:ascii="黑体" w:hAnsi="黑体" w:eastAsia="黑体" w:cs="黑体"/>
                <w:b/>
                <w:color w:val="auto"/>
                <w:sz w:val="21"/>
                <w:szCs w:val="21"/>
                <w:highlight w:val="none"/>
              </w:rPr>
              <w:t>技术评审细则（</w:t>
            </w:r>
            <w:r>
              <w:rPr>
                <w:rFonts w:hint="eastAsia" w:ascii="黑体" w:hAnsi="黑体" w:eastAsia="黑体" w:cs="黑体"/>
                <w:b/>
                <w:color w:val="auto"/>
                <w:sz w:val="21"/>
                <w:szCs w:val="21"/>
                <w:highlight w:val="none"/>
                <w:lang w:val="en-US" w:eastAsia="zh-CN"/>
              </w:rPr>
              <w:t xml:space="preserve"> 40</w:t>
            </w:r>
            <w:r>
              <w:rPr>
                <w:rFonts w:hint="eastAsia" w:ascii="黑体" w:hAnsi="黑体" w:eastAsia="黑体" w:cs="黑体"/>
                <w:b/>
                <w:color w:val="auto"/>
                <w:sz w:val="21"/>
                <w:szCs w:val="21"/>
                <w:highlight w:val="none"/>
              </w:rPr>
              <w:t xml:space="preserve"> 分）</w:t>
            </w:r>
          </w:p>
        </w:tc>
      </w:tr>
      <w:tr w14:paraId="2E386E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1" w:type="pct"/>
            <w:vAlign w:val="center"/>
          </w:tcPr>
          <w:p w14:paraId="0D2D96EB">
            <w:pPr>
              <w:keepNext w:val="0"/>
              <w:keepLines w:val="0"/>
              <w:pageBreakBefore w:val="0"/>
              <w:kinsoku/>
              <w:wordWrap/>
              <w:overflowPunct/>
              <w:topLinePunct w:val="0"/>
              <w:autoSpaceDE/>
              <w:autoSpaceDN/>
              <w:bidi w:val="0"/>
              <w:adjustRightInd/>
              <w:snapToGrid/>
              <w:spacing w:before="31" w:beforeLines="10" w:after="93" w:afterLines="30" w:line="400" w:lineRule="exact"/>
              <w:jc w:val="center"/>
              <w:textAlignment w:val="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1</w:t>
            </w:r>
          </w:p>
        </w:tc>
        <w:tc>
          <w:tcPr>
            <w:tcW w:w="912" w:type="pct"/>
            <w:gridSpan w:val="2"/>
            <w:vAlign w:val="center"/>
          </w:tcPr>
          <w:p w14:paraId="29036E3E">
            <w:pPr>
              <w:keepNext w:val="0"/>
              <w:keepLines w:val="0"/>
              <w:pageBreakBefore w:val="0"/>
              <w:kinsoku/>
              <w:wordWrap/>
              <w:overflowPunct/>
              <w:topLinePunct w:val="0"/>
              <w:autoSpaceDE/>
              <w:autoSpaceDN/>
              <w:bidi w:val="0"/>
              <w:adjustRightInd/>
              <w:snapToGrid/>
              <w:spacing w:before="31" w:beforeLines="10" w:after="30" w:line="400" w:lineRule="exact"/>
              <w:jc w:val="center"/>
              <w:textAlignment w:val="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对招标文件技术需求的响应程度</w:t>
            </w:r>
          </w:p>
        </w:tc>
        <w:tc>
          <w:tcPr>
            <w:tcW w:w="666" w:type="pct"/>
            <w:vAlign w:val="center"/>
          </w:tcPr>
          <w:p w14:paraId="03A91532">
            <w:pPr>
              <w:keepNext w:val="0"/>
              <w:keepLines w:val="0"/>
              <w:pageBreakBefore w:val="0"/>
              <w:widowControl/>
              <w:kinsoku/>
              <w:wordWrap/>
              <w:overflowPunct/>
              <w:topLinePunct w:val="0"/>
              <w:autoSpaceDE/>
              <w:autoSpaceDN/>
              <w:bidi w:val="0"/>
              <w:adjustRightInd/>
              <w:snapToGrid/>
              <w:spacing w:before="31" w:beforeLines="10" w:after="30" w:line="400" w:lineRule="exact"/>
              <w:jc w:val="center"/>
              <w:textAlignment w:val="auto"/>
              <w:rPr>
                <w:rFonts w:hint="eastAsia" w:ascii="黑体" w:hAnsi="黑体" w:eastAsia="黑体" w:cs="黑体"/>
                <w:color w:val="auto"/>
                <w:szCs w:val="21"/>
                <w:highlight w:val="none"/>
              </w:rPr>
            </w:pPr>
            <w:r>
              <w:rPr>
                <w:rFonts w:hint="eastAsia" w:ascii="黑体" w:hAnsi="黑体" w:eastAsia="黑体" w:cs="黑体"/>
                <w:color w:val="auto"/>
                <w:szCs w:val="21"/>
                <w:highlight w:val="none"/>
                <w:lang w:val="en-US" w:eastAsia="zh-CN"/>
              </w:rPr>
              <w:t>15</w:t>
            </w:r>
            <w:r>
              <w:rPr>
                <w:rFonts w:hint="eastAsia" w:ascii="黑体" w:hAnsi="黑体" w:eastAsia="黑体" w:cs="黑体"/>
                <w:color w:val="auto"/>
                <w:szCs w:val="21"/>
                <w:highlight w:val="none"/>
              </w:rPr>
              <w:t>分</w:t>
            </w:r>
          </w:p>
        </w:tc>
        <w:tc>
          <w:tcPr>
            <w:tcW w:w="2939" w:type="pct"/>
            <w:vAlign w:val="center"/>
          </w:tcPr>
          <w:p w14:paraId="3E3D26DA">
            <w:pPr>
              <w:keepNext w:val="0"/>
              <w:keepLines w:val="0"/>
              <w:pageBreakBefore w:val="0"/>
              <w:kinsoku/>
              <w:wordWrap/>
              <w:overflowPunct/>
              <w:topLinePunct w:val="0"/>
              <w:autoSpaceDE/>
              <w:autoSpaceDN/>
              <w:bidi w:val="0"/>
              <w:adjustRightInd/>
              <w:snapToGrid/>
              <w:spacing w:before="31" w:beforeLines="10" w:after="30" w:line="400" w:lineRule="exact"/>
              <w:textAlignment w:val="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根据投标人对采购需求的技术要求中带“▲”重点技术参数的响应情况进行评审，全部响应为满足或优于的得</w:t>
            </w:r>
            <w:r>
              <w:rPr>
                <w:rFonts w:hint="eastAsia" w:ascii="黑体" w:hAnsi="黑体" w:eastAsia="黑体" w:cs="黑体"/>
                <w:color w:val="auto"/>
                <w:szCs w:val="21"/>
                <w:highlight w:val="none"/>
                <w:lang w:val="en-US" w:eastAsia="zh-CN"/>
              </w:rPr>
              <w:t>15</w:t>
            </w:r>
            <w:r>
              <w:rPr>
                <w:rFonts w:hint="eastAsia" w:ascii="黑体" w:hAnsi="黑体" w:eastAsia="黑体" w:cs="黑体"/>
                <w:color w:val="auto"/>
                <w:szCs w:val="21"/>
                <w:highlight w:val="none"/>
              </w:rPr>
              <w:t>分，共5项；不满足或者不响应的每一项扣</w:t>
            </w:r>
            <w:r>
              <w:rPr>
                <w:rFonts w:hint="eastAsia" w:ascii="黑体" w:hAnsi="黑体" w:eastAsia="黑体" w:cs="黑体"/>
                <w:color w:val="auto"/>
                <w:szCs w:val="21"/>
                <w:highlight w:val="none"/>
                <w:lang w:val="en-US" w:eastAsia="zh-CN"/>
              </w:rPr>
              <w:t>3</w:t>
            </w:r>
            <w:r>
              <w:rPr>
                <w:rFonts w:hint="eastAsia" w:ascii="黑体" w:hAnsi="黑体" w:eastAsia="黑体" w:cs="黑体"/>
                <w:color w:val="auto"/>
                <w:szCs w:val="21"/>
                <w:highlight w:val="none"/>
              </w:rPr>
              <w:t>分，扣完为止，本项最低得0分。</w:t>
            </w:r>
          </w:p>
          <w:p w14:paraId="50755904">
            <w:pPr>
              <w:keepNext w:val="0"/>
              <w:keepLines w:val="0"/>
              <w:pageBreakBefore w:val="0"/>
              <w:kinsoku/>
              <w:wordWrap/>
              <w:overflowPunct/>
              <w:topLinePunct w:val="0"/>
              <w:autoSpaceDE/>
              <w:autoSpaceDN/>
              <w:bidi w:val="0"/>
              <w:adjustRightInd/>
              <w:snapToGrid/>
              <w:spacing w:before="31" w:beforeLines="10" w:after="30" w:line="400" w:lineRule="exact"/>
              <w:textAlignment w:val="auto"/>
              <w:rPr>
                <w:rFonts w:hint="eastAsia" w:ascii="黑体" w:hAnsi="黑体" w:eastAsia="黑体" w:cs="黑体"/>
                <w:b/>
                <w:bCs/>
                <w:color w:val="auto"/>
                <w:szCs w:val="21"/>
                <w:highlight w:val="none"/>
                <w:u w:val="single"/>
              </w:rPr>
            </w:pPr>
            <w:r>
              <w:rPr>
                <w:rFonts w:hint="eastAsia" w:ascii="黑体" w:hAnsi="黑体" w:eastAsia="黑体" w:cs="黑体"/>
                <w:b/>
                <w:bCs/>
                <w:color w:val="auto"/>
                <w:szCs w:val="21"/>
                <w:highlight w:val="none"/>
                <w:u w:val="single"/>
              </w:rPr>
              <w:t>【注：（1）投标文件中须对本项目招标文件用户需求书中标有“▲”的重要条款或者要求逐条作出明确响应，负偏离或者不响应或者未提供符合要求的证明文件的，对应项将不予以计分。</w:t>
            </w:r>
          </w:p>
          <w:p w14:paraId="73FD83B2">
            <w:pPr>
              <w:keepNext w:val="0"/>
              <w:keepLines w:val="0"/>
              <w:pageBreakBefore w:val="0"/>
              <w:kinsoku/>
              <w:wordWrap/>
              <w:overflowPunct/>
              <w:topLinePunct w:val="0"/>
              <w:autoSpaceDE/>
              <w:autoSpaceDN/>
              <w:bidi w:val="0"/>
              <w:adjustRightInd/>
              <w:snapToGrid/>
              <w:spacing w:before="31" w:beforeLines="10" w:after="30" w:line="400" w:lineRule="exact"/>
              <w:textAlignment w:val="auto"/>
              <w:rPr>
                <w:rFonts w:hint="eastAsia" w:ascii="黑体" w:hAnsi="黑体" w:eastAsia="黑体" w:cs="黑体"/>
                <w:color w:val="auto"/>
                <w:szCs w:val="21"/>
                <w:highlight w:val="none"/>
              </w:rPr>
            </w:pPr>
            <w:r>
              <w:rPr>
                <w:rFonts w:hint="eastAsia" w:ascii="黑体" w:hAnsi="黑体" w:eastAsia="黑体" w:cs="黑体"/>
                <w:b/>
                <w:bCs/>
                <w:color w:val="auto"/>
                <w:szCs w:val="21"/>
                <w:highlight w:val="none"/>
                <w:u w:val="single"/>
              </w:rPr>
              <w:t>（2）投标人需提供第三方检测（检验）机构出具的具有CMA标识的检测（检验）报告。未提供资料或提供不全或资料不能清晰显示技术指标符合要求的，不得分。】</w:t>
            </w:r>
          </w:p>
        </w:tc>
      </w:tr>
      <w:tr w14:paraId="71488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481" w:type="pct"/>
            <w:vAlign w:val="center"/>
          </w:tcPr>
          <w:p w14:paraId="45EDE0DD">
            <w:pPr>
              <w:keepNext w:val="0"/>
              <w:keepLines w:val="0"/>
              <w:pageBreakBefore w:val="0"/>
              <w:kinsoku/>
              <w:wordWrap/>
              <w:overflowPunct/>
              <w:topLinePunct w:val="0"/>
              <w:autoSpaceDE/>
              <w:autoSpaceDN/>
              <w:bidi w:val="0"/>
              <w:adjustRightInd/>
              <w:snapToGrid/>
              <w:spacing w:before="31" w:beforeLines="10" w:after="93" w:afterLines="30" w:line="400" w:lineRule="exact"/>
              <w:jc w:val="center"/>
              <w:textAlignment w:val="auto"/>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2</w:t>
            </w:r>
          </w:p>
        </w:tc>
        <w:tc>
          <w:tcPr>
            <w:tcW w:w="912" w:type="pct"/>
            <w:gridSpan w:val="2"/>
            <w:vAlign w:val="center"/>
          </w:tcPr>
          <w:p w14:paraId="77AE68F9">
            <w:pPr>
              <w:keepNext w:val="0"/>
              <w:keepLines w:val="0"/>
              <w:pageBreakBefore w:val="0"/>
              <w:kinsoku/>
              <w:wordWrap/>
              <w:overflowPunct/>
              <w:topLinePunct w:val="0"/>
              <w:autoSpaceDE/>
              <w:autoSpaceDN/>
              <w:bidi w:val="0"/>
              <w:adjustRightInd/>
              <w:snapToGrid/>
              <w:spacing w:before="31" w:beforeLines="10" w:after="30" w:line="400" w:lineRule="exact"/>
              <w:jc w:val="center"/>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保修方案</w:t>
            </w:r>
          </w:p>
        </w:tc>
        <w:tc>
          <w:tcPr>
            <w:tcW w:w="666" w:type="pct"/>
            <w:vAlign w:val="center"/>
          </w:tcPr>
          <w:p w14:paraId="7266648E">
            <w:pPr>
              <w:keepNext w:val="0"/>
              <w:keepLines w:val="0"/>
              <w:pageBreakBefore w:val="0"/>
              <w:widowControl/>
              <w:kinsoku/>
              <w:wordWrap/>
              <w:overflowPunct/>
              <w:topLinePunct w:val="0"/>
              <w:autoSpaceDE/>
              <w:autoSpaceDN/>
              <w:bidi w:val="0"/>
              <w:adjustRightInd/>
              <w:snapToGrid/>
              <w:spacing w:before="31" w:beforeLines="10" w:after="30" w:line="400" w:lineRule="exact"/>
              <w:jc w:val="center"/>
              <w:textAlignment w:val="auto"/>
              <w:rPr>
                <w:rFonts w:hint="eastAsia" w:ascii="黑体" w:hAnsi="黑体" w:eastAsia="黑体" w:cs="黑体"/>
                <w:bCs/>
                <w:color w:val="auto"/>
                <w:szCs w:val="21"/>
                <w:highlight w:val="none"/>
                <w:lang w:val="en-US" w:eastAsia="zh-CN"/>
              </w:rPr>
            </w:pPr>
            <w:r>
              <w:rPr>
                <w:rFonts w:hint="eastAsia" w:ascii="黑体" w:hAnsi="黑体" w:eastAsia="黑体" w:cs="黑体"/>
                <w:bCs/>
                <w:color w:val="auto"/>
                <w:szCs w:val="21"/>
                <w:highlight w:val="none"/>
                <w:lang w:val="en-US" w:eastAsia="zh-CN"/>
              </w:rPr>
              <w:t>15分</w:t>
            </w:r>
          </w:p>
        </w:tc>
        <w:tc>
          <w:tcPr>
            <w:tcW w:w="2939" w:type="pct"/>
            <w:vAlign w:val="center"/>
          </w:tcPr>
          <w:p w14:paraId="0166F18E">
            <w:pPr>
              <w:keepNext w:val="0"/>
              <w:keepLines w:val="0"/>
              <w:pageBreakBefore w:val="0"/>
              <w:kinsoku/>
              <w:wordWrap/>
              <w:overflowPunct/>
              <w:topLinePunct w:val="0"/>
              <w:autoSpaceDE/>
              <w:autoSpaceDN/>
              <w:bidi w:val="0"/>
              <w:adjustRightInd/>
              <w:snapToGrid/>
              <w:spacing w:before="31" w:beforeLines="10" w:after="30" w:line="400" w:lineRule="exact"/>
              <w:textAlignment w:val="auto"/>
              <w:rPr>
                <w:rFonts w:hint="eastAsia" w:ascii="黑体" w:hAnsi="黑体" w:eastAsia="黑体" w:cs="黑体"/>
                <w:color w:val="auto"/>
                <w:kern w:val="0"/>
                <w:szCs w:val="21"/>
                <w:highlight w:val="none"/>
              </w:rPr>
            </w:pPr>
            <w:r>
              <w:rPr>
                <w:rFonts w:hint="eastAsia" w:ascii="黑体" w:hAnsi="黑体" w:eastAsia="黑体" w:cs="黑体"/>
                <w:color w:val="auto"/>
                <w:kern w:val="0"/>
                <w:szCs w:val="21"/>
                <w:highlight w:val="none"/>
              </w:rPr>
              <w:t>根据投标人提供的保修方案（包括但不限于①产品保修内容与范围、②服务承诺及技术支持、③产品质量保障措施、④培训内容）进行综合评审：</w:t>
            </w:r>
          </w:p>
          <w:p w14:paraId="70B1EA1A">
            <w:pPr>
              <w:keepNext w:val="0"/>
              <w:keepLines w:val="0"/>
              <w:pageBreakBefore w:val="0"/>
              <w:kinsoku/>
              <w:wordWrap/>
              <w:overflowPunct/>
              <w:topLinePunct w:val="0"/>
              <w:autoSpaceDE/>
              <w:autoSpaceDN/>
              <w:bidi w:val="0"/>
              <w:adjustRightInd/>
              <w:snapToGrid/>
              <w:spacing w:before="31" w:beforeLines="10" w:after="30" w:line="400" w:lineRule="exact"/>
              <w:textAlignment w:val="auto"/>
              <w:rPr>
                <w:rFonts w:hint="eastAsia" w:ascii="黑体" w:hAnsi="黑体" w:eastAsia="黑体" w:cs="黑体"/>
                <w:color w:val="auto"/>
                <w:kern w:val="0"/>
                <w:szCs w:val="21"/>
                <w:highlight w:val="none"/>
              </w:rPr>
            </w:pPr>
            <w:r>
              <w:rPr>
                <w:rFonts w:hint="eastAsia" w:ascii="黑体" w:hAnsi="黑体" w:eastAsia="黑体" w:cs="黑体"/>
                <w:color w:val="auto"/>
                <w:kern w:val="0"/>
                <w:szCs w:val="21"/>
                <w:highlight w:val="none"/>
              </w:rPr>
              <w:t>（1）保修承诺细致，详细列明保修的方式、处理流程、技术人员组织安排及跟进流程等</w:t>
            </w:r>
            <w:r>
              <w:rPr>
                <w:rFonts w:hint="eastAsia" w:ascii="黑体" w:hAnsi="黑体" w:eastAsia="黑体" w:cs="黑体"/>
                <w:color w:val="auto"/>
                <w:kern w:val="0"/>
                <w:szCs w:val="21"/>
                <w:highlight w:val="none"/>
                <w:lang w:eastAsia="zh-CN"/>
              </w:rPr>
              <w:t>；</w:t>
            </w:r>
            <w:r>
              <w:rPr>
                <w:rFonts w:hint="eastAsia" w:ascii="黑体" w:hAnsi="黑体" w:eastAsia="黑体" w:cs="黑体"/>
                <w:color w:val="auto"/>
                <w:kern w:val="0"/>
                <w:szCs w:val="21"/>
                <w:highlight w:val="none"/>
              </w:rPr>
              <w:t>所投产品备品备件充足，详细列明备品备件清单及技术参数说明、用途；有针对性的应急维修响应措施，有专门的具有售后服务管理人员对接跟进处理进度并对维修情况进行记录的</w:t>
            </w:r>
            <w:r>
              <w:rPr>
                <w:rFonts w:hint="eastAsia" w:ascii="黑体" w:hAnsi="黑体" w:eastAsia="黑体" w:cs="黑体"/>
                <w:color w:val="auto"/>
                <w:kern w:val="0"/>
                <w:szCs w:val="21"/>
                <w:highlight w:val="none"/>
                <w:lang w:eastAsia="zh-CN"/>
              </w:rPr>
              <w:t>，</w:t>
            </w:r>
            <w:r>
              <w:rPr>
                <w:rFonts w:hint="eastAsia" w:ascii="黑体" w:hAnsi="黑体" w:eastAsia="黑体" w:cs="黑体"/>
                <w:color w:val="auto"/>
                <w:kern w:val="0"/>
                <w:szCs w:val="21"/>
                <w:highlight w:val="none"/>
              </w:rPr>
              <w:t>得</w:t>
            </w:r>
            <w:r>
              <w:rPr>
                <w:rFonts w:hint="eastAsia" w:ascii="黑体" w:hAnsi="黑体" w:eastAsia="黑体" w:cs="黑体"/>
                <w:color w:val="auto"/>
                <w:kern w:val="0"/>
                <w:szCs w:val="21"/>
                <w:highlight w:val="none"/>
                <w:lang w:val="en-US" w:eastAsia="zh-CN"/>
              </w:rPr>
              <w:t>15</w:t>
            </w:r>
            <w:r>
              <w:rPr>
                <w:rFonts w:hint="eastAsia" w:ascii="黑体" w:hAnsi="黑体" w:eastAsia="黑体" w:cs="黑体"/>
                <w:color w:val="auto"/>
                <w:kern w:val="0"/>
                <w:szCs w:val="21"/>
                <w:highlight w:val="none"/>
              </w:rPr>
              <w:t>分；</w:t>
            </w:r>
          </w:p>
          <w:p w14:paraId="579872D5">
            <w:pPr>
              <w:keepNext w:val="0"/>
              <w:keepLines w:val="0"/>
              <w:pageBreakBefore w:val="0"/>
              <w:kinsoku/>
              <w:wordWrap/>
              <w:overflowPunct/>
              <w:topLinePunct w:val="0"/>
              <w:autoSpaceDE/>
              <w:autoSpaceDN/>
              <w:bidi w:val="0"/>
              <w:adjustRightInd/>
              <w:snapToGrid/>
              <w:spacing w:before="31" w:beforeLines="10" w:after="30" w:line="400" w:lineRule="exact"/>
              <w:textAlignment w:val="auto"/>
              <w:rPr>
                <w:rFonts w:hint="eastAsia" w:ascii="黑体" w:hAnsi="黑体" w:eastAsia="黑体" w:cs="黑体"/>
                <w:color w:val="auto"/>
                <w:kern w:val="0"/>
                <w:szCs w:val="21"/>
                <w:highlight w:val="none"/>
              </w:rPr>
            </w:pPr>
            <w:r>
              <w:rPr>
                <w:rFonts w:hint="eastAsia" w:ascii="黑体" w:hAnsi="黑体" w:eastAsia="黑体" w:cs="黑体"/>
                <w:color w:val="auto"/>
                <w:kern w:val="0"/>
                <w:szCs w:val="21"/>
                <w:highlight w:val="none"/>
              </w:rPr>
              <w:t>（2）保修承诺较为细致，列明保修的方式、处理流程、技术人员组织安排及跟进流程等；所投产品备品备件较为充足，列明备品备件清单及技术参数说明、用途；有应急维修响应措施，有专门人员对接跟进处理进度并对维修情况进行记录的</w:t>
            </w:r>
            <w:r>
              <w:rPr>
                <w:rFonts w:hint="eastAsia" w:ascii="黑体" w:hAnsi="黑体" w:eastAsia="黑体" w:cs="黑体"/>
                <w:color w:val="auto"/>
                <w:kern w:val="0"/>
                <w:szCs w:val="21"/>
                <w:highlight w:val="none"/>
                <w:lang w:eastAsia="zh-CN"/>
              </w:rPr>
              <w:t>，</w:t>
            </w:r>
            <w:r>
              <w:rPr>
                <w:rFonts w:hint="eastAsia" w:ascii="黑体" w:hAnsi="黑体" w:eastAsia="黑体" w:cs="黑体"/>
                <w:color w:val="auto"/>
                <w:kern w:val="0"/>
                <w:szCs w:val="21"/>
                <w:highlight w:val="none"/>
              </w:rPr>
              <w:t>得</w:t>
            </w:r>
            <w:r>
              <w:rPr>
                <w:rFonts w:hint="eastAsia" w:ascii="黑体" w:hAnsi="黑体" w:eastAsia="黑体" w:cs="黑体"/>
                <w:color w:val="auto"/>
                <w:kern w:val="0"/>
                <w:szCs w:val="21"/>
                <w:highlight w:val="none"/>
                <w:lang w:val="en-US" w:eastAsia="zh-CN"/>
              </w:rPr>
              <w:t>10</w:t>
            </w:r>
            <w:r>
              <w:rPr>
                <w:rFonts w:hint="eastAsia" w:ascii="黑体" w:hAnsi="黑体" w:eastAsia="黑体" w:cs="黑体"/>
                <w:color w:val="auto"/>
                <w:kern w:val="0"/>
                <w:szCs w:val="21"/>
                <w:highlight w:val="none"/>
              </w:rPr>
              <w:t>分；</w:t>
            </w:r>
          </w:p>
          <w:p w14:paraId="57FB8279">
            <w:pPr>
              <w:keepNext w:val="0"/>
              <w:keepLines w:val="0"/>
              <w:pageBreakBefore w:val="0"/>
              <w:kinsoku/>
              <w:wordWrap/>
              <w:overflowPunct/>
              <w:topLinePunct w:val="0"/>
              <w:autoSpaceDE/>
              <w:autoSpaceDN/>
              <w:bidi w:val="0"/>
              <w:adjustRightInd/>
              <w:snapToGrid/>
              <w:spacing w:before="31" w:beforeLines="10" w:after="30" w:line="400" w:lineRule="exact"/>
              <w:textAlignment w:val="auto"/>
              <w:rPr>
                <w:rFonts w:hint="eastAsia" w:ascii="黑体" w:hAnsi="黑体" w:eastAsia="黑体" w:cs="黑体"/>
                <w:color w:val="auto"/>
                <w:kern w:val="0"/>
                <w:szCs w:val="21"/>
                <w:highlight w:val="none"/>
              </w:rPr>
            </w:pPr>
            <w:r>
              <w:rPr>
                <w:rFonts w:hint="eastAsia" w:ascii="黑体" w:hAnsi="黑体" w:eastAsia="黑体" w:cs="黑体"/>
                <w:color w:val="auto"/>
                <w:kern w:val="0"/>
                <w:szCs w:val="21"/>
                <w:highlight w:val="none"/>
              </w:rPr>
              <w:t>（3）保修承诺一般，基本列明保修的方式、处理流程、技术人员组织安排及跟进流程等；所投产品备品备件不够充足，基本列明备品备件清单及技术参数说明、用途；应急维修响应措施不够完善，有安排对接跟进处理进度并对维修情况进行记录的</w:t>
            </w:r>
            <w:r>
              <w:rPr>
                <w:rFonts w:hint="eastAsia" w:ascii="黑体" w:hAnsi="黑体" w:eastAsia="黑体" w:cs="黑体"/>
                <w:color w:val="auto"/>
                <w:kern w:val="0"/>
                <w:szCs w:val="21"/>
                <w:highlight w:val="none"/>
                <w:lang w:eastAsia="zh-CN"/>
              </w:rPr>
              <w:t>，</w:t>
            </w:r>
            <w:r>
              <w:rPr>
                <w:rFonts w:hint="eastAsia" w:ascii="黑体" w:hAnsi="黑体" w:eastAsia="黑体" w:cs="黑体"/>
                <w:color w:val="auto"/>
                <w:kern w:val="0"/>
                <w:szCs w:val="21"/>
                <w:highlight w:val="none"/>
              </w:rPr>
              <w:t>得5分；</w:t>
            </w:r>
          </w:p>
          <w:p w14:paraId="103C5C8E">
            <w:pPr>
              <w:keepNext w:val="0"/>
              <w:keepLines w:val="0"/>
              <w:pageBreakBefore w:val="0"/>
              <w:kinsoku/>
              <w:wordWrap/>
              <w:overflowPunct/>
              <w:topLinePunct w:val="0"/>
              <w:autoSpaceDE/>
              <w:autoSpaceDN/>
              <w:bidi w:val="0"/>
              <w:adjustRightInd/>
              <w:snapToGrid/>
              <w:spacing w:before="31" w:beforeLines="10" w:after="30" w:line="400" w:lineRule="exact"/>
              <w:textAlignment w:val="auto"/>
              <w:rPr>
                <w:rFonts w:hint="eastAsia" w:ascii="黑体" w:hAnsi="黑体" w:eastAsia="黑体" w:cs="黑体"/>
                <w:color w:val="auto"/>
                <w:kern w:val="0"/>
                <w:szCs w:val="21"/>
                <w:highlight w:val="none"/>
              </w:rPr>
            </w:pPr>
            <w:r>
              <w:rPr>
                <w:rFonts w:hint="eastAsia" w:ascii="黑体" w:hAnsi="黑体" w:eastAsia="黑体" w:cs="黑体"/>
                <w:color w:val="auto"/>
                <w:kern w:val="0"/>
                <w:szCs w:val="21"/>
                <w:highlight w:val="none"/>
              </w:rPr>
              <w:t>（4）保修承诺不明确，保修的方式、处理流程、技术人员组织安排及跟进流程不详细；所投产品备品备件不充足，备品备件清单及技术参数说明、用途不清晰；应急维修响应措施不完善</w:t>
            </w:r>
            <w:r>
              <w:rPr>
                <w:rFonts w:hint="eastAsia" w:ascii="黑体" w:hAnsi="黑体" w:eastAsia="黑体" w:cs="黑体"/>
                <w:color w:val="auto"/>
                <w:kern w:val="0"/>
                <w:szCs w:val="21"/>
                <w:highlight w:val="none"/>
                <w:lang w:eastAsia="zh-CN"/>
              </w:rPr>
              <w:t>，</w:t>
            </w:r>
            <w:r>
              <w:rPr>
                <w:rFonts w:hint="eastAsia" w:ascii="黑体" w:hAnsi="黑体" w:eastAsia="黑体" w:cs="黑体"/>
                <w:color w:val="auto"/>
                <w:kern w:val="0"/>
                <w:szCs w:val="21"/>
                <w:highlight w:val="none"/>
              </w:rPr>
              <w:t>得</w:t>
            </w:r>
            <w:r>
              <w:rPr>
                <w:rFonts w:hint="eastAsia" w:ascii="黑体" w:hAnsi="黑体" w:eastAsia="黑体" w:cs="黑体"/>
                <w:color w:val="auto"/>
                <w:kern w:val="0"/>
                <w:szCs w:val="21"/>
                <w:highlight w:val="none"/>
                <w:lang w:val="en-US" w:eastAsia="zh-CN"/>
              </w:rPr>
              <w:t>1</w:t>
            </w:r>
            <w:r>
              <w:rPr>
                <w:rFonts w:hint="eastAsia" w:ascii="黑体" w:hAnsi="黑体" w:eastAsia="黑体" w:cs="黑体"/>
                <w:color w:val="auto"/>
                <w:kern w:val="0"/>
                <w:szCs w:val="21"/>
                <w:highlight w:val="none"/>
              </w:rPr>
              <w:t>分；</w:t>
            </w:r>
          </w:p>
          <w:p w14:paraId="70D36FB8">
            <w:pPr>
              <w:keepNext w:val="0"/>
              <w:keepLines w:val="0"/>
              <w:pageBreakBefore w:val="0"/>
              <w:kinsoku/>
              <w:wordWrap/>
              <w:overflowPunct/>
              <w:topLinePunct w:val="0"/>
              <w:autoSpaceDE/>
              <w:autoSpaceDN/>
              <w:bidi w:val="0"/>
              <w:adjustRightInd/>
              <w:snapToGrid/>
              <w:spacing w:before="31" w:beforeLines="10" w:after="30" w:line="400" w:lineRule="exact"/>
              <w:textAlignment w:val="auto"/>
              <w:rPr>
                <w:rFonts w:hint="eastAsia" w:ascii="黑体" w:hAnsi="黑体" w:eastAsia="黑体" w:cs="黑体"/>
                <w:color w:val="auto"/>
                <w:kern w:val="0"/>
                <w:szCs w:val="21"/>
                <w:highlight w:val="none"/>
              </w:rPr>
            </w:pPr>
            <w:r>
              <w:rPr>
                <w:rFonts w:hint="eastAsia" w:ascii="黑体" w:hAnsi="黑体" w:eastAsia="黑体" w:cs="黑体"/>
                <w:color w:val="auto"/>
                <w:kern w:val="0"/>
                <w:szCs w:val="21"/>
                <w:highlight w:val="none"/>
              </w:rPr>
              <w:t>（5）未提供相关方案</w:t>
            </w:r>
            <w:r>
              <w:rPr>
                <w:rFonts w:hint="eastAsia" w:ascii="黑体" w:hAnsi="黑体" w:eastAsia="黑体" w:cs="黑体"/>
                <w:color w:val="auto"/>
                <w:kern w:val="0"/>
                <w:szCs w:val="21"/>
                <w:highlight w:val="none"/>
                <w:lang w:eastAsia="zh-CN"/>
              </w:rPr>
              <w:t>，</w:t>
            </w:r>
            <w:r>
              <w:rPr>
                <w:rFonts w:hint="eastAsia" w:ascii="黑体" w:hAnsi="黑体" w:eastAsia="黑体" w:cs="黑体"/>
                <w:color w:val="auto"/>
                <w:kern w:val="0"/>
                <w:szCs w:val="21"/>
                <w:highlight w:val="none"/>
              </w:rPr>
              <w:t>得0分。</w:t>
            </w:r>
          </w:p>
        </w:tc>
      </w:tr>
      <w:tr w14:paraId="56AB9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81" w:type="pct"/>
            <w:vAlign w:val="center"/>
          </w:tcPr>
          <w:p w14:paraId="059BFF9D">
            <w:pPr>
              <w:keepNext w:val="0"/>
              <w:keepLines w:val="0"/>
              <w:pageBreakBefore w:val="0"/>
              <w:kinsoku/>
              <w:wordWrap/>
              <w:overflowPunct/>
              <w:topLinePunct w:val="0"/>
              <w:autoSpaceDE/>
              <w:autoSpaceDN/>
              <w:bidi w:val="0"/>
              <w:adjustRightInd/>
              <w:snapToGrid/>
              <w:spacing w:before="31" w:beforeLines="10" w:after="93" w:afterLines="30" w:line="400" w:lineRule="exact"/>
              <w:jc w:val="center"/>
              <w:textAlignment w:val="auto"/>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3</w:t>
            </w:r>
          </w:p>
        </w:tc>
        <w:tc>
          <w:tcPr>
            <w:tcW w:w="912" w:type="pct"/>
            <w:gridSpan w:val="2"/>
            <w:vAlign w:val="center"/>
          </w:tcPr>
          <w:p w14:paraId="2CB71317">
            <w:pPr>
              <w:keepNext w:val="0"/>
              <w:keepLines w:val="0"/>
              <w:pageBreakBefore w:val="0"/>
              <w:kinsoku/>
              <w:wordWrap/>
              <w:overflowPunct/>
              <w:topLinePunct w:val="0"/>
              <w:autoSpaceDE/>
              <w:autoSpaceDN/>
              <w:bidi w:val="0"/>
              <w:adjustRightInd/>
              <w:snapToGrid/>
              <w:spacing w:before="31" w:beforeLines="10" w:after="30" w:line="400" w:lineRule="exact"/>
              <w:jc w:val="center"/>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安装方案</w:t>
            </w:r>
          </w:p>
        </w:tc>
        <w:tc>
          <w:tcPr>
            <w:tcW w:w="666" w:type="pct"/>
            <w:vAlign w:val="center"/>
          </w:tcPr>
          <w:p w14:paraId="2E611CB5">
            <w:pPr>
              <w:keepNext w:val="0"/>
              <w:keepLines w:val="0"/>
              <w:pageBreakBefore w:val="0"/>
              <w:widowControl/>
              <w:kinsoku/>
              <w:wordWrap/>
              <w:overflowPunct/>
              <w:topLinePunct w:val="0"/>
              <w:autoSpaceDE/>
              <w:autoSpaceDN/>
              <w:bidi w:val="0"/>
              <w:adjustRightInd/>
              <w:snapToGrid/>
              <w:spacing w:before="31" w:beforeLines="10" w:after="30" w:line="400" w:lineRule="exact"/>
              <w:jc w:val="center"/>
              <w:textAlignment w:val="auto"/>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lang w:val="en-US" w:eastAsia="zh-CN"/>
              </w:rPr>
              <w:t>10分</w:t>
            </w:r>
          </w:p>
        </w:tc>
        <w:tc>
          <w:tcPr>
            <w:tcW w:w="2939" w:type="pct"/>
            <w:vAlign w:val="center"/>
          </w:tcPr>
          <w:p w14:paraId="209A8CF2">
            <w:pPr>
              <w:keepNext w:val="0"/>
              <w:keepLines w:val="0"/>
              <w:pageBreakBefore w:val="0"/>
              <w:kinsoku/>
              <w:wordWrap/>
              <w:overflowPunct/>
              <w:topLinePunct w:val="0"/>
              <w:autoSpaceDE/>
              <w:autoSpaceDN/>
              <w:bidi w:val="0"/>
              <w:adjustRightInd/>
              <w:snapToGrid/>
              <w:spacing w:before="31" w:beforeLines="10" w:after="30" w:line="400" w:lineRule="exact"/>
              <w:textAlignment w:val="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根据投标人的安装方案进行综合评审：</w:t>
            </w:r>
          </w:p>
          <w:p w14:paraId="32C065EA">
            <w:pPr>
              <w:keepNext w:val="0"/>
              <w:keepLines w:val="0"/>
              <w:pageBreakBefore w:val="0"/>
              <w:kinsoku/>
              <w:wordWrap/>
              <w:overflowPunct/>
              <w:topLinePunct w:val="0"/>
              <w:autoSpaceDE/>
              <w:autoSpaceDN/>
              <w:bidi w:val="0"/>
              <w:adjustRightInd/>
              <w:snapToGrid/>
              <w:spacing w:before="31" w:beforeLines="10" w:after="30" w:line="400" w:lineRule="exact"/>
              <w:textAlignment w:val="auto"/>
              <w:rPr>
                <w:rFonts w:hint="eastAsia" w:ascii="黑体" w:hAnsi="黑体" w:eastAsia="黑体" w:cs="黑体"/>
                <w:color w:val="auto"/>
                <w:szCs w:val="21"/>
                <w:highlight w:val="none"/>
              </w:rPr>
            </w:pP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lang w:val="en-US" w:eastAsia="zh-CN"/>
              </w:rPr>
              <w:t>1</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安装方案及措施详尽、科学合理、可行性强，得</w:t>
            </w:r>
            <w:r>
              <w:rPr>
                <w:rFonts w:hint="eastAsia" w:ascii="黑体" w:hAnsi="黑体" w:eastAsia="黑体" w:cs="黑体"/>
                <w:color w:val="auto"/>
                <w:szCs w:val="21"/>
                <w:highlight w:val="none"/>
                <w:lang w:val="en-US" w:eastAsia="zh-CN"/>
              </w:rPr>
              <w:t>10</w:t>
            </w:r>
            <w:r>
              <w:rPr>
                <w:rFonts w:hint="eastAsia" w:ascii="黑体" w:hAnsi="黑体" w:eastAsia="黑体" w:cs="黑体"/>
                <w:color w:val="auto"/>
                <w:szCs w:val="21"/>
                <w:highlight w:val="none"/>
              </w:rPr>
              <w:t>分；</w:t>
            </w:r>
          </w:p>
          <w:p w14:paraId="3AA9DF66">
            <w:pPr>
              <w:keepNext w:val="0"/>
              <w:keepLines w:val="0"/>
              <w:pageBreakBefore w:val="0"/>
              <w:kinsoku/>
              <w:wordWrap/>
              <w:overflowPunct/>
              <w:topLinePunct w:val="0"/>
              <w:autoSpaceDE/>
              <w:autoSpaceDN/>
              <w:bidi w:val="0"/>
              <w:adjustRightInd/>
              <w:snapToGrid/>
              <w:spacing w:before="31" w:beforeLines="10" w:after="30" w:line="400" w:lineRule="exact"/>
              <w:textAlignment w:val="auto"/>
              <w:rPr>
                <w:rFonts w:hint="eastAsia" w:ascii="黑体" w:hAnsi="黑体" w:eastAsia="黑体" w:cs="黑体"/>
                <w:color w:val="auto"/>
                <w:szCs w:val="21"/>
                <w:highlight w:val="none"/>
              </w:rPr>
            </w:pP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lang w:val="en-US" w:eastAsia="zh-CN"/>
              </w:rPr>
              <w:t>2</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安装方案及措施较详尽、较科学合理、可行性较强，得</w:t>
            </w:r>
            <w:r>
              <w:rPr>
                <w:rFonts w:hint="eastAsia" w:ascii="黑体" w:hAnsi="黑体" w:eastAsia="黑体" w:cs="黑体"/>
                <w:color w:val="auto"/>
                <w:szCs w:val="21"/>
                <w:highlight w:val="none"/>
                <w:lang w:val="en-US" w:eastAsia="zh-CN"/>
              </w:rPr>
              <w:t>7</w:t>
            </w:r>
            <w:r>
              <w:rPr>
                <w:rFonts w:hint="eastAsia" w:ascii="黑体" w:hAnsi="黑体" w:eastAsia="黑体" w:cs="黑体"/>
                <w:color w:val="auto"/>
                <w:szCs w:val="21"/>
                <w:highlight w:val="none"/>
              </w:rPr>
              <w:t>分；</w:t>
            </w:r>
          </w:p>
          <w:p w14:paraId="3DEBE3B5">
            <w:pPr>
              <w:keepNext w:val="0"/>
              <w:keepLines w:val="0"/>
              <w:pageBreakBefore w:val="0"/>
              <w:kinsoku/>
              <w:wordWrap/>
              <w:overflowPunct/>
              <w:topLinePunct w:val="0"/>
              <w:autoSpaceDE/>
              <w:autoSpaceDN/>
              <w:bidi w:val="0"/>
              <w:adjustRightInd/>
              <w:snapToGrid/>
              <w:spacing w:before="31" w:beforeLines="10" w:after="30" w:line="400" w:lineRule="exact"/>
              <w:textAlignment w:val="auto"/>
              <w:rPr>
                <w:rFonts w:hint="eastAsia" w:ascii="黑体" w:hAnsi="黑体" w:eastAsia="黑体" w:cs="黑体"/>
                <w:color w:val="auto"/>
                <w:szCs w:val="21"/>
                <w:highlight w:val="none"/>
              </w:rPr>
            </w:pP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lang w:val="en-US" w:eastAsia="zh-CN"/>
              </w:rPr>
              <w:t>3</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安装方案及措施一般、可行性一般，得</w:t>
            </w:r>
            <w:r>
              <w:rPr>
                <w:rFonts w:hint="eastAsia" w:ascii="黑体" w:hAnsi="黑体" w:eastAsia="黑体" w:cs="黑体"/>
                <w:color w:val="auto"/>
                <w:szCs w:val="21"/>
                <w:highlight w:val="none"/>
                <w:lang w:val="en-US" w:eastAsia="zh-CN"/>
              </w:rPr>
              <w:t>4</w:t>
            </w:r>
            <w:r>
              <w:rPr>
                <w:rFonts w:hint="eastAsia" w:ascii="黑体" w:hAnsi="黑体" w:eastAsia="黑体" w:cs="黑体"/>
                <w:color w:val="auto"/>
                <w:szCs w:val="21"/>
                <w:highlight w:val="none"/>
              </w:rPr>
              <w:t>分；</w:t>
            </w:r>
          </w:p>
          <w:p w14:paraId="3381A2A9">
            <w:pPr>
              <w:keepNext w:val="0"/>
              <w:keepLines w:val="0"/>
              <w:pageBreakBefore w:val="0"/>
              <w:kinsoku/>
              <w:wordWrap/>
              <w:overflowPunct/>
              <w:topLinePunct w:val="0"/>
              <w:autoSpaceDE/>
              <w:autoSpaceDN/>
              <w:bidi w:val="0"/>
              <w:adjustRightInd/>
              <w:snapToGrid/>
              <w:spacing w:before="31" w:beforeLines="10" w:after="30" w:line="400" w:lineRule="exact"/>
              <w:textAlignment w:val="auto"/>
              <w:rPr>
                <w:rFonts w:hint="eastAsia" w:ascii="黑体" w:hAnsi="黑体" w:eastAsia="黑体" w:cs="黑体"/>
                <w:color w:val="auto"/>
                <w:szCs w:val="21"/>
                <w:highlight w:val="none"/>
              </w:rPr>
            </w:pP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lang w:val="en-US" w:eastAsia="zh-CN"/>
              </w:rPr>
              <w:t>4</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安装方案及措施不详尽、缺乏科学合理性、可行性差，得1分；</w:t>
            </w:r>
          </w:p>
          <w:p w14:paraId="1FC874ED">
            <w:pPr>
              <w:keepNext w:val="0"/>
              <w:keepLines w:val="0"/>
              <w:pageBreakBefore w:val="0"/>
              <w:kinsoku/>
              <w:wordWrap/>
              <w:overflowPunct/>
              <w:topLinePunct w:val="0"/>
              <w:autoSpaceDE/>
              <w:autoSpaceDN/>
              <w:bidi w:val="0"/>
              <w:adjustRightInd/>
              <w:snapToGrid/>
              <w:spacing w:before="31" w:beforeLines="10" w:after="30" w:line="400" w:lineRule="exact"/>
              <w:textAlignment w:val="auto"/>
              <w:rPr>
                <w:rFonts w:hint="eastAsia" w:ascii="黑体" w:hAnsi="黑体" w:eastAsia="黑体" w:cs="黑体"/>
                <w:color w:val="auto"/>
                <w:szCs w:val="21"/>
                <w:highlight w:val="none"/>
              </w:rPr>
            </w:pP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lang w:val="en-US" w:eastAsia="zh-CN"/>
              </w:rPr>
              <w:t>5</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未提供对应方案的不得分。</w:t>
            </w:r>
          </w:p>
        </w:tc>
      </w:tr>
    </w:tbl>
    <w:p w14:paraId="77F529A3">
      <w:pPr>
        <w:pStyle w:val="2"/>
        <w:keepNext w:val="0"/>
        <w:keepLines w:val="0"/>
        <w:pageBreakBefore/>
        <w:spacing w:line="360" w:lineRule="auto"/>
        <w:jc w:val="center"/>
        <w:rPr>
          <w:rFonts w:hint="eastAsia" w:ascii="黑体" w:hAnsi="黑体" w:eastAsia="黑体" w:cs="黑体"/>
          <w:color w:val="auto"/>
          <w:spacing w:val="20"/>
          <w:sz w:val="32"/>
          <w:szCs w:val="32"/>
          <w:highlight w:val="none"/>
        </w:rPr>
      </w:pPr>
      <w:bookmarkStart w:id="64" w:name="_Toc405313956"/>
      <w:bookmarkStart w:id="65" w:name="_Toc30003"/>
      <w:bookmarkStart w:id="66" w:name="_Toc391627752"/>
      <w:r>
        <w:rPr>
          <w:rFonts w:hint="eastAsia" w:ascii="黑体" w:hAnsi="黑体" w:eastAsia="黑体" w:cs="黑体"/>
          <w:color w:val="auto"/>
          <w:spacing w:val="20"/>
          <w:sz w:val="32"/>
          <w:szCs w:val="32"/>
          <w:highlight w:val="none"/>
        </w:rPr>
        <w:t>第六部分 合同书格式</w:t>
      </w:r>
      <w:bookmarkEnd w:id="64"/>
      <w:bookmarkEnd w:id="65"/>
      <w:bookmarkEnd w:id="66"/>
    </w:p>
    <w:p w14:paraId="134B5412">
      <w:pPr>
        <w:spacing w:line="360" w:lineRule="auto"/>
        <w:jc w:val="center"/>
        <w:rPr>
          <w:rFonts w:hint="eastAsia" w:ascii="黑体" w:hAnsi="黑体" w:eastAsia="黑体" w:cs="黑体"/>
          <w:color w:val="auto"/>
          <w:highlight w:val="none"/>
        </w:rPr>
      </w:pPr>
      <w:r>
        <w:rPr>
          <w:rFonts w:hint="eastAsia" w:ascii="黑体" w:hAnsi="黑体" w:eastAsia="黑体" w:cs="黑体"/>
          <w:color w:val="auto"/>
          <w:highlight w:val="none"/>
        </w:rPr>
        <w:t>（本格式编排在招标文件中，供投标人参考，投标时不需填写）</w:t>
      </w:r>
    </w:p>
    <w:p w14:paraId="4BE4E1C6">
      <w:pPr>
        <w:spacing w:line="360" w:lineRule="auto"/>
        <w:jc w:val="center"/>
        <w:rPr>
          <w:rFonts w:hint="eastAsia" w:ascii="黑体" w:hAnsi="黑体" w:eastAsia="黑体" w:cs="黑体"/>
          <w:bCs/>
          <w:color w:val="auto"/>
          <w:szCs w:val="21"/>
          <w:highlight w:val="none"/>
        </w:rPr>
      </w:pPr>
    </w:p>
    <w:p w14:paraId="5B8CDFE2">
      <w:pPr>
        <w:spacing w:line="470" w:lineRule="exact"/>
        <w:rPr>
          <w:rFonts w:hint="eastAsia" w:ascii="黑体" w:hAnsi="黑体" w:eastAsia="黑体" w:cs="黑体"/>
          <w:color w:val="auto"/>
          <w:sz w:val="22"/>
          <w:szCs w:val="22"/>
          <w:highlight w:val="none"/>
          <w:lang w:eastAsia="zh-CN"/>
        </w:rPr>
      </w:pPr>
    </w:p>
    <w:p w14:paraId="2DDD2108">
      <w:pPr>
        <w:spacing w:line="470" w:lineRule="exact"/>
        <w:rPr>
          <w:rFonts w:hint="eastAsia" w:ascii="黑体" w:hAnsi="黑体" w:eastAsia="黑体" w:cs="黑体"/>
          <w:color w:val="auto"/>
          <w:sz w:val="22"/>
          <w:szCs w:val="22"/>
          <w:highlight w:val="none"/>
          <w:lang w:eastAsia="zh-CN"/>
        </w:rPr>
      </w:pPr>
    </w:p>
    <w:p w14:paraId="3BFAEEFF">
      <w:pPr>
        <w:spacing w:line="470" w:lineRule="exact"/>
        <w:rPr>
          <w:rFonts w:hint="eastAsia" w:ascii="黑体" w:hAnsi="黑体" w:eastAsia="黑体" w:cs="黑体"/>
          <w:color w:val="auto"/>
          <w:sz w:val="22"/>
          <w:szCs w:val="22"/>
          <w:highlight w:val="none"/>
          <w:lang w:eastAsia="zh-CN"/>
        </w:rPr>
      </w:pPr>
    </w:p>
    <w:p w14:paraId="1D96985F">
      <w:pPr>
        <w:spacing w:line="470" w:lineRule="exact"/>
        <w:rPr>
          <w:rFonts w:hint="eastAsia" w:ascii="黑体" w:hAnsi="黑体" w:eastAsia="黑体" w:cs="黑体"/>
          <w:color w:val="auto"/>
          <w:sz w:val="22"/>
          <w:szCs w:val="22"/>
          <w:highlight w:val="none"/>
        </w:rPr>
      </w:pPr>
    </w:p>
    <w:p w14:paraId="6C248599">
      <w:pPr>
        <w:spacing w:before="312" w:beforeLines="100" w:after="312" w:afterLines="100" w:line="470" w:lineRule="exact"/>
        <w:jc w:val="center"/>
        <w:rPr>
          <w:rFonts w:hint="eastAsia" w:ascii="黑体" w:hAnsi="黑体" w:eastAsia="黑体" w:cs="黑体"/>
          <w:color w:val="auto"/>
          <w:sz w:val="36"/>
          <w:szCs w:val="36"/>
          <w:highlight w:val="none"/>
        </w:rPr>
      </w:pPr>
      <w:r>
        <w:rPr>
          <w:rFonts w:hint="eastAsia" w:ascii="黑体" w:hAnsi="黑体" w:eastAsia="黑体" w:cs="黑体"/>
          <w:color w:val="auto"/>
          <w:sz w:val="36"/>
          <w:szCs w:val="36"/>
          <w:highlight w:val="none"/>
        </w:rPr>
        <w:t>广东省政府采购</w:t>
      </w:r>
    </w:p>
    <w:p w14:paraId="5EB5659F">
      <w:pPr>
        <w:spacing w:before="312" w:beforeLines="100" w:after="312" w:afterLines="100" w:line="470" w:lineRule="exact"/>
        <w:jc w:val="center"/>
        <w:rPr>
          <w:rFonts w:hint="eastAsia" w:ascii="黑体" w:hAnsi="黑体" w:eastAsia="黑体" w:cs="黑体"/>
          <w:color w:val="auto"/>
          <w:sz w:val="36"/>
          <w:szCs w:val="36"/>
          <w:highlight w:val="none"/>
        </w:rPr>
      </w:pPr>
      <w:r>
        <w:rPr>
          <w:rFonts w:hint="eastAsia" w:ascii="黑体" w:hAnsi="黑体" w:eastAsia="黑体" w:cs="黑体"/>
          <w:color w:val="auto"/>
          <w:sz w:val="36"/>
          <w:szCs w:val="36"/>
          <w:highlight w:val="none"/>
        </w:rPr>
        <w:t>合  同  书</w:t>
      </w:r>
    </w:p>
    <w:p w14:paraId="1155FDC0">
      <w:pPr>
        <w:spacing w:line="470" w:lineRule="exact"/>
        <w:jc w:val="left"/>
        <w:rPr>
          <w:rFonts w:hint="eastAsia" w:ascii="黑体" w:hAnsi="黑体" w:eastAsia="黑体" w:cs="黑体"/>
          <w:color w:val="auto"/>
          <w:sz w:val="22"/>
          <w:szCs w:val="22"/>
          <w:highlight w:val="none"/>
        </w:rPr>
      </w:pPr>
    </w:p>
    <w:p w14:paraId="6561ECBA">
      <w:pPr>
        <w:spacing w:line="470" w:lineRule="exact"/>
        <w:jc w:val="left"/>
        <w:rPr>
          <w:rFonts w:hint="eastAsia" w:ascii="黑体" w:hAnsi="黑体" w:eastAsia="黑体" w:cs="黑体"/>
          <w:color w:val="auto"/>
          <w:sz w:val="22"/>
          <w:szCs w:val="22"/>
          <w:highlight w:val="none"/>
        </w:rPr>
      </w:pPr>
    </w:p>
    <w:p w14:paraId="693F527F">
      <w:pPr>
        <w:spacing w:line="470" w:lineRule="exact"/>
        <w:jc w:val="left"/>
        <w:rPr>
          <w:rFonts w:hint="eastAsia" w:ascii="黑体" w:hAnsi="黑体" w:eastAsia="黑体" w:cs="黑体"/>
          <w:color w:val="auto"/>
          <w:sz w:val="22"/>
          <w:szCs w:val="22"/>
          <w:highlight w:val="none"/>
        </w:rPr>
      </w:pPr>
    </w:p>
    <w:p w14:paraId="250FA658">
      <w:pPr>
        <w:spacing w:line="470" w:lineRule="exact"/>
        <w:jc w:val="left"/>
        <w:rPr>
          <w:rFonts w:hint="eastAsia" w:ascii="黑体" w:hAnsi="黑体" w:eastAsia="黑体" w:cs="黑体"/>
          <w:color w:val="auto"/>
          <w:sz w:val="22"/>
          <w:szCs w:val="22"/>
          <w:highlight w:val="none"/>
        </w:rPr>
      </w:pPr>
    </w:p>
    <w:p w14:paraId="6EB40AAF">
      <w:pPr>
        <w:spacing w:line="470" w:lineRule="exact"/>
        <w:jc w:val="left"/>
        <w:rPr>
          <w:rFonts w:hint="eastAsia" w:ascii="黑体" w:hAnsi="黑体" w:eastAsia="黑体" w:cs="黑体"/>
          <w:color w:val="auto"/>
          <w:sz w:val="22"/>
          <w:szCs w:val="22"/>
          <w:highlight w:val="none"/>
        </w:rPr>
      </w:pPr>
    </w:p>
    <w:p w14:paraId="329781F3">
      <w:pPr>
        <w:spacing w:line="470" w:lineRule="exact"/>
        <w:ind w:left="1680" w:leftChars="800"/>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采购计划编号：</w:t>
      </w:r>
      <w:r>
        <w:rPr>
          <w:rFonts w:hint="eastAsia" w:ascii="黑体" w:hAnsi="黑体" w:eastAsia="黑体" w:cs="黑体"/>
          <w:color w:val="auto"/>
          <w:sz w:val="22"/>
          <w:szCs w:val="22"/>
          <w:highlight w:val="none"/>
          <w:u w:val="single"/>
        </w:rPr>
        <w:t xml:space="preserve">                           </w:t>
      </w:r>
    </w:p>
    <w:p w14:paraId="4065CC80">
      <w:pPr>
        <w:spacing w:line="470" w:lineRule="exact"/>
        <w:ind w:left="1680" w:leftChars="800"/>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项目编号：</w:t>
      </w:r>
      <w:r>
        <w:rPr>
          <w:rFonts w:hint="eastAsia" w:ascii="黑体" w:hAnsi="黑体" w:eastAsia="黑体" w:cs="黑体"/>
          <w:color w:val="auto"/>
          <w:sz w:val="22"/>
          <w:szCs w:val="22"/>
          <w:highlight w:val="none"/>
          <w:u w:val="single"/>
        </w:rPr>
        <w:t xml:space="preserve">                               </w:t>
      </w:r>
    </w:p>
    <w:p w14:paraId="69F988F8">
      <w:pPr>
        <w:spacing w:line="470" w:lineRule="exact"/>
        <w:ind w:left="1680" w:leftChars="800"/>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项目名称：</w:t>
      </w:r>
      <w:r>
        <w:rPr>
          <w:rFonts w:hint="eastAsia" w:ascii="黑体" w:hAnsi="黑体" w:eastAsia="黑体" w:cs="黑体"/>
          <w:color w:val="auto"/>
          <w:sz w:val="22"/>
          <w:szCs w:val="22"/>
          <w:highlight w:val="none"/>
          <w:u w:val="single"/>
        </w:rPr>
        <w:t xml:space="preserve">                               </w:t>
      </w:r>
    </w:p>
    <w:p w14:paraId="49D74233">
      <w:pPr>
        <w:spacing w:line="470" w:lineRule="exact"/>
        <w:jc w:val="left"/>
        <w:rPr>
          <w:rFonts w:hint="eastAsia" w:ascii="黑体" w:hAnsi="黑体" w:eastAsia="黑体" w:cs="黑体"/>
          <w:color w:val="auto"/>
          <w:sz w:val="22"/>
          <w:szCs w:val="22"/>
          <w:highlight w:val="none"/>
        </w:rPr>
      </w:pPr>
    </w:p>
    <w:p w14:paraId="559DF8FA">
      <w:pPr>
        <w:spacing w:line="470" w:lineRule="exact"/>
        <w:jc w:val="left"/>
        <w:rPr>
          <w:rFonts w:hint="eastAsia" w:ascii="黑体" w:hAnsi="黑体" w:eastAsia="黑体" w:cs="黑体"/>
          <w:color w:val="auto"/>
          <w:sz w:val="22"/>
          <w:szCs w:val="22"/>
          <w:highlight w:val="none"/>
        </w:rPr>
      </w:pPr>
    </w:p>
    <w:p w14:paraId="6A588FD9">
      <w:pPr>
        <w:spacing w:line="470" w:lineRule="exact"/>
        <w:jc w:val="left"/>
        <w:rPr>
          <w:rFonts w:hint="eastAsia" w:ascii="黑体" w:hAnsi="黑体" w:eastAsia="黑体" w:cs="黑体"/>
          <w:color w:val="auto"/>
          <w:sz w:val="22"/>
          <w:szCs w:val="22"/>
          <w:highlight w:val="none"/>
        </w:rPr>
      </w:pPr>
    </w:p>
    <w:p w14:paraId="27C713EE">
      <w:pPr>
        <w:spacing w:line="470" w:lineRule="exact"/>
        <w:jc w:val="left"/>
        <w:rPr>
          <w:rFonts w:hint="eastAsia" w:ascii="黑体" w:hAnsi="黑体" w:eastAsia="黑体" w:cs="黑体"/>
          <w:color w:val="auto"/>
          <w:sz w:val="22"/>
          <w:szCs w:val="22"/>
          <w:highlight w:val="none"/>
        </w:rPr>
      </w:pPr>
    </w:p>
    <w:p w14:paraId="2A60D092">
      <w:pPr>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br w:type="page"/>
      </w:r>
    </w:p>
    <w:p w14:paraId="621F17BB">
      <w:pPr>
        <w:pStyle w:val="62"/>
        <w:keepNext w:val="0"/>
        <w:keepLines w:val="0"/>
        <w:pageBreakBefore w:val="0"/>
        <w:kinsoku/>
        <w:wordWrap/>
        <w:overflowPunct/>
        <w:topLinePunct w:val="0"/>
        <w:autoSpaceDE/>
        <w:autoSpaceDN/>
        <w:bidi w:val="0"/>
        <w:adjustRightInd/>
        <w:snapToGrid/>
        <w:spacing w:line="460" w:lineRule="exact"/>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合同编号：</w:t>
      </w:r>
    </w:p>
    <w:p w14:paraId="40A3B2D5">
      <w:pPr>
        <w:pStyle w:val="62"/>
        <w:keepNext w:val="0"/>
        <w:keepLines w:val="0"/>
        <w:pageBreakBefore w:val="0"/>
        <w:kinsoku/>
        <w:wordWrap/>
        <w:overflowPunct/>
        <w:topLinePunct w:val="0"/>
        <w:autoSpaceDE/>
        <w:autoSpaceDN/>
        <w:bidi w:val="0"/>
        <w:adjustRightInd/>
        <w:snapToGrid/>
        <w:spacing w:line="460" w:lineRule="exact"/>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甲方：</w:t>
      </w:r>
    </w:p>
    <w:p w14:paraId="2FC0A467">
      <w:pPr>
        <w:pStyle w:val="62"/>
        <w:keepNext w:val="0"/>
        <w:keepLines w:val="0"/>
        <w:pageBreakBefore w:val="0"/>
        <w:kinsoku/>
        <w:wordWrap/>
        <w:overflowPunct/>
        <w:topLinePunct w:val="0"/>
        <w:autoSpaceDE/>
        <w:autoSpaceDN/>
        <w:bidi w:val="0"/>
        <w:adjustRightInd/>
        <w:snapToGrid/>
        <w:spacing w:line="460" w:lineRule="exact"/>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乙方：</w:t>
      </w:r>
    </w:p>
    <w:p w14:paraId="6613D872">
      <w:pPr>
        <w:pStyle w:val="62"/>
        <w:keepNext w:val="0"/>
        <w:keepLines w:val="0"/>
        <w:pageBreakBefore w:val="0"/>
        <w:kinsoku/>
        <w:wordWrap/>
        <w:overflowPunct/>
        <w:topLinePunct w:val="0"/>
        <w:autoSpaceDE/>
        <w:autoSpaceDN/>
        <w:bidi w:val="0"/>
        <w:adjustRightInd/>
        <w:snapToGrid/>
        <w:spacing w:after="150"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根据《中华人民共和国民法典(合同编)》《中华人民共和国政府采购法》及其实施条例，及甲方</w:t>
      </w:r>
      <w:r>
        <w:rPr>
          <w:rFonts w:hint="eastAsia" w:ascii="黑体" w:hAnsi="黑体" w:eastAsia="黑体" w:cs="黑体"/>
          <w:color w:val="auto"/>
          <w:sz w:val="22"/>
          <w:szCs w:val="22"/>
          <w:highlight w:val="none"/>
          <w:u w:val="single"/>
        </w:rPr>
        <w:t xml:space="preserve"> </w:t>
      </w:r>
      <w:r>
        <w:rPr>
          <w:rFonts w:hint="eastAsia" w:ascii="黑体" w:hAnsi="黑体" w:eastAsia="黑体" w:cs="黑体"/>
          <w:color w:val="auto"/>
          <w:sz w:val="22"/>
          <w:szCs w:val="22"/>
          <w:highlight w:val="none"/>
          <w:u w:val="single"/>
          <w:lang w:val="en-US" w:eastAsia="zh-CN"/>
        </w:rPr>
        <w:t xml:space="preserve">    </w:t>
      </w:r>
      <w:r>
        <w:rPr>
          <w:rFonts w:hint="eastAsia" w:ascii="黑体" w:hAnsi="黑体" w:eastAsia="黑体" w:cs="黑体"/>
          <w:color w:val="auto"/>
          <w:sz w:val="22"/>
          <w:szCs w:val="22"/>
          <w:highlight w:val="none"/>
          <w:u w:val="single"/>
        </w:rPr>
        <w:t xml:space="preserve">   </w:t>
      </w:r>
      <w:r>
        <w:rPr>
          <w:rFonts w:hint="eastAsia" w:ascii="黑体" w:hAnsi="黑体" w:eastAsia="黑体" w:cs="黑体"/>
          <w:color w:val="auto"/>
          <w:sz w:val="22"/>
          <w:szCs w:val="22"/>
          <w:highlight w:val="none"/>
        </w:rPr>
        <w:t>采购项目（采购编号：</w:t>
      </w:r>
      <w:r>
        <w:rPr>
          <w:rFonts w:hint="eastAsia" w:ascii="黑体" w:hAnsi="黑体" w:eastAsia="黑体" w:cs="黑体"/>
          <w:color w:val="auto"/>
          <w:sz w:val="22"/>
          <w:szCs w:val="22"/>
          <w:highlight w:val="none"/>
          <w:u w:val="single"/>
        </w:rPr>
        <w:t xml:space="preserve"> </w:t>
      </w:r>
      <w:r>
        <w:rPr>
          <w:rFonts w:hint="eastAsia" w:ascii="黑体" w:hAnsi="黑体" w:eastAsia="黑体" w:cs="黑体"/>
          <w:color w:val="auto"/>
          <w:sz w:val="22"/>
          <w:szCs w:val="22"/>
          <w:highlight w:val="none"/>
          <w:u w:val="single"/>
          <w:lang w:val="en-US" w:eastAsia="zh-CN"/>
        </w:rPr>
        <w:t xml:space="preserve">          </w:t>
      </w:r>
      <w:r>
        <w:rPr>
          <w:rFonts w:hint="eastAsia" w:ascii="黑体" w:hAnsi="黑体" w:eastAsia="黑体" w:cs="黑体"/>
          <w:color w:val="auto"/>
          <w:sz w:val="22"/>
          <w:szCs w:val="22"/>
          <w:highlight w:val="none"/>
          <w:u w:val="single"/>
        </w:rPr>
        <w:t xml:space="preserve"> </w:t>
      </w:r>
      <w:r>
        <w:rPr>
          <w:rFonts w:hint="eastAsia" w:ascii="黑体" w:hAnsi="黑体" w:eastAsia="黑体" w:cs="黑体"/>
          <w:color w:val="auto"/>
          <w:sz w:val="22"/>
          <w:szCs w:val="22"/>
          <w:highlight w:val="none"/>
          <w:u w:val="none"/>
          <w:lang w:eastAsia="zh-CN"/>
        </w:rPr>
        <w:t>）</w:t>
      </w:r>
      <w:r>
        <w:rPr>
          <w:rFonts w:hint="eastAsia" w:ascii="黑体" w:hAnsi="黑体" w:eastAsia="黑体" w:cs="黑体"/>
          <w:color w:val="auto"/>
          <w:sz w:val="22"/>
          <w:szCs w:val="22"/>
          <w:highlight w:val="none"/>
        </w:rPr>
        <w:t>项目的招标文件、乙方投标文件和中标通知书的要求，经双方协商一致，签订本合同，共同遵守如下条款：</w:t>
      </w:r>
    </w:p>
    <w:p w14:paraId="41C1CF0C">
      <w:pPr>
        <w:pStyle w:val="62"/>
        <w:keepNext w:val="0"/>
        <w:keepLines w:val="0"/>
        <w:pageBreakBefore w:val="0"/>
        <w:kinsoku/>
        <w:wordWrap/>
        <w:overflowPunct/>
        <w:topLinePunct w:val="0"/>
        <w:autoSpaceDE/>
        <w:autoSpaceDN/>
        <w:bidi w:val="0"/>
        <w:adjustRightInd/>
        <w:snapToGrid/>
        <w:spacing w:line="460" w:lineRule="exact"/>
        <w:ind w:firstLine="422"/>
        <w:jc w:val="both"/>
        <w:textAlignment w:val="auto"/>
        <w:rPr>
          <w:rFonts w:hint="eastAsia" w:ascii="黑体" w:hAnsi="黑体" w:eastAsia="黑体" w:cs="黑体"/>
          <w:color w:val="auto"/>
          <w:sz w:val="22"/>
          <w:szCs w:val="22"/>
          <w:highlight w:val="none"/>
        </w:rPr>
      </w:pPr>
      <w:r>
        <w:rPr>
          <w:rFonts w:hint="eastAsia" w:ascii="黑体" w:hAnsi="黑体" w:eastAsia="黑体" w:cs="黑体"/>
          <w:b/>
          <w:color w:val="auto"/>
          <w:sz w:val="22"/>
          <w:szCs w:val="22"/>
          <w:highlight w:val="none"/>
        </w:rPr>
        <w:t>一、货物内容</w:t>
      </w:r>
    </w:p>
    <w:tbl>
      <w:tblPr>
        <w:tblStyle w:val="19"/>
        <w:tblW w:w="0" w:type="auto"/>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555"/>
        <w:gridCol w:w="994"/>
        <w:gridCol w:w="921"/>
        <w:gridCol w:w="818"/>
        <w:gridCol w:w="818"/>
        <w:gridCol w:w="818"/>
        <w:gridCol w:w="818"/>
        <w:gridCol w:w="818"/>
        <w:gridCol w:w="818"/>
        <w:gridCol w:w="818"/>
      </w:tblGrid>
      <w:tr w14:paraId="6E7E9E3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55" w:type="dxa"/>
            <w:tcBorders>
              <w:top w:val="single" w:color="000000" w:sz="4" w:space="0"/>
              <w:left w:val="single" w:color="000000" w:sz="4" w:space="0"/>
              <w:bottom w:val="single" w:color="auto" w:sz="4" w:space="0"/>
              <w:right w:val="single" w:color="000000" w:sz="4" w:space="0"/>
            </w:tcBorders>
            <w:noWrap w:val="0"/>
            <w:tcMar>
              <w:top w:w="0" w:type="dxa"/>
              <w:left w:w="105" w:type="dxa"/>
              <w:bottom w:w="0" w:type="dxa"/>
              <w:right w:w="105" w:type="dxa"/>
            </w:tcMar>
            <w:vAlign w:val="center"/>
          </w:tcPr>
          <w:p w14:paraId="2F8DD6FD">
            <w:pPr>
              <w:pStyle w:val="62"/>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序号</w:t>
            </w:r>
          </w:p>
        </w:tc>
        <w:tc>
          <w:tcPr>
            <w:tcW w:w="994" w:type="dxa"/>
            <w:tcBorders>
              <w:top w:val="single" w:color="000000" w:sz="4" w:space="0"/>
              <w:left w:val="single" w:color="000000" w:sz="4" w:space="0"/>
              <w:bottom w:val="single" w:color="auto" w:sz="4" w:space="0"/>
              <w:right w:val="single" w:color="000000" w:sz="4" w:space="0"/>
            </w:tcBorders>
            <w:noWrap w:val="0"/>
            <w:tcMar>
              <w:top w:w="0" w:type="dxa"/>
              <w:left w:w="105" w:type="dxa"/>
              <w:bottom w:w="0" w:type="dxa"/>
              <w:right w:w="105" w:type="dxa"/>
            </w:tcMar>
            <w:vAlign w:val="center"/>
          </w:tcPr>
          <w:p w14:paraId="25EEA17C">
            <w:pPr>
              <w:pStyle w:val="62"/>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货物名称</w:t>
            </w:r>
          </w:p>
        </w:tc>
        <w:tc>
          <w:tcPr>
            <w:tcW w:w="921" w:type="dxa"/>
            <w:tcBorders>
              <w:top w:val="single" w:color="000000" w:sz="4" w:space="0"/>
              <w:left w:val="single" w:color="000000" w:sz="4" w:space="0"/>
              <w:bottom w:val="single" w:color="auto" w:sz="4" w:space="0"/>
              <w:right w:val="single" w:color="000000" w:sz="4" w:space="0"/>
            </w:tcBorders>
            <w:noWrap w:val="0"/>
            <w:tcMar>
              <w:top w:w="0" w:type="dxa"/>
              <w:left w:w="105" w:type="dxa"/>
              <w:bottom w:w="0" w:type="dxa"/>
              <w:right w:w="105" w:type="dxa"/>
            </w:tcMar>
            <w:vAlign w:val="center"/>
          </w:tcPr>
          <w:p w14:paraId="011C0398">
            <w:pPr>
              <w:pStyle w:val="62"/>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规格型号</w:t>
            </w:r>
          </w:p>
        </w:tc>
        <w:tc>
          <w:tcPr>
            <w:tcW w:w="818" w:type="dxa"/>
            <w:tcBorders>
              <w:top w:val="single" w:color="000000" w:sz="4" w:space="0"/>
              <w:left w:val="single" w:color="000000" w:sz="4" w:space="0"/>
              <w:bottom w:val="single" w:color="auto" w:sz="4" w:space="0"/>
              <w:right w:val="single" w:color="000000" w:sz="4" w:space="0"/>
            </w:tcBorders>
            <w:noWrap w:val="0"/>
            <w:tcMar>
              <w:top w:w="0" w:type="dxa"/>
              <w:left w:w="105" w:type="dxa"/>
              <w:bottom w:w="0" w:type="dxa"/>
              <w:right w:w="105" w:type="dxa"/>
            </w:tcMar>
            <w:vAlign w:val="center"/>
          </w:tcPr>
          <w:p w14:paraId="04E7F5AB">
            <w:pPr>
              <w:pStyle w:val="62"/>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数量</w:t>
            </w:r>
          </w:p>
        </w:tc>
        <w:tc>
          <w:tcPr>
            <w:tcW w:w="818" w:type="dxa"/>
            <w:tcBorders>
              <w:top w:val="single" w:color="000000" w:sz="4" w:space="0"/>
              <w:left w:val="single" w:color="000000" w:sz="4" w:space="0"/>
              <w:bottom w:val="single" w:color="auto" w:sz="4" w:space="0"/>
              <w:right w:val="single" w:color="000000" w:sz="4" w:space="0"/>
            </w:tcBorders>
            <w:noWrap w:val="0"/>
            <w:tcMar>
              <w:top w:w="0" w:type="dxa"/>
              <w:left w:w="105" w:type="dxa"/>
              <w:bottom w:w="0" w:type="dxa"/>
              <w:right w:w="105" w:type="dxa"/>
            </w:tcMar>
            <w:vAlign w:val="center"/>
          </w:tcPr>
          <w:p w14:paraId="69BDE368">
            <w:pPr>
              <w:pStyle w:val="62"/>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单位</w:t>
            </w:r>
          </w:p>
        </w:tc>
        <w:tc>
          <w:tcPr>
            <w:tcW w:w="818" w:type="dxa"/>
            <w:tcBorders>
              <w:top w:val="single" w:color="000000" w:sz="4" w:space="0"/>
              <w:left w:val="single" w:color="000000" w:sz="4" w:space="0"/>
              <w:bottom w:val="single" w:color="auto" w:sz="4" w:space="0"/>
              <w:right w:val="single" w:color="000000" w:sz="4" w:space="0"/>
            </w:tcBorders>
            <w:noWrap w:val="0"/>
            <w:tcMar>
              <w:top w:w="0" w:type="dxa"/>
              <w:left w:w="105" w:type="dxa"/>
              <w:bottom w:w="0" w:type="dxa"/>
              <w:right w:w="105" w:type="dxa"/>
            </w:tcMar>
            <w:vAlign w:val="center"/>
          </w:tcPr>
          <w:p w14:paraId="06DD7D4A">
            <w:pPr>
              <w:pStyle w:val="62"/>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品牌</w:t>
            </w:r>
          </w:p>
        </w:tc>
        <w:tc>
          <w:tcPr>
            <w:tcW w:w="818" w:type="dxa"/>
            <w:tcBorders>
              <w:top w:val="single" w:color="000000" w:sz="4" w:space="0"/>
              <w:left w:val="single" w:color="000000" w:sz="4" w:space="0"/>
              <w:bottom w:val="single" w:color="auto" w:sz="4" w:space="0"/>
              <w:right w:val="single" w:color="000000" w:sz="4" w:space="0"/>
            </w:tcBorders>
            <w:noWrap w:val="0"/>
            <w:tcMar>
              <w:top w:w="0" w:type="dxa"/>
              <w:left w:w="105" w:type="dxa"/>
              <w:bottom w:w="0" w:type="dxa"/>
              <w:right w:w="105" w:type="dxa"/>
            </w:tcMar>
            <w:vAlign w:val="center"/>
          </w:tcPr>
          <w:p w14:paraId="04488AB0">
            <w:pPr>
              <w:pStyle w:val="62"/>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产地</w:t>
            </w:r>
          </w:p>
        </w:tc>
        <w:tc>
          <w:tcPr>
            <w:tcW w:w="818" w:type="dxa"/>
            <w:tcBorders>
              <w:top w:val="single" w:color="000000" w:sz="4" w:space="0"/>
              <w:left w:val="single" w:color="000000" w:sz="4" w:space="0"/>
              <w:bottom w:val="single" w:color="auto" w:sz="4" w:space="0"/>
              <w:right w:val="single" w:color="000000" w:sz="4" w:space="0"/>
            </w:tcBorders>
            <w:noWrap w:val="0"/>
            <w:tcMar>
              <w:top w:w="0" w:type="dxa"/>
              <w:left w:w="105" w:type="dxa"/>
              <w:bottom w:w="0" w:type="dxa"/>
              <w:right w:w="105" w:type="dxa"/>
            </w:tcMar>
            <w:vAlign w:val="center"/>
          </w:tcPr>
          <w:p w14:paraId="7E19A6C4">
            <w:pPr>
              <w:pStyle w:val="62"/>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制造商名称</w:t>
            </w:r>
          </w:p>
        </w:tc>
        <w:tc>
          <w:tcPr>
            <w:tcW w:w="818" w:type="dxa"/>
            <w:tcBorders>
              <w:top w:val="single" w:color="000000" w:sz="4" w:space="0"/>
              <w:left w:val="single" w:color="000000" w:sz="4" w:space="0"/>
              <w:bottom w:val="single" w:color="auto" w:sz="4" w:space="0"/>
              <w:right w:val="single" w:color="000000" w:sz="4" w:space="0"/>
            </w:tcBorders>
            <w:noWrap w:val="0"/>
            <w:tcMar>
              <w:top w:w="0" w:type="dxa"/>
              <w:left w:w="105" w:type="dxa"/>
              <w:bottom w:w="0" w:type="dxa"/>
              <w:right w:w="105" w:type="dxa"/>
            </w:tcMar>
            <w:vAlign w:val="center"/>
          </w:tcPr>
          <w:p w14:paraId="1C6B13FE">
            <w:pPr>
              <w:pStyle w:val="62"/>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单价</w:t>
            </w:r>
          </w:p>
        </w:tc>
        <w:tc>
          <w:tcPr>
            <w:tcW w:w="818" w:type="dxa"/>
            <w:tcBorders>
              <w:top w:val="single" w:color="000000" w:sz="4" w:space="0"/>
              <w:left w:val="single" w:color="000000" w:sz="4" w:space="0"/>
              <w:bottom w:val="single" w:color="auto" w:sz="4" w:space="0"/>
              <w:right w:val="single" w:color="000000" w:sz="4" w:space="0"/>
            </w:tcBorders>
            <w:noWrap w:val="0"/>
            <w:tcMar>
              <w:top w:w="0" w:type="dxa"/>
              <w:left w:w="105" w:type="dxa"/>
              <w:bottom w:w="0" w:type="dxa"/>
              <w:right w:w="105" w:type="dxa"/>
            </w:tcMar>
            <w:vAlign w:val="center"/>
          </w:tcPr>
          <w:p w14:paraId="07FDDD3A">
            <w:pPr>
              <w:pStyle w:val="62"/>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总额</w:t>
            </w:r>
          </w:p>
        </w:tc>
      </w:tr>
      <w:tr w14:paraId="545EBFC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55"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top"/>
          </w:tcPr>
          <w:p w14:paraId="5D2201EF">
            <w:pPr>
              <w:pStyle w:val="62"/>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1</w:t>
            </w:r>
          </w:p>
        </w:tc>
        <w:tc>
          <w:tcPr>
            <w:tcW w:w="994"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top"/>
          </w:tcPr>
          <w:p w14:paraId="2DB639DC">
            <w:pPr>
              <w:pStyle w:val="62"/>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黑体" w:hAnsi="黑体" w:eastAsia="黑体" w:cs="黑体"/>
                <w:color w:val="auto"/>
                <w:sz w:val="22"/>
                <w:szCs w:val="22"/>
                <w:highlight w:val="none"/>
              </w:rPr>
            </w:pPr>
          </w:p>
        </w:tc>
        <w:tc>
          <w:tcPr>
            <w:tcW w:w="921"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top"/>
          </w:tcPr>
          <w:p w14:paraId="5F4C8C56">
            <w:pPr>
              <w:keepNext w:val="0"/>
              <w:keepLines w:val="0"/>
              <w:pageBreakBefore w:val="0"/>
              <w:kinsoku/>
              <w:wordWrap/>
              <w:overflowPunct/>
              <w:topLinePunct w:val="0"/>
              <w:autoSpaceDE/>
              <w:autoSpaceDN/>
              <w:bidi w:val="0"/>
              <w:adjustRightInd/>
              <w:snapToGrid/>
              <w:spacing w:line="400" w:lineRule="exact"/>
              <w:textAlignment w:val="auto"/>
              <w:rPr>
                <w:rFonts w:hint="eastAsia" w:ascii="黑体" w:hAnsi="黑体" w:eastAsia="黑体" w:cs="黑体"/>
                <w:color w:val="auto"/>
                <w:sz w:val="22"/>
                <w:szCs w:val="22"/>
                <w:highlight w:val="none"/>
              </w:rPr>
            </w:pPr>
          </w:p>
        </w:tc>
        <w:tc>
          <w:tcPr>
            <w:tcW w:w="818"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top"/>
          </w:tcPr>
          <w:p w14:paraId="1C573EB1">
            <w:pPr>
              <w:keepNext w:val="0"/>
              <w:keepLines w:val="0"/>
              <w:pageBreakBefore w:val="0"/>
              <w:kinsoku/>
              <w:wordWrap/>
              <w:overflowPunct/>
              <w:topLinePunct w:val="0"/>
              <w:autoSpaceDE/>
              <w:autoSpaceDN/>
              <w:bidi w:val="0"/>
              <w:adjustRightInd/>
              <w:snapToGrid/>
              <w:spacing w:line="400" w:lineRule="exact"/>
              <w:textAlignment w:val="auto"/>
              <w:rPr>
                <w:rFonts w:hint="eastAsia" w:ascii="黑体" w:hAnsi="黑体" w:eastAsia="黑体" w:cs="黑体"/>
                <w:color w:val="auto"/>
                <w:sz w:val="22"/>
                <w:szCs w:val="22"/>
                <w:highlight w:val="none"/>
              </w:rPr>
            </w:pPr>
          </w:p>
        </w:tc>
        <w:tc>
          <w:tcPr>
            <w:tcW w:w="818"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top"/>
          </w:tcPr>
          <w:p w14:paraId="667E9BAB">
            <w:pPr>
              <w:keepNext w:val="0"/>
              <w:keepLines w:val="0"/>
              <w:pageBreakBefore w:val="0"/>
              <w:kinsoku/>
              <w:wordWrap/>
              <w:overflowPunct/>
              <w:topLinePunct w:val="0"/>
              <w:autoSpaceDE/>
              <w:autoSpaceDN/>
              <w:bidi w:val="0"/>
              <w:adjustRightInd/>
              <w:snapToGrid/>
              <w:spacing w:line="400" w:lineRule="exact"/>
              <w:textAlignment w:val="auto"/>
              <w:rPr>
                <w:rFonts w:hint="eastAsia" w:ascii="黑体" w:hAnsi="黑体" w:eastAsia="黑体" w:cs="黑体"/>
                <w:color w:val="auto"/>
                <w:sz w:val="22"/>
                <w:szCs w:val="22"/>
                <w:highlight w:val="none"/>
              </w:rPr>
            </w:pPr>
          </w:p>
        </w:tc>
        <w:tc>
          <w:tcPr>
            <w:tcW w:w="818"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top"/>
          </w:tcPr>
          <w:p w14:paraId="5541A5EC">
            <w:pPr>
              <w:keepNext w:val="0"/>
              <w:keepLines w:val="0"/>
              <w:pageBreakBefore w:val="0"/>
              <w:kinsoku/>
              <w:wordWrap/>
              <w:overflowPunct/>
              <w:topLinePunct w:val="0"/>
              <w:autoSpaceDE/>
              <w:autoSpaceDN/>
              <w:bidi w:val="0"/>
              <w:adjustRightInd/>
              <w:snapToGrid/>
              <w:spacing w:line="400" w:lineRule="exact"/>
              <w:textAlignment w:val="auto"/>
              <w:rPr>
                <w:rFonts w:hint="eastAsia" w:ascii="黑体" w:hAnsi="黑体" w:eastAsia="黑体" w:cs="黑体"/>
                <w:color w:val="auto"/>
                <w:sz w:val="22"/>
                <w:szCs w:val="22"/>
                <w:highlight w:val="none"/>
              </w:rPr>
            </w:pPr>
          </w:p>
        </w:tc>
        <w:tc>
          <w:tcPr>
            <w:tcW w:w="818"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top"/>
          </w:tcPr>
          <w:p w14:paraId="44532075">
            <w:pPr>
              <w:keepNext w:val="0"/>
              <w:keepLines w:val="0"/>
              <w:pageBreakBefore w:val="0"/>
              <w:kinsoku/>
              <w:wordWrap/>
              <w:overflowPunct/>
              <w:topLinePunct w:val="0"/>
              <w:autoSpaceDE/>
              <w:autoSpaceDN/>
              <w:bidi w:val="0"/>
              <w:adjustRightInd/>
              <w:snapToGrid/>
              <w:spacing w:line="400" w:lineRule="exact"/>
              <w:textAlignment w:val="auto"/>
              <w:rPr>
                <w:rFonts w:hint="eastAsia" w:ascii="黑体" w:hAnsi="黑体" w:eastAsia="黑体" w:cs="黑体"/>
                <w:color w:val="auto"/>
                <w:sz w:val="22"/>
                <w:szCs w:val="22"/>
                <w:highlight w:val="none"/>
              </w:rPr>
            </w:pPr>
          </w:p>
        </w:tc>
        <w:tc>
          <w:tcPr>
            <w:tcW w:w="818"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top"/>
          </w:tcPr>
          <w:p w14:paraId="260E6BC4">
            <w:pPr>
              <w:keepNext w:val="0"/>
              <w:keepLines w:val="0"/>
              <w:pageBreakBefore w:val="0"/>
              <w:kinsoku/>
              <w:wordWrap/>
              <w:overflowPunct/>
              <w:topLinePunct w:val="0"/>
              <w:autoSpaceDE/>
              <w:autoSpaceDN/>
              <w:bidi w:val="0"/>
              <w:adjustRightInd/>
              <w:snapToGrid/>
              <w:spacing w:line="400" w:lineRule="exact"/>
              <w:textAlignment w:val="auto"/>
              <w:rPr>
                <w:rFonts w:hint="eastAsia" w:ascii="黑体" w:hAnsi="黑体" w:eastAsia="黑体" w:cs="黑体"/>
                <w:color w:val="auto"/>
                <w:sz w:val="22"/>
                <w:szCs w:val="22"/>
                <w:highlight w:val="none"/>
              </w:rPr>
            </w:pPr>
          </w:p>
        </w:tc>
        <w:tc>
          <w:tcPr>
            <w:tcW w:w="818"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top"/>
          </w:tcPr>
          <w:p w14:paraId="5C182539">
            <w:pPr>
              <w:keepNext w:val="0"/>
              <w:keepLines w:val="0"/>
              <w:pageBreakBefore w:val="0"/>
              <w:kinsoku/>
              <w:wordWrap/>
              <w:overflowPunct/>
              <w:topLinePunct w:val="0"/>
              <w:autoSpaceDE/>
              <w:autoSpaceDN/>
              <w:bidi w:val="0"/>
              <w:adjustRightInd/>
              <w:snapToGrid/>
              <w:spacing w:line="400" w:lineRule="exact"/>
              <w:textAlignment w:val="auto"/>
              <w:rPr>
                <w:rFonts w:hint="eastAsia" w:ascii="黑体" w:hAnsi="黑体" w:eastAsia="黑体" w:cs="黑体"/>
                <w:color w:val="auto"/>
                <w:sz w:val="22"/>
                <w:szCs w:val="22"/>
                <w:highlight w:val="none"/>
              </w:rPr>
            </w:pPr>
          </w:p>
        </w:tc>
        <w:tc>
          <w:tcPr>
            <w:tcW w:w="818"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top"/>
          </w:tcPr>
          <w:p w14:paraId="5F21E992">
            <w:pPr>
              <w:keepNext w:val="0"/>
              <w:keepLines w:val="0"/>
              <w:pageBreakBefore w:val="0"/>
              <w:kinsoku/>
              <w:wordWrap/>
              <w:overflowPunct/>
              <w:topLinePunct w:val="0"/>
              <w:autoSpaceDE/>
              <w:autoSpaceDN/>
              <w:bidi w:val="0"/>
              <w:adjustRightInd/>
              <w:snapToGrid/>
              <w:spacing w:line="400" w:lineRule="exact"/>
              <w:textAlignment w:val="auto"/>
              <w:rPr>
                <w:rFonts w:hint="eastAsia" w:ascii="黑体" w:hAnsi="黑体" w:eastAsia="黑体" w:cs="黑体"/>
                <w:color w:val="auto"/>
                <w:sz w:val="22"/>
                <w:szCs w:val="22"/>
                <w:highlight w:val="none"/>
              </w:rPr>
            </w:pPr>
          </w:p>
        </w:tc>
      </w:tr>
      <w:tr w14:paraId="7299314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55"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top"/>
          </w:tcPr>
          <w:p w14:paraId="3793AB3C">
            <w:pPr>
              <w:pStyle w:val="62"/>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sz w:val="22"/>
                <w:szCs w:val="22"/>
                <w:highlight w:val="none"/>
                <w:lang w:val="en-US" w:eastAsia="zh-CN"/>
              </w:rPr>
            </w:pPr>
            <w:r>
              <w:rPr>
                <w:rFonts w:hint="eastAsia" w:ascii="黑体" w:hAnsi="黑体" w:eastAsia="黑体" w:cs="黑体"/>
                <w:color w:val="auto"/>
                <w:sz w:val="22"/>
                <w:szCs w:val="22"/>
                <w:highlight w:val="none"/>
                <w:lang w:val="en-US" w:eastAsia="zh-CN"/>
              </w:rPr>
              <w:t>2</w:t>
            </w:r>
          </w:p>
        </w:tc>
        <w:tc>
          <w:tcPr>
            <w:tcW w:w="994"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top"/>
          </w:tcPr>
          <w:p w14:paraId="15777D15">
            <w:pPr>
              <w:pStyle w:val="62"/>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黑体" w:hAnsi="黑体" w:eastAsia="黑体" w:cs="黑体"/>
                <w:color w:val="auto"/>
                <w:sz w:val="22"/>
                <w:szCs w:val="22"/>
                <w:highlight w:val="none"/>
              </w:rPr>
            </w:pPr>
          </w:p>
        </w:tc>
        <w:tc>
          <w:tcPr>
            <w:tcW w:w="921"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top"/>
          </w:tcPr>
          <w:p w14:paraId="0F052689">
            <w:pPr>
              <w:keepNext w:val="0"/>
              <w:keepLines w:val="0"/>
              <w:pageBreakBefore w:val="0"/>
              <w:kinsoku/>
              <w:wordWrap/>
              <w:overflowPunct/>
              <w:topLinePunct w:val="0"/>
              <w:autoSpaceDE/>
              <w:autoSpaceDN/>
              <w:bidi w:val="0"/>
              <w:adjustRightInd/>
              <w:snapToGrid/>
              <w:spacing w:line="400" w:lineRule="exact"/>
              <w:textAlignment w:val="auto"/>
              <w:rPr>
                <w:rFonts w:hint="eastAsia" w:ascii="黑体" w:hAnsi="黑体" w:eastAsia="黑体" w:cs="黑体"/>
                <w:color w:val="auto"/>
                <w:sz w:val="22"/>
                <w:szCs w:val="22"/>
                <w:highlight w:val="none"/>
              </w:rPr>
            </w:pPr>
          </w:p>
        </w:tc>
        <w:tc>
          <w:tcPr>
            <w:tcW w:w="818"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top"/>
          </w:tcPr>
          <w:p w14:paraId="1185584B">
            <w:pPr>
              <w:keepNext w:val="0"/>
              <w:keepLines w:val="0"/>
              <w:pageBreakBefore w:val="0"/>
              <w:kinsoku/>
              <w:wordWrap/>
              <w:overflowPunct/>
              <w:topLinePunct w:val="0"/>
              <w:autoSpaceDE/>
              <w:autoSpaceDN/>
              <w:bidi w:val="0"/>
              <w:adjustRightInd/>
              <w:snapToGrid/>
              <w:spacing w:line="400" w:lineRule="exact"/>
              <w:textAlignment w:val="auto"/>
              <w:rPr>
                <w:rFonts w:hint="eastAsia" w:ascii="黑体" w:hAnsi="黑体" w:eastAsia="黑体" w:cs="黑体"/>
                <w:color w:val="auto"/>
                <w:sz w:val="22"/>
                <w:szCs w:val="22"/>
                <w:highlight w:val="none"/>
              </w:rPr>
            </w:pPr>
          </w:p>
        </w:tc>
        <w:tc>
          <w:tcPr>
            <w:tcW w:w="818"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top"/>
          </w:tcPr>
          <w:p w14:paraId="7E0B06C0">
            <w:pPr>
              <w:keepNext w:val="0"/>
              <w:keepLines w:val="0"/>
              <w:pageBreakBefore w:val="0"/>
              <w:kinsoku/>
              <w:wordWrap/>
              <w:overflowPunct/>
              <w:topLinePunct w:val="0"/>
              <w:autoSpaceDE/>
              <w:autoSpaceDN/>
              <w:bidi w:val="0"/>
              <w:adjustRightInd/>
              <w:snapToGrid/>
              <w:spacing w:line="400" w:lineRule="exact"/>
              <w:textAlignment w:val="auto"/>
              <w:rPr>
                <w:rFonts w:hint="eastAsia" w:ascii="黑体" w:hAnsi="黑体" w:eastAsia="黑体" w:cs="黑体"/>
                <w:color w:val="auto"/>
                <w:sz w:val="22"/>
                <w:szCs w:val="22"/>
                <w:highlight w:val="none"/>
              </w:rPr>
            </w:pPr>
          </w:p>
        </w:tc>
        <w:tc>
          <w:tcPr>
            <w:tcW w:w="818"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top"/>
          </w:tcPr>
          <w:p w14:paraId="68A8FC4D">
            <w:pPr>
              <w:keepNext w:val="0"/>
              <w:keepLines w:val="0"/>
              <w:pageBreakBefore w:val="0"/>
              <w:kinsoku/>
              <w:wordWrap/>
              <w:overflowPunct/>
              <w:topLinePunct w:val="0"/>
              <w:autoSpaceDE/>
              <w:autoSpaceDN/>
              <w:bidi w:val="0"/>
              <w:adjustRightInd/>
              <w:snapToGrid/>
              <w:spacing w:line="400" w:lineRule="exact"/>
              <w:textAlignment w:val="auto"/>
              <w:rPr>
                <w:rFonts w:hint="eastAsia" w:ascii="黑体" w:hAnsi="黑体" w:eastAsia="黑体" w:cs="黑体"/>
                <w:color w:val="auto"/>
                <w:sz w:val="22"/>
                <w:szCs w:val="22"/>
                <w:highlight w:val="none"/>
              </w:rPr>
            </w:pPr>
          </w:p>
        </w:tc>
        <w:tc>
          <w:tcPr>
            <w:tcW w:w="818"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top"/>
          </w:tcPr>
          <w:p w14:paraId="632F6C48">
            <w:pPr>
              <w:keepNext w:val="0"/>
              <w:keepLines w:val="0"/>
              <w:pageBreakBefore w:val="0"/>
              <w:kinsoku/>
              <w:wordWrap/>
              <w:overflowPunct/>
              <w:topLinePunct w:val="0"/>
              <w:autoSpaceDE/>
              <w:autoSpaceDN/>
              <w:bidi w:val="0"/>
              <w:adjustRightInd/>
              <w:snapToGrid/>
              <w:spacing w:line="400" w:lineRule="exact"/>
              <w:textAlignment w:val="auto"/>
              <w:rPr>
                <w:rFonts w:hint="eastAsia" w:ascii="黑体" w:hAnsi="黑体" w:eastAsia="黑体" w:cs="黑体"/>
                <w:color w:val="auto"/>
                <w:sz w:val="22"/>
                <w:szCs w:val="22"/>
                <w:highlight w:val="none"/>
              </w:rPr>
            </w:pPr>
          </w:p>
        </w:tc>
        <w:tc>
          <w:tcPr>
            <w:tcW w:w="818"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top"/>
          </w:tcPr>
          <w:p w14:paraId="4BD73C57">
            <w:pPr>
              <w:keepNext w:val="0"/>
              <w:keepLines w:val="0"/>
              <w:pageBreakBefore w:val="0"/>
              <w:kinsoku/>
              <w:wordWrap/>
              <w:overflowPunct/>
              <w:topLinePunct w:val="0"/>
              <w:autoSpaceDE/>
              <w:autoSpaceDN/>
              <w:bidi w:val="0"/>
              <w:adjustRightInd/>
              <w:snapToGrid/>
              <w:spacing w:line="400" w:lineRule="exact"/>
              <w:textAlignment w:val="auto"/>
              <w:rPr>
                <w:rFonts w:hint="eastAsia" w:ascii="黑体" w:hAnsi="黑体" w:eastAsia="黑体" w:cs="黑体"/>
                <w:color w:val="auto"/>
                <w:sz w:val="22"/>
                <w:szCs w:val="22"/>
                <w:highlight w:val="none"/>
              </w:rPr>
            </w:pPr>
          </w:p>
        </w:tc>
        <w:tc>
          <w:tcPr>
            <w:tcW w:w="818"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top"/>
          </w:tcPr>
          <w:p w14:paraId="31031454">
            <w:pPr>
              <w:keepNext w:val="0"/>
              <w:keepLines w:val="0"/>
              <w:pageBreakBefore w:val="0"/>
              <w:kinsoku/>
              <w:wordWrap/>
              <w:overflowPunct/>
              <w:topLinePunct w:val="0"/>
              <w:autoSpaceDE/>
              <w:autoSpaceDN/>
              <w:bidi w:val="0"/>
              <w:adjustRightInd/>
              <w:snapToGrid/>
              <w:spacing w:line="400" w:lineRule="exact"/>
              <w:textAlignment w:val="auto"/>
              <w:rPr>
                <w:rFonts w:hint="eastAsia" w:ascii="黑体" w:hAnsi="黑体" w:eastAsia="黑体" w:cs="黑体"/>
                <w:color w:val="auto"/>
                <w:sz w:val="22"/>
                <w:szCs w:val="22"/>
                <w:highlight w:val="none"/>
              </w:rPr>
            </w:pPr>
          </w:p>
        </w:tc>
        <w:tc>
          <w:tcPr>
            <w:tcW w:w="818"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top"/>
          </w:tcPr>
          <w:p w14:paraId="4D786795">
            <w:pPr>
              <w:keepNext w:val="0"/>
              <w:keepLines w:val="0"/>
              <w:pageBreakBefore w:val="0"/>
              <w:kinsoku/>
              <w:wordWrap/>
              <w:overflowPunct/>
              <w:topLinePunct w:val="0"/>
              <w:autoSpaceDE/>
              <w:autoSpaceDN/>
              <w:bidi w:val="0"/>
              <w:adjustRightInd/>
              <w:snapToGrid/>
              <w:spacing w:line="400" w:lineRule="exact"/>
              <w:textAlignment w:val="auto"/>
              <w:rPr>
                <w:rFonts w:hint="eastAsia" w:ascii="黑体" w:hAnsi="黑体" w:eastAsia="黑体" w:cs="黑体"/>
                <w:color w:val="auto"/>
                <w:sz w:val="22"/>
                <w:szCs w:val="22"/>
                <w:highlight w:val="none"/>
              </w:rPr>
            </w:pPr>
          </w:p>
        </w:tc>
      </w:tr>
    </w:tbl>
    <w:p w14:paraId="3DC6E5E4">
      <w:pPr>
        <w:pStyle w:val="62"/>
        <w:keepNext w:val="0"/>
        <w:keepLines w:val="0"/>
        <w:pageBreakBefore w:val="0"/>
        <w:kinsoku/>
        <w:wordWrap/>
        <w:overflowPunct/>
        <w:topLinePunct w:val="0"/>
        <w:autoSpaceDE/>
        <w:autoSpaceDN/>
        <w:bidi w:val="0"/>
        <w:adjustRightInd/>
        <w:snapToGrid/>
        <w:spacing w:line="460" w:lineRule="exact"/>
        <w:ind w:firstLine="442" w:firstLineChars="200"/>
        <w:jc w:val="both"/>
        <w:textAlignment w:val="auto"/>
        <w:rPr>
          <w:rFonts w:hint="eastAsia" w:ascii="黑体" w:hAnsi="黑体" w:eastAsia="黑体" w:cs="黑体"/>
          <w:color w:val="auto"/>
          <w:sz w:val="22"/>
          <w:szCs w:val="22"/>
          <w:highlight w:val="none"/>
        </w:rPr>
      </w:pPr>
      <w:r>
        <w:rPr>
          <w:rFonts w:hint="eastAsia" w:ascii="黑体" w:hAnsi="黑体" w:eastAsia="黑体" w:cs="黑体"/>
          <w:b/>
          <w:color w:val="auto"/>
          <w:sz w:val="22"/>
          <w:szCs w:val="22"/>
          <w:highlight w:val="none"/>
        </w:rPr>
        <w:t>二、合同金额</w:t>
      </w:r>
    </w:p>
    <w:p w14:paraId="13763ED1">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1.合同金额</w:t>
      </w:r>
      <w:r>
        <w:rPr>
          <w:rFonts w:hint="eastAsia" w:ascii="黑体" w:hAnsi="黑体" w:eastAsia="黑体" w:cs="黑体"/>
          <w:color w:val="auto"/>
          <w:sz w:val="22"/>
          <w:szCs w:val="22"/>
          <w:highlight w:val="none"/>
          <w:lang w:eastAsia="zh-CN"/>
        </w:rPr>
        <w:t>（</w:t>
      </w:r>
      <w:r>
        <w:rPr>
          <w:rFonts w:hint="eastAsia" w:ascii="黑体" w:hAnsi="黑体" w:eastAsia="黑体" w:cs="黑体"/>
          <w:color w:val="auto"/>
          <w:sz w:val="22"/>
          <w:szCs w:val="22"/>
          <w:highlight w:val="none"/>
          <w:lang w:val="en-US" w:eastAsia="zh-CN"/>
        </w:rPr>
        <w:t>大写</w:t>
      </w:r>
      <w:r>
        <w:rPr>
          <w:rFonts w:hint="eastAsia" w:ascii="黑体" w:hAnsi="黑体" w:eastAsia="黑体" w:cs="黑体"/>
          <w:color w:val="auto"/>
          <w:sz w:val="22"/>
          <w:szCs w:val="22"/>
          <w:highlight w:val="none"/>
          <w:lang w:eastAsia="zh-CN"/>
        </w:rPr>
        <w:t>）</w:t>
      </w:r>
      <w:r>
        <w:rPr>
          <w:rFonts w:hint="eastAsia" w:ascii="黑体" w:hAnsi="黑体" w:eastAsia="黑体" w:cs="黑体"/>
          <w:color w:val="auto"/>
          <w:sz w:val="22"/>
          <w:szCs w:val="22"/>
          <w:highlight w:val="none"/>
        </w:rPr>
        <w:t>为：</w:t>
      </w:r>
      <w:r>
        <w:rPr>
          <w:rFonts w:hint="eastAsia" w:ascii="黑体" w:hAnsi="黑体" w:eastAsia="黑体" w:cs="黑体"/>
          <w:color w:val="auto"/>
          <w:sz w:val="22"/>
          <w:szCs w:val="22"/>
          <w:highlight w:val="none"/>
          <w:lang w:val="en-US" w:eastAsia="zh-CN"/>
        </w:rPr>
        <w:t>人民币</w:t>
      </w:r>
      <w:r>
        <w:rPr>
          <w:rFonts w:hint="eastAsia" w:ascii="黑体" w:hAnsi="黑体" w:eastAsia="黑体" w:cs="黑体"/>
          <w:color w:val="auto"/>
          <w:sz w:val="22"/>
          <w:szCs w:val="22"/>
          <w:highlight w:val="none"/>
          <w:u w:val="single"/>
        </w:rPr>
        <w:t xml:space="preserve">   </w:t>
      </w:r>
      <w:r>
        <w:rPr>
          <w:rFonts w:hint="eastAsia" w:ascii="黑体" w:hAnsi="黑体" w:eastAsia="黑体" w:cs="黑体"/>
          <w:color w:val="auto"/>
          <w:sz w:val="22"/>
          <w:szCs w:val="22"/>
          <w:highlight w:val="none"/>
          <w:u w:val="single"/>
          <w:lang w:val="en-US" w:eastAsia="zh-CN"/>
        </w:rPr>
        <w:t xml:space="preserve">     </w:t>
      </w:r>
      <w:r>
        <w:rPr>
          <w:rFonts w:hint="eastAsia" w:ascii="黑体" w:hAnsi="黑体" w:eastAsia="黑体" w:cs="黑体"/>
          <w:color w:val="auto"/>
          <w:sz w:val="22"/>
          <w:szCs w:val="22"/>
          <w:highlight w:val="none"/>
          <w:u w:val="single"/>
        </w:rPr>
        <w:t xml:space="preserve">   </w:t>
      </w:r>
      <w:r>
        <w:rPr>
          <w:rFonts w:hint="eastAsia" w:ascii="黑体" w:hAnsi="黑体" w:eastAsia="黑体" w:cs="黑体"/>
          <w:color w:val="auto"/>
          <w:sz w:val="22"/>
          <w:szCs w:val="22"/>
          <w:highlight w:val="none"/>
          <w:u w:val="single"/>
          <w:lang w:val="en-US" w:eastAsia="zh-CN"/>
        </w:rPr>
        <w:t>元</w:t>
      </w:r>
      <w:r>
        <w:rPr>
          <w:rFonts w:hint="eastAsia" w:ascii="黑体" w:hAnsi="黑体" w:eastAsia="黑体" w:cs="黑体"/>
          <w:color w:val="auto"/>
          <w:sz w:val="22"/>
          <w:szCs w:val="22"/>
          <w:highlight w:val="none"/>
        </w:rPr>
        <w:t>（¥</w:t>
      </w:r>
      <w:r>
        <w:rPr>
          <w:rFonts w:hint="eastAsia" w:ascii="黑体" w:hAnsi="黑体" w:eastAsia="黑体" w:cs="黑体"/>
          <w:color w:val="auto"/>
          <w:sz w:val="22"/>
          <w:szCs w:val="22"/>
          <w:highlight w:val="none"/>
          <w:u w:val="single"/>
        </w:rPr>
        <w:t xml:space="preserve">   </w:t>
      </w:r>
      <w:r>
        <w:rPr>
          <w:rFonts w:hint="eastAsia" w:ascii="黑体" w:hAnsi="黑体" w:eastAsia="黑体" w:cs="黑体"/>
          <w:color w:val="auto"/>
          <w:sz w:val="22"/>
          <w:szCs w:val="22"/>
          <w:highlight w:val="none"/>
          <w:u w:val="single"/>
          <w:lang w:val="en-US" w:eastAsia="zh-CN"/>
        </w:rPr>
        <w:t xml:space="preserve">        </w:t>
      </w:r>
      <w:r>
        <w:rPr>
          <w:rFonts w:hint="eastAsia" w:ascii="黑体" w:hAnsi="黑体" w:eastAsia="黑体" w:cs="黑体"/>
          <w:color w:val="auto"/>
          <w:sz w:val="22"/>
          <w:szCs w:val="22"/>
          <w:highlight w:val="none"/>
          <w:u w:val="single"/>
        </w:rPr>
        <w:t xml:space="preserve">  </w:t>
      </w:r>
      <w:r>
        <w:rPr>
          <w:rFonts w:hint="eastAsia" w:ascii="黑体" w:hAnsi="黑体" w:eastAsia="黑体" w:cs="黑体"/>
          <w:color w:val="auto"/>
          <w:sz w:val="22"/>
          <w:szCs w:val="22"/>
          <w:highlight w:val="none"/>
        </w:rPr>
        <w:t>）。</w:t>
      </w:r>
    </w:p>
    <w:p w14:paraId="5B7FC060">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2.总金额包含但不限于全部产品及其附件的材料费、包装费、运输费、装卸费</w:t>
      </w:r>
      <w:r>
        <w:rPr>
          <w:rFonts w:hint="eastAsia" w:ascii="黑体" w:hAnsi="黑体" w:eastAsia="黑体" w:cs="黑体"/>
          <w:color w:val="auto"/>
          <w:sz w:val="22"/>
          <w:szCs w:val="22"/>
          <w:highlight w:val="none"/>
          <w:lang w:val="en-US" w:eastAsia="zh-CN"/>
        </w:rPr>
        <w:t>等</w:t>
      </w:r>
      <w:r>
        <w:rPr>
          <w:rFonts w:hint="eastAsia" w:ascii="黑体" w:hAnsi="黑体" w:eastAsia="黑体" w:cs="黑体"/>
          <w:color w:val="auto"/>
          <w:sz w:val="22"/>
          <w:szCs w:val="22"/>
          <w:highlight w:val="none"/>
          <w:lang w:eastAsia="zh-CN"/>
        </w:rPr>
        <w:t>；</w:t>
      </w:r>
      <w:r>
        <w:rPr>
          <w:rFonts w:hint="eastAsia" w:ascii="黑体" w:hAnsi="黑体" w:eastAsia="黑体" w:cs="黑体"/>
          <w:color w:val="auto"/>
          <w:sz w:val="22"/>
          <w:szCs w:val="22"/>
          <w:highlight w:val="none"/>
        </w:rPr>
        <w:t>安装调试费，包括现场安装、措施、垃圾清理等所有相关工作费用</w:t>
      </w:r>
      <w:r>
        <w:rPr>
          <w:rFonts w:hint="eastAsia" w:ascii="黑体" w:hAnsi="黑体" w:eastAsia="黑体" w:cs="黑体"/>
          <w:color w:val="auto"/>
          <w:sz w:val="22"/>
          <w:szCs w:val="22"/>
          <w:highlight w:val="none"/>
          <w:lang w:eastAsia="zh-CN"/>
        </w:rPr>
        <w:t>；</w:t>
      </w:r>
      <w:r>
        <w:rPr>
          <w:rFonts w:hint="eastAsia" w:ascii="黑体" w:hAnsi="黑体" w:eastAsia="黑体" w:cs="黑体"/>
          <w:color w:val="auto"/>
          <w:sz w:val="22"/>
          <w:szCs w:val="22"/>
          <w:highlight w:val="none"/>
        </w:rPr>
        <w:t>协助拆除原住院部消毒供应室天轨密集管理架（7440</w:t>
      </w:r>
      <w:r>
        <w:rPr>
          <w:rFonts w:hint="eastAsia" w:ascii="黑体" w:hAnsi="黑体" w:eastAsia="黑体" w:cs="黑体"/>
          <w:color w:val="auto"/>
          <w:sz w:val="22"/>
          <w:szCs w:val="22"/>
          <w:highlight w:val="none"/>
          <w:lang w:val="en-US" w:eastAsia="zh-CN"/>
        </w:rPr>
        <w:t>×</w:t>
      </w:r>
      <w:r>
        <w:rPr>
          <w:rFonts w:hint="eastAsia" w:ascii="黑体" w:hAnsi="黑体" w:eastAsia="黑体" w:cs="黑体"/>
          <w:color w:val="auto"/>
          <w:sz w:val="22"/>
          <w:szCs w:val="22"/>
          <w:highlight w:val="none"/>
        </w:rPr>
        <w:t>1200</w:t>
      </w:r>
      <w:r>
        <w:rPr>
          <w:rFonts w:hint="eastAsia" w:ascii="黑体" w:hAnsi="黑体" w:eastAsia="黑体" w:cs="黑体"/>
          <w:color w:val="auto"/>
          <w:sz w:val="22"/>
          <w:szCs w:val="22"/>
          <w:highlight w:val="none"/>
          <w:lang w:val="en-US" w:eastAsia="zh-CN"/>
        </w:rPr>
        <w:t>×</w:t>
      </w:r>
      <w:r>
        <w:rPr>
          <w:rFonts w:hint="eastAsia" w:ascii="黑体" w:hAnsi="黑体" w:eastAsia="黑体" w:cs="黑体"/>
          <w:color w:val="auto"/>
          <w:sz w:val="22"/>
          <w:szCs w:val="22"/>
          <w:highlight w:val="none"/>
        </w:rPr>
        <w:t>2200mm）至东莞市骨伤中心3F手术室无菌区，同时满足使用条件，要求中标方负责相关拆装配件，包含2组固定架、8组移动架及2条长轨道</w:t>
      </w:r>
      <w:r>
        <w:rPr>
          <w:rFonts w:hint="eastAsia" w:ascii="黑体" w:hAnsi="黑体" w:eastAsia="黑体" w:cs="黑体"/>
          <w:color w:val="auto"/>
          <w:sz w:val="22"/>
          <w:szCs w:val="22"/>
          <w:highlight w:val="none"/>
          <w:lang w:eastAsia="zh-CN"/>
        </w:rPr>
        <w:t>；</w:t>
      </w:r>
      <w:r>
        <w:rPr>
          <w:rFonts w:hint="eastAsia" w:ascii="黑体" w:hAnsi="黑体" w:eastAsia="黑体" w:cs="黑体"/>
          <w:color w:val="auto"/>
          <w:sz w:val="22"/>
          <w:szCs w:val="22"/>
          <w:highlight w:val="none"/>
        </w:rPr>
        <w:t>税费及其他所有可能产生的费用。</w:t>
      </w:r>
      <w:r>
        <w:rPr>
          <w:rFonts w:hint="eastAsia" w:ascii="黑体" w:hAnsi="黑体" w:eastAsia="黑体" w:cs="黑体"/>
          <w:color w:val="auto"/>
          <w:sz w:val="22"/>
          <w:szCs w:val="22"/>
          <w:highlight w:val="none"/>
          <w:lang w:val="en-US" w:eastAsia="zh-CN"/>
        </w:rPr>
        <w:t>甲方</w:t>
      </w:r>
      <w:r>
        <w:rPr>
          <w:rFonts w:hint="eastAsia" w:ascii="黑体" w:hAnsi="黑体" w:eastAsia="黑体" w:cs="黑体"/>
          <w:color w:val="auto"/>
          <w:sz w:val="22"/>
          <w:szCs w:val="22"/>
          <w:highlight w:val="none"/>
        </w:rPr>
        <w:t>无需另外支付任何费用。</w:t>
      </w:r>
    </w:p>
    <w:p w14:paraId="3915C2B1">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3.本合同价为固定不变价。甲方无需向乙方支付其他费用。</w:t>
      </w:r>
    </w:p>
    <w:p w14:paraId="623C622D">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default" w:ascii="黑体" w:hAnsi="黑体" w:eastAsia="黑体" w:cs="黑体"/>
          <w:color w:val="auto"/>
          <w:sz w:val="22"/>
          <w:szCs w:val="22"/>
          <w:highlight w:val="none"/>
          <w:lang w:val="en-US" w:eastAsia="zh-CN"/>
        </w:rPr>
      </w:pPr>
      <w:r>
        <w:rPr>
          <w:rFonts w:hint="eastAsia" w:ascii="黑体" w:hAnsi="黑体" w:eastAsia="黑体" w:cs="黑体"/>
          <w:color w:val="auto"/>
          <w:sz w:val="22"/>
          <w:szCs w:val="22"/>
          <w:highlight w:val="none"/>
          <w:lang w:val="en-US" w:eastAsia="zh-CN"/>
        </w:rPr>
        <w:t>4.本项目不收取履约保证金。</w:t>
      </w:r>
    </w:p>
    <w:p w14:paraId="219C356D">
      <w:pPr>
        <w:pStyle w:val="62"/>
        <w:keepNext w:val="0"/>
        <w:keepLines w:val="0"/>
        <w:pageBreakBefore w:val="0"/>
        <w:kinsoku/>
        <w:wordWrap/>
        <w:overflowPunct/>
        <w:topLinePunct w:val="0"/>
        <w:autoSpaceDE/>
        <w:autoSpaceDN/>
        <w:bidi w:val="0"/>
        <w:adjustRightInd/>
        <w:snapToGrid/>
        <w:spacing w:line="460" w:lineRule="exact"/>
        <w:ind w:firstLine="422"/>
        <w:jc w:val="both"/>
        <w:textAlignment w:val="auto"/>
        <w:rPr>
          <w:rFonts w:hint="eastAsia" w:ascii="黑体" w:hAnsi="黑体" w:eastAsia="黑体" w:cs="黑体"/>
          <w:color w:val="auto"/>
          <w:sz w:val="22"/>
          <w:szCs w:val="22"/>
          <w:highlight w:val="none"/>
        </w:rPr>
      </w:pPr>
      <w:r>
        <w:rPr>
          <w:rFonts w:hint="eastAsia" w:ascii="黑体" w:hAnsi="黑体" w:eastAsia="黑体" w:cs="黑体"/>
          <w:b/>
          <w:color w:val="auto"/>
          <w:sz w:val="22"/>
          <w:szCs w:val="22"/>
          <w:highlight w:val="none"/>
        </w:rPr>
        <w:t>三、货物要求</w:t>
      </w:r>
    </w:p>
    <w:p w14:paraId="352F0F1C">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lang w:eastAsia="zh-CN"/>
        </w:rPr>
      </w:pPr>
      <w:r>
        <w:rPr>
          <w:rFonts w:hint="eastAsia" w:ascii="黑体" w:hAnsi="黑体" w:eastAsia="黑体" w:cs="黑体"/>
          <w:color w:val="auto"/>
          <w:sz w:val="22"/>
          <w:szCs w:val="22"/>
          <w:highlight w:val="none"/>
        </w:rPr>
        <w:t>1.提供的货物是原装全新的、符合国家质量标准、国家有关部门手续完备、具有生产厂家质量保证书（或合格证明）</w:t>
      </w:r>
      <w:r>
        <w:rPr>
          <w:rFonts w:hint="eastAsia" w:ascii="黑体" w:hAnsi="黑体" w:eastAsia="黑体" w:cs="黑体"/>
          <w:color w:val="auto"/>
          <w:sz w:val="22"/>
          <w:szCs w:val="22"/>
          <w:highlight w:val="none"/>
          <w:lang w:eastAsia="zh-CN"/>
        </w:rPr>
        <w:t>；</w:t>
      </w:r>
      <w:r>
        <w:rPr>
          <w:rFonts w:hint="eastAsia" w:ascii="黑体" w:hAnsi="黑体" w:eastAsia="黑体" w:cs="黑体"/>
          <w:color w:val="auto"/>
          <w:sz w:val="22"/>
          <w:szCs w:val="22"/>
          <w:highlight w:val="none"/>
          <w:lang w:val="en-US" w:eastAsia="zh-CN"/>
        </w:rPr>
        <w:t>且</w:t>
      </w:r>
      <w:r>
        <w:rPr>
          <w:rFonts w:hint="eastAsia" w:ascii="黑体" w:hAnsi="黑体" w:eastAsia="黑体" w:cs="黑体"/>
          <w:color w:val="auto"/>
          <w:sz w:val="22"/>
          <w:szCs w:val="22"/>
          <w:highlight w:val="none"/>
        </w:rPr>
        <w:t>均应配有《产品使用说明书》或《操作手册》（中文版）、《合格证》和装箱清单等基本资料</w:t>
      </w:r>
      <w:r>
        <w:rPr>
          <w:rFonts w:hint="eastAsia" w:ascii="黑体" w:hAnsi="黑体" w:eastAsia="黑体" w:cs="黑体"/>
          <w:color w:val="auto"/>
          <w:sz w:val="22"/>
          <w:szCs w:val="22"/>
          <w:highlight w:val="none"/>
          <w:lang w:eastAsia="zh-CN"/>
        </w:rPr>
        <w:t>。</w:t>
      </w:r>
    </w:p>
    <w:p w14:paraId="1CA5AF90">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2.提供的货物符合招标文件、响应文件承诺和本合同规定的技术要求。</w:t>
      </w:r>
    </w:p>
    <w:p w14:paraId="62DDC3D7">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lang w:val="en-US" w:eastAsia="zh-CN"/>
        </w:rPr>
        <w:t>3</w:t>
      </w:r>
      <w:r>
        <w:rPr>
          <w:rFonts w:hint="eastAsia" w:ascii="黑体" w:hAnsi="黑体" w:eastAsia="黑体" w:cs="黑体"/>
          <w:color w:val="auto"/>
          <w:sz w:val="22"/>
          <w:szCs w:val="22"/>
          <w:highlight w:val="none"/>
        </w:rPr>
        <w:t>.乙方提供所售</w:t>
      </w:r>
      <w:r>
        <w:rPr>
          <w:rFonts w:hint="eastAsia" w:ascii="黑体" w:hAnsi="黑体" w:eastAsia="黑体" w:cs="黑体"/>
          <w:color w:val="auto"/>
          <w:sz w:val="22"/>
          <w:szCs w:val="22"/>
          <w:highlight w:val="none"/>
          <w:lang w:val="en-US" w:eastAsia="zh-CN"/>
        </w:rPr>
        <w:t>货物</w:t>
      </w:r>
      <w:r>
        <w:rPr>
          <w:rFonts w:hint="eastAsia" w:ascii="黑体" w:hAnsi="黑体" w:eastAsia="黑体" w:cs="黑体"/>
          <w:color w:val="auto"/>
          <w:sz w:val="22"/>
          <w:szCs w:val="22"/>
          <w:highlight w:val="none"/>
        </w:rPr>
        <w:t>的厂家授权书、产品注册证、公司相关资质以及</w:t>
      </w:r>
      <w:r>
        <w:rPr>
          <w:rFonts w:hint="eastAsia" w:ascii="黑体" w:hAnsi="黑体" w:eastAsia="黑体" w:cs="黑体"/>
          <w:color w:val="auto"/>
          <w:sz w:val="22"/>
          <w:szCs w:val="22"/>
          <w:highlight w:val="none"/>
          <w:lang w:val="en-US" w:eastAsia="zh-CN"/>
        </w:rPr>
        <w:t>货物</w:t>
      </w:r>
      <w:r>
        <w:rPr>
          <w:rFonts w:hint="eastAsia" w:ascii="黑体" w:hAnsi="黑体" w:eastAsia="黑体" w:cs="黑体"/>
          <w:color w:val="auto"/>
          <w:sz w:val="22"/>
          <w:szCs w:val="22"/>
          <w:highlight w:val="none"/>
        </w:rPr>
        <w:t>的相关资质证明、供货出库三联单，并加盖单位红章，可接受相关管理部门审验。</w:t>
      </w:r>
    </w:p>
    <w:p w14:paraId="3FCDBAE4">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lang w:val="en-US" w:eastAsia="zh-CN"/>
        </w:rPr>
        <w:t>4</w:t>
      </w:r>
      <w:r>
        <w:rPr>
          <w:rFonts w:hint="eastAsia" w:ascii="黑体" w:hAnsi="黑体" w:eastAsia="黑体" w:cs="黑体"/>
          <w:color w:val="auto"/>
          <w:sz w:val="22"/>
          <w:szCs w:val="22"/>
          <w:highlight w:val="none"/>
        </w:rPr>
        <w:t>.保证甲方在合同</w:t>
      </w:r>
      <w:r>
        <w:rPr>
          <w:rFonts w:hint="eastAsia" w:ascii="黑体" w:hAnsi="黑体" w:eastAsia="黑体" w:cs="黑体"/>
          <w:color w:val="auto"/>
          <w:sz w:val="22"/>
          <w:szCs w:val="22"/>
          <w:highlight w:val="none"/>
          <w:lang w:val="en-US" w:eastAsia="zh-CN"/>
        </w:rPr>
        <w:t>货物</w:t>
      </w:r>
      <w:r>
        <w:rPr>
          <w:rFonts w:hint="eastAsia" w:ascii="黑体" w:hAnsi="黑体" w:eastAsia="黑体" w:cs="黑体"/>
          <w:color w:val="auto"/>
          <w:sz w:val="22"/>
          <w:szCs w:val="22"/>
          <w:highlight w:val="none"/>
        </w:rPr>
        <w:t>(有配套软件的还包括软件产品)使用期间，不受第三方提出侵犯其专利权、商标权等合法权利的主张，否则造成的损失全部由乙方负责。</w:t>
      </w:r>
    </w:p>
    <w:p w14:paraId="0E0B4FEC">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lang w:val="en-US" w:eastAsia="zh-CN"/>
        </w:rPr>
        <w:t>5</w:t>
      </w:r>
      <w:r>
        <w:rPr>
          <w:rFonts w:hint="eastAsia" w:ascii="黑体" w:hAnsi="黑体" w:eastAsia="黑体" w:cs="黑体"/>
          <w:color w:val="auto"/>
          <w:sz w:val="22"/>
          <w:szCs w:val="22"/>
          <w:highlight w:val="none"/>
        </w:rPr>
        <w:t>.乙方提供的</w:t>
      </w:r>
      <w:r>
        <w:rPr>
          <w:rFonts w:hint="eastAsia" w:ascii="黑体" w:hAnsi="黑体" w:eastAsia="黑体" w:cs="黑体"/>
          <w:color w:val="auto"/>
          <w:sz w:val="22"/>
          <w:szCs w:val="22"/>
          <w:highlight w:val="none"/>
          <w:lang w:val="en-US" w:eastAsia="zh-CN"/>
        </w:rPr>
        <w:t>货物</w:t>
      </w:r>
      <w:r>
        <w:rPr>
          <w:rFonts w:hint="eastAsia" w:ascii="黑体" w:hAnsi="黑体" w:eastAsia="黑体" w:cs="黑体"/>
          <w:color w:val="auto"/>
          <w:sz w:val="22"/>
          <w:szCs w:val="22"/>
          <w:highlight w:val="none"/>
        </w:rPr>
        <w:t>为距合同签订之日一年内的</w:t>
      </w:r>
      <w:r>
        <w:rPr>
          <w:rFonts w:hint="eastAsia" w:ascii="黑体" w:hAnsi="黑体" w:eastAsia="黑体" w:cs="黑体"/>
          <w:color w:val="auto"/>
          <w:sz w:val="22"/>
          <w:szCs w:val="22"/>
          <w:highlight w:val="none"/>
          <w:lang w:val="en-US" w:eastAsia="zh-CN"/>
        </w:rPr>
        <w:t>货物</w:t>
      </w:r>
      <w:r>
        <w:rPr>
          <w:rFonts w:hint="eastAsia" w:ascii="黑体" w:hAnsi="黑体" w:eastAsia="黑体" w:cs="黑体"/>
          <w:color w:val="auto"/>
          <w:sz w:val="22"/>
          <w:szCs w:val="22"/>
          <w:highlight w:val="none"/>
        </w:rPr>
        <w:t>；如为库存</w:t>
      </w:r>
      <w:r>
        <w:rPr>
          <w:rFonts w:hint="eastAsia" w:ascii="黑体" w:hAnsi="黑体" w:eastAsia="黑体" w:cs="黑体"/>
          <w:color w:val="auto"/>
          <w:sz w:val="22"/>
          <w:szCs w:val="22"/>
          <w:highlight w:val="none"/>
          <w:lang w:val="en-US" w:eastAsia="zh-CN"/>
        </w:rPr>
        <w:t>货物</w:t>
      </w:r>
      <w:r>
        <w:rPr>
          <w:rFonts w:hint="eastAsia" w:ascii="黑体" w:hAnsi="黑体" w:eastAsia="黑体" w:cs="黑体"/>
          <w:color w:val="auto"/>
          <w:sz w:val="22"/>
          <w:szCs w:val="22"/>
          <w:highlight w:val="none"/>
        </w:rPr>
        <w:t>，甲方有权拒绝签收。</w:t>
      </w:r>
    </w:p>
    <w:p w14:paraId="51D55130">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lang w:val="en-US" w:eastAsia="zh-CN"/>
        </w:rPr>
      </w:pPr>
      <w:r>
        <w:rPr>
          <w:rFonts w:hint="eastAsia" w:ascii="黑体" w:hAnsi="黑体" w:eastAsia="黑体" w:cs="黑体"/>
          <w:color w:val="auto"/>
          <w:sz w:val="22"/>
          <w:szCs w:val="22"/>
          <w:highlight w:val="none"/>
          <w:lang w:val="en-US" w:eastAsia="zh-CN"/>
        </w:rPr>
        <w:t>6.交货时要求乙方就所投产品提供产品说明书、配置等，同时甲方有权要求乙方对产品的合法供货渠道进行说明，经核实如乙方提供非法渠道的商品，视为欺诈，为维护甲方合法权益，乙方要承担商品价值双倍的赔偿；同时，依据现行的国家法律法规追究其他责任，并连带追究所投产品制造商的责任。</w:t>
      </w:r>
    </w:p>
    <w:p w14:paraId="35C4FB94">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lang w:val="en-US" w:eastAsia="zh-CN"/>
        </w:rPr>
        <w:t>7</w:t>
      </w:r>
      <w:r>
        <w:rPr>
          <w:rFonts w:hint="eastAsia" w:ascii="黑体" w:hAnsi="黑体" w:eastAsia="黑体" w:cs="黑体"/>
          <w:color w:val="auto"/>
          <w:sz w:val="22"/>
          <w:szCs w:val="22"/>
          <w:highlight w:val="none"/>
        </w:rPr>
        <w:t>.乙方应具备销售合同货物的相应资质。</w:t>
      </w:r>
    </w:p>
    <w:p w14:paraId="3110CA92">
      <w:pPr>
        <w:pStyle w:val="62"/>
        <w:keepNext w:val="0"/>
        <w:keepLines w:val="0"/>
        <w:pageBreakBefore w:val="0"/>
        <w:kinsoku/>
        <w:wordWrap/>
        <w:overflowPunct/>
        <w:topLinePunct w:val="0"/>
        <w:autoSpaceDE/>
        <w:autoSpaceDN/>
        <w:bidi w:val="0"/>
        <w:adjustRightInd/>
        <w:snapToGrid/>
        <w:spacing w:line="460" w:lineRule="exact"/>
        <w:ind w:firstLine="422"/>
        <w:jc w:val="both"/>
        <w:textAlignment w:val="auto"/>
        <w:rPr>
          <w:rFonts w:hint="eastAsia" w:ascii="黑体" w:hAnsi="黑体" w:eastAsia="黑体" w:cs="黑体"/>
          <w:color w:val="auto"/>
          <w:sz w:val="22"/>
          <w:szCs w:val="22"/>
          <w:highlight w:val="none"/>
        </w:rPr>
      </w:pPr>
      <w:r>
        <w:rPr>
          <w:rFonts w:hint="eastAsia" w:ascii="黑体" w:hAnsi="黑体" w:eastAsia="黑体" w:cs="黑体"/>
          <w:b/>
          <w:color w:val="auto"/>
          <w:sz w:val="22"/>
          <w:szCs w:val="22"/>
          <w:highlight w:val="none"/>
        </w:rPr>
        <w:t>四、交货期、交货方式及交货地点</w:t>
      </w:r>
    </w:p>
    <w:p w14:paraId="57B899A2">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lang w:eastAsia="zh-CN"/>
        </w:rPr>
      </w:pPr>
      <w:r>
        <w:rPr>
          <w:rFonts w:hint="eastAsia" w:ascii="黑体" w:hAnsi="黑体" w:eastAsia="黑体" w:cs="黑体"/>
          <w:color w:val="auto"/>
          <w:sz w:val="22"/>
          <w:szCs w:val="22"/>
          <w:highlight w:val="none"/>
        </w:rPr>
        <w:t>1.交货期</w:t>
      </w:r>
      <w:r>
        <w:rPr>
          <w:rFonts w:hint="eastAsia" w:ascii="黑体" w:hAnsi="黑体" w:eastAsia="黑体" w:cs="黑体"/>
          <w:color w:val="auto"/>
          <w:sz w:val="22"/>
          <w:szCs w:val="22"/>
          <w:highlight w:val="none"/>
          <w:lang w:eastAsia="zh-CN"/>
        </w:rPr>
        <w:t>：</w:t>
      </w:r>
      <w:r>
        <w:rPr>
          <w:rFonts w:hint="eastAsia" w:ascii="黑体" w:hAnsi="黑体" w:eastAsia="黑体" w:cs="黑体"/>
          <w:color w:val="auto"/>
          <w:sz w:val="22"/>
          <w:szCs w:val="22"/>
          <w:highlight w:val="none"/>
          <w:lang w:val="en-US" w:eastAsia="zh-CN"/>
        </w:rPr>
        <w:t>乙方</w:t>
      </w:r>
      <w:r>
        <w:rPr>
          <w:rFonts w:hint="eastAsia" w:ascii="黑体" w:hAnsi="黑体" w:eastAsia="黑体" w:cs="黑体"/>
          <w:color w:val="auto"/>
          <w:sz w:val="22"/>
          <w:szCs w:val="22"/>
          <w:highlight w:val="none"/>
        </w:rPr>
        <w:t>须在签订合同后</w:t>
      </w:r>
      <w:r>
        <w:rPr>
          <w:rFonts w:hint="eastAsia" w:ascii="黑体" w:hAnsi="黑体" w:eastAsia="黑体" w:cs="黑体"/>
          <w:color w:val="auto"/>
          <w:sz w:val="22"/>
          <w:szCs w:val="22"/>
          <w:highlight w:val="none"/>
          <w:u w:val="single"/>
          <w:lang w:val="en-US" w:eastAsia="zh-CN"/>
        </w:rPr>
        <w:t xml:space="preserve">   </w:t>
      </w:r>
      <w:r>
        <w:rPr>
          <w:rFonts w:hint="eastAsia" w:ascii="黑体" w:hAnsi="黑体" w:eastAsia="黑体" w:cs="黑体"/>
          <w:color w:val="auto"/>
          <w:sz w:val="22"/>
          <w:szCs w:val="22"/>
          <w:highlight w:val="none"/>
        </w:rPr>
        <w:t>个工作日内将所有材料安装到指定地点（东莞市中医院骨伤中心3F手术室无菌区）</w:t>
      </w:r>
      <w:r>
        <w:rPr>
          <w:rFonts w:hint="eastAsia" w:ascii="黑体" w:hAnsi="黑体" w:eastAsia="黑体" w:cs="黑体"/>
          <w:color w:val="auto"/>
          <w:sz w:val="22"/>
          <w:szCs w:val="22"/>
          <w:highlight w:val="none"/>
          <w:lang w:eastAsia="zh-CN"/>
        </w:rPr>
        <w:t>。</w:t>
      </w:r>
    </w:p>
    <w:p w14:paraId="7D538E47">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2.交货方式：免费送货上门并免费负责安装调试。</w:t>
      </w:r>
    </w:p>
    <w:p w14:paraId="0E5FC46B">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3.交货地点：甲方指定地点。</w:t>
      </w:r>
    </w:p>
    <w:p w14:paraId="1B4D2747">
      <w:pPr>
        <w:pStyle w:val="62"/>
        <w:keepNext w:val="0"/>
        <w:keepLines w:val="0"/>
        <w:pageBreakBefore w:val="0"/>
        <w:kinsoku/>
        <w:wordWrap/>
        <w:overflowPunct/>
        <w:topLinePunct w:val="0"/>
        <w:autoSpaceDE/>
        <w:autoSpaceDN/>
        <w:bidi w:val="0"/>
        <w:adjustRightInd/>
        <w:snapToGrid/>
        <w:spacing w:line="460" w:lineRule="exact"/>
        <w:ind w:firstLine="422"/>
        <w:jc w:val="both"/>
        <w:textAlignment w:val="auto"/>
        <w:rPr>
          <w:rFonts w:hint="eastAsia" w:ascii="黑体" w:hAnsi="黑体" w:eastAsia="黑体" w:cs="黑体"/>
          <w:color w:val="auto"/>
          <w:sz w:val="22"/>
          <w:szCs w:val="22"/>
          <w:highlight w:val="none"/>
        </w:rPr>
      </w:pPr>
      <w:r>
        <w:rPr>
          <w:rFonts w:hint="eastAsia" w:ascii="黑体" w:hAnsi="黑体" w:eastAsia="黑体" w:cs="黑体"/>
          <w:b/>
          <w:color w:val="auto"/>
          <w:sz w:val="22"/>
          <w:szCs w:val="22"/>
          <w:highlight w:val="none"/>
        </w:rPr>
        <w:t>五、付款方式</w:t>
      </w:r>
    </w:p>
    <w:p w14:paraId="7D279C82">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lang w:val="en-US" w:eastAsia="zh-CN"/>
        </w:rPr>
        <w:t>1.全额支付：材料全部送达指定地点并完成安装调试，经最终验收合格后，采购人在30个工作日内向中标人支付合同总金额的100%。</w:t>
      </w:r>
    </w:p>
    <w:p w14:paraId="0FA345B5">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b/>
          <w:color w:val="auto"/>
          <w:sz w:val="22"/>
          <w:szCs w:val="22"/>
          <w:highlight w:val="none"/>
        </w:rPr>
      </w:pPr>
      <w:r>
        <w:rPr>
          <w:rFonts w:hint="eastAsia" w:ascii="黑体" w:hAnsi="黑体" w:eastAsia="黑体" w:cs="黑体"/>
          <w:color w:val="auto"/>
          <w:sz w:val="22"/>
          <w:szCs w:val="22"/>
          <w:highlight w:val="none"/>
          <w:lang w:val="en-US" w:eastAsia="zh-CN"/>
        </w:rPr>
        <w:t>2.</w:t>
      </w:r>
      <w:r>
        <w:rPr>
          <w:rFonts w:hint="eastAsia" w:ascii="黑体" w:hAnsi="黑体" w:eastAsia="黑体" w:cs="黑体"/>
          <w:color w:val="auto"/>
          <w:sz w:val="22"/>
          <w:szCs w:val="22"/>
          <w:highlight w:val="none"/>
        </w:rPr>
        <w:t>支付方式：通过银行转账方式支付，中标人须向采购</w:t>
      </w:r>
      <w:r>
        <w:rPr>
          <w:rFonts w:hint="eastAsia" w:ascii="黑体" w:hAnsi="黑体" w:eastAsia="黑体" w:cs="黑体"/>
          <w:color w:val="auto"/>
          <w:sz w:val="22"/>
          <w:szCs w:val="22"/>
          <w:highlight w:val="none"/>
          <w:lang w:val="en-US" w:eastAsia="zh-CN"/>
        </w:rPr>
        <w:t>人</w:t>
      </w:r>
      <w:r>
        <w:rPr>
          <w:rFonts w:hint="eastAsia" w:ascii="黑体" w:hAnsi="黑体" w:eastAsia="黑体" w:cs="黑体"/>
          <w:color w:val="auto"/>
          <w:sz w:val="22"/>
          <w:szCs w:val="22"/>
          <w:highlight w:val="none"/>
        </w:rPr>
        <w:t>提供合法有效的</w:t>
      </w:r>
      <w:r>
        <w:rPr>
          <w:rFonts w:hint="eastAsia" w:ascii="黑体" w:hAnsi="黑体" w:eastAsia="黑体" w:cs="黑体"/>
          <w:color w:val="auto"/>
          <w:sz w:val="22"/>
          <w:szCs w:val="22"/>
          <w:highlight w:val="none"/>
          <w:lang w:val="en-US" w:eastAsia="zh-CN"/>
        </w:rPr>
        <w:t>普通增值税</w:t>
      </w:r>
      <w:r>
        <w:rPr>
          <w:rFonts w:hint="eastAsia" w:ascii="黑体" w:hAnsi="黑体" w:eastAsia="黑体" w:cs="黑体"/>
          <w:color w:val="auto"/>
          <w:sz w:val="22"/>
          <w:szCs w:val="22"/>
          <w:highlight w:val="none"/>
        </w:rPr>
        <w:t>发票</w:t>
      </w:r>
      <w:r>
        <w:rPr>
          <w:rFonts w:hint="eastAsia" w:ascii="黑体" w:hAnsi="黑体" w:eastAsia="黑体" w:cs="黑体"/>
          <w:color w:val="auto"/>
          <w:sz w:val="22"/>
          <w:szCs w:val="22"/>
          <w:highlight w:val="none"/>
          <w:lang w:eastAsia="zh-CN"/>
        </w:rPr>
        <w:t>，</w:t>
      </w:r>
      <w:r>
        <w:rPr>
          <w:rFonts w:hint="eastAsia" w:ascii="黑体" w:hAnsi="黑体" w:eastAsia="黑体" w:cs="黑体"/>
          <w:color w:val="auto"/>
          <w:sz w:val="22"/>
          <w:szCs w:val="22"/>
          <w:highlight w:val="none"/>
          <w:lang w:val="en-US" w:eastAsia="zh-CN"/>
        </w:rPr>
        <w:t>若中标人延迟提交请款材料，采购人有权顺延付款时间，且不承担所造成的损失。</w:t>
      </w:r>
    </w:p>
    <w:p w14:paraId="5F38AC74">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lang w:eastAsia="zh-CN"/>
        </w:rPr>
      </w:pPr>
      <w:r>
        <w:rPr>
          <w:rFonts w:hint="eastAsia" w:ascii="黑体" w:hAnsi="黑体" w:eastAsia="黑体" w:cs="黑体"/>
          <w:color w:val="auto"/>
          <w:sz w:val="22"/>
          <w:szCs w:val="22"/>
          <w:highlight w:val="none"/>
          <w:lang w:val="en-US" w:eastAsia="zh-CN"/>
        </w:rPr>
        <w:t>3</w:t>
      </w:r>
      <w:r>
        <w:rPr>
          <w:rFonts w:hint="eastAsia" w:ascii="黑体" w:hAnsi="黑体" w:eastAsia="黑体" w:cs="黑体"/>
          <w:color w:val="auto"/>
          <w:sz w:val="22"/>
          <w:szCs w:val="22"/>
          <w:highlight w:val="none"/>
        </w:rPr>
        <w:t>.支付方式：通过银行转账方式支付</w:t>
      </w:r>
      <w:r>
        <w:rPr>
          <w:rFonts w:hint="eastAsia" w:ascii="黑体" w:hAnsi="黑体" w:eastAsia="黑体" w:cs="黑体"/>
          <w:color w:val="auto"/>
          <w:sz w:val="22"/>
          <w:szCs w:val="22"/>
          <w:highlight w:val="none"/>
          <w:lang w:eastAsia="zh-CN"/>
        </w:rPr>
        <w:t>。</w:t>
      </w:r>
    </w:p>
    <w:p w14:paraId="0AF85F12">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lang w:val="en-US" w:eastAsia="zh-CN"/>
        </w:rPr>
        <w:t>4.</w:t>
      </w:r>
      <w:r>
        <w:rPr>
          <w:rFonts w:hint="eastAsia" w:ascii="黑体" w:hAnsi="黑体" w:eastAsia="黑体" w:cs="黑体"/>
          <w:color w:val="auto"/>
          <w:sz w:val="22"/>
          <w:szCs w:val="22"/>
          <w:highlight w:val="none"/>
        </w:rPr>
        <w:t>乙方在保修期内如有违约行为的，经双方协商进行赔偿。双方协商未成，乙方须根据第三方评估的损失结果，向甲方进行赔偿。</w:t>
      </w:r>
    </w:p>
    <w:p w14:paraId="2FBD580C">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lang w:val="en-US" w:eastAsia="zh-CN"/>
        </w:rPr>
        <w:t>5</w:t>
      </w:r>
      <w:r>
        <w:rPr>
          <w:rFonts w:hint="eastAsia" w:ascii="黑体" w:hAnsi="黑体" w:eastAsia="黑体" w:cs="黑体"/>
          <w:color w:val="auto"/>
          <w:sz w:val="22"/>
          <w:szCs w:val="22"/>
          <w:highlight w:val="none"/>
        </w:rPr>
        <w:t>.甲方的付款能力与时间决定于政府财政，如因财政原因未能履行付款义务，乙方同意甲方付款义务自条件具备时履行，甲方不负违约责任。</w:t>
      </w:r>
    </w:p>
    <w:p w14:paraId="4A848BD3">
      <w:pPr>
        <w:pStyle w:val="62"/>
        <w:keepNext w:val="0"/>
        <w:keepLines w:val="0"/>
        <w:pageBreakBefore w:val="0"/>
        <w:kinsoku/>
        <w:wordWrap/>
        <w:overflowPunct/>
        <w:topLinePunct w:val="0"/>
        <w:autoSpaceDE/>
        <w:autoSpaceDN/>
        <w:bidi w:val="0"/>
        <w:adjustRightInd/>
        <w:snapToGrid/>
        <w:spacing w:line="460" w:lineRule="exact"/>
        <w:ind w:firstLine="422"/>
        <w:jc w:val="both"/>
        <w:textAlignment w:val="auto"/>
        <w:rPr>
          <w:rFonts w:hint="eastAsia" w:ascii="黑体" w:hAnsi="黑体" w:eastAsia="黑体" w:cs="黑体"/>
          <w:color w:val="auto"/>
          <w:sz w:val="22"/>
          <w:szCs w:val="22"/>
          <w:highlight w:val="none"/>
        </w:rPr>
      </w:pPr>
      <w:r>
        <w:rPr>
          <w:rFonts w:hint="eastAsia" w:ascii="黑体" w:hAnsi="黑体" w:eastAsia="黑体" w:cs="黑体"/>
          <w:b/>
          <w:color w:val="auto"/>
          <w:sz w:val="22"/>
          <w:szCs w:val="22"/>
          <w:highlight w:val="none"/>
          <w:lang w:val="en-US" w:eastAsia="zh-CN"/>
        </w:rPr>
        <w:t>六</w:t>
      </w:r>
      <w:r>
        <w:rPr>
          <w:rFonts w:hint="eastAsia" w:ascii="黑体" w:hAnsi="黑体" w:eastAsia="黑体" w:cs="黑体"/>
          <w:b/>
          <w:color w:val="auto"/>
          <w:sz w:val="22"/>
          <w:szCs w:val="22"/>
          <w:highlight w:val="none"/>
        </w:rPr>
        <w:t>、包装、运输、保险</w:t>
      </w:r>
    </w:p>
    <w:p w14:paraId="0CB6BD64">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1.包装必须与运输方式相适应，包装方式的确定及包装费用均由乙方负责，由于不适当的包装而造成货物在运输过程中有任何损坏、丢失由乙方负责。</w:t>
      </w:r>
    </w:p>
    <w:p w14:paraId="0104941D">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2.每一包装箱两个侧面用不褪色的容易识别的中文字样标记：箱号、装运标志、毛重、净重、到货地址、收货人名称、货物名称等。</w:t>
      </w:r>
    </w:p>
    <w:p w14:paraId="1322B34E">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3.货物为原厂商未启封全新包装，具出厂合格证，序列号、包装箱号与出厂批号一致，并可追索查阅，所有随</w:t>
      </w:r>
      <w:r>
        <w:rPr>
          <w:rFonts w:hint="eastAsia" w:ascii="黑体" w:hAnsi="黑体" w:eastAsia="黑体" w:cs="黑体"/>
          <w:color w:val="auto"/>
          <w:sz w:val="22"/>
          <w:szCs w:val="22"/>
          <w:highlight w:val="none"/>
          <w:lang w:val="en-US" w:eastAsia="zh-CN"/>
        </w:rPr>
        <w:t>货物</w:t>
      </w:r>
      <w:r>
        <w:rPr>
          <w:rFonts w:hint="eastAsia" w:ascii="黑体" w:hAnsi="黑体" w:eastAsia="黑体" w:cs="黑体"/>
          <w:color w:val="auto"/>
          <w:sz w:val="22"/>
          <w:szCs w:val="22"/>
          <w:highlight w:val="none"/>
        </w:rPr>
        <w:t>的附件必须齐全。</w:t>
      </w:r>
    </w:p>
    <w:p w14:paraId="16C41D15">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4.包装应足以承受整个过程中的运输、转运、贮存等，并考虑交货地区的气候特点。</w:t>
      </w:r>
    </w:p>
    <w:p w14:paraId="3BE241AE">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5.验收合格前货物损毁灭失风险及一切费用由乙方负责，并负责其派出的现场服务人员人身意外保险。</w:t>
      </w:r>
    </w:p>
    <w:p w14:paraId="68576E3A">
      <w:pPr>
        <w:pStyle w:val="62"/>
        <w:keepNext w:val="0"/>
        <w:keepLines w:val="0"/>
        <w:pageBreakBefore w:val="0"/>
        <w:kinsoku/>
        <w:wordWrap/>
        <w:overflowPunct/>
        <w:topLinePunct w:val="0"/>
        <w:autoSpaceDE/>
        <w:autoSpaceDN/>
        <w:bidi w:val="0"/>
        <w:adjustRightInd/>
        <w:snapToGrid/>
        <w:spacing w:line="460" w:lineRule="exact"/>
        <w:ind w:firstLine="422"/>
        <w:jc w:val="both"/>
        <w:textAlignment w:val="auto"/>
        <w:rPr>
          <w:rFonts w:hint="eastAsia" w:ascii="黑体" w:hAnsi="黑体" w:eastAsia="黑体" w:cs="黑体"/>
          <w:color w:val="auto"/>
          <w:sz w:val="22"/>
          <w:szCs w:val="22"/>
          <w:highlight w:val="none"/>
        </w:rPr>
      </w:pPr>
      <w:r>
        <w:rPr>
          <w:rFonts w:hint="eastAsia" w:ascii="黑体" w:hAnsi="黑体" w:eastAsia="黑体" w:cs="黑体"/>
          <w:b/>
          <w:color w:val="auto"/>
          <w:sz w:val="22"/>
          <w:szCs w:val="22"/>
          <w:highlight w:val="none"/>
          <w:lang w:val="en-US" w:eastAsia="zh-CN"/>
        </w:rPr>
        <w:t>七</w:t>
      </w:r>
      <w:r>
        <w:rPr>
          <w:rFonts w:hint="eastAsia" w:ascii="黑体" w:hAnsi="黑体" w:eastAsia="黑体" w:cs="黑体"/>
          <w:b/>
          <w:color w:val="auto"/>
          <w:sz w:val="22"/>
          <w:szCs w:val="22"/>
          <w:highlight w:val="none"/>
        </w:rPr>
        <w:t>、质保期及售后服务要求</w:t>
      </w:r>
    </w:p>
    <w:p w14:paraId="66641997">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1.质保期：</w:t>
      </w:r>
      <w:r>
        <w:rPr>
          <w:rFonts w:hint="eastAsia" w:ascii="黑体" w:hAnsi="黑体" w:eastAsia="黑体" w:cs="黑体"/>
          <w:color w:val="auto"/>
          <w:sz w:val="22"/>
          <w:szCs w:val="22"/>
          <w:highlight w:val="none"/>
          <w:u w:val="single"/>
          <w:lang w:val="en-US" w:eastAsia="zh-CN"/>
        </w:rPr>
        <w:t xml:space="preserve">      </w:t>
      </w:r>
      <w:r>
        <w:rPr>
          <w:rFonts w:hint="eastAsia" w:ascii="黑体" w:hAnsi="黑体" w:eastAsia="黑体" w:cs="黑体"/>
          <w:color w:val="auto"/>
          <w:sz w:val="22"/>
          <w:szCs w:val="22"/>
          <w:highlight w:val="none"/>
        </w:rPr>
        <w:t>年，验收合格之日起开始计算。质保过程中出现质量问题导致脱落、变形、损坏，均由</w:t>
      </w:r>
      <w:r>
        <w:rPr>
          <w:rFonts w:hint="eastAsia" w:ascii="黑体" w:hAnsi="黑体" w:eastAsia="黑体" w:cs="黑体"/>
          <w:color w:val="auto"/>
          <w:sz w:val="22"/>
          <w:szCs w:val="22"/>
          <w:highlight w:val="none"/>
          <w:lang w:val="en-US" w:eastAsia="zh-CN"/>
        </w:rPr>
        <w:t>乙方</w:t>
      </w:r>
      <w:r>
        <w:rPr>
          <w:rFonts w:hint="eastAsia" w:ascii="黑体" w:hAnsi="黑体" w:eastAsia="黑体" w:cs="黑体"/>
          <w:color w:val="auto"/>
          <w:sz w:val="22"/>
          <w:szCs w:val="22"/>
          <w:highlight w:val="none"/>
        </w:rPr>
        <w:t>负责进行修复。</w:t>
      </w:r>
    </w:p>
    <w:p w14:paraId="62472FB4">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2.售后服务：</w:t>
      </w:r>
    </w:p>
    <w:p w14:paraId="08864D5F">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（1）</w:t>
      </w:r>
      <w:r>
        <w:rPr>
          <w:rFonts w:hint="eastAsia" w:ascii="黑体" w:hAnsi="黑体" w:eastAsia="黑体" w:cs="黑体"/>
          <w:color w:val="auto"/>
          <w:sz w:val="22"/>
          <w:szCs w:val="22"/>
          <w:highlight w:val="none"/>
          <w:lang w:val="en-US" w:eastAsia="zh-CN"/>
        </w:rPr>
        <w:t>负责</w:t>
      </w:r>
      <w:r>
        <w:rPr>
          <w:rFonts w:hint="eastAsia" w:ascii="黑体" w:hAnsi="黑体" w:eastAsia="黑体" w:cs="黑体"/>
          <w:color w:val="auto"/>
          <w:sz w:val="22"/>
          <w:szCs w:val="22"/>
          <w:highlight w:val="none"/>
        </w:rPr>
        <w:t>送货及安装调试，免费提供培训。乙方提供有偿终身维护。</w:t>
      </w:r>
      <w:r>
        <w:rPr>
          <w:rFonts w:hint="eastAsia" w:ascii="黑体" w:hAnsi="黑体" w:eastAsia="黑体" w:cs="黑体"/>
          <w:color w:val="auto"/>
          <w:sz w:val="22"/>
          <w:szCs w:val="22"/>
          <w:highlight w:val="none"/>
          <w:lang w:val="en-US" w:eastAsia="zh-CN"/>
        </w:rPr>
        <w:t>货物到货后，厂家专业维修工程师免费在最终用户所在地对货物进行安装、调试、培训、技术协助等服务，并对维修工程师进行维护、维修培训，并承担所需相应费用。</w:t>
      </w:r>
    </w:p>
    <w:p w14:paraId="449E3DA4">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w:t>
      </w:r>
      <w:r>
        <w:rPr>
          <w:rFonts w:hint="eastAsia" w:ascii="黑体" w:hAnsi="黑体" w:eastAsia="黑体" w:cs="黑体"/>
          <w:color w:val="auto"/>
          <w:sz w:val="22"/>
          <w:szCs w:val="22"/>
          <w:highlight w:val="none"/>
          <w:lang w:val="en-US" w:eastAsia="zh-CN"/>
        </w:rPr>
        <w:t>2</w:t>
      </w:r>
      <w:r>
        <w:rPr>
          <w:rFonts w:hint="eastAsia" w:ascii="黑体" w:hAnsi="黑体" w:eastAsia="黑体" w:cs="黑体"/>
          <w:color w:val="auto"/>
          <w:sz w:val="22"/>
          <w:szCs w:val="22"/>
          <w:highlight w:val="none"/>
        </w:rPr>
        <w:t>）售后服务（维保）期内，不限零配件更换次数、不限维修次数，按产品生产标准进行定期维护保养。</w:t>
      </w:r>
    </w:p>
    <w:p w14:paraId="2B38C1E2">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w:t>
      </w:r>
      <w:r>
        <w:rPr>
          <w:rFonts w:hint="eastAsia" w:ascii="黑体" w:hAnsi="黑体" w:eastAsia="黑体" w:cs="黑体"/>
          <w:color w:val="auto"/>
          <w:sz w:val="22"/>
          <w:szCs w:val="22"/>
          <w:highlight w:val="none"/>
          <w:lang w:val="en-US" w:eastAsia="zh-CN"/>
        </w:rPr>
        <w:t>3</w:t>
      </w:r>
      <w:r>
        <w:rPr>
          <w:rFonts w:hint="eastAsia" w:ascii="黑体" w:hAnsi="黑体" w:eastAsia="黑体" w:cs="黑体"/>
          <w:color w:val="auto"/>
          <w:sz w:val="22"/>
          <w:szCs w:val="22"/>
          <w:highlight w:val="none"/>
        </w:rPr>
        <w:t>）售后服务（维保）期内出现产品质量或安装问题，由</w:t>
      </w:r>
      <w:r>
        <w:rPr>
          <w:rFonts w:hint="eastAsia" w:ascii="黑体" w:hAnsi="黑体" w:eastAsia="黑体" w:cs="黑体"/>
          <w:color w:val="auto"/>
          <w:sz w:val="22"/>
          <w:szCs w:val="22"/>
          <w:highlight w:val="none"/>
          <w:lang w:eastAsia="zh-CN"/>
        </w:rPr>
        <w:t>乙方</w:t>
      </w:r>
      <w:r>
        <w:rPr>
          <w:rFonts w:hint="eastAsia" w:ascii="黑体" w:hAnsi="黑体" w:eastAsia="黑体" w:cs="黑体"/>
          <w:color w:val="auto"/>
          <w:sz w:val="22"/>
          <w:szCs w:val="22"/>
          <w:highlight w:val="none"/>
        </w:rPr>
        <w:t>负责包修、包换或包退，并承担因此而产生的一切修理、调换或退货的实际费用。</w:t>
      </w:r>
    </w:p>
    <w:p w14:paraId="60329494">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w:t>
      </w:r>
      <w:r>
        <w:rPr>
          <w:rFonts w:hint="eastAsia" w:ascii="黑体" w:hAnsi="黑体" w:eastAsia="黑体" w:cs="黑体"/>
          <w:color w:val="auto"/>
          <w:sz w:val="22"/>
          <w:szCs w:val="22"/>
          <w:highlight w:val="none"/>
          <w:lang w:val="en-US" w:eastAsia="zh-CN"/>
        </w:rPr>
        <w:t>4</w:t>
      </w:r>
      <w:r>
        <w:rPr>
          <w:rFonts w:hint="eastAsia" w:ascii="黑体" w:hAnsi="黑体" w:eastAsia="黑体" w:cs="黑体"/>
          <w:color w:val="auto"/>
          <w:sz w:val="22"/>
          <w:szCs w:val="22"/>
          <w:highlight w:val="none"/>
        </w:rPr>
        <w:t>）</w:t>
      </w:r>
      <w:r>
        <w:rPr>
          <w:rFonts w:hint="eastAsia" w:ascii="黑体" w:hAnsi="黑体" w:eastAsia="黑体" w:cs="黑体"/>
          <w:color w:val="auto"/>
          <w:sz w:val="22"/>
          <w:szCs w:val="22"/>
          <w:highlight w:val="none"/>
          <w:lang w:val="en-US" w:eastAsia="zh-CN"/>
        </w:rPr>
        <w:t>有专门的售后服务人员，产品出现故障时2小时内响应，</w:t>
      </w:r>
      <w:r>
        <w:rPr>
          <w:rFonts w:hint="eastAsia" w:ascii="黑体" w:hAnsi="黑体" w:eastAsia="黑体" w:cs="黑体"/>
          <w:color w:val="auto"/>
          <w:sz w:val="22"/>
          <w:szCs w:val="22"/>
          <w:highlight w:val="none"/>
          <w:u w:val="single"/>
          <w:lang w:val="en-US" w:eastAsia="zh-CN"/>
        </w:rPr>
        <w:t xml:space="preserve">   </w:t>
      </w:r>
      <w:r>
        <w:rPr>
          <w:rFonts w:hint="eastAsia" w:ascii="黑体" w:hAnsi="黑体" w:eastAsia="黑体" w:cs="黑体"/>
          <w:color w:val="auto"/>
          <w:sz w:val="22"/>
          <w:szCs w:val="22"/>
          <w:highlight w:val="none"/>
          <w:u w:val="none"/>
          <w:lang w:val="en-US" w:eastAsia="zh-CN"/>
        </w:rPr>
        <w:t>小时内到达现场，</w:t>
      </w:r>
      <w:r>
        <w:rPr>
          <w:rFonts w:hint="eastAsia" w:ascii="黑体" w:hAnsi="黑体" w:eastAsia="黑体" w:cs="黑体"/>
          <w:color w:val="auto"/>
          <w:sz w:val="22"/>
          <w:szCs w:val="22"/>
          <w:highlight w:val="none"/>
          <w:lang w:val="en-US" w:eastAsia="zh-CN"/>
        </w:rPr>
        <w:t>并在使用科室确认派工后保证24小时内由专业人员开始实施货物维修。“假日无休”，保证所有服务的及时处理。</w:t>
      </w:r>
      <w:r>
        <w:rPr>
          <w:rFonts w:hint="eastAsia" w:ascii="黑体" w:hAnsi="黑体" w:eastAsia="黑体" w:cs="黑体"/>
          <w:color w:val="auto"/>
          <w:sz w:val="22"/>
          <w:szCs w:val="22"/>
          <w:highlight w:val="none"/>
        </w:rPr>
        <w:t>服务方式均为乙方上门服务。非甲方的人为原因而出现产品质量及安装问题，由乙方负责包修、包换或包退，并承担上述情况产生的一切费用。</w:t>
      </w:r>
    </w:p>
    <w:p w14:paraId="4BCDAB99">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lang w:val="en-US" w:eastAsia="zh-CN"/>
        </w:rPr>
      </w:pPr>
      <w:r>
        <w:rPr>
          <w:rFonts w:hint="eastAsia" w:ascii="黑体" w:hAnsi="黑体" w:eastAsia="黑体" w:cs="黑体"/>
          <w:color w:val="auto"/>
          <w:sz w:val="22"/>
          <w:szCs w:val="22"/>
          <w:highlight w:val="none"/>
          <w:lang w:eastAsia="zh-CN"/>
        </w:rPr>
        <w:t>（</w:t>
      </w:r>
      <w:r>
        <w:rPr>
          <w:rFonts w:hint="eastAsia" w:ascii="黑体" w:hAnsi="黑体" w:eastAsia="黑体" w:cs="黑体"/>
          <w:color w:val="auto"/>
          <w:sz w:val="22"/>
          <w:szCs w:val="22"/>
          <w:highlight w:val="none"/>
          <w:lang w:val="en-US" w:eastAsia="zh-CN"/>
        </w:rPr>
        <w:t>5</w:t>
      </w:r>
      <w:r>
        <w:rPr>
          <w:rFonts w:hint="eastAsia" w:ascii="黑体" w:hAnsi="黑体" w:eastAsia="黑体" w:cs="黑体"/>
          <w:color w:val="auto"/>
          <w:sz w:val="22"/>
          <w:szCs w:val="22"/>
          <w:highlight w:val="none"/>
          <w:lang w:eastAsia="zh-CN"/>
        </w:rPr>
        <w:t>）</w:t>
      </w:r>
      <w:r>
        <w:rPr>
          <w:rFonts w:hint="eastAsia" w:ascii="黑体" w:hAnsi="黑体" w:eastAsia="黑体" w:cs="黑体"/>
          <w:color w:val="auto"/>
          <w:sz w:val="22"/>
          <w:szCs w:val="22"/>
          <w:highlight w:val="none"/>
          <w:lang w:val="en-US" w:eastAsia="zh-CN"/>
        </w:rPr>
        <w:t>保修期内服务：每季度定期组织服务工程师对用户进行多种形式的访问活动（包括电话和实地回访）。内容包括货物维护，指导货物的使用和保养、操作使用，解决货物出现的简单故障。</w:t>
      </w:r>
    </w:p>
    <w:p w14:paraId="443E08FB">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w:t>
      </w:r>
      <w:r>
        <w:rPr>
          <w:rFonts w:hint="eastAsia" w:ascii="黑体" w:hAnsi="黑体" w:eastAsia="黑体" w:cs="黑体"/>
          <w:color w:val="auto"/>
          <w:sz w:val="22"/>
          <w:szCs w:val="22"/>
          <w:highlight w:val="none"/>
          <w:lang w:val="en-US" w:eastAsia="zh-CN"/>
        </w:rPr>
        <w:t>6</w:t>
      </w:r>
      <w:r>
        <w:rPr>
          <w:rFonts w:hint="eastAsia" w:ascii="黑体" w:hAnsi="黑体" w:eastAsia="黑体" w:cs="黑体"/>
          <w:color w:val="auto"/>
          <w:sz w:val="22"/>
          <w:szCs w:val="22"/>
          <w:highlight w:val="none"/>
        </w:rPr>
        <w:t>）在</w:t>
      </w:r>
      <w:r>
        <w:rPr>
          <w:rFonts w:hint="eastAsia" w:ascii="黑体" w:hAnsi="黑体" w:eastAsia="黑体" w:cs="黑体"/>
          <w:color w:val="auto"/>
          <w:sz w:val="22"/>
          <w:szCs w:val="22"/>
          <w:highlight w:val="none"/>
          <w:lang w:eastAsia="zh-CN"/>
        </w:rPr>
        <w:t>乙方</w:t>
      </w:r>
      <w:r>
        <w:rPr>
          <w:rFonts w:hint="eastAsia" w:ascii="黑体" w:hAnsi="黑体" w:eastAsia="黑体" w:cs="黑体"/>
          <w:color w:val="auto"/>
          <w:sz w:val="22"/>
          <w:szCs w:val="22"/>
          <w:highlight w:val="none"/>
        </w:rPr>
        <w:t>未按要求响应，</w:t>
      </w:r>
      <w:r>
        <w:rPr>
          <w:rFonts w:hint="eastAsia" w:ascii="黑体" w:hAnsi="黑体" w:eastAsia="黑体" w:cs="黑体"/>
          <w:color w:val="auto"/>
          <w:sz w:val="22"/>
          <w:szCs w:val="22"/>
          <w:highlight w:val="none"/>
          <w:lang w:eastAsia="zh-CN"/>
        </w:rPr>
        <w:t>甲方</w:t>
      </w:r>
      <w:r>
        <w:rPr>
          <w:rFonts w:hint="eastAsia" w:ascii="黑体" w:hAnsi="黑体" w:eastAsia="黑体" w:cs="黑体"/>
          <w:color w:val="auto"/>
          <w:sz w:val="22"/>
          <w:szCs w:val="22"/>
          <w:highlight w:val="none"/>
        </w:rPr>
        <w:t>有权找第三方进行维保服务，相关费用由</w:t>
      </w:r>
      <w:r>
        <w:rPr>
          <w:rFonts w:hint="eastAsia" w:ascii="黑体" w:hAnsi="黑体" w:eastAsia="黑体" w:cs="黑体"/>
          <w:color w:val="auto"/>
          <w:sz w:val="22"/>
          <w:szCs w:val="22"/>
          <w:highlight w:val="none"/>
          <w:lang w:eastAsia="zh-CN"/>
        </w:rPr>
        <w:t>乙方</w:t>
      </w:r>
      <w:r>
        <w:rPr>
          <w:rFonts w:hint="eastAsia" w:ascii="黑体" w:hAnsi="黑体" w:eastAsia="黑体" w:cs="黑体"/>
          <w:color w:val="auto"/>
          <w:sz w:val="22"/>
          <w:szCs w:val="22"/>
          <w:highlight w:val="none"/>
        </w:rPr>
        <w:t>承担在收到发票后10个工作日内支付给第三方。</w:t>
      </w:r>
    </w:p>
    <w:p w14:paraId="5AD9C33E">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lang w:eastAsia="zh-CN"/>
        </w:rPr>
      </w:pPr>
      <w:r>
        <w:rPr>
          <w:rFonts w:hint="eastAsia" w:ascii="黑体" w:hAnsi="黑体" w:eastAsia="黑体" w:cs="黑体"/>
          <w:color w:val="auto"/>
          <w:sz w:val="22"/>
          <w:szCs w:val="22"/>
          <w:highlight w:val="none"/>
          <w:lang w:eastAsia="zh-CN"/>
        </w:rPr>
        <w:t>（</w:t>
      </w:r>
      <w:r>
        <w:rPr>
          <w:rFonts w:hint="eastAsia" w:ascii="黑体" w:hAnsi="黑体" w:eastAsia="黑体" w:cs="黑体"/>
          <w:color w:val="auto"/>
          <w:sz w:val="22"/>
          <w:szCs w:val="22"/>
          <w:highlight w:val="none"/>
          <w:lang w:val="en-US" w:eastAsia="zh-CN"/>
        </w:rPr>
        <w:t>7</w:t>
      </w:r>
      <w:r>
        <w:rPr>
          <w:rFonts w:hint="eastAsia" w:ascii="黑体" w:hAnsi="黑体" w:eastAsia="黑体" w:cs="黑体"/>
          <w:color w:val="auto"/>
          <w:sz w:val="22"/>
          <w:szCs w:val="22"/>
          <w:highlight w:val="none"/>
          <w:lang w:eastAsia="zh-CN"/>
        </w:rPr>
        <w:t>）售后服务（维保）由原厂提供，售后服务（维保）期间保证</w:t>
      </w:r>
      <w:r>
        <w:rPr>
          <w:rFonts w:hint="eastAsia" w:ascii="黑体" w:hAnsi="黑体" w:eastAsia="黑体" w:cs="黑体"/>
          <w:color w:val="auto"/>
          <w:sz w:val="22"/>
          <w:szCs w:val="22"/>
          <w:highlight w:val="none"/>
          <w:lang w:val="en-US" w:eastAsia="zh-CN"/>
        </w:rPr>
        <w:t>货物</w:t>
      </w:r>
      <w:r>
        <w:rPr>
          <w:rFonts w:hint="eastAsia" w:ascii="黑体" w:hAnsi="黑体" w:eastAsia="黑体" w:cs="黑体"/>
          <w:color w:val="auto"/>
          <w:sz w:val="22"/>
          <w:szCs w:val="22"/>
          <w:highlight w:val="none"/>
          <w:lang w:eastAsia="zh-CN"/>
        </w:rPr>
        <w:t>的可使用率不低于95%（以一年365天计算，即一年故障停止使用天数不超过18天），每超出1天，售后服务（维保）期顺延2天。售后服务（维保）期内，不限零配件更换次数、不限维修次数，按产品生产标准进行定期维护保养，软件免费升级。售后服务（维保）期内出现产品质量或安装问题，由乙方负责包修、包换或包退，并承担因此而产生的一切修理、调换或退货的实际费用。</w:t>
      </w:r>
    </w:p>
    <w:p w14:paraId="4A89AEA6">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lang w:eastAsia="zh-CN"/>
        </w:rPr>
        <w:t>（</w:t>
      </w:r>
      <w:r>
        <w:rPr>
          <w:rFonts w:hint="eastAsia" w:ascii="黑体" w:hAnsi="黑体" w:eastAsia="黑体" w:cs="黑体"/>
          <w:color w:val="auto"/>
          <w:sz w:val="22"/>
          <w:szCs w:val="22"/>
          <w:highlight w:val="none"/>
          <w:lang w:val="en-US" w:eastAsia="zh-CN"/>
        </w:rPr>
        <w:t>8</w:t>
      </w:r>
      <w:r>
        <w:rPr>
          <w:rFonts w:hint="eastAsia" w:ascii="黑体" w:hAnsi="黑体" w:eastAsia="黑体" w:cs="黑体"/>
          <w:color w:val="auto"/>
          <w:sz w:val="22"/>
          <w:szCs w:val="22"/>
          <w:highlight w:val="none"/>
          <w:lang w:eastAsia="zh-CN"/>
        </w:rPr>
        <w:t>）</w:t>
      </w:r>
      <w:r>
        <w:rPr>
          <w:rFonts w:hint="eastAsia" w:ascii="黑体" w:hAnsi="黑体" w:eastAsia="黑体" w:cs="黑体"/>
          <w:color w:val="auto"/>
          <w:sz w:val="22"/>
          <w:szCs w:val="22"/>
          <w:highlight w:val="none"/>
        </w:rPr>
        <w:t>质保期后如果甲方要求，乙方应长期负责有偿优惠维修，双方另行协商。</w:t>
      </w:r>
    </w:p>
    <w:p w14:paraId="58110AF4">
      <w:pPr>
        <w:pStyle w:val="62"/>
        <w:keepNext w:val="0"/>
        <w:keepLines w:val="0"/>
        <w:pageBreakBefore w:val="0"/>
        <w:kinsoku/>
        <w:wordWrap/>
        <w:overflowPunct/>
        <w:topLinePunct w:val="0"/>
        <w:autoSpaceDE/>
        <w:autoSpaceDN/>
        <w:bidi w:val="0"/>
        <w:adjustRightInd/>
        <w:snapToGrid/>
        <w:spacing w:line="460" w:lineRule="exact"/>
        <w:ind w:firstLine="422"/>
        <w:jc w:val="both"/>
        <w:textAlignment w:val="auto"/>
        <w:rPr>
          <w:rFonts w:hint="eastAsia" w:ascii="黑体" w:hAnsi="黑体" w:eastAsia="黑体" w:cs="黑体"/>
          <w:color w:val="auto"/>
          <w:sz w:val="22"/>
          <w:szCs w:val="22"/>
          <w:highlight w:val="none"/>
          <w:lang w:val="en-US" w:eastAsia="zh-CN"/>
        </w:rPr>
      </w:pPr>
      <w:r>
        <w:rPr>
          <w:rFonts w:hint="eastAsia" w:ascii="黑体" w:hAnsi="黑体" w:eastAsia="黑体" w:cs="黑体"/>
          <w:b/>
          <w:color w:val="auto"/>
          <w:sz w:val="22"/>
          <w:szCs w:val="22"/>
          <w:highlight w:val="none"/>
          <w:lang w:val="en-US" w:eastAsia="zh-CN"/>
        </w:rPr>
        <w:t>八</w:t>
      </w:r>
      <w:r>
        <w:rPr>
          <w:rFonts w:hint="eastAsia" w:ascii="黑体" w:hAnsi="黑体" w:eastAsia="黑体" w:cs="黑体"/>
          <w:b/>
          <w:color w:val="auto"/>
          <w:sz w:val="22"/>
          <w:szCs w:val="22"/>
          <w:highlight w:val="none"/>
        </w:rPr>
        <w:t>、安装与调试</w:t>
      </w:r>
      <w:r>
        <w:rPr>
          <w:rFonts w:hint="eastAsia" w:ascii="黑体" w:hAnsi="黑体" w:eastAsia="黑体" w:cs="黑体"/>
          <w:b/>
          <w:color w:val="auto"/>
          <w:sz w:val="22"/>
          <w:szCs w:val="22"/>
          <w:highlight w:val="none"/>
          <w:lang w:eastAsia="zh-CN"/>
        </w:rPr>
        <w:t>、</w:t>
      </w:r>
      <w:r>
        <w:rPr>
          <w:rFonts w:hint="eastAsia" w:ascii="黑体" w:hAnsi="黑体" w:eastAsia="黑体" w:cs="黑体"/>
          <w:b/>
          <w:color w:val="auto"/>
          <w:sz w:val="22"/>
          <w:szCs w:val="22"/>
          <w:highlight w:val="none"/>
          <w:lang w:val="en-US" w:eastAsia="zh-CN"/>
        </w:rPr>
        <w:t>培训</w:t>
      </w:r>
    </w:p>
    <w:p w14:paraId="14B2DC6D">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lang w:eastAsia="zh-CN"/>
        </w:rPr>
      </w:pPr>
      <w:r>
        <w:rPr>
          <w:rFonts w:hint="eastAsia" w:ascii="黑体" w:hAnsi="黑体" w:eastAsia="黑体" w:cs="黑体"/>
          <w:color w:val="auto"/>
          <w:sz w:val="22"/>
          <w:szCs w:val="22"/>
          <w:highlight w:val="none"/>
        </w:rPr>
        <w:t>1.</w:t>
      </w:r>
      <w:r>
        <w:rPr>
          <w:rFonts w:hint="eastAsia" w:ascii="黑体" w:hAnsi="黑体" w:eastAsia="黑体" w:cs="黑体"/>
          <w:color w:val="auto"/>
          <w:sz w:val="22"/>
          <w:szCs w:val="22"/>
          <w:highlight w:val="none"/>
          <w:lang w:val="en-US" w:eastAsia="zh-CN"/>
        </w:rPr>
        <w:t>乙方</w:t>
      </w:r>
      <w:r>
        <w:rPr>
          <w:rFonts w:hint="eastAsia" w:ascii="黑体" w:hAnsi="黑体" w:eastAsia="黑体" w:cs="黑体"/>
          <w:color w:val="auto"/>
          <w:sz w:val="22"/>
          <w:szCs w:val="22"/>
          <w:highlight w:val="none"/>
        </w:rPr>
        <w:t>必须在交货的同时，根据相关技术规格、技术规范的要求进行安装。未经</w:t>
      </w:r>
      <w:r>
        <w:rPr>
          <w:rFonts w:hint="eastAsia" w:ascii="黑体" w:hAnsi="黑体" w:eastAsia="黑体" w:cs="黑体"/>
          <w:color w:val="auto"/>
          <w:sz w:val="22"/>
          <w:szCs w:val="22"/>
          <w:highlight w:val="none"/>
          <w:lang w:val="en-US" w:eastAsia="zh-CN"/>
        </w:rPr>
        <w:t>甲方</w:t>
      </w:r>
      <w:r>
        <w:rPr>
          <w:rFonts w:hint="eastAsia" w:ascii="黑体" w:hAnsi="黑体" w:eastAsia="黑体" w:cs="黑体"/>
          <w:color w:val="auto"/>
          <w:sz w:val="22"/>
          <w:szCs w:val="22"/>
          <w:highlight w:val="none"/>
        </w:rPr>
        <w:t>书面同意，不得更换所供的货物</w:t>
      </w:r>
      <w:r>
        <w:rPr>
          <w:rFonts w:hint="eastAsia" w:ascii="黑体" w:hAnsi="黑体" w:eastAsia="黑体" w:cs="黑体"/>
          <w:color w:val="auto"/>
          <w:sz w:val="22"/>
          <w:szCs w:val="22"/>
          <w:highlight w:val="none"/>
          <w:lang w:eastAsia="zh-CN"/>
        </w:rPr>
        <w:t>。</w:t>
      </w:r>
    </w:p>
    <w:p w14:paraId="75AECFA1">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lang w:val="en-US" w:eastAsia="zh-CN"/>
        </w:rPr>
        <w:t>2</w:t>
      </w:r>
      <w:r>
        <w:rPr>
          <w:rFonts w:hint="eastAsia" w:ascii="黑体" w:hAnsi="黑体" w:eastAsia="黑体" w:cs="黑体"/>
          <w:color w:val="auto"/>
          <w:sz w:val="22"/>
          <w:szCs w:val="22"/>
          <w:highlight w:val="none"/>
        </w:rPr>
        <w:t>.</w:t>
      </w:r>
      <w:r>
        <w:rPr>
          <w:rFonts w:hint="eastAsia" w:ascii="黑体" w:hAnsi="黑体" w:eastAsia="黑体" w:cs="黑体"/>
          <w:color w:val="auto"/>
          <w:sz w:val="22"/>
          <w:szCs w:val="22"/>
          <w:highlight w:val="none"/>
          <w:lang w:val="en-US" w:eastAsia="zh-CN"/>
        </w:rPr>
        <w:t>货物</w:t>
      </w:r>
      <w:r>
        <w:rPr>
          <w:rFonts w:hint="eastAsia" w:ascii="黑体" w:hAnsi="黑体" w:eastAsia="黑体" w:cs="黑体"/>
          <w:color w:val="auto"/>
          <w:sz w:val="22"/>
          <w:szCs w:val="22"/>
          <w:highlight w:val="none"/>
        </w:rPr>
        <w:t>安装后，</w:t>
      </w:r>
      <w:r>
        <w:rPr>
          <w:rFonts w:hint="eastAsia" w:ascii="黑体" w:hAnsi="黑体" w:eastAsia="黑体" w:cs="黑体"/>
          <w:color w:val="auto"/>
          <w:sz w:val="22"/>
          <w:szCs w:val="22"/>
          <w:highlight w:val="none"/>
          <w:lang w:eastAsia="zh-CN"/>
        </w:rPr>
        <w:t>乙方</w:t>
      </w:r>
      <w:r>
        <w:rPr>
          <w:rFonts w:hint="eastAsia" w:ascii="黑体" w:hAnsi="黑体" w:eastAsia="黑体" w:cs="黑体"/>
          <w:color w:val="auto"/>
          <w:sz w:val="22"/>
          <w:szCs w:val="22"/>
          <w:highlight w:val="none"/>
        </w:rPr>
        <w:t>应向</w:t>
      </w:r>
      <w:r>
        <w:rPr>
          <w:rFonts w:hint="eastAsia" w:ascii="黑体" w:hAnsi="黑体" w:eastAsia="黑体" w:cs="黑体"/>
          <w:color w:val="auto"/>
          <w:sz w:val="22"/>
          <w:szCs w:val="22"/>
          <w:highlight w:val="none"/>
          <w:lang w:eastAsia="zh-CN"/>
        </w:rPr>
        <w:t>甲方</w:t>
      </w:r>
      <w:r>
        <w:rPr>
          <w:rFonts w:hint="eastAsia" w:ascii="黑体" w:hAnsi="黑体" w:eastAsia="黑体" w:cs="黑体"/>
          <w:color w:val="auto"/>
          <w:sz w:val="22"/>
          <w:szCs w:val="22"/>
          <w:highlight w:val="none"/>
        </w:rPr>
        <w:t>提供详细的验收标准、验收手册。</w:t>
      </w:r>
      <w:r>
        <w:rPr>
          <w:rFonts w:hint="eastAsia" w:ascii="黑体" w:hAnsi="黑体" w:eastAsia="黑体" w:cs="黑体"/>
          <w:color w:val="auto"/>
          <w:sz w:val="22"/>
          <w:szCs w:val="22"/>
          <w:highlight w:val="none"/>
          <w:lang w:eastAsia="zh-CN"/>
        </w:rPr>
        <w:t>甲方</w:t>
      </w:r>
      <w:r>
        <w:rPr>
          <w:rFonts w:hint="eastAsia" w:ascii="黑体" w:hAnsi="黑体" w:eastAsia="黑体" w:cs="黑体"/>
          <w:color w:val="auto"/>
          <w:sz w:val="22"/>
          <w:szCs w:val="22"/>
          <w:highlight w:val="none"/>
        </w:rPr>
        <w:t>按国家标准及厂方标准进行质量验收。同时，</w:t>
      </w:r>
      <w:r>
        <w:rPr>
          <w:rFonts w:hint="eastAsia" w:ascii="黑体" w:hAnsi="黑体" w:eastAsia="黑体" w:cs="黑体"/>
          <w:color w:val="auto"/>
          <w:sz w:val="22"/>
          <w:szCs w:val="22"/>
          <w:highlight w:val="none"/>
          <w:lang w:eastAsia="zh-CN"/>
        </w:rPr>
        <w:t>甲方</w:t>
      </w:r>
      <w:r>
        <w:rPr>
          <w:rFonts w:hint="eastAsia" w:ascii="黑体" w:hAnsi="黑体" w:eastAsia="黑体" w:cs="黑体"/>
          <w:color w:val="auto"/>
          <w:sz w:val="22"/>
          <w:szCs w:val="22"/>
          <w:highlight w:val="none"/>
        </w:rPr>
        <w:t>有权委托有资格的单位对上述</w:t>
      </w:r>
      <w:r>
        <w:rPr>
          <w:rFonts w:hint="eastAsia" w:ascii="黑体" w:hAnsi="黑体" w:eastAsia="黑体" w:cs="黑体"/>
          <w:color w:val="auto"/>
          <w:sz w:val="22"/>
          <w:szCs w:val="22"/>
          <w:highlight w:val="none"/>
          <w:lang w:val="en-US" w:eastAsia="zh-CN"/>
        </w:rPr>
        <w:t>货物</w:t>
      </w:r>
      <w:r>
        <w:rPr>
          <w:rFonts w:hint="eastAsia" w:ascii="黑体" w:hAnsi="黑体" w:eastAsia="黑体" w:cs="黑体"/>
          <w:color w:val="auto"/>
          <w:sz w:val="22"/>
          <w:szCs w:val="22"/>
          <w:highlight w:val="none"/>
        </w:rPr>
        <w:t>进行性能检测、精度校核等监测。</w:t>
      </w:r>
    </w:p>
    <w:p w14:paraId="03E8263A">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lang w:val="en-US" w:eastAsia="zh-CN"/>
        </w:rPr>
      </w:pPr>
      <w:r>
        <w:rPr>
          <w:rFonts w:hint="eastAsia" w:ascii="黑体" w:hAnsi="黑体" w:eastAsia="黑体" w:cs="黑体"/>
          <w:color w:val="auto"/>
          <w:sz w:val="22"/>
          <w:szCs w:val="22"/>
          <w:highlight w:val="none"/>
          <w:lang w:val="en-US" w:eastAsia="zh-CN"/>
        </w:rPr>
        <w:t>3.培训：（1）现场培训：乙方应提供现场技术培训(不限次数)，保证使用人员正常操作货物的各种功能；根据货物技术要求，向甲方提供维修技术人员培训(不限次数)，费用由乙方承担。（2）集中培训：根据货物管理、技术要求，向甲方提供管理、使用和维修技术人员培训（次数不限），费用由乙方承担。</w:t>
      </w:r>
    </w:p>
    <w:p w14:paraId="001AEAA0">
      <w:pPr>
        <w:pStyle w:val="62"/>
        <w:keepNext w:val="0"/>
        <w:keepLines w:val="0"/>
        <w:pageBreakBefore w:val="0"/>
        <w:kinsoku/>
        <w:wordWrap/>
        <w:overflowPunct/>
        <w:topLinePunct w:val="0"/>
        <w:autoSpaceDE/>
        <w:autoSpaceDN/>
        <w:bidi w:val="0"/>
        <w:adjustRightInd/>
        <w:snapToGrid/>
        <w:spacing w:line="460" w:lineRule="exact"/>
        <w:ind w:firstLine="422"/>
        <w:jc w:val="both"/>
        <w:textAlignment w:val="auto"/>
        <w:rPr>
          <w:rFonts w:hint="eastAsia" w:ascii="黑体" w:hAnsi="黑体" w:eastAsia="黑体" w:cs="黑体"/>
          <w:color w:val="auto"/>
          <w:sz w:val="22"/>
          <w:szCs w:val="22"/>
          <w:highlight w:val="none"/>
        </w:rPr>
      </w:pPr>
      <w:r>
        <w:rPr>
          <w:rFonts w:hint="eastAsia" w:ascii="黑体" w:hAnsi="黑体" w:eastAsia="黑体" w:cs="黑体"/>
          <w:b/>
          <w:color w:val="auto"/>
          <w:sz w:val="22"/>
          <w:szCs w:val="22"/>
          <w:highlight w:val="none"/>
          <w:lang w:val="en-US" w:eastAsia="zh-CN"/>
        </w:rPr>
        <w:t>九</w:t>
      </w:r>
      <w:r>
        <w:rPr>
          <w:rFonts w:hint="eastAsia" w:ascii="黑体" w:hAnsi="黑体" w:eastAsia="黑体" w:cs="黑体"/>
          <w:b/>
          <w:color w:val="auto"/>
          <w:sz w:val="22"/>
          <w:szCs w:val="22"/>
          <w:highlight w:val="none"/>
        </w:rPr>
        <w:t>、验收</w:t>
      </w:r>
    </w:p>
    <w:p w14:paraId="10D0F580">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1.验收阶段：安装完成后，</w:t>
      </w:r>
      <w:r>
        <w:rPr>
          <w:rFonts w:hint="eastAsia" w:ascii="黑体" w:hAnsi="黑体" w:eastAsia="黑体" w:cs="黑体"/>
          <w:color w:val="auto"/>
          <w:sz w:val="22"/>
          <w:szCs w:val="22"/>
          <w:highlight w:val="none"/>
          <w:lang w:val="en-US" w:eastAsia="zh-CN"/>
        </w:rPr>
        <w:t>乙方</w:t>
      </w:r>
      <w:r>
        <w:rPr>
          <w:rFonts w:hint="eastAsia" w:ascii="黑体" w:hAnsi="黑体" w:eastAsia="黑体" w:cs="黑体"/>
          <w:color w:val="auto"/>
          <w:sz w:val="22"/>
          <w:szCs w:val="22"/>
          <w:highlight w:val="none"/>
        </w:rPr>
        <w:t>应向</w:t>
      </w:r>
      <w:r>
        <w:rPr>
          <w:rFonts w:hint="eastAsia" w:ascii="黑体" w:hAnsi="黑体" w:eastAsia="黑体" w:cs="黑体"/>
          <w:color w:val="auto"/>
          <w:sz w:val="22"/>
          <w:szCs w:val="22"/>
          <w:highlight w:val="none"/>
          <w:lang w:val="en-US" w:eastAsia="zh-CN"/>
        </w:rPr>
        <w:t>甲方</w:t>
      </w:r>
      <w:r>
        <w:rPr>
          <w:rFonts w:hint="eastAsia" w:ascii="黑体" w:hAnsi="黑体" w:eastAsia="黑体" w:cs="黑体"/>
          <w:color w:val="auto"/>
          <w:sz w:val="22"/>
          <w:szCs w:val="22"/>
          <w:highlight w:val="none"/>
        </w:rPr>
        <w:t>提交验收申请，</w:t>
      </w:r>
      <w:r>
        <w:rPr>
          <w:rFonts w:hint="eastAsia" w:ascii="黑体" w:hAnsi="黑体" w:eastAsia="黑体" w:cs="黑体"/>
          <w:color w:val="auto"/>
          <w:sz w:val="22"/>
          <w:szCs w:val="22"/>
          <w:highlight w:val="none"/>
          <w:lang w:val="en-US" w:eastAsia="zh-CN"/>
        </w:rPr>
        <w:t>甲方</w:t>
      </w:r>
      <w:r>
        <w:rPr>
          <w:rFonts w:hint="eastAsia" w:ascii="黑体" w:hAnsi="黑体" w:eastAsia="黑体" w:cs="黑体"/>
          <w:color w:val="auto"/>
          <w:sz w:val="22"/>
          <w:szCs w:val="22"/>
          <w:highlight w:val="none"/>
        </w:rPr>
        <w:t>在收到申请后5个工作日内组织验收。验收内容包括数量、规格是否与合同一致，安装是否满足验收标准。</w:t>
      </w:r>
    </w:p>
    <w:p w14:paraId="3CE8CB76">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lang w:val="en-US" w:eastAsia="zh-CN"/>
        </w:rPr>
        <w:t>2.</w:t>
      </w:r>
      <w:r>
        <w:rPr>
          <w:rFonts w:hint="eastAsia" w:ascii="黑体" w:hAnsi="黑体" w:eastAsia="黑体" w:cs="黑体"/>
          <w:color w:val="auto"/>
          <w:sz w:val="22"/>
          <w:szCs w:val="22"/>
          <w:highlight w:val="none"/>
        </w:rPr>
        <w:t>货物的调试验收：货物交货后进行调试验收，调试验收应在</w:t>
      </w:r>
      <w:r>
        <w:rPr>
          <w:rFonts w:hint="eastAsia" w:ascii="黑体" w:hAnsi="黑体" w:eastAsia="黑体" w:cs="黑体"/>
          <w:color w:val="auto"/>
          <w:sz w:val="22"/>
          <w:szCs w:val="22"/>
          <w:highlight w:val="none"/>
          <w:lang w:eastAsia="zh-CN"/>
        </w:rPr>
        <w:t>甲方</w:t>
      </w:r>
      <w:r>
        <w:rPr>
          <w:rFonts w:hint="eastAsia" w:ascii="黑体" w:hAnsi="黑体" w:eastAsia="黑体" w:cs="黑体"/>
          <w:color w:val="auto"/>
          <w:sz w:val="22"/>
          <w:szCs w:val="22"/>
          <w:highlight w:val="none"/>
        </w:rPr>
        <w:t>和</w:t>
      </w:r>
      <w:r>
        <w:rPr>
          <w:rFonts w:hint="eastAsia" w:ascii="黑体" w:hAnsi="黑体" w:eastAsia="黑体" w:cs="黑体"/>
          <w:color w:val="auto"/>
          <w:sz w:val="22"/>
          <w:szCs w:val="22"/>
          <w:highlight w:val="none"/>
          <w:lang w:eastAsia="zh-CN"/>
        </w:rPr>
        <w:t>乙方</w:t>
      </w:r>
      <w:r>
        <w:rPr>
          <w:rFonts w:hint="eastAsia" w:ascii="黑体" w:hAnsi="黑体" w:eastAsia="黑体" w:cs="黑体"/>
          <w:color w:val="auto"/>
          <w:sz w:val="22"/>
          <w:szCs w:val="22"/>
          <w:highlight w:val="none"/>
        </w:rPr>
        <w:t>双方共同参加下进行，</w:t>
      </w:r>
      <w:r>
        <w:rPr>
          <w:rFonts w:hint="eastAsia" w:ascii="黑体" w:hAnsi="黑体" w:eastAsia="黑体" w:cs="黑体"/>
          <w:color w:val="auto"/>
          <w:sz w:val="22"/>
          <w:szCs w:val="22"/>
          <w:highlight w:val="none"/>
          <w:lang w:val="en-US" w:eastAsia="zh-CN"/>
        </w:rPr>
        <w:t>货物</w:t>
      </w:r>
      <w:r>
        <w:rPr>
          <w:rFonts w:hint="eastAsia" w:ascii="黑体" w:hAnsi="黑体" w:eastAsia="黑体" w:cs="黑体"/>
          <w:color w:val="auto"/>
          <w:sz w:val="22"/>
          <w:szCs w:val="22"/>
          <w:highlight w:val="none"/>
        </w:rPr>
        <w:t>各项技术指标须达到要求。</w:t>
      </w:r>
    </w:p>
    <w:p w14:paraId="523D5C01">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lang w:val="en-US" w:eastAsia="zh-CN"/>
        </w:rPr>
        <w:t>3</w:t>
      </w:r>
      <w:r>
        <w:rPr>
          <w:rFonts w:hint="eastAsia" w:ascii="黑体" w:hAnsi="黑体" w:eastAsia="黑体" w:cs="黑体"/>
          <w:color w:val="auto"/>
          <w:sz w:val="22"/>
          <w:szCs w:val="22"/>
          <w:highlight w:val="none"/>
        </w:rPr>
        <w:t>.验收按国家有关的规定、规范进行。验收时如发现所交付的货物有短缺、次品、损坏或其它不符合本合同规定之情形者，</w:t>
      </w:r>
      <w:r>
        <w:rPr>
          <w:rFonts w:hint="eastAsia" w:ascii="黑体" w:hAnsi="黑体" w:eastAsia="黑体" w:cs="黑体"/>
          <w:color w:val="auto"/>
          <w:sz w:val="22"/>
          <w:szCs w:val="22"/>
          <w:highlight w:val="none"/>
          <w:lang w:eastAsia="zh-CN"/>
        </w:rPr>
        <w:t>甲方</w:t>
      </w:r>
      <w:r>
        <w:rPr>
          <w:rFonts w:hint="eastAsia" w:ascii="黑体" w:hAnsi="黑体" w:eastAsia="黑体" w:cs="黑体"/>
          <w:color w:val="auto"/>
          <w:sz w:val="22"/>
          <w:szCs w:val="22"/>
          <w:highlight w:val="none"/>
        </w:rPr>
        <w:t>应做出详尽的现场记录，或由</w:t>
      </w:r>
      <w:r>
        <w:rPr>
          <w:rFonts w:hint="eastAsia" w:ascii="黑体" w:hAnsi="黑体" w:eastAsia="黑体" w:cs="黑体"/>
          <w:color w:val="auto"/>
          <w:sz w:val="22"/>
          <w:szCs w:val="22"/>
          <w:highlight w:val="none"/>
          <w:lang w:eastAsia="zh-CN"/>
        </w:rPr>
        <w:t>甲方</w:t>
      </w:r>
      <w:r>
        <w:rPr>
          <w:rFonts w:hint="eastAsia" w:ascii="黑体" w:hAnsi="黑体" w:eastAsia="黑体" w:cs="黑体"/>
          <w:color w:val="auto"/>
          <w:sz w:val="22"/>
          <w:szCs w:val="22"/>
          <w:highlight w:val="none"/>
        </w:rPr>
        <w:t>和</w:t>
      </w:r>
      <w:r>
        <w:rPr>
          <w:rFonts w:hint="eastAsia" w:ascii="黑体" w:hAnsi="黑体" w:eastAsia="黑体" w:cs="黑体"/>
          <w:color w:val="auto"/>
          <w:sz w:val="22"/>
          <w:szCs w:val="22"/>
          <w:highlight w:val="none"/>
          <w:lang w:eastAsia="zh-CN"/>
        </w:rPr>
        <w:t>乙方</w:t>
      </w:r>
      <w:r>
        <w:rPr>
          <w:rFonts w:hint="eastAsia" w:ascii="黑体" w:hAnsi="黑体" w:eastAsia="黑体" w:cs="黑体"/>
          <w:color w:val="auto"/>
          <w:sz w:val="22"/>
          <w:szCs w:val="22"/>
          <w:highlight w:val="none"/>
        </w:rPr>
        <w:t>双方签署备忘录。此现场记录或备忘录可用作补充、缺失和更换损坏部件的有效证据。由此产生的有关费用由</w:t>
      </w:r>
      <w:r>
        <w:rPr>
          <w:rFonts w:hint="eastAsia" w:ascii="黑体" w:hAnsi="黑体" w:eastAsia="黑体" w:cs="黑体"/>
          <w:color w:val="auto"/>
          <w:sz w:val="22"/>
          <w:szCs w:val="22"/>
          <w:highlight w:val="none"/>
          <w:lang w:eastAsia="zh-CN"/>
        </w:rPr>
        <w:t>乙方</w:t>
      </w:r>
      <w:r>
        <w:rPr>
          <w:rFonts w:hint="eastAsia" w:ascii="黑体" w:hAnsi="黑体" w:eastAsia="黑体" w:cs="黑体"/>
          <w:color w:val="auto"/>
          <w:sz w:val="22"/>
          <w:szCs w:val="22"/>
          <w:highlight w:val="none"/>
        </w:rPr>
        <w:t>承担。</w:t>
      </w:r>
    </w:p>
    <w:p w14:paraId="7D9171C3">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lang w:val="en-US" w:eastAsia="zh-CN"/>
        </w:rPr>
        <w:t>4</w:t>
      </w:r>
      <w:r>
        <w:rPr>
          <w:rFonts w:hint="eastAsia" w:ascii="黑体" w:hAnsi="黑体" w:eastAsia="黑体" w:cs="黑体"/>
          <w:color w:val="auto"/>
          <w:sz w:val="22"/>
          <w:szCs w:val="22"/>
          <w:highlight w:val="none"/>
        </w:rPr>
        <w:t>.如果合同货物运输和安装调试过程中因事故造成货物短缺、损坏，</w:t>
      </w:r>
      <w:r>
        <w:rPr>
          <w:rFonts w:hint="eastAsia" w:ascii="黑体" w:hAnsi="黑体" w:eastAsia="黑体" w:cs="黑体"/>
          <w:color w:val="auto"/>
          <w:sz w:val="22"/>
          <w:szCs w:val="22"/>
          <w:highlight w:val="none"/>
          <w:lang w:eastAsia="zh-CN"/>
        </w:rPr>
        <w:t>乙方</w:t>
      </w:r>
      <w:r>
        <w:rPr>
          <w:rFonts w:hint="eastAsia" w:ascii="黑体" w:hAnsi="黑体" w:eastAsia="黑体" w:cs="黑体"/>
          <w:color w:val="auto"/>
          <w:sz w:val="22"/>
          <w:szCs w:val="22"/>
          <w:highlight w:val="none"/>
        </w:rPr>
        <w:t>应及时安排换货，以保证合同货物成功完整交付。换货的相关费用由</w:t>
      </w:r>
      <w:r>
        <w:rPr>
          <w:rFonts w:hint="eastAsia" w:ascii="黑体" w:hAnsi="黑体" w:eastAsia="黑体" w:cs="黑体"/>
          <w:color w:val="auto"/>
          <w:sz w:val="22"/>
          <w:szCs w:val="22"/>
          <w:highlight w:val="none"/>
          <w:lang w:eastAsia="zh-CN"/>
        </w:rPr>
        <w:t>乙方</w:t>
      </w:r>
      <w:r>
        <w:rPr>
          <w:rFonts w:hint="eastAsia" w:ascii="黑体" w:hAnsi="黑体" w:eastAsia="黑体" w:cs="黑体"/>
          <w:color w:val="auto"/>
          <w:sz w:val="22"/>
          <w:szCs w:val="22"/>
          <w:highlight w:val="none"/>
        </w:rPr>
        <w:t>承担。</w:t>
      </w:r>
    </w:p>
    <w:p w14:paraId="0ADD3EAF">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lang w:val="en-US" w:eastAsia="zh-CN"/>
        </w:rPr>
        <w:t>5</w:t>
      </w:r>
      <w:r>
        <w:rPr>
          <w:rFonts w:hint="eastAsia" w:ascii="黑体" w:hAnsi="黑体" w:eastAsia="黑体" w:cs="黑体"/>
          <w:color w:val="auto"/>
          <w:sz w:val="22"/>
          <w:szCs w:val="22"/>
          <w:highlight w:val="none"/>
        </w:rPr>
        <w:t>.</w:t>
      </w:r>
      <w:r>
        <w:rPr>
          <w:rFonts w:hint="eastAsia" w:ascii="黑体" w:hAnsi="黑体" w:eastAsia="黑体" w:cs="黑体"/>
          <w:color w:val="auto"/>
          <w:sz w:val="22"/>
          <w:szCs w:val="22"/>
          <w:highlight w:val="none"/>
          <w:lang w:eastAsia="zh-CN"/>
        </w:rPr>
        <w:t>甲方</w:t>
      </w:r>
      <w:r>
        <w:rPr>
          <w:rFonts w:hint="eastAsia" w:ascii="黑体" w:hAnsi="黑体" w:eastAsia="黑体" w:cs="黑体"/>
          <w:color w:val="auto"/>
          <w:sz w:val="22"/>
          <w:szCs w:val="22"/>
          <w:highlight w:val="none"/>
        </w:rPr>
        <w:t>组成验收小组按国家有关规定、规范进行验收，必要时邀请相关的专业人员或机构参与验收。因货物质量问题发生争议时，由本地质量技术监督部门鉴定。货物符合质量技术标准的，鉴定费由</w:t>
      </w:r>
      <w:r>
        <w:rPr>
          <w:rFonts w:hint="eastAsia" w:ascii="黑体" w:hAnsi="黑体" w:eastAsia="黑体" w:cs="黑体"/>
          <w:color w:val="auto"/>
          <w:sz w:val="22"/>
          <w:szCs w:val="22"/>
          <w:highlight w:val="none"/>
          <w:lang w:eastAsia="zh-CN"/>
        </w:rPr>
        <w:t>甲方</w:t>
      </w:r>
      <w:r>
        <w:rPr>
          <w:rFonts w:hint="eastAsia" w:ascii="黑体" w:hAnsi="黑体" w:eastAsia="黑体" w:cs="黑体"/>
          <w:color w:val="auto"/>
          <w:sz w:val="22"/>
          <w:szCs w:val="22"/>
          <w:highlight w:val="none"/>
        </w:rPr>
        <w:t>承担；否则鉴定费由</w:t>
      </w:r>
      <w:r>
        <w:rPr>
          <w:rFonts w:hint="eastAsia" w:ascii="黑体" w:hAnsi="黑体" w:eastAsia="黑体" w:cs="黑体"/>
          <w:color w:val="auto"/>
          <w:sz w:val="22"/>
          <w:szCs w:val="22"/>
          <w:highlight w:val="none"/>
          <w:lang w:eastAsia="zh-CN"/>
        </w:rPr>
        <w:t>乙方</w:t>
      </w:r>
      <w:r>
        <w:rPr>
          <w:rFonts w:hint="eastAsia" w:ascii="黑体" w:hAnsi="黑体" w:eastAsia="黑体" w:cs="黑体"/>
          <w:color w:val="auto"/>
          <w:sz w:val="22"/>
          <w:szCs w:val="22"/>
          <w:highlight w:val="none"/>
        </w:rPr>
        <w:t>承担。</w:t>
      </w:r>
    </w:p>
    <w:p w14:paraId="3AFB48ED">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6.在验收时，</w:t>
      </w:r>
      <w:r>
        <w:rPr>
          <w:rFonts w:hint="eastAsia" w:ascii="黑体" w:hAnsi="黑体" w:eastAsia="黑体" w:cs="黑体"/>
          <w:color w:val="auto"/>
          <w:sz w:val="22"/>
          <w:szCs w:val="22"/>
          <w:highlight w:val="none"/>
          <w:lang w:eastAsia="zh-CN"/>
        </w:rPr>
        <w:t>乙方</w:t>
      </w:r>
      <w:r>
        <w:rPr>
          <w:rFonts w:hint="eastAsia" w:ascii="黑体" w:hAnsi="黑体" w:eastAsia="黑体" w:cs="黑体"/>
          <w:color w:val="auto"/>
          <w:sz w:val="22"/>
          <w:szCs w:val="22"/>
          <w:highlight w:val="none"/>
        </w:rPr>
        <w:t>应向</w:t>
      </w:r>
      <w:r>
        <w:rPr>
          <w:rFonts w:hint="eastAsia" w:ascii="黑体" w:hAnsi="黑体" w:eastAsia="黑体" w:cs="黑体"/>
          <w:color w:val="auto"/>
          <w:sz w:val="22"/>
          <w:szCs w:val="22"/>
          <w:highlight w:val="none"/>
          <w:lang w:eastAsia="zh-CN"/>
        </w:rPr>
        <w:t>甲方</w:t>
      </w:r>
      <w:r>
        <w:rPr>
          <w:rFonts w:hint="eastAsia" w:ascii="黑体" w:hAnsi="黑体" w:eastAsia="黑体" w:cs="黑体"/>
          <w:color w:val="auto"/>
          <w:sz w:val="22"/>
          <w:szCs w:val="22"/>
          <w:highlight w:val="none"/>
        </w:rPr>
        <w:t>提供货物的相关资料，按</w:t>
      </w:r>
      <w:r>
        <w:rPr>
          <w:rFonts w:hint="eastAsia" w:ascii="黑体" w:hAnsi="黑体" w:eastAsia="黑体" w:cs="黑体"/>
          <w:color w:val="auto"/>
          <w:sz w:val="22"/>
          <w:szCs w:val="22"/>
          <w:highlight w:val="none"/>
          <w:lang w:eastAsia="zh-CN"/>
        </w:rPr>
        <w:t>甲方</w:t>
      </w:r>
      <w:r>
        <w:rPr>
          <w:rFonts w:hint="eastAsia" w:ascii="黑体" w:hAnsi="黑体" w:eastAsia="黑体" w:cs="黑体"/>
          <w:color w:val="auto"/>
          <w:sz w:val="22"/>
          <w:szCs w:val="22"/>
          <w:highlight w:val="none"/>
        </w:rPr>
        <w:t>提出的方式验收。</w:t>
      </w:r>
    </w:p>
    <w:p w14:paraId="1ADBFF0A">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7.由</w:t>
      </w:r>
      <w:r>
        <w:rPr>
          <w:rFonts w:hint="eastAsia" w:ascii="黑体" w:hAnsi="黑体" w:eastAsia="黑体" w:cs="黑体"/>
          <w:color w:val="auto"/>
          <w:sz w:val="22"/>
          <w:szCs w:val="22"/>
          <w:highlight w:val="none"/>
          <w:lang w:eastAsia="zh-CN"/>
        </w:rPr>
        <w:t>甲方</w:t>
      </w:r>
      <w:r>
        <w:rPr>
          <w:rFonts w:hint="eastAsia" w:ascii="黑体" w:hAnsi="黑体" w:eastAsia="黑体" w:cs="黑体"/>
          <w:color w:val="auto"/>
          <w:sz w:val="22"/>
          <w:szCs w:val="22"/>
          <w:highlight w:val="none"/>
        </w:rPr>
        <w:t>对货物的质量、规格和数量及其他进行检验。如发现质量、规格和数量等任何一项与招标要求规定不符，</w:t>
      </w:r>
      <w:r>
        <w:rPr>
          <w:rFonts w:hint="eastAsia" w:ascii="黑体" w:hAnsi="黑体" w:eastAsia="黑体" w:cs="黑体"/>
          <w:color w:val="auto"/>
          <w:sz w:val="22"/>
          <w:szCs w:val="22"/>
          <w:highlight w:val="none"/>
          <w:lang w:eastAsia="zh-CN"/>
        </w:rPr>
        <w:t>甲方</w:t>
      </w:r>
      <w:r>
        <w:rPr>
          <w:rFonts w:hint="eastAsia" w:ascii="黑体" w:hAnsi="黑体" w:eastAsia="黑体" w:cs="黑体"/>
          <w:color w:val="auto"/>
          <w:sz w:val="22"/>
          <w:szCs w:val="22"/>
          <w:highlight w:val="none"/>
        </w:rPr>
        <w:t>有权拒绝接收。</w:t>
      </w:r>
    </w:p>
    <w:p w14:paraId="2093679A">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lang w:val="en-US" w:eastAsia="zh-CN"/>
        </w:rPr>
      </w:pPr>
      <w:r>
        <w:rPr>
          <w:rFonts w:hint="eastAsia" w:ascii="黑体" w:hAnsi="黑体" w:eastAsia="黑体" w:cs="黑体"/>
          <w:color w:val="auto"/>
          <w:sz w:val="22"/>
          <w:szCs w:val="22"/>
          <w:highlight w:val="none"/>
          <w:lang w:val="en-US" w:eastAsia="zh-CN"/>
        </w:rPr>
        <w:t>8.不合格处理：若验收过程中发现质量问题或不符合合同约定等情况，乙方须在甲方规定的时间内进行整改、更换或补充，直至验收合格，相关费用由乙方承担。由此造成的工期延误，乙方应承担相应的违约责任。</w:t>
      </w:r>
    </w:p>
    <w:p w14:paraId="66506921">
      <w:pPr>
        <w:pStyle w:val="62"/>
        <w:keepNext w:val="0"/>
        <w:keepLines w:val="0"/>
        <w:pageBreakBefore w:val="0"/>
        <w:kinsoku/>
        <w:wordWrap/>
        <w:overflowPunct/>
        <w:topLinePunct w:val="0"/>
        <w:autoSpaceDE/>
        <w:autoSpaceDN/>
        <w:bidi w:val="0"/>
        <w:adjustRightInd/>
        <w:snapToGrid/>
        <w:spacing w:line="460" w:lineRule="exact"/>
        <w:ind w:firstLine="422"/>
        <w:jc w:val="both"/>
        <w:textAlignment w:val="auto"/>
        <w:rPr>
          <w:rFonts w:hint="eastAsia" w:ascii="黑体" w:hAnsi="黑体" w:eastAsia="黑体" w:cs="黑体"/>
          <w:color w:val="auto"/>
          <w:sz w:val="22"/>
          <w:szCs w:val="22"/>
          <w:highlight w:val="none"/>
        </w:rPr>
      </w:pPr>
      <w:r>
        <w:rPr>
          <w:rFonts w:hint="eastAsia" w:ascii="黑体" w:hAnsi="黑体" w:eastAsia="黑体" w:cs="黑体"/>
          <w:b/>
          <w:color w:val="auto"/>
          <w:sz w:val="22"/>
          <w:szCs w:val="22"/>
          <w:highlight w:val="none"/>
        </w:rPr>
        <w:t>十、知识产权</w:t>
      </w:r>
    </w:p>
    <w:p w14:paraId="06401286">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1.乙方应保证甲方在使用货物的任何一部分或技术、服务时，免受第三方提出侵权的法律或经济纠纷。如第三方提出侵权，乙方须与第三方交涉并承担由此发生的一切责任、费用和经济赔偿。若导致甲方不能使用成果的，乙方应退还全部项目费用，并赔偿因此给甲方造成的全部损失。</w:t>
      </w:r>
    </w:p>
    <w:p w14:paraId="5D70EE74">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2.甲方享有本项目实施过程中产生的知识成果及知识产权。</w:t>
      </w:r>
    </w:p>
    <w:p w14:paraId="57C9790A">
      <w:pPr>
        <w:pStyle w:val="62"/>
        <w:keepNext w:val="0"/>
        <w:keepLines w:val="0"/>
        <w:pageBreakBefore w:val="0"/>
        <w:kinsoku/>
        <w:wordWrap/>
        <w:overflowPunct/>
        <w:topLinePunct w:val="0"/>
        <w:autoSpaceDE/>
        <w:autoSpaceDN/>
        <w:bidi w:val="0"/>
        <w:adjustRightInd/>
        <w:snapToGrid/>
        <w:spacing w:line="460" w:lineRule="exact"/>
        <w:ind w:firstLine="422"/>
        <w:jc w:val="both"/>
        <w:textAlignment w:val="auto"/>
        <w:rPr>
          <w:rFonts w:hint="eastAsia" w:ascii="黑体" w:hAnsi="黑体" w:eastAsia="黑体" w:cs="黑体"/>
          <w:color w:val="auto"/>
          <w:sz w:val="22"/>
          <w:szCs w:val="22"/>
          <w:highlight w:val="none"/>
        </w:rPr>
      </w:pPr>
      <w:r>
        <w:rPr>
          <w:rFonts w:hint="eastAsia" w:ascii="黑体" w:hAnsi="黑体" w:eastAsia="黑体" w:cs="黑体"/>
          <w:b/>
          <w:color w:val="auto"/>
          <w:sz w:val="22"/>
          <w:szCs w:val="22"/>
          <w:highlight w:val="none"/>
        </w:rPr>
        <w:t>十</w:t>
      </w:r>
      <w:r>
        <w:rPr>
          <w:rFonts w:hint="eastAsia" w:ascii="黑体" w:hAnsi="黑体" w:eastAsia="黑体" w:cs="黑体"/>
          <w:b/>
          <w:color w:val="auto"/>
          <w:sz w:val="22"/>
          <w:szCs w:val="22"/>
          <w:highlight w:val="none"/>
          <w:lang w:val="en-US" w:eastAsia="zh-CN"/>
        </w:rPr>
        <w:t>一</w:t>
      </w:r>
      <w:r>
        <w:rPr>
          <w:rFonts w:hint="eastAsia" w:ascii="黑体" w:hAnsi="黑体" w:eastAsia="黑体" w:cs="黑体"/>
          <w:b/>
          <w:color w:val="auto"/>
          <w:sz w:val="22"/>
          <w:szCs w:val="22"/>
          <w:highlight w:val="none"/>
        </w:rPr>
        <w:t>、发票违规处理条款</w:t>
      </w:r>
    </w:p>
    <w:p w14:paraId="52CD7193">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若乙方在合同履行过程中出现发票违法、违规行为，包括但不限于虚开发票、代开发票、不按规定开具发票、串用发票、提供虚假发票以及发票类型、发票内容、适用税率不符合现行税法规定或与实际业务不符等行为，乙方应无条件接受如下处理：</w:t>
      </w:r>
    </w:p>
    <w:p w14:paraId="59D3263E">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1.乙方需独自承担因发票违法、违规行为引发的所有后果及法律责任，包括但不限于可能面临的补缴税款、滞纳金、税务处罚、法律诉讼风险以及由此给甲方造成的名誉损害等。</w:t>
      </w:r>
    </w:p>
    <w:p w14:paraId="35D5851E">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2.乙方因发票违法、违规行为给甲方造成损失的，应全额赔付甲方补缴税款、滞纳金、税务处罚等经济损失，甲方保留向乙方追究违法、违规发票行为的合同违约赔偿责任的权利。甲方有权直接从应支付给乙方的任何款项中优先扣除上述损失赔偿及违约赔偿金额，无需获得乙方同意。</w:t>
      </w:r>
    </w:p>
    <w:p w14:paraId="5B1507BB">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3.甲方有权依据发票违法、违规情节的严重程度，自行决定是否单方终止与乙方的合作关系，且在此情形下甲方无需承担任何违约责任。</w:t>
      </w:r>
    </w:p>
    <w:p w14:paraId="183FBD7C">
      <w:pPr>
        <w:pStyle w:val="62"/>
        <w:keepNext w:val="0"/>
        <w:keepLines w:val="0"/>
        <w:pageBreakBefore w:val="0"/>
        <w:kinsoku/>
        <w:wordWrap/>
        <w:overflowPunct/>
        <w:topLinePunct w:val="0"/>
        <w:autoSpaceDE/>
        <w:autoSpaceDN/>
        <w:bidi w:val="0"/>
        <w:adjustRightInd/>
        <w:snapToGrid/>
        <w:spacing w:line="460" w:lineRule="exact"/>
        <w:ind w:firstLine="422"/>
        <w:jc w:val="both"/>
        <w:textAlignment w:val="auto"/>
        <w:rPr>
          <w:rFonts w:hint="eastAsia" w:ascii="黑体" w:hAnsi="黑体" w:eastAsia="黑体" w:cs="黑体"/>
          <w:color w:val="auto"/>
          <w:sz w:val="22"/>
          <w:szCs w:val="22"/>
          <w:highlight w:val="none"/>
        </w:rPr>
      </w:pPr>
      <w:r>
        <w:rPr>
          <w:rFonts w:hint="eastAsia" w:ascii="黑体" w:hAnsi="黑体" w:eastAsia="黑体" w:cs="黑体"/>
          <w:b/>
          <w:color w:val="auto"/>
          <w:sz w:val="22"/>
          <w:szCs w:val="22"/>
          <w:highlight w:val="none"/>
          <w:lang w:val="en-US" w:eastAsia="zh-CN"/>
        </w:rPr>
        <w:t>十二、</w:t>
      </w:r>
      <w:r>
        <w:rPr>
          <w:rFonts w:hint="eastAsia" w:ascii="黑体" w:hAnsi="黑体" w:eastAsia="黑体" w:cs="黑体"/>
          <w:b/>
          <w:color w:val="auto"/>
          <w:sz w:val="22"/>
          <w:szCs w:val="22"/>
          <w:highlight w:val="none"/>
        </w:rPr>
        <w:t>税和关税</w:t>
      </w:r>
    </w:p>
    <w:p w14:paraId="603DEB53">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1.除双方约定特别要求外，中国政府根据现行税法对甲方征收的与本合同有关的一切税费均应由甲方承担。</w:t>
      </w:r>
    </w:p>
    <w:p w14:paraId="6EE695F5">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2.除双方约定特别要求外，中国政府根据现行税法规定对乙方或其雇员征收的与本合同有关的一切税费应由乙方承担。</w:t>
      </w:r>
    </w:p>
    <w:p w14:paraId="7F028E7A">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3.在中国境外发生的与本合同执行有关的一切税费均应由乙方负担。</w:t>
      </w:r>
    </w:p>
    <w:p w14:paraId="4A8D41E3">
      <w:pPr>
        <w:pStyle w:val="62"/>
        <w:keepNext w:val="0"/>
        <w:keepLines w:val="0"/>
        <w:pageBreakBefore w:val="0"/>
        <w:kinsoku/>
        <w:wordWrap/>
        <w:overflowPunct/>
        <w:topLinePunct w:val="0"/>
        <w:autoSpaceDE/>
        <w:autoSpaceDN/>
        <w:bidi w:val="0"/>
        <w:adjustRightInd/>
        <w:snapToGrid/>
        <w:spacing w:line="460" w:lineRule="exact"/>
        <w:ind w:firstLine="422"/>
        <w:jc w:val="both"/>
        <w:textAlignment w:val="auto"/>
        <w:rPr>
          <w:rFonts w:hint="eastAsia" w:ascii="黑体" w:hAnsi="黑体" w:eastAsia="黑体" w:cs="黑体"/>
          <w:color w:val="auto"/>
          <w:sz w:val="22"/>
          <w:szCs w:val="22"/>
          <w:highlight w:val="none"/>
        </w:rPr>
      </w:pPr>
      <w:r>
        <w:rPr>
          <w:rFonts w:hint="eastAsia" w:ascii="黑体" w:hAnsi="黑体" w:eastAsia="黑体" w:cs="黑体"/>
          <w:b/>
          <w:color w:val="auto"/>
          <w:sz w:val="22"/>
          <w:szCs w:val="22"/>
          <w:highlight w:val="none"/>
          <w:lang w:val="en-US" w:eastAsia="zh-CN"/>
        </w:rPr>
        <w:t>十三</w:t>
      </w:r>
      <w:r>
        <w:rPr>
          <w:rFonts w:hint="eastAsia" w:ascii="黑体" w:hAnsi="黑体" w:eastAsia="黑体" w:cs="黑体"/>
          <w:b/>
          <w:color w:val="auto"/>
          <w:sz w:val="22"/>
          <w:szCs w:val="22"/>
          <w:highlight w:val="none"/>
        </w:rPr>
        <w:t>、违约责任</w:t>
      </w:r>
    </w:p>
    <w:p w14:paraId="0F5518C0">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1.乙方交付的产品或提供的服务不符合招标文件、乙方投标文件或本合同约定的，视为乙方违约，甲方有权拒收，由此引起的风险及费用由乙方承担,并支付合同总金额10%作为违约金；乙方严重违约，继续履行合同将损害社会公共利益的，甲方可单方终止合同。因违约造成甲方损失的，乙方还应承担赔偿责任。</w:t>
      </w:r>
    </w:p>
    <w:p w14:paraId="3BB1E315">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2.乙方原因未能按本合同约定的时间交付货物或提供服务的，从逾期之日起每日按本合同总金额0.5‰的数额向甲方支付违约金，逾期15天以上（含15天）的，继续履行本合同将损害国家利益和社会公共利益的，甲方有权终止合同，乙方支付合同总金额10%的违约金。</w:t>
      </w:r>
    </w:p>
    <w:p w14:paraId="772F8536">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3.质保期内非甲方原因乙方未能按合同约定时间排除故障的，乙方需赔偿甲方经济损失并自逾期之日起每日按本合同金额0.5‰的数额向甲方支付违约金。</w:t>
      </w:r>
    </w:p>
    <w:p w14:paraId="1299B6EF">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4.如乙方无故提出解约、拒不履行合同义务或乙方原因导致合同无法继续履行，甲方有权拒绝付款，乙方赔偿甲方全部损失并支付合同总金额的10%的违约金。</w:t>
      </w:r>
    </w:p>
    <w:p w14:paraId="4096B29A">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5.乙方应对接触到的任何甲方业务数据及经营资料等保密，未经甲方书面同意不能向第三方提供或用作其它用途；乙方从甲方获取的所有健康医疗数据应永久保密。如乙方违反本保密约定，乙方支付合同总金额10%的违约金并赔偿甲方全部损失，继续履行本合同将损害国家利益和社会公共利益的，甲方有权终止合同并追究法律责任。一切保密责任不因合同的中止或终止而失效。</w:t>
      </w:r>
    </w:p>
    <w:p w14:paraId="2EA939DB">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6.乙方擅自转让或分包的，甲方有权拒绝付款，乙方支付合同总金额10%的违约金，继续履行本合同将损害国家利益和社会公共利益的，甲方有权解除合同。</w:t>
      </w:r>
    </w:p>
    <w:p w14:paraId="1257E710">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7.乙方提供发票须真实合法有效，与税局官网查询结果一致，如因乙方提供发票不及时、开具的发票金额不对、不合法、字体不工整、公司乔迁、证件不齐全等原因而造成延误结算的，一切后果由乙方负责。</w:t>
      </w:r>
    </w:p>
    <w:p w14:paraId="2588E922">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8.因乙方提供的产品或服务导致甲、乙双方或任何第三者人身或财产受到损害，由乙方承担一切责任，并负责处理解决并赔偿损失。如甲方需对外赔偿，甲方有权向乙方追偿全部损失。</w:t>
      </w:r>
    </w:p>
    <w:p w14:paraId="681CD313">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9.乙方违约应赔偿甲方的损失包括但不限于：甲方支出的赔偿款、罚款、重新招投标的损失、重新采购的费用、委托第三人继续履行的费用、甲方维权产生的律师费、诉讼费、差旅费等。</w:t>
      </w:r>
    </w:p>
    <w:p w14:paraId="77960EF7">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10.甲方有权从应付款项中扣减违约金。</w:t>
      </w:r>
    </w:p>
    <w:p w14:paraId="78E78247">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11.甲方无合理理由拒绝付款的，甲方赔偿乙方直接经济损失。如因政策的影响，财政拨款未能及时到位，乙方不得以此为由不履行本合同规定的义务、追究甲方的违约责任。</w:t>
      </w:r>
    </w:p>
    <w:p w14:paraId="39D827F1">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12.其它按照中华人民共和国有关法律执行。</w:t>
      </w:r>
    </w:p>
    <w:p w14:paraId="74C18E9F">
      <w:pPr>
        <w:pStyle w:val="62"/>
        <w:keepNext w:val="0"/>
        <w:keepLines w:val="0"/>
        <w:pageBreakBefore w:val="0"/>
        <w:kinsoku/>
        <w:wordWrap/>
        <w:overflowPunct/>
        <w:topLinePunct w:val="0"/>
        <w:autoSpaceDE/>
        <w:autoSpaceDN/>
        <w:bidi w:val="0"/>
        <w:adjustRightInd/>
        <w:snapToGrid/>
        <w:spacing w:line="460" w:lineRule="exact"/>
        <w:ind w:firstLine="422"/>
        <w:jc w:val="both"/>
        <w:textAlignment w:val="auto"/>
        <w:rPr>
          <w:rFonts w:hint="eastAsia" w:ascii="黑体" w:hAnsi="黑体" w:eastAsia="黑体" w:cs="黑体"/>
          <w:color w:val="auto"/>
          <w:sz w:val="22"/>
          <w:szCs w:val="22"/>
          <w:highlight w:val="none"/>
        </w:rPr>
      </w:pPr>
      <w:r>
        <w:rPr>
          <w:rFonts w:hint="eastAsia" w:ascii="黑体" w:hAnsi="黑体" w:eastAsia="黑体" w:cs="黑体"/>
          <w:b/>
          <w:color w:val="auto"/>
          <w:sz w:val="22"/>
          <w:szCs w:val="22"/>
          <w:highlight w:val="none"/>
          <w:lang w:val="en-US" w:eastAsia="zh-CN"/>
        </w:rPr>
        <w:t>十四</w:t>
      </w:r>
      <w:r>
        <w:rPr>
          <w:rFonts w:hint="eastAsia" w:ascii="黑体" w:hAnsi="黑体" w:eastAsia="黑体" w:cs="黑体"/>
          <w:b/>
          <w:color w:val="auto"/>
          <w:sz w:val="22"/>
          <w:szCs w:val="22"/>
          <w:highlight w:val="none"/>
        </w:rPr>
        <w:t>、不可抗力</w:t>
      </w:r>
    </w:p>
    <w:p w14:paraId="33ADF87C">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任何一方由于不可抗力不能履行合同时，应在不可抗力事件结束后7日内书面向对方通报，以减轻可能给对方造成的损失，在取得有关权威部门的不可抗力证明或双方谅解确认后，允许延期履行或修订合同。迟延履行合同后发生不可抗力的，不能免除责任。</w:t>
      </w:r>
    </w:p>
    <w:p w14:paraId="76A01A5D">
      <w:pPr>
        <w:pStyle w:val="62"/>
        <w:keepNext w:val="0"/>
        <w:keepLines w:val="0"/>
        <w:pageBreakBefore w:val="0"/>
        <w:kinsoku/>
        <w:wordWrap/>
        <w:overflowPunct/>
        <w:topLinePunct w:val="0"/>
        <w:autoSpaceDE/>
        <w:autoSpaceDN/>
        <w:bidi w:val="0"/>
        <w:adjustRightInd/>
        <w:snapToGrid/>
        <w:spacing w:line="460" w:lineRule="exact"/>
        <w:ind w:firstLine="422"/>
        <w:jc w:val="both"/>
        <w:textAlignment w:val="auto"/>
        <w:rPr>
          <w:rFonts w:hint="eastAsia" w:ascii="黑体" w:hAnsi="黑体" w:eastAsia="黑体" w:cs="黑体"/>
          <w:color w:val="auto"/>
          <w:sz w:val="22"/>
          <w:szCs w:val="22"/>
          <w:highlight w:val="none"/>
        </w:rPr>
      </w:pPr>
      <w:r>
        <w:rPr>
          <w:rFonts w:hint="eastAsia" w:ascii="黑体" w:hAnsi="黑体" w:eastAsia="黑体" w:cs="黑体"/>
          <w:b/>
          <w:color w:val="auto"/>
          <w:sz w:val="22"/>
          <w:szCs w:val="22"/>
          <w:highlight w:val="none"/>
          <w:lang w:val="en-US" w:eastAsia="zh-CN"/>
        </w:rPr>
        <w:t>十五</w:t>
      </w:r>
      <w:r>
        <w:rPr>
          <w:rFonts w:hint="eastAsia" w:ascii="黑体" w:hAnsi="黑体" w:eastAsia="黑体" w:cs="黑体"/>
          <w:b/>
          <w:color w:val="auto"/>
          <w:sz w:val="22"/>
          <w:szCs w:val="22"/>
          <w:highlight w:val="none"/>
        </w:rPr>
        <w:t>、争议解决</w:t>
      </w:r>
    </w:p>
    <w:p w14:paraId="3AD8AEB1">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合同执行过程中发生争议，如不能通过友好协商解决，甲、乙双方均可向甲方所在地人民法院提起诉讼。违约方承担守约方因此而产生的诉讼费、律师费、公证费、鉴定费、保全费、担保费等支出。在法院审理期间，除提交法院审理的事项外，合同其他部分仍继续履行。本合同按照中华人民共和国的法律进行解释。</w:t>
      </w:r>
    </w:p>
    <w:p w14:paraId="5C4FBB37">
      <w:pPr>
        <w:pStyle w:val="62"/>
        <w:keepNext w:val="0"/>
        <w:keepLines w:val="0"/>
        <w:pageBreakBefore w:val="0"/>
        <w:kinsoku/>
        <w:wordWrap/>
        <w:overflowPunct/>
        <w:topLinePunct w:val="0"/>
        <w:autoSpaceDE/>
        <w:autoSpaceDN/>
        <w:bidi w:val="0"/>
        <w:adjustRightInd/>
        <w:snapToGrid/>
        <w:spacing w:line="460" w:lineRule="exact"/>
        <w:ind w:firstLine="422"/>
        <w:jc w:val="both"/>
        <w:textAlignment w:val="auto"/>
        <w:rPr>
          <w:rFonts w:hint="eastAsia" w:ascii="黑体" w:hAnsi="黑体" w:eastAsia="黑体" w:cs="黑体"/>
          <w:color w:val="auto"/>
          <w:sz w:val="22"/>
          <w:szCs w:val="22"/>
          <w:highlight w:val="none"/>
        </w:rPr>
      </w:pPr>
      <w:r>
        <w:rPr>
          <w:rFonts w:hint="eastAsia" w:ascii="黑体" w:hAnsi="黑体" w:eastAsia="黑体" w:cs="黑体"/>
          <w:b/>
          <w:color w:val="auto"/>
          <w:sz w:val="22"/>
          <w:szCs w:val="22"/>
          <w:highlight w:val="none"/>
          <w:lang w:val="en-US" w:eastAsia="zh-CN"/>
        </w:rPr>
        <w:t>十六</w:t>
      </w:r>
      <w:r>
        <w:rPr>
          <w:rFonts w:hint="eastAsia" w:ascii="黑体" w:hAnsi="黑体" w:eastAsia="黑体" w:cs="黑体"/>
          <w:b/>
          <w:color w:val="auto"/>
          <w:sz w:val="22"/>
          <w:szCs w:val="22"/>
          <w:highlight w:val="none"/>
        </w:rPr>
        <w:t>、其它</w:t>
      </w:r>
    </w:p>
    <w:p w14:paraId="091A9A71">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1.本合同之所有附件、招标文件、乙方投标文件和中标通知书、乙方承诺书等均为合同的有效组成部分，与本合同具有同样法律效力。</w:t>
      </w:r>
    </w:p>
    <w:p w14:paraId="569B2C11">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2.在执行本合同的过程中，所有经双方签署确认的文件（包括会议纪要、补充协议、往来信函）即成为本合同的有效组成部分。</w:t>
      </w:r>
    </w:p>
    <w:p w14:paraId="221974A9">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3.服务期间若遇上级部门政策影响合同继续履行，甲方有权终止合同且无须承担违约责任。</w:t>
      </w:r>
    </w:p>
    <w:p w14:paraId="351F7896">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4.本合同未尽事宜，协商解决，另行签订补充协议。</w:t>
      </w:r>
    </w:p>
    <w:p w14:paraId="517C2CC3">
      <w:pPr>
        <w:pStyle w:val="62"/>
        <w:keepNext w:val="0"/>
        <w:keepLines w:val="0"/>
        <w:pageBreakBefore w:val="0"/>
        <w:kinsoku/>
        <w:wordWrap/>
        <w:overflowPunct/>
        <w:topLinePunct w:val="0"/>
        <w:autoSpaceDE/>
        <w:autoSpaceDN/>
        <w:bidi w:val="0"/>
        <w:adjustRightInd/>
        <w:snapToGrid/>
        <w:spacing w:line="460" w:lineRule="exact"/>
        <w:ind w:firstLine="420"/>
        <w:jc w:val="both"/>
        <w:textAlignment w:val="auto"/>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5.合同一式五份，甲方执三份，乙方执一份，招标代理机构执一份。经双方法定代表人或授权代表签字盖章后生效，具有同等法律效力。</w:t>
      </w:r>
    </w:p>
    <w:tbl>
      <w:tblPr>
        <w:tblStyle w:val="19"/>
        <w:tblW w:w="0" w:type="auto"/>
        <w:jc w:val="center"/>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4179"/>
        <w:gridCol w:w="4582"/>
      </w:tblGrid>
      <w:tr w14:paraId="38C98B6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773" w:hRule="atLeast"/>
          <w:jc w:val="center"/>
        </w:trPr>
        <w:tc>
          <w:tcPr>
            <w:tcW w:w="4179" w:type="dxa"/>
            <w:tcBorders>
              <w:top w:val="single" w:color="000000" w:sz="4" w:space="0"/>
              <w:left w:val="single" w:color="000000" w:sz="4" w:space="0"/>
              <w:bottom w:val="single" w:color="000000" w:sz="4" w:space="0"/>
              <w:right w:val="single" w:color="000000" w:sz="4" w:space="0"/>
            </w:tcBorders>
            <w:noWrap w:val="0"/>
            <w:tcMar>
              <w:top w:w="0" w:type="dxa"/>
              <w:left w:w="105" w:type="dxa"/>
              <w:bottom w:w="0" w:type="dxa"/>
              <w:right w:w="105" w:type="dxa"/>
            </w:tcMar>
            <w:vAlign w:val="top"/>
          </w:tcPr>
          <w:p w14:paraId="2C6A108E">
            <w:pPr>
              <w:pStyle w:val="62"/>
              <w:spacing w:line="360" w:lineRule="auto"/>
              <w:jc w:val="left"/>
              <w:rPr>
                <w:rFonts w:hint="eastAsia" w:ascii="黑体" w:hAnsi="黑体" w:eastAsia="黑体" w:cs="黑体"/>
                <w:b w:val="0"/>
                <w:bCs w:val="0"/>
                <w:sz w:val="24"/>
                <w:szCs w:val="24"/>
              </w:rPr>
            </w:pPr>
            <w:bookmarkStart w:id="67" w:name="_Toc28575"/>
            <w:bookmarkStart w:id="68" w:name="_Toc405313957"/>
            <w:bookmarkStart w:id="69" w:name="_Toc391627753"/>
            <w:r>
              <w:rPr>
                <w:rFonts w:hint="eastAsia" w:ascii="黑体" w:hAnsi="黑体" w:eastAsia="黑体" w:cs="黑体"/>
                <w:b w:val="0"/>
                <w:bCs w:val="0"/>
                <w:color w:val="000000"/>
                <w:sz w:val="24"/>
                <w:szCs w:val="24"/>
              </w:rPr>
              <w:t>甲方（盖章）：东莞市中医院</w:t>
            </w:r>
          </w:p>
        </w:tc>
        <w:tc>
          <w:tcPr>
            <w:tcW w:w="4582" w:type="dxa"/>
            <w:tcBorders>
              <w:top w:val="single" w:color="000000" w:sz="4" w:space="0"/>
              <w:left w:val="nil"/>
              <w:bottom w:val="single" w:color="000000" w:sz="4" w:space="0"/>
              <w:right w:val="single" w:color="000000" w:sz="4" w:space="0"/>
            </w:tcBorders>
            <w:noWrap w:val="0"/>
            <w:tcMar>
              <w:top w:w="0" w:type="dxa"/>
              <w:left w:w="105" w:type="dxa"/>
              <w:bottom w:w="0" w:type="dxa"/>
              <w:right w:w="105" w:type="dxa"/>
            </w:tcMar>
            <w:vAlign w:val="top"/>
          </w:tcPr>
          <w:p w14:paraId="10CE5295">
            <w:pPr>
              <w:pStyle w:val="62"/>
              <w:spacing w:line="360" w:lineRule="auto"/>
              <w:jc w:val="left"/>
              <w:rPr>
                <w:rFonts w:hint="eastAsia" w:ascii="黑体" w:hAnsi="黑体" w:eastAsia="黑体" w:cs="黑体"/>
                <w:b w:val="0"/>
                <w:bCs w:val="0"/>
                <w:sz w:val="24"/>
                <w:szCs w:val="24"/>
              </w:rPr>
            </w:pPr>
            <w:r>
              <w:rPr>
                <w:rFonts w:hint="eastAsia" w:ascii="黑体" w:hAnsi="黑体" w:eastAsia="黑体" w:cs="黑体"/>
                <w:b w:val="0"/>
                <w:bCs w:val="0"/>
                <w:color w:val="000000"/>
                <w:sz w:val="24"/>
                <w:szCs w:val="24"/>
              </w:rPr>
              <w:t>乙方（盖章）：</w:t>
            </w:r>
          </w:p>
        </w:tc>
      </w:tr>
      <w:tr w14:paraId="2E7FC04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1203" w:hRule="atLeast"/>
          <w:jc w:val="center"/>
        </w:trPr>
        <w:tc>
          <w:tcPr>
            <w:tcW w:w="4179" w:type="dxa"/>
            <w:tcBorders>
              <w:top w:val="nil"/>
              <w:left w:val="single" w:color="000000" w:sz="4" w:space="0"/>
              <w:bottom w:val="single" w:color="000000" w:sz="4" w:space="0"/>
              <w:right w:val="single" w:color="000000" w:sz="4" w:space="0"/>
            </w:tcBorders>
            <w:noWrap w:val="0"/>
            <w:tcMar>
              <w:top w:w="0" w:type="dxa"/>
              <w:left w:w="105" w:type="dxa"/>
              <w:bottom w:w="0" w:type="dxa"/>
              <w:right w:w="105" w:type="dxa"/>
            </w:tcMar>
            <w:vAlign w:val="top"/>
          </w:tcPr>
          <w:p w14:paraId="0E090AEC">
            <w:pPr>
              <w:pStyle w:val="62"/>
              <w:spacing w:line="360" w:lineRule="auto"/>
              <w:jc w:val="left"/>
              <w:rPr>
                <w:rFonts w:hint="eastAsia" w:ascii="黑体" w:hAnsi="黑体" w:eastAsia="黑体" w:cs="黑体"/>
                <w:b w:val="0"/>
                <w:bCs w:val="0"/>
                <w:sz w:val="24"/>
                <w:szCs w:val="24"/>
              </w:rPr>
            </w:pPr>
            <w:r>
              <w:rPr>
                <w:rFonts w:hint="eastAsia" w:ascii="黑体" w:hAnsi="黑体" w:eastAsia="黑体" w:cs="黑体"/>
                <w:b w:val="0"/>
                <w:bCs w:val="0"/>
                <w:color w:val="000000"/>
                <w:sz w:val="24"/>
                <w:szCs w:val="24"/>
              </w:rPr>
              <w:t>法定代表(签字)：</w:t>
            </w:r>
          </w:p>
        </w:tc>
        <w:tc>
          <w:tcPr>
            <w:tcW w:w="4582" w:type="dxa"/>
            <w:tcBorders>
              <w:top w:val="nil"/>
              <w:left w:val="nil"/>
              <w:bottom w:val="single" w:color="000000" w:sz="4" w:space="0"/>
              <w:right w:val="single" w:color="000000" w:sz="4" w:space="0"/>
            </w:tcBorders>
            <w:noWrap w:val="0"/>
            <w:tcMar>
              <w:top w:w="0" w:type="dxa"/>
              <w:left w:w="105" w:type="dxa"/>
              <w:bottom w:w="0" w:type="dxa"/>
              <w:right w:w="105" w:type="dxa"/>
            </w:tcMar>
            <w:vAlign w:val="top"/>
          </w:tcPr>
          <w:p w14:paraId="69159BE7">
            <w:pPr>
              <w:pStyle w:val="62"/>
              <w:spacing w:line="360" w:lineRule="auto"/>
              <w:jc w:val="left"/>
              <w:rPr>
                <w:rFonts w:hint="eastAsia" w:ascii="黑体" w:hAnsi="黑体" w:eastAsia="黑体" w:cs="黑体"/>
                <w:b w:val="0"/>
                <w:bCs w:val="0"/>
                <w:sz w:val="24"/>
                <w:szCs w:val="24"/>
              </w:rPr>
            </w:pPr>
            <w:r>
              <w:rPr>
                <w:rFonts w:hint="eastAsia" w:ascii="黑体" w:hAnsi="黑体" w:eastAsia="黑体" w:cs="黑体"/>
                <w:b w:val="0"/>
                <w:bCs w:val="0"/>
                <w:color w:val="000000"/>
                <w:sz w:val="24"/>
                <w:szCs w:val="24"/>
              </w:rPr>
              <w:t>法定代表(签字)：</w:t>
            </w:r>
          </w:p>
        </w:tc>
      </w:tr>
      <w:tr w14:paraId="0C962EE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4179" w:type="dxa"/>
            <w:tcBorders>
              <w:top w:val="nil"/>
              <w:left w:val="single" w:color="000000" w:sz="4" w:space="0"/>
              <w:bottom w:val="single" w:color="000000" w:sz="4" w:space="0"/>
              <w:right w:val="single" w:color="000000" w:sz="4" w:space="0"/>
            </w:tcBorders>
            <w:noWrap w:val="0"/>
            <w:tcMar>
              <w:top w:w="0" w:type="dxa"/>
              <w:left w:w="105" w:type="dxa"/>
              <w:bottom w:w="0" w:type="dxa"/>
              <w:right w:w="105" w:type="dxa"/>
            </w:tcMar>
            <w:vAlign w:val="top"/>
          </w:tcPr>
          <w:p w14:paraId="33AEFE4E">
            <w:pPr>
              <w:pStyle w:val="62"/>
              <w:spacing w:line="360" w:lineRule="auto"/>
              <w:jc w:val="both"/>
              <w:rPr>
                <w:rFonts w:hint="eastAsia" w:ascii="黑体" w:hAnsi="黑体" w:eastAsia="黑体" w:cs="黑体"/>
                <w:b w:val="0"/>
                <w:bCs w:val="0"/>
                <w:sz w:val="24"/>
                <w:szCs w:val="24"/>
              </w:rPr>
            </w:pPr>
            <w:r>
              <w:rPr>
                <w:rFonts w:hint="eastAsia" w:ascii="黑体" w:hAnsi="黑体" w:eastAsia="黑体" w:cs="黑体"/>
                <w:b w:val="0"/>
                <w:bCs w:val="0"/>
                <w:color w:val="000000"/>
                <w:sz w:val="24"/>
                <w:szCs w:val="24"/>
              </w:rPr>
              <w:t>地址：东莞市东城街道松山湖大道东城段3号</w:t>
            </w:r>
          </w:p>
        </w:tc>
        <w:tc>
          <w:tcPr>
            <w:tcW w:w="4582" w:type="dxa"/>
            <w:tcBorders>
              <w:top w:val="nil"/>
              <w:left w:val="nil"/>
              <w:bottom w:val="single" w:color="000000" w:sz="4" w:space="0"/>
              <w:right w:val="single" w:color="000000" w:sz="4" w:space="0"/>
            </w:tcBorders>
            <w:noWrap w:val="0"/>
            <w:tcMar>
              <w:top w:w="0" w:type="dxa"/>
              <w:left w:w="105" w:type="dxa"/>
              <w:bottom w:w="0" w:type="dxa"/>
              <w:right w:w="105" w:type="dxa"/>
            </w:tcMar>
            <w:vAlign w:val="top"/>
          </w:tcPr>
          <w:p w14:paraId="1ED79A0E">
            <w:pPr>
              <w:pStyle w:val="62"/>
              <w:spacing w:line="360" w:lineRule="auto"/>
              <w:jc w:val="both"/>
              <w:rPr>
                <w:rFonts w:hint="eastAsia" w:ascii="黑体" w:hAnsi="黑体" w:eastAsia="黑体" w:cs="黑体"/>
                <w:b w:val="0"/>
                <w:bCs w:val="0"/>
                <w:sz w:val="24"/>
                <w:szCs w:val="24"/>
              </w:rPr>
            </w:pPr>
            <w:r>
              <w:rPr>
                <w:rFonts w:hint="eastAsia" w:ascii="黑体" w:hAnsi="黑体" w:eastAsia="黑体" w:cs="黑体"/>
                <w:b w:val="0"/>
                <w:bCs w:val="0"/>
                <w:color w:val="000000"/>
                <w:sz w:val="24"/>
                <w:szCs w:val="24"/>
              </w:rPr>
              <w:t>地址：</w:t>
            </w:r>
          </w:p>
        </w:tc>
      </w:tr>
      <w:tr w14:paraId="5A8FD6E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4179" w:type="dxa"/>
            <w:tcBorders>
              <w:top w:val="nil"/>
              <w:left w:val="single" w:color="000000" w:sz="4" w:space="0"/>
              <w:bottom w:val="single" w:color="000000" w:sz="4" w:space="0"/>
              <w:right w:val="single" w:color="000000" w:sz="4" w:space="0"/>
            </w:tcBorders>
            <w:noWrap w:val="0"/>
            <w:tcMar>
              <w:top w:w="0" w:type="dxa"/>
              <w:left w:w="105" w:type="dxa"/>
              <w:bottom w:w="0" w:type="dxa"/>
              <w:right w:w="105" w:type="dxa"/>
            </w:tcMar>
            <w:vAlign w:val="top"/>
          </w:tcPr>
          <w:p w14:paraId="30074E80">
            <w:pPr>
              <w:pStyle w:val="62"/>
              <w:spacing w:line="360" w:lineRule="auto"/>
              <w:jc w:val="both"/>
              <w:rPr>
                <w:rFonts w:hint="eastAsia" w:ascii="黑体" w:hAnsi="黑体" w:eastAsia="黑体" w:cs="黑体"/>
                <w:b w:val="0"/>
                <w:bCs w:val="0"/>
                <w:sz w:val="24"/>
                <w:szCs w:val="24"/>
              </w:rPr>
            </w:pPr>
            <w:r>
              <w:rPr>
                <w:rFonts w:hint="eastAsia" w:ascii="黑体" w:hAnsi="黑体" w:eastAsia="黑体" w:cs="黑体"/>
                <w:b w:val="0"/>
                <w:bCs w:val="0"/>
                <w:color w:val="000000"/>
                <w:sz w:val="24"/>
                <w:szCs w:val="24"/>
              </w:rPr>
              <w:t>联系电话：0769-26385133</w:t>
            </w:r>
          </w:p>
        </w:tc>
        <w:tc>
          <w:tcPr>
            <w:tcW w:w="4582" w:type="dxa"/>
            <w:tcBorders>
              <w:top w:val="nil"/>
              <w:left w:val="nil"/>
              <w:bottom w:val="single" w:color="000000" w:sz="4" w:space="0"/>
              <w:right w:val="single" w:color="000000" w:sz="4" w:space="0"/>
            </w:tcBorders>
            <w:noWrap w:val="0"/>
            <w:tcMar>
              <w:top w:w="0" w:type="dxa"/>
              <w:left w:w="105" w:type="dxa"/>
              <w:bottom w:w="0" w:type="dxa"/>
              <w:right w:w="105" w:type="dxa"/>
            </w:tcMar>
            <w:vAlign w:val="top"/>
          </w:tcPr>
          <w:p w14:paraId="417BEBF8">
            <w:pPr>
              <w:rPr>
                <w:rFonts w:hint="eastAsia" w:ascii="黑体" w:hAnsi="黑体" w:eastAsia="黑体" w:cs="黑体"/>
                <w:b w:val="0"/>
                <w:bCs w:val="0"/>
              </w:rPr>
            </w:pPr>
            <w:r>
              <w:rPr>
                <w:rFonts w:hint="eastAsia" w:ascii="黑体" w:hAnsi="黑体" w:eastAsia="黑体" w:cs="黑体"/>
                <w:b w:val="0"/>
                <w:bCs w:val="0"/>
                <w:color w:val="000000"/>
                <w:sz w:val="24"/>
                <w:szCs w:val="24"/>
              </w:rPr>
              <w:t>联系电话：</w:t>
            </w:r>
          </w:p>
          <w:p w14:paraId="02CBEBFF">
            <w:pPr>
              <w:pStyle w:val="62"/>
              <w:spacing w:line="360" w:lineRule="auto"/>
              <w:jc w:val="both"/>
              <w:rPr>
                <w:rFonts w:hint="eastAsia" w:ascii="黑体" w:hAnsi="黑体" w:eastAsia="黑体" w:cs="黑体"/>
                <w:b w:val="0"/>
                <w:bCs w:val="0"/>
                <w:sz w:val="24"/>
                <w:szCs w:val="24"/>
              </w:rPr>
            </w:pPr>
          </w:p>
        </w:tc>
      </w:tr>
      <w:tr w14:paraId="7A907C7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4179" w:type="dxa"/>
            <w:tcBorders>
              <w:top w:val="nil"/>
              <w:left w:val="single" w:color="000000" w:sz="4" w:space="0"/>
              <w:bottom w:val="single" w:color="000000" w:sz="4" w:space="0"/>
              <w:right w:val="single" w:color="000000" w:sz="4" w:space="0"/>
            </w:tcBorders>
            <w:noWrap w:val="0"/>
            <w:tcMar>
              <w:top w:w="0" w:type="dxa"/>
              <w:left w:w="105" w:type="dxa"/>
              <w:bottom w:w="0" w:type="dxa"/>
              <w:right w:w="105" w:type="dxa"/>
            </w:tcMar>
            <w:vAlign w:val="top"/>
          </w:tcPr>
          <w:p w14:paraId="0D83AAF5">
            <w:pPr>
              <w:pStyle w:val="62"/>
              <w:spacing w:line="360" w:lineRule="auto"/>
              <w:jc w:val="both"/>
              <w:rPr>
                <w:rFonts w:hint="eastAsia" w:ascii="黑体" w:hAnsi="黑体" w:eastAsia="黑体" w:cs="黑体"/>
                <w:b w:val="0"/>
                <w:bCs w:val="0"/>
                <w:sz w:val="24"/>
                <w:szCs w:val="24"/>
              </w:rPr>
            </w:pPr>
            <w:r>
              <w:rPr>
                <w:rFonts w:hint="eastAsia" w:ascii="黑体" w:hAnsi="黑体" w:eastAsia="黑体" w:cs="黑体"/>
                <w:b w:val="0"/>
                <w:bCs w:val="0"/>
                <w:color w:val="000000"/>
                <w:sz w:val="24"/>
                <w:szCs w:val="24"/>
              </w:rPr>
              <w:t>统一社会信用代码：1244190045722969XW</w:t>
            </w:r>
          </w:p>
        </w:tc>
        <w:tc>
          <w:tcPr>
            <w:tcW w:w="4582" w:type="dxa"/>
            <w:tcBorders>
              <w:top w:val="nil"/>
              <w:left w:val="nil"/>
              <w:bottom w:val="single" w:color="000000" w:sz="4" w:space="0"/>
              <w:right w:val="single" w:color="000000" w:sz="4" w:space="0"/>
            </w:tcBorders>
            <w:noWrap w:val="0"/>
            <w:tcMar>
              <w:top w:w="0" w:type="dxa"/>
              <w:left w:w="105" w:type="dxa"/>
              <w:bottom w:w="0" w:type="dxa"/>
              <w:right w:w="105" w:type="dxa"/>
            </w:tcMar>
            <w:vAlign w:val="top"/>
          </w:tcPr>
          <w:p w14:paraId="1AE2849B">
            <w:pPr>
              <w:spacing w:line="360" w:lineRule="auto"/>
              <w:rPr>
                <w:rFonts w:hint="eastAsia" w:ascii="黑体" w:hAnsi="黑体" w:eastAsia="黑体" w:cs="黑体"/>
                <w:b w:val="0"/>
                <w:bCs w:val="0"/>
                <w:color w:val="000000"/>
                <w:sz w:val="24"/>
                <w:szCs w:val="24"/>
              </w:rPr>
            </w:pPr>
            <w:r>
              <w:rPr>
                <w:rFonts w:hint="eastAsia" w:ascii="黑体" w:hAnsi="黑体" w:eastAsia="黑体" w:cs="黑体"/>
                <w:b w:val="0"/>
                <w:bCs w:val="0"/>
                <w:color w:val="000000"/>
                <w:sz w:val="24"/>
                <w:szCs w:val="24"/>
              </w:rPr>
              <w:t>统一社会信用代码：</w:t>
            </w:r>
          </w:p>
          <w:p w14:paraId="3A9F8AFD">
            <w:pPr>
              <w:spacing w:line="360" w:lineRule="auto"/>
              <w:rPr>
                <w:rFonts w:hint="eastAsia" w:ascii="黑体" w:hAnsi="黑体" w:eastAsia="黑体" w:cs="黑体"/>
                <w:b w:val="0"/>
                <w:bCs w:val="0"/>
                <w:sz w:val="24"/>
                <w:szCs w:val="24"/>
              </w:rPr>
            </w:pPr>
          </w:p>
        </w:tc>
      </w:tr>
      <w:tr w14:paraId="24E1583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4179" w:type="dxa"/>
            <w:tcBorders>
              <w:top w:val="nil"/>
              <w:left w:val="single" w:color="000000" w:sz="4" w:space="0"/>
              <w:bottom w:val="single" w:color="000000" w:sz="4" w:space="0"/>
              <w:right w:val="single" w:color="000000" w:sz="4" w:space="0"/>
            </w:tcBorders>
            <w:noWrap w:val="0"/>
            <w:tcMar>
              <w:top w:w="0" w:type="dxa"/>
              <w:left w:w="105" w:type="dxa"/>
              <w:bottom w:w="0" w:type="dxa"/>
              <w:right w:w="105" w:type="dxa"/>
            </w:tcMar>
            <w:vAlign w:val="top"/>
          </w:tcPr>
          <w:p w14:paraId="3BA794CC">
            <w:pPr>
              <w:pStyle w:val="62"/>
              <w:spacing w:line="360" w:lineRule="auto"/>
              <w:jc w:val="both"/>
              <w:rPr>
                <w:rFonts w:hint="eastAsia" w:ascii="黑体" w:hAnsi="黑体" w:eastAsia="黑体" w:cs="黑体"/>
                <w:b w:val="0"/>
                <w:bCs w:val="0"/>
                <w:sz w:val="24"/>
                <w:szCs w:val="24"/>
              </w:rPr>
            </w:pPr>
            <w:r>
              <w:rPr>
                <w:rFonts w:hint="eastAsia" w:ascii="黑体" w:hAnsi="黑体" w:eastAsia="黑体" w:cs="黑体"/>
                <w:b w:val="0"/>
                <w:bCs w:val="0"/>
                <w:color w:val="000000"/>
                <w:sz w:val="24"/>
                <w:szCs w:val="24"/>
              </w:rPr>
              <w:t>开户银行：东莞银行中心区东湖支行</w:t>
            </w:r>
          </w:p>
        </w:tc>
        <w:tc>
          <w:tcPr>
            <w:tcW w:w="4582" w:type="dxa"/>
            <w:tcBorders>
              <w:top w:val="nil"/>
              <w:left w:val="nil"/>
              <w:bottom w:val="single" w:color="000000" w:sz="4" w:space="0"/>
              <w:right w:val="single" w:color="000000" w:sz="4" w:space="0"/>
            </w:tcBorders>
            <w:noWrap w:val="0"/>
            <w:tcMar>
              <w:top w:w="0" w:type="dxa"/>
              <w:left w:w="105" w:type="dxa"/>
              <w:bottom w:w="0" w:type="dxa"/>
              <w:right w:w="105" w:type="dxa"/>
            </w:tcMar>
            <w:vAlign w:val="top"/>
          </w:tcPr>
          <w:p w14:paraId="45F64D5D">
            <w:pPr>
              <w:pStyle w:val="62"/>
              <w:spacing w:line="360" w:lineRule="auto"/>
              <w:rPr>
                <w:rFonts w:hint="eastAsia" w:ascii="黑体" w:hAnsi="黑体" w:eastAsia="黑体" w:cs="黑体"/>
                <w:b w:val="0"/>
                <w:bCs w:val="0"/>
                <w:sz w:val="24"/>
                <w:szCs w:val="24"/>
              </w:rPr>
            </w:pPr>
            <w:r>
              <w:rPr>
                <w:rFonts w:hint="eastAsia" w:ascii="黑体" w:hAnsi="黑体" w:eastAsia="黑体" w:cs="黑体"/>
                <w:b w:val="0"/>
                <w:bCs w:val="0"/>
                <w:color w:val="000000"/>
                <w:sz w:val="24"/>
                <w:szCs w:val="24"/>
              </w:rPr>
              <w:t>开户银行：</w:t>
            </w:r>
          </w:p>
        </w:tc>
      </w:tr>
      <w:tr w14:paraId="09B1B73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4179" w:type="dxa"/>
            <w:tcBorders>
              <w:top w:val="nil"/>
              <w:left w:val="single" w:color="000000" w:sz="4" w:space="0"/>
              <w:bottom w:val="single" w:color="000000" w:sz="4" w:space="0"/>
              <w:right w:val="single" w:color="000000" w:sz="4" w:space="0"/>
            </w:tcBorders>
            <w:noWrap w:val="0"/>
            <w:tcMar>
              <w:top w:w="0" w:type="dxa"/>
              <w:left w:w="105" w:type="dxa"/>
              <w:bottom w:w="0" w:type="dxa"/>
              <w:right w:w="105" w:type="dxa"/>
            </w:tcMar>
            <w:vAlign w:val="top"/>
          </w:tcPr>
          <w:p w14:paraId="062891EE">
            <w:pPr>
              <w:pStyle w:val="62"/>
              <w:spacing w:line="360" w:lineRule="auto"/>
              <w:jc w:val="both"/>
              <w:rPr>
                <w:rFonts w:hint="eastAsia" w:ascii="黑体" w:hAnsi="黑体" w:eastAsia="黑体" w:cs="黑体"/>
                <w:b w:val="0"/>
                <w:bCs w:val="0"/>
                <w:sz w:val="24"/>
                <w:szCs w:val="24"/>
              </w:rPr>
            </w:pPr>
            <w:r>
              <w:rPr>
                <w:rFonts w:hint="eastAsia" w:ascii="黑体" w:hAnsi="黑体" w:eastAsia="黑体" w:cs="黑体"/>
                <w:b w:val="0"/>
                <w:bCs w:val="0"/>
                <w:color w:val="000000"/>
                <w:sz w:val="24"/>
                <w:szCs w:val="24"/>
              </w:rPr>
              <w:t>账号：500088335709016</w:t>
            </w:r>
          </w:p>
        </w:tc>
        <w:tc>
          <w:tcPr>
            <w:tcW w:w="4582" w:type="dxa"/>
            <w:tcBorders>
              <w:top w:val="nil"/>
              <w:left w:val="nil"/>
              <w:bottom w:val="single" w:color="000000" w:sz="4" w:space="0"/>
              <w:right w:val="single" w:color="000000" w:sz="4" w:space="0"/>
            </w:tcBorders>
            <w:noWrap w:val="0"/>
            <w:tcMar>
              <w:top w:w="0" w:type="dxa"/>
              <w:left w:w="105" w:type="dxa"/>
              <w:bottom w:w="0" w:type="dxa"/>
              <w:right w:w="105" w:type="dxa"/>
            </w:tcMar>
            <w:vAlign w:val="top"/>
          </w:tcPr>
          <w:p w14:paraId="436BFDD8">
            <w:pPr>
              <w:pStyle w:val="62"/>
              <w:spacing w:line="360" w:lineRule="auto"/>
              <w:rPr>
                <w:rFonts w:hint="eastAsia" w:ascii="黑体" w:hAnsi="黑体" w:eastAsia="黑体" w:cs="黑体"/>
                <w:b w:val="0"/>
                <w:bCs w:val="0"/>
                <w:sz w:val="24"/>
                <w:szCs w:val="24"/>
              </w:rPr>
            </w:pPr>
            <w:r>
              <w:rPr>
                <w:rFonts w:hint="eastAsia" w:ascii="黑体" w:hAnsi="黑体" w:eastAsia="黑体" w:cs="黑体"/>
                <w:b w:val="0"/>
                <w:bCs w:val="0"/>
                <w:color w:val="000000"/>
                <w:sz w:val="24"/>
                <w:szCs w:val="24"/>
              </w:rPr>
              <w:t>账号：</w:t>
            </w:r>
          </w:p>
        </w:tc>
      </w:tr>
      <w:tr w14:paraId="79A8D9E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4179" w:type="dxa"/>
            <w:tcBorders>
              <w:top w:val="nil"/>
              <w:left w:val="single" w:color="000000" w:sz="4" w:space="0"/>
              <w:bottom w:val="single" w:color="000000" w:sz="4" w:space="0"/>
              <w:right w:val="single" w:color="000000" w:sz="4" w:space="0"/>
            </w:tcBorders>
            <w:noWrap w:val="0"/>
            <w:tcMar>
              <w:top w:w="0" w:type="dxa"/>
              <w:left w:w="105" w:type="dxa"/>
              <w:bottom w:w="0" w:type="dxa"/>
              <w:right w:w="105" w:type="dxa"/>
            </w:tcMar>
            <w:vAlign w:val="top"/>
          </w:tcPr>
          <w:p w14:paraId="76D5BE40">
            <w:pPr>
              <w:pStyle w:val="62"/>
              <w:spacing w:line="360" w:lineRule="auto"/>
              <w:jc w:val="both"/>
              <w:rPr>
                <w:rFonts w:hint="eastAsia" w:ascii="黑体" w:hAnsi="黑体" w:eastAsia="黑体" w:cs="黑体"/>
                <w:b w:val="0"/>
                <w:bCs w:val="0"/>
                <w:sz w:val="24"/>
                <w:szCs w:val="24"/>
              </w:rPr>
            </w:pPr>
            <w:r>
              <w:rPr>
                <w:rFonts w:hint="eastAsia" w:ascii="黑体" w:hAnsi="黑体" w:eastAsia="黑体" w:cs="黑体"/>
                <w:b w:val="0"/>
                <w:bCs w:val="0"/>
                <w:color w:val="000000"/>
                <w:sz w:val="24"/>
                <w:szCs w:val="24"/>
              </w:rPr>
              <w:t>时间：</w:t>
            </w:r>
            <w:r>
              <w:rPr>
                <w:rFonts w:hint="eastAsia" w:ascii="黑体" w:hAnsi="黑体" w:eastAsia="黑体" w:cs="黑体"/>
                <w:b w:val="0"/>
                <w:bCs w:val="0"/>
                <w:color w:val="000000"/>
                <w:sz w:val="24"/>
                <w:szCs w:val="24"/>
                <w:lang w:val="en-US" w:eastAsia="zh-CN"/>
              </w:rPr>
              <w:t xml:space="preserve">   </w:t>
            </w:r>
            <w:r>
              <w:rPr>
                <w:rFonts w:hint="eastAsia" w:ascii="黑体" w:hAnsi="黑体" w:eastAsia="黑体" w:cs="黑体"/>
                <w:b w:val="0"/>
                <w:bCs w:val="0"/>
                <w:color w:val="000000"/>
                <w:sz w:val="24"/>
                <w:szCs w:val="24"/>
              </w:rPr>
              <w:t>年   月   日</w:t>
            </w:r>
          </w:p>
        </w:tc>
        <w:tc>
          <w:tcPr>
            <w:tcW w:w="4582" w:type="dxa"/>
            <w:tcBorders>
              <w:top w:val="nil"/>
              <w:left w:val="nil"/>
              <w:bottom w:val="single" w:color="000000" w:sz="4" w:space="0"/>
              <w:right w:val="single" w:color="000000" w:sz="4" w:space="0"/>
            </w:tcBorders>
            <w:noWrap w:val="0"/>
            <w:tcMar>
              <w:top w:w="0" w:type="dxa"/>
              <w:left w:w="105" w:type="dxa"/>
              <w:bottom w:w="0" w:type="dxa"/>
              <w:right w:w="105" w:type="dxa"/>
            </w:tcMar>
            <w:vAlign w:val="top"/>
          </w:tcPr>
          <w:p w14:paraId="62BE47F9">
            <w:pPr>
              <w:pStyle w:val="62"/>
              <w:spacing w:line="360" w:lineRule="auto"/>
              <w:rPr>
                <w:rFonts w:hint="eastAsia" w:ascii="黑体" w:hAnsi="黑体" w:eastAsia="黑体" w:cs="黑体"/>
                <w:b w:val="0"/>
                <w:bCs w:val="0"/>
                <w:sz w:val="24"/>
                <w:szCs w:val="24"/>
              </w:rPr>
            </w:pPr>
          </w:p>
        </w:tc>
      </w:tr>
      <w:tr w14:paraId="4FBA29B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8761" w:type="dxa"/>
            <w:gridSpan w:val="2"/>
            <w:tcBorders>
              <w:top w:val="nil"/>
              <w:left w:val="single" w:color="000000" w:sz="4" w:space="0"/>
              <w:bottom w:val="single" w:color="000000" w:sz="4" w:space="0"/>
              <w:right w:val="single" w:color="000000" w:sz="4" w:space="0"/>
            </w:tcBorders>
            <w:noWrap w:val="0"/>
            <w:tcMar>
              <w:top w:w="0" w:type="dxa"/>
              <w:left w:w="105" w:type="dxa"/>
              <w:bottom w:w="0" w:type="dxa"/>
              <w:right w:w="105" w:type="dxa"/>
            </w:tcMar>
            <w:vAlign w:val="top"/>
          </w:tcPr>
          <w:p w14:paraId="141BEE69">
            <w:pPr>
              <w:pStyle w:val="62"/>
              <w:spacing w:line="360" w:lineRule="auto"/>
              <w:jc w:val="both"/>
              <w:rPr>
                <w:rFonts w:hint="eastAsia" w:ascii="黑体" w:hAnsi="黑体" w:eastAsia="黑体" w:cs="黑体"/>
                <w:b w:val="0"/>
                <w:bCs w:val="0"/>
                <w:sz w:val="24"/>
                <w:szCs w:val="24"/>
              </w:rPr>
            </w:pPr>
            <w:r>
              <w:rPr>
                <w:rFonts w:hint="eastAsia" w:ascii="黑体" w:hAnsi="黑体" w:eastAsia="黑体" w:cs="黑体"/>
                <w:b w:val="0"/>
                <w:bCs w:val="0"/>
                <w:color w:val="000000"/>
                <w:sz w:val="24"/>
                <w:szCs w:val="24"/>
              </w:rPr>
              <w:t>地点：东莞市</w:t>
            </w:r>
          </w:p>
        </w:tc>
      </w:tr>
    </w:tbl>
    <w:p w14:paraId="7DBC107A">
      <w:pPr>
        <w:pStyle w:val="2"/>
        <w:keepNext w:val="0"/>
        <w:keepLines w:val="0"/>
        <w:pageBreakBefore/>
        <w:spacing w:line="360" w:lineRule="auto"/>
        <w:jc w:val="center"/>
        <w:rPr>
          <w:rFonts w:hint="eastAsia" w:ascii="黑体" w:hAnsi="黑体" w:eastAsia="黑体" w:cs="黑体"/>
          <w:color w:val="auto"/>
          <w:spacing w:val="20"/>
          <w:sz w:val="32"/>
          <w:szCs w:val="32"/>
          <w:highlight w:val="none"/>
        </w:rPr>
      </w:pPr>
      <w:r>
        <w:rPr>
          <w:rFonts w:hint="eastAsia" w:ascii="黑体" w:hAnsi="黑体" w:eastAsia="黑体" w:cs="黑体"/>
          <w:color w:val="auto"/>
          <w:spacing w:val="20"/>
          <w:sz w:val="32"/>
          <w:szCs w:val="32"/>
          <w:highlight w:val="none"/>
        </w:rPr>
        <w:t>第七部分 投标文件格式</w:t>
      </w:r>
      <w:bookmarkEnd w:id="67"/>
      <w:bookmarkEnd w:id="68"/>
      <w:bookmarkEnd w:id="69"/>
    </w:p>
    <w:p w14:paraId="1767E3E1">
      <w:pPr>
        <w:pStyle w:val="29"/>
        <w:spacing w:after="312" w:afterLines="100" w:line="360" w:lineRule="auto"/>
        <w:ind w:left="420" w:right="108" w:firstLine="0" w:firstLineChars="0"/>
        <w:jc w:val="right"/>
        <w:rPr>
          <w:rFonts w:hint="eastAsia" w:ascii="黑体" w:hAnsi="黑体" w:eastAsia="黑体" w:cs="黑体"/>
          <w:b/>
          <w:color w:val="auto"/>
          <w:sz w:val="36"/>
          <w:szCs w:val="36"/>
          <w:highlight w:val="none"/>
        </w:rPr>
      </w:pPr>
      <w:r>
        <w:rPr>
          <w:rFonts w:hint="eastAsia" w:ascii="黑体" w:hAnsi="黑体" w:eastAsia="黑体" w:cs="黑体"/>
          <w:b/>
          <w:color w:val="auto"/>
          <w:sz w:val="36"/>
          <w:szCs w:val="36"/>
          <w:highlight w:val="none"/>
        </w:rPr>
        <w:t>正本/副本</w:t>
      </w:r>
    </w:p>
    <w:p w14:paraId="079DF16E">
      <w:pPr>
        <w:spacing w:before="1092" w:beforeLines="350" w:after="780" w:afterLines="250" w:line="360" w:lineRule="auto"/>
        <w:jc w:val="center"/>
        <w:rPr>
          <w:rFonts w:hint="eastAsia" w:ascii="黑体" w:hAnsi="黑体" w:eastAsia="黑体" w:cs="黑体"/>
          <w:bCs/>
          <w:color w:val="auto"/>
          <w:sz w:val="50"/>
          <w:szCs w:val="50"/>
          <w:highlight w:val="none"/>
          <w:lang w:eastAsia="zh-CN"/>
        </w:rPr>
      </w:pPr>
      <w:r>
        <w:rPr>
          <w:rFonts w:hint="eastAsia" w:ascii="黑体" w:hAnsi="黑体" w:eastAsia="黑体" w:cs="黑体"/>
          <w:bCs/>
          <w:color w:val="auto"/>
          <w:sz w:val="50"/>
          <w:szCs w:val="50"/>
          <w:highlight w:val="none"/>
          <w:lang w:eastAsia="zh-CN"/>
        </w:rPr>
        <w:t>东莞市中医院消毒供应中心精细化天轨密集管理架采购项目（重新采购）</w:t>
      </w:r>
    </w:p>
    <w:p w14:paraId="5143AF66">
      <w:pPr>
        <w:spacing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（项目编号：</w:t>
      </w:r>
      <w:r>
        <w:rPr>
          <w:rFonts w:hint="eastAsia" w:ascii="黑体" w:hAnsi="黑体" w:eastAsia="黑体" w:cs="黑体"/>
          <w:b/>
          <w:color w:val="auto"/>
          <w:szCs w:val="21"/>
          <w:highlight w:val="none"/>
          <w:u w:val="single"/>
        </w:rPr>
        <w:t xml:space="preserve">             </w:t>
      </w:r>
      <w:r>
        <w:rPr>
          <w:rFonts w:hint="eastAsia" w:ascii="黑体" w:hAnsi="黑体" w:eastAsia="黑体" w:cs="黑体"/>
          <w:b/>
          <w:color w:val="auto"/>
          <w:szCs w:val="21"/>
          <w:highlight w:val="none"/>
        </w:rPr>
        <w:t>）</w:t>
      </w:r>
    </w:p>
    <w:p w14:paraId="2CACBCDD">
      <w:pPr>
        <w:spacing w:before="937" w:beforeLines="300" w:line="360" w:lineRule="auto"/>
        <w:jc w:val="center"/>
        <w:rPr>
          <w:rFonts w:hint="eastAsia" w:ascii="黑体" w:hAnsi="黑体" w:eastAsia="黑体" w:cs="黑体"/>
          <w:b/>
          <w:color w:val="auto"/>
          <w:spacing w:val="60"/>
          <w:sz w:val="72"/>
          <w:szCs w:val="72"/>
          <w:highlight w:val="none"/>
        </w:rPr>
      </w:pPr>
      <w:r>
        <w:rPr>
          <w:rFonts w:hint="eastAsia" w:ascii="黑体" w:hAnsi="黑体" w:eastAsia="黑体" w:cs="黑体"/>
          <w:b/>
          <w:color w:val="auto"/>
          <w:spacing w:val="60"/>
          <w:sz w:val="72"/>
          <w:szCs w:val="72"/>
          <w:highlight w:val="none"/>
        </w:rPr>
        <w:t>投标文件</w:t>
      </w:r>
    </w:p>
    <w:p w14:paraId="79D637D5">
      <w:pPr>
        <w:spacing w:after="1560" w:afterLines="500"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（封面格式仅供参考）</w:t>
      </w:r>
    </w:p>
    <w:tbl>
      <w:tblPr>
        <w:tblStyle w:val="20"/>
        <w:tblW w:w="4184"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085"/>
        <w:gridCol w:w="5251"/>
      </w:tblGrid>
      <w:tr w14:paraId="2617EE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7" w:hRule="atLeast"/>
          <w:jc w:val="center"/>
        </w:trPr>
        <w:tc>
          <w:tcPr>
            <w:tcW w:w="1421" w:type="pct"/>
            <w:vAlign w:val="center"/>
          </w:tcPr>
          <w:p w14:paraId="2A28E682">
            <w:pPr>
              <w:spacing w:line="360" w:lineRule="auto"/>
              <w:jc w:val="right"/>
              <w:rPr>
                <w:rFonts w:hint="eastAsia" w:ascii="黑体" w:hAnsi="黑体" w:eastAsia="黑体" w:cs="黑体"/>
                <w:color w:val="auto"/>
                <w:sz w:val="24"/>
                <w:szCs w:val="24"/>
                <w:highlight w:val="none"/>
              </w:rPr>
            </w:pPr>
            <w:r>
              <w:rPr>
                <w:rFonts w:hint="eastAsia" w:ascii="黑体" w:hAnsi="黑体" w:eastAsia="黑体" w:cs="黑体"/>
                <w:color w:val="auto"/>
                <w:sz w:val="24"/>
                <w:szCs w:val="24"/>
                <w:highlight w:val="none"/>
              </w:rPr>
              <w:t>投标人名称：</w:t>
            </w:r>
          </w:p>
        </w:tc>
        <w:tc>
          <w:tcPr>
            <w:tcW w:w="3579" w:type="pct"/>
            <w:vAlign w:val="center"/>
          </w:tcPr>
          <w:p w14:paraId="7E1FD414">
            <w:pPr>
              <w:spacing w:line="360" w:lineRule="auto"/>
              <w:jc w:val="left"/>
              <w:rPr>
                <w:rFonts w:hint="eastAsia" w:ascii="黑体" w:hAnsi="黑体" w:eastAsia="黑体" w:cs="黑体"/>
                <w:color w:val="auto"/>
                <w:sz w:val="24"/>
                <w:szCs w:val="24"/>
                <w:highlight w:val="none"/>
                <w:u w:val="single"/>
              </w:rPr>
            </w:pPr>
            <w:r>
              <w:rPr>
                <w:rFonts w:hint="eastAsia" w:ascii="黑体" w:hAnsi="黑体" w:eastAsia="黑体" w:cs="黑体"/>
                <w:color w:val="auto"/>
                <w:sz w:val="24"/>
                <w:szCs w:val="24"/>
                <w:highlight w:val="none"/>
                <w:u w:val="single"/>
              </w:rPr>
              <w:t xml:space="preserve">                                       </w:t>
            </w:r>
          </w:p>
        </w:tc>
      </w:tr>
      <w:tr w14:paraId="1E3D18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1421" w:type="pct"/>
            <w:vAlign w:val="center"/>
          </w:tcPr>
          <w:p w14:paraId="7F2DA83C">
            <w:pPr>
              <w:spacing w:line="360" w:lineRule="auto"/>
              <w:jc w:val="right"/>
              <w:rPr>
                <w:rFonts w:hint="eastAsia" w:ascii="黑体" w:hAnsi="黑体" w:eastAsia="黑体" w:cs="黑体"/>
                <w:color w:val="auto"/>
                <w:sz w:val="24"/>
                <w:szCs w:val="24"/>
                <w:highlight w:val="none"/>
              </w:rPr>
            </w:pPr>
            <w:r>
              <w:rPr>
                <w:rFonts w:hint="eastAsia" w:ascii="黑体" w:hAnsi="黑体" w:eastAsia="黑体" w:cs="黑体"/>
                <w:color w:val="auto"/>
                <w:sz w:val="24"/>
                <w:szCs w:val="24"/>
                <w:highlight w:val="none"/>
              </w:rPr>
              <w:t>投标人地址：</w:t>
            </w:r>
          </w:p>
        </w:tc>
        <w:tc>
          <w:tcPr>
            <w:tcW w:w="3579" w:type="pct"/>
            <w:vAlign w:val="center"/>
          </w:tcPr>
          <w:p w14:paraId="159C0A20">
            <w:pPr>
              <w:spacing w:line="360" w:lineRule="auto"/>
              <w:jc w:val="left"/>
              <w:rPr>
                <w:rFonts w:hint="eastAsia" w:ascii="黑体" w:hAnsi="黑体" w:eastAsia="黑体" w:cs="黑体"/>
                <w:color w:val="auto"/>
                <w:sz w:val="24"/>
                <w:szCs w:val="24"/>
                <w:highlight w:val="none"/>
                <w:u w:val="single"/>
              </w:rPr>
            </w:pPr>
            <w:r>
              <w:rPr>
                <w:rFonts w:hint="eastAsia" w:ascii="黑体" w:hAnsi="黑体" w:eastAsia="黑体" w:cs="黑体"/>
                <w:color w:val="auto"/>
                <w:sz w:val="24"/>
                <w:szCs w:val="24"/>
                <w:highlight w:val="none"/>
                <w:u w:val="single"/>
              </w:rPr>
              <w:t xml:space="preserve">                                       </w:t>
            </w:r>
          </w:p>
        </w:tc>
      </w:tr>
      <w:tr w14:paraId="3E461A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0" w:hRule="atLeast"/>
          <w:jc w:val="center"/>
        </w:trPr>
        <w:tc>
          <w:tcPr>
            <w:tcW w:w="1421" w:type="pct"/>
            <w:vAlign w:val="center"/>
          </w:tcPr>
          <w:p w14:paraId="28E9C29A">
            <w:pPr>
              <w:spacing w:line="360" w:lineRule="auto"/>
              <w:jc w:val="right"/>
              <w:rPr>
                <w:rFonts w:hint="eastAsia" w:ascii="黑体" w:hAnsi="黑体" w:eastAsia="黑体" w:cs="黑体"/>
                <w:color w:val="auto"/>
                <w:spacing w:val="-10"/>
                <w:sz w:val="24"/>
                <w:szCs w:val="24"/>
                <w:highlight w:val="none"/>
              </w:rPr>
            </w:pPr>
            <w:r>
              <w:rPr>
                <w:rFonts w:hint="eastAsia" w:ascii="黑体" w:hAnsi="黑体" w:eastAsia="黑体" w:cs="黑体"/>
                <w:color w:val="auto"/>
                <w:sz w:val="24"/>
                <w:szCs w:val="24"/>
                <w:highlight w:val="none"/>
              </w:rPr>
              <w:t>投标联系人</w:t>
            </w:r>
            <w:r>
              <w:rPr>
                <w:rFonts w:hint="eastAsia" w:ascii="黑体" w:hAnsi="黑体" w:eastAsia="黑体" w:cs="黑体"/>
                <w:color w:val="auto"/>
                <w:spacing w:val="-10"/>
                <w:sz w:val="24"/>
                <w:szCs w:val="24"/>
                <w:highlight w:val="none"/>
              </w:rPr>
              <w:t>：</w:t>
            </w:r>
          </w:p>
        </w:tc>
        <w:tc>
          <w:tcPr>
            <w:tcW w:w="3579" w:type="pct"/>
            <w:vAlign w:val="center"/>
          </w:tcPr>
          <w:p w14:paraId="2ADB6889">
            <w:pPr>
              <w:spacing w:line="360" w:lineRule="auto"/>
              <w:jc w:val="left"/>
              <w:rPr>
                <w:rFonts w:hint="eastAsia" w:ascii="黑体" w:hAnsi="黑体" w:eastAsia="黑体" w:cs="黑体"/>
                <w:color w:val="auto"/>
                <w:sz w:val="24"/>
                <w:szCs w:val="24"/>
                <w:highlight w:val="none"/>
                <w:u w:val="single"/>
              </w:rPr>
            </w:pPr>
            <w:r>
              <w:rPr>
                <w:rFonts w:hint="eastAsia" w:ascii="黑体" w:hAnsi="黑体" w:eastAsia="黑体" w:cs="黑体"/>
                <w:color w:val="auto"/>
                <w:sz w:val="24"/>
                <w:szCs w:val="24"/>
                <w:highlight w:val="none"/>
                <w:u w:val="single"/>
              </w:rPr>
              <w:t xml:space="preserve">                                       </w:t>
            </w:r>
          </w:p>
        </w:tc>
      </w:tr>
      <w:tr w14:paraId="5C1E52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1421" w:type="pct"/>
            <w:vAlign w:val="center"/>
          </w:tcPr>
          <w:p w14:paraId="226F9199">
            <w:pPr>
              <w:tabs>
                <w:tab w:val="left" w:pos="170"/>
              </w:tabs>
              <w:spacing w:line="360" w:lineRule="auto"/>
              <w:jc w:val="right"/>
              <w:rPr>
                <w:rFonts w:hint="eastAsia" w:ascii="黑体" w:hAnsi="黑体" w:eastAsia="黑体" w:cs="黑体"/>
                <w:color w:val="auto"/>
                <w:sz w:val="24"/>
                <w:szCs w:val="24"/>
                <w:highlight w:val="none"/>
              </w:rPr>
            </w:pPr>
            <w:r>
              <w:rPr>
                <w:rFonts w:hint="eastAsia" w:ascii="黑体" w:hAnsi="黑体" w:eastAsia="黑体" w:cs="黑体"/>
                <w:color w:val="auto"/>
                <w:spacing w:val="24"/>
                <w:sz w:val="24"/>
                <w:szCs w:val="24"/>
                <w:highlight w:val="none"/>
              </w:rPr>
              <w:t>联系电话</w:t>
            </w:r>
            <w:r>
              <w:rPr>
                <w:rFonts w:hint="eastAsia" w:ascii="黑体" w:hAnsi="黑体" w:eastAsia="黑体" w:cs="黑体"/>
                <w:color w:val="auto"/>
                <w:sz w:val="24"/>
                <w:szCs w:val="24"/>
                <w:highlight w:val="none"/>
              </w:rPr>
              <w:t>：</w:t>
            </w:r>
          </w:p>
        </w:tc>
        <w:tc>
          <w:tcPr>
            <w:tcW w:w="3579" w:type="pct"/>
            <w:vAlign w:val="center"/>
          </w:tcPr>
          <w:p w14:paraId="2D316C8E">
            <w:pPr>
              <w:spacing w:line="360" w:lineRule="auto"/>
              <w:jc w:val="left"/>
              <w:rPr>
                <w:rFonts w:hint="eastAsia" w:ascii="黑体" w:hAnsi="黑体" w:eastAsia="黑体" w:cs="黑体"/>
                <w:color w:val="auto"/>
                <w:sz w:val="24"/>
                <w:szCs w:val="24"/>
                <w:highlight w:val="none"/>
                <w:u w:val="single"/>
              </w:rPr>
            </w:pPr>
            <w:r>
              <w:rPr>
                <w:rFonts w:hint="eastAsia" w:ascii="黑体" w:hAnsi="黑体" w:eastAsia="黑体" w:cs="黑体"/>
                <w:color w:val="auto"/>
                <w:sz w:val="24"/>
                <w:szCs w:val="24"/>
                <w:highlight w:val="none"/>
                <w:u w:val="single"/>
              </w:rPr>
              <w:t xml:space="preserve">                                       </w:t>
            </w:r>
          </w:p>
        </w:tc>
      </w:tr>
    </w:tbl>
    <w:p w14:paraId="54D85693">
      <w:pPr>
        <w:spacing w:before="936" w:beforeLines="300" w:line="600" w:lineRule="exact"/>
        <w:jc w:val="center"/>
        <w:rPr>
          <w:rFonts w:hint="eastAsia" w:ascii="黑体" w:hAnsi="黑体" w:eastAsia="黑体" w:cs="黑体"/>
          <w:b/>
          <w:color w:val="auto"/>
          <w:spacing w:val="40"/>
          <w:sz w:val="24"/>
          <w:szCs w:val="24"/>
          <w:highlight w:val="none"/>
        </w:rPr>
      </w:pPr>
      <w:r>
        <w:rPr>
          <w:rFonts w:hint="eastAsia" w:ascii="黑体" w:hAnsi="黑体" w:eastAsia="黑体" w:cs="黑体"/>
          <w:b/>
          <w:color w:val="auto"/>
          <w:spacing w:val="40"/>
          <w:sz w:val="24"/>
          <w:szCs w:val="24"/>
          <w:highlight w:val="none"/>
        </w:rPr>
        <w:t>日期：</w:t>
      </w:r>
      <w:r>
        <w:rPr>
          <w:rFonts w:hint="eastAsia" w:ascii="黑体" w:hAnsi="黑体" w:eastAsia="黑体" w:cs="黑体"/>
          <w:b/>
          <w:color w:val="auto"/>
          <w:spacing w:val="20"/>
          <w:szCs w:val="21"/>
          <w:highlight w:val="none"/>
        </w:rPr>
        <w:t xml:space="preserve">    </w:t>
      </w:r>
      <w:r>
        <w:rPr>
          <w:rFonts w:hint="eastAsia" w:ascii="黑体" w:hAnsi="黑体" w:eastAsia="黑体" w:cs="黑体"/>
          <w:b/>
          <w:color w:val="auto"/>
          <w:spacing w:val="40"/>
          <w:sz w:val="24"/>
          <w:szCs w:val="24"/>
          <w:highlight w:val="none"/>
        </w:rPr>
        <w:t>年  月  日</w:t>
      </w:r>
    </w:p>
    <w:p w14:paraId="5BE9B55C">
      <w:pPr>
        <w:spacing w:before="936" w:beforeLines="300" w:line="600" w:lineRule="exact"/>
        <w:jc w:val="center"/>
        <w:rPr>
          <w:rFonts w:hint="eastAsia" w:ascii="黑体" w:hAnsi="黑体" w:eastAsia="黑体" w:cs="黑体"/>
          <w:b/>
          <w:color w:val="auto"/>
          <w:spacing w:val="40"/>
          <w:sz w:val="24"/>
          <w:szCs w:val="24"/>
          <w:highlight w:val="none"/>
        </w:rPr>
      </w:pPr>
    </w:p>
    <w:p w14:paraId="41931D54">
      <w:pPr>
        <w:rPr>
          <w:rFonts w:hint="eastAsia" w:ascii="黑体" w:hAnsi="黑体" w:eastAsia="黑体" w:cs="黑体"/>
          <w:b/>
          <w:bCs/>
          <w:color w:val="auto"/>
          <w:highlight w:val="none"/>
        </w:rPr>
      </w:pPr>
      <w:bookmarkStart w:id="70" w:name="_Toc391627754"/>
      <w:bookmarkStart w:id="71" w:name="_Toc405313958"/>
      <w:bookmarkStart w:id="72" w:name="_Hlk81205692"/>
      <w:r>
        <w:rPr>
          <w:rFonts w:hint="eastAsia" w:ascii="黑体" w:hAnsi="黑体" w:eastAsia="黑体" w:cs="黑体"/>
          <w:b/>
          <w:bCs/>
          <w:color w:val="auto"/>
          <w:highlight w:val="none"/>
        </w:rPr>
        <w:t>投标文件目录（投标文件包括但不限于以下组成内容，请按顺序制作。）</w:t>
      </w:r>
      <w:r>
        <w:rPr>
          <w:rFonts w:hint="eastAsia" w:ascii="黑体" w:hAnsi="黑体" w:eastAsia="黑体" w:cs="黑体"/>
          <w:b/>
          <w:bCs/>
          <w:color w:val="auto"/>
          <w:highlight w:val="none"/>
        </w:rPr>
        <w:cr/>
      </w:r>
    </w:p>
    <w:p w14:paraId="173D1D11">
      <w:pPr>
        <w:pStyle w:val="29"/>
        <w:numPr>
          <w:ilvl w:val="3"/>
          <w:numId w:val="83"/>
        </w:numPr>
        <w:spacing w:line="360" w:lineRule="auto"/>
        <w:ind w:left="567" w:hanging="425" w:firstLineChars="0"/>
        <w:jc w:val="left"/>
        <w:rPr>
          <w:rFonts w:hint="eastAsia" w:ascii="黑体" w:hAnsi="黑体" w:eastAsia="黑体" w:cs="黑体"/>
          <w:color w:val="auto"/>
          <w:highlight w:val="none"/>
        </w:rPr>
      </w:pPr>
      <w:r>
        <w:rPr>
          <w:rFonts w:hint="eastAsia" w:ascii="黑体" w:hAnsi="黑体" w:eastAsia="黑体" w:cs="黑体"/>
          <w:color w:val="auto"/>
          <w:highlight w:val="none"/>
        </w:rPr>
        <w:t>资格性自查索引表</w:t>
      </w:r>
    </w:p>
    <w:p w14:paraId="1E90D9BD">
      <w:pPr>
        <w:pStyle w:val="29"/>
        <w:numPr>
          <w:ilvl w:val="3"/>
          <w:numId w:val="83"/>
        </w:numPr>
        <w:spacing w:line="360" w:lineRule="auto"/>
        <w:ind w:left="567" w:hanging="425" w:firstLineChars="0"/>
        <w:jc w:val="left"/>
        <w:rPr>
          <w:rFonts w:hint="eastAsia" w:ascii="黑体" w:hAnsi="黑体" w:eastAsia="黑体" w:cs="黑体"/>
          <w:color w:val="auto"/>
          <w:highlight w:val="none"/>
        </w:rPr>
      </w:pPr>
      <w:r>
        <w:rPr>
          <w:rFonts w:hint="eastAsia" w:ascii="黑体" w:hAnsi="黑体" w:eastAsia="黑体" w:cs="黑体"/>
          <w:color w:val="auto"/>
          <w:highlight w:val="none"/>
        </w:rPr>
        <w:t>符合性自查索引表</w:t>
      </w:r>
    </w:p>
    <w:p w14:paraId="35FDE2DB">
      <w:pPr>
        <w:pStyle w:val="29"/>
        <w:numPr>
          <w:ilvl w:val="3"/>
          <w:numId w:val="83"/>
        </w:numPr>
        <w:spacing w:line="360" w:lineRule="auto"/>
        <w:ind w:left="567" w:hanging="425" w:firstLineChars="0"/>
        <w:jc w:val="left"/>
        <w:rPr>
          <w:rFonts w:hint="eastAsia" w:ascii="黑体" w:hAnsi="黑体" w:eastAsia="黑体" w:cs="黑体"/>
          <w:color w:val="auto"/>
          <w:highlight w:val="none"/>
        </w:rPr>
      </w:pPr>
      <w:r>
        <w:rPr>
          <w:rFonts w:hint="eastAsia" w:ascii="黑体" w:hAnsi="黑体" w:eastAsia="黑体" w:cs="黑体"/>
          <w:color w:val="auto"/>
          <w:highlight w:val="none"/>
        </w:rPr>
        <w:t>详细评审索引表</w:t>
      </w:r>
    </w:p>
    <w:p w14:paraId="67F4B210">
      <w:pPr>
        <w:pStyle w:val="29"/>
        <w:numPr>
          <w:ilvl w:val="3"/>
          <w:numId w:val="83"/>
        </w:numPr>
        <w:spacing w:line="360" w:lineRule="auto"/>
        <w:ind w:left="567" w:hanging="425" w:firstLineChars="0"/>
        <w:jc w:val="left"/>
        <w:rPr>
          <w:rFonts w:hint="eastAsia" w:ascii="黑体" w:hAnsi="黑体" w:eastAsia="黑体" w:cs="黑体"/>
          <w:color w:val="auto"/>
          <w:highlight w:val="none"/>
        </w:rPr>
      </w:pPr>
      <w:r>
        <w:rPr>
          <w:rFonts w:hint="eastAsia" w:ascii="黑体" w:hAnsi="黑体" w:eastAsia="黑体" w:cs="黑体"/>
          <w:color w:val="auto"/>
          <w:highlight w:val="none"/>
        </w:rPr>
        <w:t>开标一览表</w:t>
      </w:r>
    </w:p>
    <w:p w14:paraId="31600D18">
      <w:pPr>
        <w:pStyle w:val="29"/>
        <w:numPr>
          <w:ilvl w:val="3"/>
          <w:numId w:val="83"/>
        </w:numPr>
        <w:spacing w:line="360" w:lineRule="auto"/>
        <w:ind w:left="567" w:hanging="425" w:firstLineChars="0"/>
        <w:jc w:val="left"/>
        <w:rPr>
          <w:rFonts w:hint="eastAsia" w:ascii="黑体" w:hAnsi="黑体" w:eastAsia="黑体" w:cs="黑体"/>
          <w:color w:val="auto"/>
          <w:highlight w:val="none"/>
        </w:rPr>
      </w:pPr>
      <w:r>
        <w:rPr>
          <w:rFonts w:hint="eastAsia" w:ascii="黑体" w:hAnsi="黑体" w:eastAsia="黑体" w:cs="黑体"/>
          <w:color w:val="auto"/>
          <w:highlight w:val="none"/>
        </w:rPr>
        <w:t>分项报价表</w:t>
      </w:r>
    </w:p>
    <w:p w14:paraId="4CE3202B">
      <w:pPr>
        <w:pStyle w:val="29"/>
        <w:numPr>
          <w:ilvl w:val="3"/>
          <w:numId w:val="83"/>
        </w:numPr>
        <w:spacing w:line="360" w:lineRule="auto"/>
        <w:ind w:left="567" w:hanging="425" w:firstLineChars="0"/>
        <w:jc w:val="left"/>
        <w:rPr>
          <w:rFonts w:hint="eastAsia" w:ascii="黑体" w:hAnsi="黑体" w:eastAsia="黑体" w:cs="黑体"/>
          <w:color w:val="auto"/>
          <w:highlight w:val="none"/>
        </w:rPr>
      </w:pPr>
      <w:r>
        <w:rPr>
          <w:rFonts w:hint="eastAsia" w:ascii="黑体" w:hAnsi="黑体" w:eastAsia="黑体" w:cs="黑体"/>
          <w:color w:val="auto"/>
          <w:highlight w:val="none"/>
        </w:rPr>
        <w:t>中小企业声明函（如需）</w:t>
      </w:r>
    </w:p>
    <w:p w14:paraId="4055F247">
      <w:pPr>
        <w:pStyle w:val="29"/>
        <w:numPr>
          <w:ilvl w:val="3"/>
          <w:numId w:val="83"/>
        </w:numPr>
        <w:spacing w:line="360" w:lineRule="auto"/>
        <w:ind w:left="567" w:hanging="425" w:firstLineChars="0"/>
        <w:jc w:val="left"/>
        <w:rPr>
          <w:rFonts w:hint="eastAsia" w:ascii="黑体" w:hAnsi="黑体" w:eastAsia="黑体" w:cs="黑体"/>
          <w:color w:val="auto"/>
          <w:highlight w:val="none"/>
        </w:rPr>
      </w:pPr>
      <w:r>
        <w:rPr>
          <w:rFonts w:hint="eastAsia" w:ascii="黑体" w:hAnsi="黑体" w:eastAsia="黑体" w:cs="黑体"/>
          <w:color w:val="auto"/>
          <w:highlight w:val="none"/>
        </w:rPr>
        <w:t>残疾人福利性单位声明函（如需）</w:t>
      </w:r>
    </w:p>
    <w:p w14:paraId="3C3C73C5">
      <w:pPr>
        <w:pStyle w:val="29"/>
        <w:numPr>
          <w:ilvl w:val="3"/>
          <w:numId w:val="83"/>
        </w:numPr>
        <w:spacing w:line="360" w:lineRule="auto"/>
        <w:ind w:left="567" w:hanging="425" w:firstLineChars="0"/>
        <w:jc w:val="left"/>
        <w:rPr>
          <w:rFonts w:hint="eastAsia" w:ascii="黑体" w:hAnsi="黑体" w:eastAsia="黑体" w:cs="黑体"/>
          <w:color w:val="auto"/>
          <w:highlight w:val="none"/>
        </w:rPr>
      </w:pPr>
      <w:r>
        <w:rPr>
          <w:rFonts w:hint="eastAsia" w:ascii="黑体" w:hAnsi="黑体" w:eastAsia="黑体" w:cs="黑体"/>
          <w:color w:val="auto"/>
          <w:highlight w:val="none"/>
        </w:rPr>
        <w:t>监狱企业的证明文件（如需）</w:t>
      </w:r>
    </w:p>
    <w:p w14:paraId="76322E92">
      <w:pPr>
        <w:pStyle w:val="29"/>
        <w:numPr>
          <w:ilvl w:val="3"/>
          <w:numId w:val="83"/>
        </w:numPr>
        <w:spacing w:line="360" w:lineRule="auto"/>
        <w:ind w:left="567" w:hanging="425" w:firstLineChars="0"/>
        <w:jc w:val="left"/>
        <w:rPr>
          <w:rFonts w:hint="eastAsia" w:ascii="黑体" w:hAnsi="黑体" w:eastAsia="黑体" w:cs="黑体"/>
          <w:color w:val="auto"/>
          <w:highlight w:val="none"/>
        </w:rPr>
      </w:pPr>
      <w:r>
        <w:rPr>
          <w:rFonts w:hint="eastAsia" w:ascii="黑体" w:hAnsi="黑体" w:eastAsia="黑体" w:cs="黑体"/>
          <w:color w:val="auto"/>
          <w:highlight w:val="none"/>
        </w:rPr>
        <w:t>政策适用性说明（如需）</w:t>
      </w:r>
    </w:p>
    <w:p w14:paraId="7E31875A">
      <w:pPr>
        <w:pStyle w:val="29"/>
        <w:numPr>
          <w:ilvl w:val="3"/>
          <w:numId w:val="83"/>
        </w:numPr>
        <w:spacing w:line="360" w:lineRule="auto"/>
        <w:ind w:left="567" w:hanging="425" w:firstLineChars="0"/>
        <w:jc w:val="left"/>
        <w:rPr>
          <w:rFonts w:hint="eastAsia" w:ascii="黑体" w:hAnsi="黑体" w:eastAsia="黑体" w:cs="黑体"/>
          <w:color w:val="auto"/>
          <w:highlight w:val="none"/>
        </w:rPr>
      </w:pPr>
      <w:r>
        <w:rPr>
          <w:rFonts w:hint="eastAsia" w:ascii="黑体" w:hAnsi="黑体" w:eastAsia="黑体" w:cs="黑体"/>
          <w:color w:val="auto"/>
          <w:highlight w:val="none"/>
        </w:rPr>
        <w:t>投标函</w:t>
      </w:r>
    </w:p>
    <w:p w14:paraId="4D2292B0">
      <w:pPr>
        <w:pStyle w:val="29"/>
        <w:numPr>
          <w:ilvl w:val="3"/>
          <w:numId w:val="83"/>
        </w:numPr>
        <w:spacing w:line="360" w:lineRule="auto"/>
        <w:ind w:left="567" w:hanging="425" w:firstLineChars="0"/>
        <w:jc w:val="left"/>
        <w:rPr>
          <w:rFonts w:hint="eastAsia" w:ascii="黑体" w:hAnsi="黑体" w:eastAsia="黑体" w:cs="黑体"/>
          <w:color w:val="auto"/>
          <w:highlight w:val="none"/>
        </w:rPr>
      </w:pPr>
      <w:r>
        <w:rPr>
          <w:rFonts w:hint="eastAsia" w:ascii="黑体" w:hAnsi="黑体" w:eastAsia="黑体" w:cs="黑体"/>
          <w:color w:val="auto"/>
          <w:highlight w:val="none"/>
        </w:rPr>
        <w:t>资格声明函</w:t>
      </w:r>
    </w:p>
    <w:p w14:paraId="426241AE">
      <w:pPr>
        <w:pStyle w:val="29"/>
        <w:numPr>
          <w:ilvl w:val="3"/>
          <w:numId w:val="83"/>
        </w:numPr>
        <w:spacing w:line="360" w:lineRule="auto"/>
        <w:ind w:left="567" w:hanging="425" w:firstLineChars="0"/>
        <w:jc w:val="left"/>
        <w:rPr>
          <w:rFonts w:hint="eastAsia" w:ascii="黑体" w:hAnsi="黑体" w:eastAsia="黑体" w:cs="黑体"/>
          <w:color w:val="auto"/>
          <w:highlight w:val="none"/>
        </w:rPr>
      </w:pPr>
      <w:r>
        <w:rPr>
          <w:rFonts w:hint="eastAsia" w:ascii="黑体" w:hAnsi="黑体" w:eastAsia="黑体" w:cs="黑体"/>
          <w:color w:val="auto"/>
          <w:highlight w:val="none"/>
        </w:rPr>
        <w:t>法定代表人身份证明书</w:t>
      </w:r>
    </w:p>
    <w:p w14:paraId="4E7E7E96">
      <w:pPr>
        <w:pStyle w:val="29"/>
        <w:numPr>
          <w:ilvl w:val="3"/>
          <w:numId w:val="83"/>
        </w:numPr>
        <w:spacing w:line="360" w:lineRule="auto"/>
        <w:ind w:left="567" w:hanging="425" w:firstLineChars="0"/>
        <w:jc w:val="left"/>
        <w:rPr>
          <w:rFonts w:hint="eastAsia" w:ascii="黑体" w:hAnsi="黑体" w:eastAsia="黑体" w:cs="黑体"/>
          <w:color w:val="auto"/>
          <w:highlight w:val="none"/>
        </w:rPr>
      </w:pPr>
      <w:r>
        <w:rPr>
          <w:rFonts w:hint="eastAsia" w:ascii="黑体" w:hAnsi="黑体" w:eastAsia="黑体" w:cs="黑体"/>
          <w:color w:val="auto"/>
          <w:highlight w:val="none"/>
        </w:rPr>
        <w:t>法定代表人授权委托书</w:t>
      </w:r>
    </w:p>
    <w:p w14:paraId="65CB1A2E">
      <w:pPr>
        <w:pStyle w:val="29"/>
        <w:numPr>
          <w:ilvl w:val="3"/>
          <w:numId w:val="83"/>
        </w:numPr>
        <w:spacing w:line="360" w:lineRule="auto"/>
        <w:ind w:left="567" w:hanging="425" w:firstLineChars="0"/>
        <w:jc w:val="left"/>
        <w:rPr>
          <w:rFonts w:hint="eastAsia" w:ascii="黑体" w:hAnsi="黑体" w:eastAsia="黑体" w:cs="黑体"/>
          <w:color w:val="auto"/>
          <w:highlight w:val="none"/>
        </w:rPr>
      </w:pPr>
      <w:r>
        <w:rPr>
          <w:rFonts w:hint="eastAsia" w:ascii="黑体" w:hAnsi="黑体" w:eastAsia="黑体" w:cs="黑体"/>
          <w:color w:val="auto"/>
          <w:highlight w:val="none"/>
        </w:rPr>
        <w:t>投标人基本情况说明</w:t>
      </w:r>
    </w:p>
    <w:p w14:paraId="49A2C678">
      <w:pPr>
        <w:spacing w:line="360" w:lineRule="auto"/>
        <w:ind w:left="567" w:hanging="425"/>
        <w:jc w:val="left"/>
        <w:rPr>
          <w:rFonts w:hint="eastAsia" w:ascii="黑体" w:hAnsi="黑体" w:eastAsia="黑体" w:cs="黑体"/>
          <w:color w:val="auto"/>
          <w:highlight w:val="none"/>
        </w:rPr>
      </w:pPr>
      <w:r>
        <w:rPr>
          <w:rFonts w:hint="eastAsia" w:ascii="黑体" w:hAnsi="黑体" w:eastAsia="黑体" w:cs="黑体"/>
          <w:color w:val="auto"/>
          <w:highlight w:val="none"/>
        </w:rPr>
        <w:t>14.1</w:t>
      </w:r>
      <w:bookmarkStart w:id="73" w:name="_Hlk81207453"/>
      <w:r>
        <w:rPr>
          <w:rFonts w:hint="eastAsia" w:ascii="黑体" w:hAnsi="黑体" w:eastAsia="黑体" w:cs="黑体"/>
          <w:color w:val="auto"/>
          <w:highlight w:val="none"/>
        </w:rPr>
        <w:t>投标人资格证明文件</w:t>
      </w:r>
      <w:bookmarkEnd w:id="73"/>
    </w:p>
    <w:p w14:paraId="269B26D5">
      <w:pPr>
        <w:pStyle w:val="29"/>
        <w:numPr>
          <w:ilvl w:val="3"/>
          <w:numId w:val="83"/>
        </w:numPr>
        <w:spacing w:line="360" w:lineRule="auto"/>
        <w:ind w:left="567" w:hanging="425" w:firstLineChars="0"/>
        <w:jc w:val="left"/>
        <w:rPr>
          <w:rFonts w:hint="eastAsia" w:ascii="黑体" w:hAnsi="黑体" w:eastAsia="黑体" w:cs="黑体"/>
          <w:color w:val="auto"/>
          <w:highlight w:val="none"/>
        </w:rPr>
      </w:pPr>
      <w:r>
        <w:rPr>
          <w:rFonts w:hint="eastAsia" w:ascii="黑体" w:hAnsi="黑体" w:eastAsia="黑体" w:cs="黑体"/>
          <w:color w:val="auto"/>
          <w:highlight w:val="none"/>
        </w:rPr>
        <w:t>业绩表</w:t>
      </w:r>
      <w:r>
        <w:rPr>
          <w:rFonts w:hint="eastAsia" w:ascii="黑体" w:hAnsi="黑体" w:eastAsia="黑体" w:cs="黑体"/>
          <w:color w:val="auto"/>
          <w:highlight w:val="none"/>
        </w:rPr>
        <w:tab/>
      </w:r>
    </w:p>
    <w:p w14:paraId="292D86DB">
      <w:pPr>
        <w:pStyle w:val="29"/>
        <w:numPr>
          <w:ilvl w:val="3"/>
          <w:numId w:val="83"/>
        </w:numPr>
        <w:spacing w:line="360" w:lineRule="auto"/>
        <w:ind w:left="567" w:hanging="425" w:firstLineChars="0"/>
        <w:jc w:val="left"/>
        <w:rPr>
          <w:rFonts w:hint="eastAsia" w:ascii="黑体" w:hAnsi="黑体" w:eastAsia="黑体" w:cs="黑体"/>
          <w:color w:val="auto"/>
          <w:highlight w:val="none"/>
        </w:rPr>
      </w:pPr>
      <w:r>
        <w:rPr>
          <w:rFonts w:hint="eastAsia" w:ascii="黑体" w:hAnsi="黑体" w:eastAsia="黑体" w:cs="黑体"/>
          <w:color w:val="auto"/>
          <w:highlight w:val="none"/>
        </w:rPr>
        <w:t>商务要求偏离表</w:t>
      </w:r>
      <w:r>
        <w:rPr>
          <w:rFonts w:hint="eastAsia" w:ascii="黑体" w:hAnsi="黑体" w:eastAsia="黑体" w:cs="黑体"/>
          <w:color w:val="auto"/>
          <w:highlight w:val="none"/>
        </w:rPr>
        <w:tab/>
      </w:r>
    </w:p>
    <w:p w14:paraId="3B905B4F">
      <w:pPr>
        <w:pStyle w:val="29"/>
        <w:numPr>
          <w:ilvl w:val="3"/>
          <w:numId w:val="83"/>
        </w:numPr>
        <w:spacing w:line="360" w:lineRule="auto"/>
        <w:ind w:left="567" w:hanging="425" w:firstLineChars="0"/>
        <w:jc w:val="left"/>
        <w:rPr>
          <w:rFonts w:hint="eastAsia" w:ascii="黑体" w:hAnsi="黑体" w:eastAsia="黑体" w:cs="黑体"/>
          <w:color w:val="auto"/>
          <w:highlight w:val="none"/>
        </w:rPr>
      </w:pPr>
      <w:r>
        <w:rPr>
          <w:rFonts w:hint="eastAsia" w:ascii="黑体" w:hAnsi="黑体" w:eastAsia="黑体" w:cs="黑体"/>
          <w:color w:val="auto"/>
          <w:highlight w:val="none"/>
        </w:rPr>
        <w:t>投标货物详细说明</w:t>
      </w:r>
    </w:p>
    <w:p w14:paraId="529B525B">
      <w:pPr>
        <w:pStyle w:val="29"/>
        <w:numPr>
          <w:ilvl w:val="3"/>
          <w:numId w:val="83"/>
        </w:numPr>
        <w:spacing w:line="360" w:lineRule="auto"/>
        <w:ind w:left="567" w:hanging="425" w:firstLineChars="0"/>
        <w:jc w:val="left"/>
        <w:rPr>
          <w:rFonts w:hint="eastAsia" w:ascii="黑体" w:hAnsi="黑体" w:eastAsia="黑体" w:cs="黑体"/>
          <w:color w:val="auto"/>
          <w:highlight w:val="none"/>
        </w:rPr>
      </w:pPr>
      <w:r>
        <w:rPr>
          <w:rFonts w:hint="eastAsia" w:ascii="黑体" w:hAnsi="黑体" w:eastAsia="黑体" w:cs="黑体"/>
          <w:color w:val="auto"/>
          <w:highlight w:val="none"/>
        </w:rPr>
        <w:t>拟投入本项目设备情况表</w:t>
      </w:r>
    </w:p>
    <w:p w14:paraId="2BB33BE2">
      <w:pPr>
        <w:pStyle w:val="29"/>
        <w:numPr>
          <w:ilvl w:val="3"/>
          <w:numId w:val="83"/>
        </w:numPr>
        <w:spacing w:line="360" w:lineRule="auto"/>
        <w:ind w:left="567" w:hanging="425" w:firstLineChars="0"/>
        <w:jc w:val="left"/>
        <w:rPr>
          <w:rFonts w:hint="eastAsia" w:ascii="黑体" w:hAnsi="黑体" w:eastAsia="黑体" w:cs="黑体"/>
          <w:color w:val="auto"/>
          <w:highlight w:val="none"/>
        </w:rPr>
      </w:pPr>
      <w:r>
        <w:rPr>
          <w:rFonts w:hint="eastAsia" w:ascii="黑体" w:hAnsi="黑体" w:eastAsia="黑体" w:cs="黑体"/>
          <w:color w:val="auto"/>
          <w:highlight w:val="none"/>
        </w:rPr>
        <w:t>项目技术服务人员情况表</w:t>
      </w:r>
    </w:p>
    <w:p w14:paraId="160D2A3E">
      <w:pPr>
        <w:pStyle w:val="29"/>
        <w:numPr>
          <w:ilvl w:val="3"/>
          <w:numId w:val="83"/>
        </w:numPr>
        <w:spacing w:line="360" w:lineRule="auto"/>
        <w:ind w:left="567" w:hanging="425" w:firstLineChars="0"/>
        <w:jc w:val="left"/>
        <w:rPr>
          <w:rFonts w:hint="eastAsia" w:ascii="黑体" w:hAnsi="黑体" w:eastAsia="黑体" w:cs="黑体"/>
          <w:color w:val="auto"/>
          <w:highlight w:val="none"/>
        </w:rPr>
      </w:pPr>
      <w:r>
        <w:rPr>
          <w:rFonts w:hint="eastAsia" w:ascii="黑体" w:hAnsi="黑体" w:eastAsia="黑体" w:cs="黑体"/>
          <w:color w:val="auto"/>
          <w:highlight w:val="none"/>
        </w:rPr>
        <w:t>项目负责人简历表</w:t>
      </w:r>
    </w:p>
    <w:p w14:paraId="121A3789">
      <w:pPr>
        <w:pStyle w:val="29"/>
        <w:numPr>
          <w:ilvl w:val="3"/>
          <w:numId w:val="83"/>
        </w:numPr>
        <w:spacing w:line="360" w:lineRule="auto"/>
        <w:ind w:left="567" w:hanging="425" w:firstLineChars="0"/>
        <w:jc w:val="left"/>
        <w:rPr>
          <w:rFonts w:hint="eastAsia" w:ascii="黑体" w:hAnsi="黑体" w:eastAsia="黑体" w:cs="黑体"/>
          <w:color w:val="auto"/>
          <w:highlight w:val="none"/>
        </w:rPr>
      </w:pPr>
      <w:r>
        <w:rPr>
          <w:rFonts w:hint="eastAsia" w:ascii="黑体" w:hAnsi="黑体" w:eastAsia="黑体" w:cs="黑体"/>
          <w:color w:val="auto"/>
          <w:highlight w:val="none"/>
        </w:rPr>
        <w:t>技术要求偏离表</w:t>
      </w:r>
    </w:p>
    <w:p w14:paraId="12D1404A">
      <w:pPr>
        <w:pStyle w:val="29"/>
        <w:numPr>
          <w:ilvl w:val="3"/>
          <w:numId w:val="83"/>
        </w:numPr>
        <w:spacing w:line="360" w:lineRule="auto"/>
        <w:ind w:left="567" w:hanging="425" w:firstLineChars="0"/>
        <w:jc w:val="left"/>
        <w:rPr>
          <w:rFonts w:hint="eastAsia" w:ascii="黑体" w:hAnsi="黑体" w:eastAsia="黑体" w:cs="黑体"/>
          <w:color w:val="auto"/>
          <w:highlight w:val="none"/>
        </w:rPr>
      </w:pPr>
      <w:r>
        <w:rPr>
          <w:rFonts w:hint="eastAsia" w:ascii="黑体" w:hAnsi="黑体" w:eastAsia="黑体" w:cs="黑体"/>
          <w:color w:val="auto"/>
          <w:highlight w:val="none"/>
        </w:rPr>
        <w:t>★号条款响应一览表（可选）</w:t>
      </w:r>
    </w:p>
    <w:p w14:paraId="009C0F3C">
      <w:pPr>
        <w:pStyle w:val="29"/>
        <w:numPr>
          <w:ilvl w:val="3"/>
          <w:numId w:val="83"/>
        </w:numPr>
        <w:spacing w:line="360" w:lineRule="auto"/>
        <w:ind w:left="567" w:hanging="425" w:firstLineChars="0"/>
        <w:jc w:val="left"/>
        <w:rPr>
          <w:rFonts w:hint="eastAsia" w:ascii="黑体" w:hAnsi="黑体" w:eastAsia="黑体" w:cs="黑体"/>
          <w:color w:val="auto"/>
          <w:highlight w:val="none"/>
        </w:rPr>
      </w:pPr>
      <w:r>
        <w:rPr>
          <w:rFonts w:hint="eastAsia" w:ascii="黑体" w:hAnsi="黑体" w:eastAsia="黑体" w:cs="黑体"/>
          <w:color w:val="auto"/>
          <w:highlight w:val="none"/>
        </w:rPr>
        <w:t>▲号条款要求扣分明细响应表（可选）</w:t>
      </w:r>
    </w:p>
    <w:p w14:paraId="7E0114AF">
      <w:pPr>
        <w:pStyle w:val="29"/>
        <w:numPr>
          <w:ilvl w:val="3"/>
          <w:numId w:val="83"/>
        </w:numPr>
        <w:spacing w:line="360" w:lineRule="auto"/>
        <w:ind w:left="567" w:hanging="425" w:firstLineChars="0"/>
        <w:jc w:val="left"/>
        <w:rPr>
          <w:rFonts w:hint="eastAsia" w:ascii="黑体" w:hAnsi="黑体" w:eastAsia="黑体" w:cs="黑体"/>
          <w:color w:val="auto"/>
          <w:highlight w:val="none"/>
        </w:rPr>
      </w:pPr>
      <w:r>
        <w:rPr>
          <w:rFonts w:hint="eastAsia" w:ascii="黑体" w:hAnsi="黑体" w:eastAsia="黑体" w:cs="黑体"/>
          <w:color w:val="auto"/>
          <w:highlight w:val="none"/>
        </w:rPr>
        <w:t>投标保证金汇入情况说明（本项目不适用）</w:t>
      </w:r>
    </w:p>
    <w:p w14:paraId="5CE53683">
      <w:pPr>
        <w:pStyle w:val="29"/>
        <w:numPr>
          <w:ilvl w:val="3"/>
          <w:numId w:val="83"/>
        </w:numPr>
        <w:spacing w:line="360" w:lineRule="auto"/>
        <w:ind w:left="567" w:hanging="425" w:firstLineChars="0"/>
        <w:jc w:val="left"/>
        <w:rPr>
          <w:rFonts w:hint="eastAsia" w:ascii="黑体" w:hAnsi="黑体" w:eastAsia="黑体" w:cs="黑体"/>
          <w:color w:val="auto"/>
          <w:highlight w:val="none"/>
        </w:rPr>
      </w:pPr>
      <w:r>
        <w:rPr>
          <w:rFonts w:hint="eastAsia" w:ascii="黑体" w:hAnsi="黑体" w:eastAsia="黑体" w:cs="黑体"/>
          <w:color w:val="auto"/>
          <w:highlight w:val="none"/>
        </w:rPr>
        <w:t>相关保函格式（本项目不适用）</w:t>
      </w:r>
    </w:p>
    <w:p w14:paraId="0A837E02">
      <w:pPr>
        <w:pStyle w:val="29"/>
        <w:numPr>
          <w:ilvl w:val="3"/>
          <w:numId w:val="83"/>
        </w:numPr>
        <w:spacing w:line="360" w:lineRule="auto"/>
        <w:ind w:left="567" w:hanging="425" w:firstLineChars="0"/>
        <w:jc w:val="left"/>
        <w:rPr>
          <w:rFonts w:hint="eastAsia" w:ascii="黑体" w:hAnsi="黑体" w:eastAsia="黑体" w:cs="黑体"/>
          <w:color w:val="auto"/>
          <w:highlight w:val="none"/>
        </w:rPr>
      </w:pPr>
      <w:r>
        <w:rPr>
          <w:rFonts w:hint="eastAsia" w:ascii="黑体" w:hAnsi="黑体" w:eastAsia="黑体" w:cs="黑体"/>
          <w:color w:val="auto"/>
          <w:highlight w:val="none"/>
        </w:rPr>
        <w:t>保修方案（投标人自行编写）</w:t>
      </w:r>
    </w:p>
    <w:p w14:paraId="628384C3">
      <w:pPr>
        <w:rPr>
          <w:rFonts w:hint="eastAsia" w:ascii="黑体" w:hAnsi="黑体" w:eastAsia="黑体" w:cs="黑体"/>
          <w:color w:val="auto"/>
          <w:highlight w:val="none"/>
        </w:rPr>
      </w:pPr>
    </w:p>
    <w:p w14:paraId="5E3F9225">
      <w:pPr>
        <w:pStyle w:val="29"/>
        <w:pageBreakBefore/>
        <w:numPr>
          <w:ilvl w:val="0"/>
          <w:numId w:val="84"/>
        </w:numPr>
        <w:tabs>
          <w:tab w:val="left" w:pos="284"/>
          <w:tab w:val="left" w:pos="426"/>
          <w:tab w:val="left" w:pos="709"/>
        </w:tabs>
        <w:ind w:left="1679" w:hanging="1537" w:firstLineChars="0"/>
        <w:jc w:val="left"/>
        <w:rPr>
          <w:rFonts w:hint="eastAsia" w:ascii="黑体" w:hAnsi="黑体" w:eastAsia="黑体" w:cs="黑体"/>
          <w:b/>
          <w:bCs/>
          <w:color w:val="auto"/>
          <w:highlight w:val="none"/>
        </w:rPr>
      </w:pPr>
      <w:r>
        <w:rPr>
          <w:rFonts w:hint="eastAsia" w:ascii="黑体" w:hAnsi="黑体" w:eastAsia="黑体" w:cs="黑体"/>
          <w:b/>
          <w:bCs/>
          <w:color w:val="auto"/>
          <w:highlight w:val="none"/>
        </w:rPr>
        <w:t>资格性自查索引表</w:t>
      </w:r>
    </w:p>
    <w:p w14:paraId="47D68529">
      <w:pPr>
        <w:spacing w:before="312" w:beforeLines="100" w:after="312" w:afterLines="100"/>
        <w:jc w:val="center"/>
        <w:rPr>
          <w:rFonts w:hint="eastAsia" w:ascii="黑体" w:hAnsi="黑体" w:eastAsia="黑体" w:cs="黑体"/>
          <w:b/>
          <w:color w:val="auto"/>
          <w:spacing w:val="20"/>
          <w:sz w:val="30"/>
          <w:szCs w:val="30"/>
          <w:highlight w:val="none"/>
        </w:rPr>
      </w:pPr>
      <w:r>
        <w:rPr>
          <w:rFonts w:hint="eastAsia" w:ascii="黑体" w:hAnsi="黑体" w:eastAsia="黑体" w:cs="黑体"/>
          <w:b/>
          <w:color w:val="auto"/>
          <w:spacing w:val="20"/>
          <w:sz w:val="30"/>
          <w:szCs w:val="30"/>
          <w:highlight w:val="none"/>
        </w:rPr>
        <w:t>资格性自查索引表</w:t>
      </w:r>
    </w:p>
    <w:tbl>
      <w:tblPr>
        <w:tblStyle w:val="1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4936"/>
        <w:gridCol w:w="1312"/>
        <w:gridCol w:w="1806"/>
      </w:tblGrid>
      <w:tr w14:paraId="3BC99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7" w:type="pct"/>
            <w:vAlign w:val="center"/>
          </w:tcPr>
          <w:p w14:paraId="1FB12337">
            <w:pPr>
              <w:spacing w:line="360" w:lineRule="auto"/>
              <w:jc w:val="center"/>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序号</w:t>
            </w:r>
          </w:p>
        </w:tc>
        <w:tc>
          <w:tcPr>
            <w:tcW w:w="2815" w:type="pct"/>
            <w:tcBorders>
              <w:bottom w:val="single" w:color="auto" w:sz="4" w:space="0"/>
              <w:tl2br w:val="nil"/>
            </w:tcBorders>
            <w:vAlign w:val="center"/>
          </w:tcPr>
          <w:p w14:paraId="69A0C839">
            <w:pPr>
              <w:spacing w:line="360" w:lineRule="auto"/>
              <w:ind w:left="211" w:hanging="211" w:hangingChars="100"/>
              <w:jc w:val="center"/>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审查内容</w:t>
            </w:r>
          </w:p>
        </w:tc>
        <w:tc>
          <w:tcPr>
            <w:tcW w:w="748" w:type="pct"/>
            <w:vAlign w:val="center"/>
          </w:tcPr>
          <w:p w14:paraId="582E2B57">
            <w:pPr>
              <w:spacing w:line="360" w:lineRule="auto"/>
              <w:jc w:val="center"/>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自查</w:t>
            </w:r>
          </w:p>
          <w:p w14:paraId="7E419360">
            <w:pPr>
              <w:spacing w:line="360" w:lineRule="auto"/>
              <w:jc w:val="center"/>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结论</w:t>
            </w:r>
          </w:p>
        </w:tc>
        <w:tc>
          <w:tcPr>
            <w:tcW w:w="1030" w:type="pct"/>
            <w:vAlign w:val="center"/>
          </w:tcPr>
          <w:p w14:paraId="34BFC3DC">
            <w:pPr>
              <w:spacing w:line="360" w:lineRule="auto"/>
              <w:jc w:val="center"/>
              <w:rPr>
                <w:rFonts w:hint="eastAsia" w:ascii="黑体" w:hAnsi="黑体" w:eastAsia="黑体" w:cs="黑体"/>
                <w:b/>
                <w:bCs/>
                <w:color w:val="auto"/>
                <w:spacing w:val="-10"/>
                <w:szCs w:val="21"/>
                <w:highlight w:val="none"/>
              </w:rPr>
            </w:pPr>
            <w:r>
              <w:rPr>
                <w:rFonts w:hint="eastAsia" w:ascii="黑体" w:hAnsi="黑体" w:eastAsia="黑体" w:cs="黑体"/>
                <w:b/>
                <w:bCs/>
                <w:color w:val="auto"/>
                <w:spacing w:val="-10"/>
                <w:szCs w:val="21"/>
                <w:highlight w:val="none"/>
              </w:rPr>
              <w:t>投标文件响应页码</w:t>
            </w:r>
          </w:p>
        </w:tc>
      </w:tr>
      <w:tr w14:paraId="2B67B7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7" w:type="pct"/>
            <w:vAlign w:val="center"/>
          </w:tcPr>
          <w:p w14:paraId="40B2A5A7">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1</w:t>
            </w:r>
          </w:p>
        </w:tc>
        <w:tc>
          <w:tcPr>
            <w:tcW w:w="2815" w:type="pct"/>
            <w:tcBorders>
              <w:tl2br w:val="nil"/>
            </w:tcBorders>
            <w:vAlign w:val="center"/>
          </w:tcPr>
          <w:p w14:paraId="2089CD2A">
            <w:pPr>
              <w:jc w:val="left"/>
              <w:rPr>
                <w:rFonts w:hint="eastAsia" w:ascii="黑体" w:hAnsi="黑体" w:eastAsia="黑体" w:cs="黑体"/>
                <w:color w:val="auto"/>
                <w:highlight w:val="none"/>
              </w:rPr>
            </w:pPr>
          </w:p>
        </w:tc>
        <w:tc>
          <w:tcPr>
            <w:tcW w:w="748" w:type="pct"/>
            <w:vAlign w:val="center"/>
          </w:tcPr>
          <w:p w14:paraId="61908166">
            <w:pPr>
              <w:spacing w:line="360" w:lineRule="auto"/>
              <w:jc w:val="center"/>
              <w:rPr>
                <w:rFonts w:hint="eastAsia" w:ascii="黑体" w:hAnsi="黑体" w:eastAsia="黑体" w:cs="黑体"/>
                <w:bCs/>
                <w:color w:val="auto"/>
                <w:szCs w:val="21"/>
                <w:highlight w:val="none"/>
              </w:rPr>
            </w:pPr>
          </w:p>
        </w:tc>
        <w:tc>
          <w:tcPr>
            <w:tcW w:w="1030" w:type="pct"/>
            <w:vAlign w:val="center"/>
          </w:tcPr>
          <w:p w14:paraId="7FC10848">
            <w:pPr>
              <w:spacing w:line="360" w:lineRule="auto"/>
              <w:jc w:val="center"/>
              <w:rPr>
                <w:rFonts w:hint="eastAsia" w:ascii="黑体" w:hAnsi="黑体" w:eastAsia="黑体" w:cs="黑体"/>
                <w:bCs/>
                <w:color w:val="auto"/>
                <w:szCs w:val="21"/>
                <w:highlight w:val="none"/>
              </w:rPr>
            </w:pPr>
          </w:p>
        </w:tc>
      </w:tr>
      <w:tr w14:paraId="49E4D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14:paraId="44F2DC94">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2</w:t>
            </w:r>
          </w:p>
        </w:tc>
        <w:tc>
          <w:tcPr>
            <w:tcW w:w="2815" w:type="pct"/>
            <w:vAlign w:val="center"/>
          </w:tcPr>
          <w:p w14:paraId="3404F986">
            <w:pPr>
              <w:spacing w:line="360" w:lineRule="auto"/>
              <w:jc w:val="left"/>
              <w:rPr>
                <w:rFonts w:hint="eastAsia" w:ascii="黑体" w:hAnsi="黑体" w:eastAsia="黑体" w:cs="黑体"/>
                <w:b/>
                <w:bCs/>
                <w:color w:val="auto"/>
                <w:szCs w:val="21"/>
                <w:highlight w:val="none"/>
              </w:rPr>
            </w:pPr>
          </w:p>
        </w:tc>
        <w:tc>
          <w:tcPr>
            <w:tcW w:w="748" w:type="pct"/>
            <w:vAlign w:val="center"/>
          </w:tcPr>
          <w:p w14:paraId="3DE568C4">
            <w:pPr>
              <w:spacing w:line="360" w:lineRule="auto"/>
              <w:jc w:val="center"/>
              <w:rPr>
                <w:rFonts w:hint="eastAsia" w:ascii="黑体" w:hAnsi="黑体" w:eastAsia="黑体" w:cs="黑体"/>
                <w:b/>
                <w:bCs/>
                <w:color w:val="auto"/>
                <w:szCs w:val="21"/>
                <w:highlight w:val="none"/>
              </w:rPr>
            </w:pPr>
          </w:p>
        </w:tc>
        <w:tc>
          <w:tcPr>
            <w:tcW w:w="1030" w:type="pct"/>
            <w:vAlign w:val="center"/>
          </w:tcPr>
          <w:p w14:paraId="24F0EDF0">
            <w:pPr>
              <w:spacing w:line="360" w:lineRule="auto"/>
              <w:jc w:val="center"/>
              <w:rPr>
                <w:rFonts w:hint="eastAsia" w:ascii="黑体" w:hAnsi="黑体" w:eastAsia="黑体" w:cs="黑体"/>
                <w:b/>
                <w:bCs/>
                <w:color w:val="auto"/>
                <w:szCs w:val="21"/>
                <w:highlight w:val="none"/>
              </w:rPr>
            </w:pPr>
          </w:p>
        </w:tc>
      </w:tr>
      <w:tr w14:paraId="3B89F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14:paraId="6AE50364">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3</w:t>
            </w:r>
          </w:p>
        </w:tc>
        <w:tc>
          <w:tcPr>
            <w:tcW w:w="2815" w:type="pct"/>
            <w:vAlign w:val="center"/>
          </w:tcPr>
          <w:p w14:paraId="6EBFF51B">
            <w:pPr>
              <w:spacing w:line="360" w:lineRule="auto"/>
              <w:jc w:val="left"/>
              <w:rPr>
                <w:rFonts w:hint="eastAsia" w:ascii="黑体" w:hAnsi="黑体" w:eastAsia="黑体" w:cs="黑体"/>
                <w:b/>
                <w:bCs/>
                <w:color w:val="auto"/>
                <w:szCs w:val="21"/>
                <w:highlight w:val="none"/>
              </w:rPr>
            </w:pPr>
          </w:p>
        </w:tc>
        <w:tc>
          <w:tcPr>
            <w:tcW w:w="748" w:type="pct"/>
            <w:vAlign w:val="center"/>
          </w:tcPr>
          <w:p w14:paraId="552B0EA9">
            <w:pPr>
              <w:spacing w:line="360" w:lineRule="auto"/>
              <w:jc w:val="center"/>
              <w:rPr>
                <w:rFonts w:hint="eastAsia" w:ascii="黑体" w:hAnsi="黑体" w:eastAsia="黑体" w:cs="黑体"/>
                <w:b/>
                <w:bCs/>
                <w:color w:val="auto"/>
                <w:szCs w:val="21"/>
                <w:highlight w:val="none"/>
              </w:rPr>
            </w:pPr>
          </w:p>
        </w:tc>
        <w:tc>
          <w:tcPr>
            <w:tcW w:w="1030" w:type="pct"/>
            <w:vAlign w:val="center"/>
          </w:tcPr>
          <w:p w14:paraId="6FDE3AFD">
            <w:pPr>
              <w:spacing w:line="360" w:lineRule="auto"/>
              <w:jc w:val="center"/>
              <w:rPr>
                <w:rFonts w:hint="eastAsia" w:ascii="黑体" w:hAnsi="黑体" w:eastAsia="黑体" w:cs="黑体"/>
                <w:b/>
                <w:bCs/>
                <w:color w:val="auto"/>
                <w:szCs w:val="21"/>
                <w:highlight w:val="none"/>
              </w:rPr>
            </w:pPr>
          </w:p>
        </w:tc>
      </w:tr>
      <w:tr w14:paraId="0A6CA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14:paraId="367D2303">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4</w:t>
            </w:r>
          </w:p>
        </w:tc>
        <w:tc>
          <w:tcPr>
            <w:tcW w:w="2815" w:type="pct"/>
            <w:vAlign w:val="center"/>
          </w:tcPr>
          <w:p w14:paraId="79B4F577">
            <w:pPr>
              <w:spacing w:line="360" w:lineRule="auto"/>
              <w:jc w:val="left"/>
              <w:rPr>
                <w:rFonts w:hint="eastAsia" w:ascii="黑体" w:hAnsi="黑体" w:eastAsia="黑体" w:cs="黑体"/>
                <w:b/>
                <w:bCs/>
                <w:color w:val="auto"/>
                <w:szCs w:val="21"/>
                <w:highlight w:val="none"/>
              </w:rPr>
            </w:pPr>
          </w:p>
        </w:tc>
        <w:tc>
          <w:tcPr>
            <w:tcW w:w="748" w:type="pct"/>
            <w:vAlign w:val="center"/>
          </w:tcPr>
          <w:p w14:paraId="2E39CC18">
            <w:pPr>
              <w:spacing w:line="360" w:lineRule="auto"/>
              <w:jc w:val="center"/>
              <w:rPr>
                <w:rFonts w:hint="eastAsia" w:ascii="黑体" w:hAnsi="黑体" w:eastAsia="黑体" w:cs="黑体"/>
                <w:b/>
                <w:bCs/>
                <w:color w:val="auto"/>
                <w:szCs w:val="21"/>
                <w:highlight w:val="none"/>
              </w:rPr>
            </w:pPr>
          </w:p>
        </w:tc>
        <w:tc>
          <w:tcPr>
            <w:tcW w:w="1030" w:type="pct"/>
            <w:vAlign w:val="center"/>
          </w:tcPr>
          <w:p w14:paraId="7A5783EA">
            <w:pPr>
              <w:spacing w:line="360" w:lineRule="auto"/>
              <w:jc w:val="center"/>
              <w:rPr>
                <w:rFonts w:hint="eastAsia" w:ascii="黑体" w:hAnsi="黑体" w:eastAsia="黑体" w:cs="黑体"/>
                <w:b/>
                <w:bCs/>
                <w:color w:val="auto"/>
                <w:szCs w:val="21"/>
                <w:highlight w:val="none"/>
              </w:rPr>
            </w:pPr>
          </w:p>
        </w:tc>
      </w:tr>
    </w:tbl>
    <w:p w14:paraId="057551AE">
      <w:pPr>
        <w:spacing w:before="156" w:beforeLines="50" w:line="360" w:lineRule="auto"/>
        <w:rPr>
          <w:rFonts w:hint="eastAsia" w:ascii="黑体" w:hAnsi="黑体" w:eastAsia="黑体" w:cs="黑体"/>
          <w:color w:val="auto"/>
          <w:highlight w:val="none"/>
        </w:rPr>
      </w:pPr>
      <w:r>
        <w:rPr>
          <w:rFonts w:hint="eastAsia" w:ascii="黑体" w:hAnsi="黑体" w:eastAsia="黑体" w:cs="黑体"/>
          <w:color w:val="auto"/>
          <w:highlight w:val="none"/>
        </w:rPr>
        <w:t>注明：</w:t>
      </w:r>
    </w:p>
    <w:p w14:paraId="00CB3F9B">
      <w:pPr>
        <w:pStyle w:val="29"/>
        <w:numPr>
          <w:ilvl w:val="0"/>
          <w:numId w:val="85"/>
        </w:numPr>
        <w:spacing w:line="360" w:lineRule="auto"/>
        <w:ind w:firstLineChars="0"/>
        <w:rPr>
          <w:rFonts w:hint="eastAsia" w:ascii="黑体" w:hAnsi="黑体" w:eastAsia="黑体" w:cs="黑体"/>
          <w:color w:val="auto"/>
          <w:highlight w:val="none"/>
        </w:rPr>
      </w:pPr>
      <w:r>
        <w:rPr>
          <w:rFonts w:hint="eastAsia" w:ascii="黑体" w:hAnsi="黑体" w:eastAsia="黑体" w:cs="黑体"/>
          <w:color w:val="auto"/>
          <w:highlight w:val="none"/>
        </w:rPr>
        <w:t>自查结论处请填写：通过/不通过；</w:t>
      </w:r>
    </w:p>
    <w:p w14:paraId="1053C40D">
      <w:pPr>
        <w:pStyle w:val="29"/>
        <w:numPr>
          <w:ilvl w:val="0"/>
          <w:numId w:val="85"/>
        </w:numPr>
        <w:spacing w:line="360" w:lineRule="auto"/>
        <w:ind w:firstLineChars="0"/>
        <w:rPr>
          <w:rFonts w:hint="eastAsia" w:ascii="黑体" w:hAnsi="黑体" w:eastAsia="黑体" w:cs="黑体"/>
          <w:color w:val="auto"/>
          <w:highlight w:val="none"/>
        </w:rPr>
      </w:pPr>
      <w:r>
        <w:rPr>
          <w:rFonts w:hint="eastAsia" w:ascii="黑体" w:hAnsi="黑体" w:eastAsia="黑体" w:cs="黑体"/>
          <w:color w:val="auto"/>
          <w:szCs w:val="21"/>
          <w:highlight w:val="none"/>
        </w:rPr>
        <w:t>按招标文件第五部分 评标方法、步骤、标准之附表资格性审查表（</w:t>
      </w:r>
      <w:r>
        <w:rPr>
          <w:rFonts w:hint="eastAsia" w:ascii="黑体" w:hAnsi="黑体" w:eastAsia="黑体" w:cs="黑体"/>
          <w:color w:val="auto"/>
          <w:kern w:val="0"/>
          <w:szCs w:val="21"/>
          <w:highlight w:val="none"/>
        </w:rPr>
        <w:t>附表一）</w:t>
      </w:r>
      <w:r>
        <w:rPr>
          <w:rFonts w:hint="eastAsia" w:ascii="黑体" w:hAnsi="黑体" w:eastAsia="黑体" w:cs="黑体"/>
          <w:color w:val="auto"/>
          <w:szCs w:val="21"/>
          <w:highlight w:val="none"/>
        </w:rPr>
        <w:t>相对应条款填写</w:t>
      </w:r>
      <w:r>
        <w:rPr>
          <w:rFonts w:hint="eastAsia" w:ascii="黑体" w:hAnsi="黑体" w:eastAsia="黑体" w:cs="黑体"/>
          <w:color w:val="auto"/>
          <w:highlight w:val="none"/>
        </w:rPr>
        <w:t>。</w:t>
      </w:r>
    </w:p>
    <w:p w14:paraId="7894D6AD">
      <w:pPr>
        <w:spacing w:line="360" w:lineRule="auto"/>
        <w:rPr>
          <w:rFonts w:hint="eastAsia" w:ascii="黑体" w:hAnsi="黑体" w:eastAsia="黑体" w:cs="黑体"/>
          <w:color w:val="auto"/>
          <w:highlight w:val="none"/>
        </w:rPr>
      </w:pPr>
    </w:p>
    <w:p w14:paraId="00FC99C8">
      <w:pPr>
        <w:spacing w:line="360" w:lineRule="auto"/>
        <w:rPr>
          <w:rFonts w:hint="eastAsia" w:ascii="黑体" w:hAnsi="黑体" w:eastAsia="黑体" w:cs="黑体"/>
          <w:color w:val="auto"/>
          <w:highlight w:val="none"/>
        </w:rPr>
      </w:pPr>
    </w:p>
    <w:p w14:paraId="75A45150">
      <w:pPr>
        <w:spacing w:line="360" w:lineRule="auto"/>
        <w:rPr>
          <w:rFonts w:hint="eastAsia" w:ascii="黑体" w:hAnsi="黑体" w:eastAsia="黑体" w:cs="黑体"/>
          <w:color w:val="auto"/>
          <w:highlight w:val="none"/>
        </w:rPr>
      </w:pPr>
    </w:p>
    <w:tbl>
      <w:tblPr>
        <w:tblStyle w:val="19"/>
        <w:tblW w:w="0" w:type="auto"/>
        <w:tblInd w:w="0" w:type="dxa"/>
        <w:tblLayout w:type="autofit"/>
        <w:tblCellMar>
          <w:top w:w="0" w:type="dxa"/>
          <w:left w:w="108" w:type="dxa"/>
          <w:bottom w:w="0" w:type="dxa"/>
          <w:right w:w="108" w:type="dxa"/>
        </w:tblCellMar>
      </w:tblPr>
      <w:tblGrid>
        <w:gridCol w:w="5353"/>
        <w:gridCol w:w="3175"/>
      </w:tblGrid>
      <w:tr w14:paraId="06696926">
        <w:tblPrEx>
          <w:tblCellMar>
            <w:top w:w="0" w:type="dxa"/>
            <w:left w:w="108" w:type="dxa"/>
            <w:bottom w:w="0" w:type="dxa"/>
            <w:right w:w="108" w:type="dxa"/>
          </w:tblCellMar>
        </w:tblPrEx>
        <w:tc>
          <w:tcPr>
            <w:tcW w:w="5353" w:type="dxa"/>
          </w:tcPr>
          <w:p w14:paraId="3BD06B17">
            <w:pPr>
              <w:overflowPunct w:val="0"/>
              <w:adjustRightIn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投标人名称（加盖公章）：</w:t>
            </w:r>
            <w:r>
              <w:rPr>
                <w:rFonts w:hint="eastAsia" w:ascii="黑体" w:hAnsi="黑体" w:eastAsia="黑体" w:cs="黑体"/>
                <w:color w:val="auto"/>
                <w:szCs w:val="21"/>
                <w:highlight w:val="none"/>
                <w:u w:val="single"/>
              </w:rPr>
              <w:t xml:space="preserve">                         </w:t>
            </w:r>
          </w:p>
        </w:tc>
        <w:tc>
          <w:tcPr>
            <w:tcW w:w="3175" w:type="dxa"/>
          </w:tcPr>
          <w:p w14:paraId="45A92E7E">
            <w:pPr>
              <w:spacing w:line="360" w:lineRule="auto"/>
              <w:rPr>
                <w:rFonts w:hint="eastAsia" w:ascii="黑体" w:hAnsi="黑体" w:eastAsia="黑体" w:cs="黑体"/>
                <w:color w:val="auto"/>
                <w:szCs w:val="21"/>
                <w:highlight w:val="none"/>
              </w:rPr>
            </w:pPr>
          </w:p>
        </w:tc>
      </w:tr>
      <w:tr w14:paraId="62B6B4C1">
        <w:tblPrEx>
          <w:tblCellMar>
            <w:top w:w="0" w:type="dxa"/>
            <w:left w:w="108" w:type="dxa"/>
            <w:bottom w:w="0" w:type="dxa"/>
            <w:right w:w="108" w:type="dxa"/>
          </w:tblCellMar>
        </w:tblPrEx>
        <w:tc>
          <w:tcPr>
            <w:tcW w:w="5353" w:type="dxa"/>
          </w:tcPr>
          <w:p w14:paraId="14F39453">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日期：</w:t>
            </w:r>
            <w:r>
              <w:rPr>
                <w:rFonts w:hint="eastAsia" w:ascii="黑体" w:hAnsi="黑体" w:eastAsia="黑体" w:cs="黑体"/>
                <w:color w:val="auto"/>
                <w:szCs w:val="21"/>
                <w:highlight w:val="none"/>
                <w:u w:val="single"/>
              </w:rPr>
              <w:t xml:space="preserve">             年           月            日</w:t>
            </w:r>
          </w:p>
        </w:tc>
        <w:tc>
          <w:tcPr>
            <w:tcW w:w="3175" w:type="dxa"/>
          </w:tcPr>
          <w:p w14:paraId="5F8DEC7F">
            <w:pPr>
              <w:spacing w:line="360" w:lineRule="auto"/>
              <w:rPr>
                <w:rFonts w:hint="eastAsia" w:ascii="黑体" w:hAnsi="黑体" w:eastAsia="黑体" w:cs="黑体"/>
                <w:color w:val="auto"/>
                <w:szCs w:val="21"/>
                <w:highlight w:val="none"/>
              </w:rPr>
            </w:pPr>
          </w:p>
        </w:tc>
      </w:tr>
    </w:tbl>
    <w:p w14:paraId="16412A2E">
      <w:pPr>
        <w:rPr>
          <w:rFonts w:hint="eastAsia" w:ascii="黑体" w:hAnsi="黑体" w:eastAsia="黑体" w:cs="黑体"/>
          <w:color w:val="auto"/>
          <w:highlight w:val="none"/>
        </w:rPr>
      </w:pPr>
    </w:p>
    <w:p w14:paraId="5CFBE6EC">
      <w:pPr>
        <w:rPr>
          <w:rFonts w:hint="eastAsia" w:ascii="黑体" w:hAnsi="黑体" w:eastAsia="黑体" w:cs="黑体"/>
          <w:color w:val="auto"/>
          <w:highlight w:val="none"/>
        </w:rPr>
      </w:pPr>
    </w:p>
    <w:p w14:paraId="46D6DF20">
      <w:pPr>
        <w:rPr>
          <w:rFonts w:hint="eastAsia" w:ascii="黑体" w:hAnsi="黑体" w:eastAsia="黑体" w:cs="黑体"/>
          <w:color w:val="auto"/>
          <w:highlight w:val="none"/>
        </w:rPr>
      </w:pPr>
    </w:p>
    <w:p w14:paraId="3C3A9DFA">
      <w:pPr>
        <w:pStyle w:val="29"/>
        <w:pageBreakBefore/>
        <w:numPr>
          <w:ilvl w:val="0"/>
          <w:numId w:val="84"/>
        </w:numPr>
        <w:tabs>
          <w:tab w:val="left" w:pos="284"/>
          <w:tab w:val="left" w:pos="426"/>
          <w:tab w:val="left" w:pos="709"/>
        </w:tabs>
        <w:ind w:left="1679" w:hanging="1537" w:firstLineChars="0"/>
        <w:jc w:val="left"/>
        <w:rPr>
          <w:rFonts w:hint="eastAsia" w:ascii="黑体" w:hAnsi="黑体" w:eastAsia="黑体" w:cs="黑体"/>
          <w:b/>
          <w:bCs/>
          <w:color w:val="auto"/>
          <w:highlight w:val="none"/>
        </w:rPr>
      </w:pPr>
      <w:r>
        <w:rPr>
          <w:rFonts w:hint="eastAsia" w:ascii="黑体" w:hAnsi="黑体" w:eastAsia="黑体" w:cs="黑体"/>
          <w:b/>
          <w:bCs/>
          <w:color w:val="auto"/>
          <w:highlight w:val="none"/>
        </w:rPr>
        <w:t>符合性自查索引表</w:t>
      </w:r>
    </w:p>
    <w:p w14:paraId="2FCB4102">
      <w:pPr>
        <w:spacing w:before="312" w:beforeLines="100" w:after="312" w:afterLines="100"/>
        <w:jc w:val="center"/>
        <w:rPr>
          <w:rFonts w:hint="eastAsia" w:ascii="黑体" w:hAnsi="黑体" w:eastAsia="黑体" w:cs="黑体"/>
          <w:b/>
          <w:color w:val="auto"/>
          <w:spacing w:val="20"/>
          <w:sz w:val="30"/>
          <w:szCs w:val="30"/>
          <w:highlight w:val="none"/>
        </w:rPr>
      </w:pPr>
      <w:r>
        <w:rPr>
          <w:rFonts w:hint="eastAsia" w:ascii="黑体" w:hAnsi="黑体" w:eastAsia="黑体" w:cs="黑体"/>
          <w:b/>
          <w:color w:val="auto"/>
          <w:spacing w:val="20"/>
          <w:sz w:val="30"/>
          <w:szCs w:val="30"/>
          <w:highlight w:val="none"/>
        </w:rPr>
        <w:t>符合性自查索引表</w:t>
      </w:r>
    </w:p>
    <w:tbl>
      <w:tblPr>
        <w:tblStyle w:val="1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4936"/>
        <w:gridCol w:w="1312"/>
        <w:gridCol w:w="1806"/>
      </w:tblGrid>
      <w:tr w14:paraId="6A934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7" w:type="pct"/>
            <w:vAlign w:val="center"/>
          </w:tcPr>
          <w:p w14:paraId="3869F131">
            <w:pPr>
              <w:spacing w:line="360" w:lineRule="auto"/>
              <w:jc w:val="center"/>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序号</w:t>
            </w:r>
          </w:p>
        </w:tc>
        <w:tc>
          <w:tcPr>
            <w:tcW w:w="2815" w:type="pct"/>
            <w:tcBorders>
              <w:bottom w:val="single" w:color="auto" w:sz="4" w:space="0"/>
              <w:tl2br w:val="nil"/>
            </w:tcBorders>
            <w:vAlign w:val="center"/>
          </w:tcPr>
          <w:p w14:paraId="5356B858">
            <w:pPr>
              <w:spacing w:line="360" w:lineRule="auto"/>
              <w:ind w:left="211" w:hanging="211" w:hangingChars="100"/>
              <w:jc w:val="center"/>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审查内容</w:t>
            </w:r>
          </w:p>
        </w:tc>
        <w:tc>
          <w:tcPr>
            <w:tcW w:w="748" w:type="pct"/>
            <w:vAlign w:val="center"/>
          </w:tcPr>
          <w:p w14:paraId="40EAF61D">
            <w:pPr>
              <w:spacing w:line="360" w:lineRule="auto"/>
              <w:jc w:val="center"/>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自查</w:t>
            </w:r>
          </w:p>
          <w:p w14:paraId="10F090D4">
            <w:pPr>
              <w:spacing w:line="360" w:lineRule="auto"/>
              <w:jc w:val="center"/>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结论</w:t>
            </w:r>
          </w:p>
        </w:tc>
        <w:tc>
          <w:tcPr>
            <w:tcW w:w="1030" w:type="pct"/>
            <w:vAlign w:val="center"/>
          </w:tcPr>
          <w:p w14:paraId="77F0C3C5">
            <w:pPr>
              <w:spacing w:line="360" w:lineRule="auto"/>
              <w:jc w:val="center"/>
              <w:rPr>
                <w:rFonts w:hint="eastAsia" w:ascii="黑体" w:hAnsi="黑体" w:eastAsia="黑体" w:cs="黑体"/>
                <w:b/>
                <w:bCs/>
                <w:color w:val="auto"/>
                <w:spacing w:val="-10"/>
                <w:szCs w:val="21"/>
                <w:highlight w:val="none"/>
              </w:rPr>
            </w:pPr>
            <w:r>
              <w:rPr>
                <w:rFonts w:hint="eastAsia" w:ascii="黑体" w:hAnsi="黑体" w:eastAsia="黑体" w:cs="黑体"/>
                <w:b/>
                <w:bCs/>
                <w:color w:val="auto"/>
                <w:spacing w:val="-10"/>
                <w:szCs w:val="21"/>
                <w:highlight w:val="none"/>
              </w:rPr>
              <w:t>投标文件响应页码</w:t>
            </w:r>
          </w:p>
        </w:tc>
      </w:tr>
      <w:tr w14:paraId="53388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7" w:type="pct"/>
            <w:vAlign w:val="center"/>
          </w:tcPr>
          <w:p w14:paraId="2E94EEC5">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1</w:t>
            </w:r>
          </w:p>
        </w:tc>
        <w:tc>
          <w:tcPr>
            <w:tcW w:w="2815" w:type="pct"/>
            <w:tcBorders>
              <w:tl2br w:val="nil"/>
            </w:tcBorders>
            <w:vAlign w:val="center"/>
          </w:tcPr>
          <w:p w14:paraId="2298B929">
            <w:pPr>
              <w:jc w:val="left"/>
              <w:rPr>
                <w:rFonts w:hint="eastAsia" w:ascii="黑体" w:hAnsi="黑体" w:eastAsia="黑体" w:cs="黑体"/>
                <w:color w:val="auto"/>
                <w:highlight w:val="none"/>
              </w:rPr>
            </w:pPr>
          </w:p>
        </w:tc>
        <w:tc>
          <w:tcPr>
            <w:tcW w:w="748" w:type="pct"/>
            <w:vAlign w:val="center"/>
          </w:tcPr>
          <w:p w14:paraId="58041935">
            <w:pPr>
              <w:spacing w:line="360" w:lineRule="auto"/>
              <w:jc w:val="center"/>
              <w:rPr>
                <w:rFonts w:hint="eastAsia" w:ascii="黑体" w:hAnsi="黑体" w:eastAsia="黑体" w:cs="黑体"/>
                <w:bCs/>
                <w:color w:val="auto"/>
                <w:szCs w:val="21"/>
                <w:highlight w:val="none"/>
              </w:rPr>
            </w:pPr>
          </w:p>
        </w:tc>
        <w:tc>
          <w:tcPr>
            <w:tcW w:w="1030" w:type="pct"/>
            <w:vAlign w:val="center"/>
          </w:tcPr>
          <w:p w14:paraId="3047F2C0">
            <w:pPr>
              <w:spacing w:line="360" w:lineRule="auto"/>
              <w:jc w:val="center"/>
              <w:rPr>
                <w:rFonts w:hint="eastAsia" w:ascii="黑体" w:hAnsi="黑体" w:eastAsia="黑体" w:cs="黑体"/>
                <w:bCs/>
                <w:color w:val="auto"/>
                <w:szCs w:val="21"/>
                <w:highlight w:val="none"/>
              </w:rPr>
            </w:pPr>
          </w:p>
        </w:tc>
      </w:tr>
      <w:tr w14:paraId="0C925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14:paraId="3B1A367E">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2</w:t>
            </w:r>
          </w:p>
        </w:tc>
        <w:tc>
          <w:tcPr>
            <w:tcW w:w="2815" w:type="pct"/>
            <w:vAlign w:val="center"/>
          </w:tcPr>
          <w:p w14:paraId="77A95E8E">
            <w:pPr>
              <w:spacing w:line="360" w:lineRule="auto"/>
              <w:jc w:val="left"/>
              <w:rPr>
                <w:rFonts w:hint="eastAsia" w:ascii="黑体" w:hAnsi="黑体" w:eastAsia="黑体" w:cs="黑体"/>
                <w:b/>
                <w:bCs/>
                <w:color w:val="auto"/>
                <w:szCs w:val="21"/>
                <w:highlight w:val="none"/>
              </w:rPr>
            </w:pPr>
          </w:p>
        </w:tc>
        <w:tc>
          <w:tcPr>
            <w:tcW w:w="748" w:type="pct"/>
            <w:vAlign w:val="center"/>
          </w:tcPr>
          <w:p w14:paraId="379D652C">
            <w:pPr>
              <w:spacing w:line="360" w:lineRule="auto"/>
              <w:jc w:val="center"/>
              <w:rPr>
                <w:rFonts w:hint="eastAsia" w:ascii="黑体" w:hAnsi="黑体" w:eastAsia="黑体" w:cs="黑体"/>
                <w:b/>
                <w:bCs/>
                <w:color w:val="auto"/>
                <w:szCs w:val="21"/>
                <w:highlight w:val="none"/>
              </w:rPr>
            </w:pPr>
          </w:p>
        </w:tc>
        <w:tc>
          <w:tcPr>
            <w:tcW w:w="1030" w:type="pct"/>
            <w:vAlign w:val="center"/>
          </w:tcPr>
          <w:p w14:paraId="2C3F1EEE">
            <w:pPr>
              <w:spacing w:line="360" w:lineRule="auto"/>
              <w:jc w:val="center"/>
              <w:rPr>
                <w:rFonts w:hint="eastAsia" w:ascii="黑体" w:hAnsi="黑体" w:eastAsia="黑体" w:cs="黑体"/>
                <w:b/>
                <w:bCs/>
                <w:color w:val="auto"/>
                <w:szCs w:val="21"/>
                <w:highlight w:val="none"/>
              </w:rPr>
            </w:pPr>
          </w:p>
        </w:tc>
      </w:tr>
      <w:tr w14:paraId="05B3B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14:paraId="643C293A">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3</w:t>
            </w:r>
          </w:p>
        </w:tc>
        <w:tc>
          <w:tcPr>
            <w:tcW w:w="2815" w:type="pct"/>
            <w:vAlign w:val="center"/>
          </w:tcPr>
          <w:p w14:paraId="7306772D">
            <w:pPr>
              <w:spacing w:line="360" w:lineRule="auto"/>
              <w:jc w:val="left"/>
              <w:rPr>
                <w:rFonts w:hint="eastAsia" w:ascii="黑体" w:hAnsi="黑体" w:eastAsia="黑体" w:cs="黑体"/>
                <w:b/>
                <w:bCs/>
                <w:color w:val="auto"/>
                <w:szCs w:val="21"/>
                <w:highlight w:val="none"/>
              </w:rPr>
            </w:pPr>
          </w:p>
        </w:tc>
        <w:tc>
          <w:tcPr>
            <w:tcW w:w="748" w:type="pct"/>
            <w:vAlign w:val="center"/>
          </w:tcPr>
          <w:p w14:paraId="5A16E2C5">
            <w:pPr>
              <w:spacing w:line="360" w:lineRule="auto"/>
              <w:jc w:val="center"/>
              <w:rPr>
                <w:rFonts w:hint="eastAsia" w:ascii="黑体" w:hAnsi="黑体" w:eastAsia="黑体" w:cs="黑体"/>
                <w:b/>
                <w:bCs/>
                <w:color w:val="auto"/>
                <w:szCs w:val="21"/>
                <w:highlight w:val="none"/>
              </w:rPr>
            </w:pPr>
          </w:p>
        </w:tc>
        <w:tc>
          <w:tcPr>
            <w:tcW w:w="1030" w:type="pct"/>
            <w:vAlign w:val="center"/>
          </w:tcPr>
          <w:p w14:paraId="3B068F49">
            <w:pPr>
              <w:spacing w:line="360" w:lineRule="auto"/>
              <w:jc w:val="center"/>
              <w:rPr>
                <w:rFonts w:hint="eastAsia" w:ascii="黑体" w:hAnsi="黑体" w:eastAsia="黑体" w:cs="黑体"/>
                <w:b/>
                <w:bCs/>
                <w:color w:val="auto"/>
                <w:szCs w:val="21"/>
                <w:highlight w:val="none"/>
              </w:rPr>
            </w:pPr>
          </w:p>
        </w:tc>
      </w:tr>
      <w:tr w14:paraId="08CC9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14:paraId="5A746F9A">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4</w:t>
            </w:r>
          </w:p>
        </w:tc>
        <w:tc>
          <w:tcPr>
            <w:tcW w:w="2815" w:type="pct"/>
            <w:vAlign w:val="center"/>
          </w:tcPr>
          <w:p w14:paraId="3FEA55D7">
            <w:pPr>
              <w:spacing w:line="360" w:lineRule="auto"/>
              <w:jc w:val="left"/>
              <w:rPr>
                <w:rFonts w:hint="eastAsia" w:ascii="黑体" w:hAnsi="黑体" w:eastAsia="黑体" w:cs="黑体"/>
                <w:b/>
                <w:bCs/>
                <w:color w:val="auto"/>
                <w:szCs w:val="21"/>
                <w:highlight w:val="none"/>
              </w:rPr>
            </w:pPr>
          </w:p>
        </w:tc>
        <w:tc>
          <w:tcPr>
            <w:tcW w:w="748" w:type="pct"/>
            <w:vAlign w:val="center"/>
          </w:tcPr>
          <w:p w14:paraId="1BEBEC5A">
            <w:pPr>
              <w:spacing w:line="360" w:lineRule="auto"/>
              <w:jc w:val="center"/>
              <w:rPr>
                <w:rFonts w:hint="eastAsia" w:ascii="黑体" w:hAnsi="黑体" w:eastAsia="黑体" w:cs="黑体"/>
                <w:b/>
                <w:bCs/>
                <w:color w:val="auto"/>
                <w:szCs w:val="21"/>
                <w:highlight w:val="none"/>
              </w:rPr>
            </w:pPr>
          </w:p>
        </w:tc>
        <w:tc>
          <w:tcPr>
            <w:tcW w:w="1030" w:type="pct"/>
            <w:vAlign w:val="center"/>
          </w:tcPr>
          <w:p w14:paraId="44D70AF7">
            <w:pPr>
              <w:spacing w:line="360" w:lineRule="auto"/>
              <w:jc w:val="center"/>
              <w:rPr>
                <w:rFonts w:hint="eastAsia" w:ascii="黑体" w:hAnsi="黑体" w:eastAsia="黑体" w:cs="黑体"/>
                <w:b/>
                <w:bCs/>
                <w:color w:val="auto"/>
                <w:szCs w:val="21"/>
                <w:highlight w:val="none"/>
              </w:rPr>
            </w:pPr>
          </w:p>
        </w:tc>
      </w:tr>
      <w:tr w14:paraId="61E05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407" w:type="pct"/>
            <w:vAlign w:val="center"/>
          </w:tcPr>
          <w:p w14:paraId="2AD0787C">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5</w:t>
            </w:r>
          </w:p>
        </w:tc>
        <w:tc>
          <w:tcPr>
            <w:tcW w:w="2815" w:type="pct"/>
            <w:vAlign w:val="center"/>
          </w:tcPr>
          <w:p w14:paraId="1AAAFBCD">
            <w:pPr>
              <w:spacing w:line="360" w:lineRule="auto"/>
              <w:jc w:val="left"/>
              <w:rPr>
                <w:rFonts w:hint="eastAsia" w:ascii="黑体" w:hAnsi="黑体" w:eastAsia="黑体" w:cs="黑体"/>
                <w:color w:val="auto"/>
                <w:szCs w:val="21"/>
                <w:highlight w:val="none"/>
              </w:rPr>
            </w:pPr>
          </w:p>
        </w:tc>
        <w:tc>
          <w:tcPr>
            <w:tcW w:w="748" w:type="pct"/>
            <w:vAlign w:val="center"/>
          </w:tcPr>
          <w:p w14:paraId="2C8A9747">
            <w:pPr>
              <w:spacing w:line="360" w:lineRule="auto"/>
              <w:jc w:val="center"/>
              <w:rPr>
                <w:rFonts w:hint="eastAsia" w:ascii="黑体" w:hAnsi="黑体" w:eastAsia="黑体" w:cs="黑体"/>
                <w:b/>
                <w:bCs/>
                <w:color w:val="auto"/>
                <w:szCs w:val="21"/>
                <w:highlight w:val="none"/>
              </w:rPr>
            </w:pPr>
          </w:p>
        </w:tc>
        <w:tc>
          <w:tcPr>
            <w:tcW w:w="1030" w:type="pct"/>
            <w:vAlign w:val="center"/>
          </w:tcPr>
          <w:p w14:paraId="5BDA5449">
            <w:pPr>
              <w:spacing w:line="360" w:lineRule="auto"/>
              <w:jc w:val="center"/>
              <w:rPr>
                <w:rFonts w:hint="eastAsia" w:ascii="黑体" w:hAnsi="黑体" w:eastAsia="黑体" w:cs="黑体"/>
                <w:b/>
                <w:bCs/>
                <w:color w:val="auto"/>
                <w:szCs w:val="21"/>
                <w:highlight w:val="none"/>
              </w:rPr>
            </w:pPr>
          </w:p>
        </w:tc>
      </w:tr>
      <w:tr w14:paraId="2A2C9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407" w:type="pct"/>
            <w:vAlign w:val="center"/>
          </w:tcPr>
          <w:p w14:paraId="769DC068">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6</w:t>
            </w:r>
          </w:p>
        </w:tc>
        <w:tc>
          <w:tcPr>
            <w:tcW w:w="2815" w:type="pct"/>
            <w:vAlign w:val="center"/>
          </w:tcPr>
          <w:p w14:paraId="1CEB5B02">
            <w:pPr>
              <w:spacing w:line="360" w:lineRule="auto"/>
              <w:jc w:val="left"/>
              <w:rPr>
                <w:rFonts w:hint="eastAsia" w:ascii="黑体" w:hAnsi="黑体" w:eastAsia="黑体" w:cs="黑体"/>
                <w:b/>
                <w:bCs/>
                <w:color w:val="auto"/>
                <w:szCs w:val="21"/>
                <w:highlight w:val="none"/>
              </w:rPr>
            </w:pPr>
          </w:p>
        </w:tc>
        <w:tc>
          <w:tcPr>
            <w:tcW w:w="748" w:type="pct"/>
            <w:vAlign w:val="center"/>
          </w:tcPr>
          <w:p w14:paraId="0C0F0DB5">
            <w:pPr>
              <w:spacing w:line="360" w:lineRule="auto"/>
              <w:jc w:val="center"/>
              <w:rPr>
                <w:rFonts w:hint="eastAsia" w:ascii="黑体" w:hAnsi="黑体" w:eastAsia="黑体" w:cs="黑体"/>
                <w:b/>
                <w:bCs/>
                <w:color w:val="auto"/>
                <w:szCs w:val="21"/>
                <w:highlight w:val="none"/>
              </w:rPr>
            </w:pPr>
          </w:p>
        </w:tc>
        <w:tc>
          <w:tcPr>
            <w:tcW w:w="1030" w:type="pct"/>
            <w:vAlign w:val="center"/>
          </w:tcPr>
          <w:p w14:paraId="388D9226">
            <w:pPr>
              <w:spacing w:line="360" w:lineRule="auto"/>
              <w:jc w:val="center"/>
              <w:rPr>
                <w:rFonts w:hint="eastAsia" w:ascii="黑体" w:hAnsi="黑体" w:eastAsia="黑体" w:cs="黑体"/>
                <w:b/>
                <w:bCs/>
                <w:color w:val="auto"/>
                <w:szCs w:val="21"/>
                <w:highlight w:val="none"/>
              </w:rPr>
            </w:pPr>
          </w:p>
        </w:tc>
      </w:tr>
      <w:tr w14:paraId="0DA3F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14:paraId="0C3EE390">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7</w:t>
            </w:r>
          </w:p>
        </w:tc>
        <w:tc>
          <w:tcPr>
            <w:tcW w:w="2815" w:type="pct"/>
            <w:vAlign w:val="center"/>
          </w:tcPr>
          <w:p w14:paraId="63ACD0C5">
            <w:pPr>
              <w:spacing w:line="360" w:lineRule="auto"/>
              <w:jc w:val="left"/>
              <w:rPr>
                <w:rFonts w:hint="eastAsia" w:ascii="黑体" w:hAnsi="黑体" w:eastAsia="黑体" w:cs="黑体"/>
                <w:color w:val="auto"/>
                <w:szCs w:val="21"/>
                <w:highlight w:val="none"/>
              </w:rPr>
            </w:pPr>
          </w:p>
        </w:tc>
        <w:tc>
          <w:tcPr>
            <w:tcW w:w="748" w:type="pct"/>
            <w:vAlign w:val="center"/>
          </w:tcPr>
          <w:p w14:paraId="77D1FE03">
            <w:pPr>
              <w:spacing w:line="360" w:lineRule="auto"/>
              <w:jc w:val="center"/>
              <w:rPr>
                <w:rFonts w:hint="eastAsia" w:ascii="黑体" w:hAnsi="黑体" w:eastAsia="黑体" w:cs="黑体"/>
                <w:b/>
                <w:bCs/>
                <w:color w:val="auto"/>
                <w:szCs w:val="21"/>
                <w:highlight w:val="none"/>
              </w:rPr>
            </w:pPr>
          </w:p>
        </w:tc>
        <w:tc>
          <w:tcPr>
            <w:tcW w:w="1030" w:type="pct"/>
            <w:vAlign w:val="center"/>
          </w:tcPr>
          <w:p w14:paraId="4E0AC13C">
            <w:pPr>
              <w:spacing w:line="360" w:lineRule="auto"/>
              <w:jc w:val="center"/>
              <w:rPr>
                <w:rFonts w:hint="eastAsia" w:ascii="黑体" w:hAnsi="黑体" w:eastAsia="黑体" w:cs="黑体"/>
                <w:b/>
                <w:bCs/>
                <w:color w:val="auto"/>
                <w:szCs w:val="21"/>
                <w:highlight w:val="none"/>
              </w:rPr>
            </w:pPr>
          </w:p>
        </w:tc>
      </w:tr>
      <w:tr w14:paraId="4860E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407" w:type="pct"/>
            <w:vAlign w:val="center"/>
          </w:tcPr>
          <w:p w14:paraId="662C200A">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8</w:t>
            </w:r>
          </w:p>
        </w:tc>
        <w:tc>
          <w:tcPr>
            <w:tcW w:w="2815" w:type="pct"/>
            <w:vAlign w:val="center"/>
          </w:tcPr>
          <w:p w14:paraId="45D61173">
            <w:pPr>
              <w:spacing w:line="360" w:lineRule="auto"/>
              <w:jc w:val="left"/>
              <w:rPr>
                <w:rFonts w:hint="eastAsia" w:ascii="黑体" w:hAnsi="黑体" w:eastAsia="黑体" w:cs="黑体"/>
                <w:color w:val="auto"/>
                <w:szCs w:val="21"/>
                <w:highlight w:val="none"/>
              </w:rPr>
            </w:pPr>
          </w:p>
        </w:tc>
        <w:tc>
          <w:tcPr>
            <w:tcW w:w="748" w:type="pct"/>
            <w:vAlign w:val="center"/>
          </w:tcPr>
          <w:p w14:paraId="40683F3F">
            <w:pPr>
              <w:spacing w:line="360" w:lineRule="auto"/>
              <w:jc w:val="center"/>
              <w:rPr>
                <w:rFonts w:hint="eastAsia" w:ascii="黑体" w:hAnsi="黑体" w:eastAsia="黑体" w:cs="黑体"/>
                <w:b/>
                <w:bCs/>
                <w:color w:val="auto"/>
                <w:szCs w:val="21"/>
                <w:highlight w:val="none"/>
              </w:rPr>
            </w:pPr>
          </w:p>
        </w:tc>
        <w:tc>
          <w:tcPr>
            <w:tcW w:w="1030" w:type="pct"/>
            <w:vAlign w:val="center"/>
          </w:tcPr>
          <w:p w14:paraId="7A4F1EE3">
            <w:pPr>
              <w:spacing w:line="360" w:lineRule="auto"/>
              <w:jc w:val="center"/>
              <w:rPr>
                <w:rFonts w:hint="eastAsia" w:ascii="黑体" w:hAnsi="黑体" w:eastAsia="黑体" w:cs="黑体"/>
                <w:b/>
                <w:bCs/>
                <w:color w:val="auto"/>
                <w:szCs w:val="21"/>
                <w:highlight w:val="none"/>
              </w:rPr>
            </w:pPr>
          </w:p>
        </w:tc>
      </w:tr>
      <w:tr w14:paraId="3A4DE0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407" w:type="pct"/>
            <w:vAlign w:val="center"/>
          </w:tcPr>
          <w:p w14:paraId="4811DF90">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9</w:t>
            </w:r>
          </w:p>
        </w:tc>
        <w:tc>
          <w:tcPr>
            <w:tcW w:w="2815" w:type="pct"/>
            <w:vAlign w:val="center"/>
          </w:tcPr>
          <w:p w14:paraId="70BA6815">
            <w:pPr>
              <w:spacing w:line="360" w:lineRule="auto"/>
              <w:jc w:val="left"/>
              <w:rPr>
                <w:rFonts w:hint="eastAsia" w:ascii="黑体" w:hAnsi="黑体" w:eastAsia="黑体" w:cs="黑体"/>
                <w:bCs/>
                <w:color w:val="auto"/>
                <w:szCs w:val="21"/>
                <w:highlight w:val="none"/>
              </w:rPr>
            </w:pPr>
          </w:p>
        </w:tc>
        <w:tc>
          <w:tcPr>
            <w:tcW w:w="748" w:type="pct"/>
            <w:vAlign w:val="center"/>
          </w:tcPr>
          <w:p w14:paraId="3A37E67D">
            <w:pPr>
              <w:spacing w:line="360" w:lineRule="auto"/>
              <w:jc w:val="center"/>
              <w:rPr>
                <w:rFonts w:hint="eastAsia" w:ascii="黑体" w:hAnsi="黑体" w:eastAsia="黑体" w:cs="黑体"/>
                <w:b/>
                <w:bCs/>
                <w:color w:val="auto"/>
                <w:szCs w:val="21"/>
                <w:highlight w:val="none"/>
              </w:rPr>
            </w:pPr>
          </w:p>
        </w:tc>
        <w:tc>
          <w:tcPr>
            <w:tcW w:w="1030" w:type="pct"/>
            <w:vAlign w:val="center"/>
          </w:tcPr>
          <w:p w14:paraId="0D9222CE">
            <w:pPr>
              <w:spacing w:line="360" w:lineRule="auto"/>
              <w:jc w:val="center"/>
              <w:rPr>
                <w:rFonts w:hint="eastAsia" w:ascii="黑体" w:hAnsi="黑体" w:eastAsia="黑体" w:cs="黑体"/>
                <w:b/>
                <w:bCs/>
                <w:color w:val="auto"/>
                <w:szCs w:val="21"/>
                <w:highlight w:val="none"/>
              </w:rPr>
            </w:pPr>
          </w:p>
        </w:tc>
      </w:tr>
    </w:tbl>
    <w:p w14:paraId="58B1FEC7">
      <w:pPr>
        <w:spacing w:before="156" w:beforeLines="50" w:line="360" w:lineRule="auto"/>
        <w:rPr>
          <w:rFonts w:hint="eastAsia" w:ascii="黑体" w:hAnsi="黑体" w:eastAsia="黑体" w:cs="黑体"/>
          <w:color w:val="auto"/>
          <w:highlight w:val="none"/>
        </w:rPr>
      </w:pPr>
      <w:r>
        <w:rPr>
          <w:rFonts w:hint="eastAsia" w:ascii="黑体" w:hAnsi="黑体" w:eastAsia="黑体" w:cs="黑体"/>
          <w:color w:val="auto"/>
          <w:highlight w:val="none"/>
        </w:rPr>
        <w:t>注明：</w:t>
      </w:r>
    </w:p>
    <w:p w14:paraId="3F880AA2">
      <w:pPr>
        <w:pStyle w:val="29"/>
        <w:numPr>
          <w:ilvl w:val="0"/>
          <w:numId w:val="86"/>
        </w:numPr>
        <w:spacing w:line="360" w:lineRule="auto"/>
        <w:ind w:firstLineChars="0"/>
        <w:rPr>
          <w:rFonts w:hint="eastAsia" w:ascii="黑体" w:hAnsi="黑体" w:eastAsia="黑体" w:cs="黑体"/>
          <w:color w:val="auto"/>
          <w:highlight w:val="none"/>
        </w:rPr>
      </w:pPr>
      <w:r>
        <w:rPr>
          <w:rFonts w:hint="eastAsia" w:ascii="黑体" w:hAnsi="黑体" w:eastAsia="黑体" w:cs="黑体"/>
          <w:color w:val="auto"/>
          <w:highlight w:val="none"/>
        </w:rPr>
        <w:t>自查结论处请填写：通过/不通过；</w:t>
      </w:r>
    </w:p>
    <w:p w14:paraId="610CC9BB">
      <w:pPr>
        <w:pStyle w:val="29"/>
        <w:numPr>
          <w:ilvl w:val="0"/>
          <w:numId w:val="86"/>
        </w:numPr>
        <w:spacing w:line="360" w:lineRule="auto"/>
        <w:ind w:firstLineChars="0"/>
        <w:rPr>
          <w:rFonts w:hint="eastAsia" w:ascii="黑体" w:hAnsi="黑体" w:eastAsia="黑体" w:cs="黑体"/>
          <w:color w:val="auto"/>
          <w:highlight w:val="none"/>
        </w:rPr>
      </w:pPr>
      <w:r>
        <w:rPr>
          <w:rFonts w:hint="eastAsia" w:ascii="黑体" w:hAnsi="黑体" w:eastAsia="黑体" w:cs="黑体"/>
          <w:color w:val="auto"/>
          <w:szCs w:val="21"/>
          <w:highlight w:val="none"/>
        </w:rPr>
        <w:t>按招标文件第五部分 评标方法、步骤、标准之符合性审查表（</w:t>
      </w:r>
      <w:r>
        <w:rPr>
          <w:rFonts w:hint="eastAsia" w:ascii="黑体" w:hAnsi="黑体" w:eastAsia="黑体" w:cs="黑体"/>
          <w:color w:val="auto"/>
          <w:kern w:val="0"/>
          <w:szCs w:val="21"/>
          <w:highlight w:val="none"/>
        </w:rPr>
        <w:t>附表二）</w:t>
      </w:r>
      <w:r>
        <w:rPr>
          <w:rFonts w:hint="eastAsia" w:ascii="黑体" w:hAnsi="黑体" w:eastAsia="黑体" w:cs="黑体"/>
          <w:color w:val="auto"/>
          <w:szCs w:val="21"/>
          <w:highlight w:val="none"/>
        </w:rPr>
        <w:t>相对应条款填写</w:t>
      </w:r>
      <w:r>
        <w:rPr>
          <w:rFonts w:hint="eastAsia" w:ascii="黑体" w:hAnsi="黑体" w:eastAsia="黑体" w:cs="黑体"/>
          <w:color w:val="auto"/>
          <w:highlight w:val="none"/>
        </w:rPr>
        <w:t>。</w:t>
      </w:r>
    </w:p>
    <w:p w14:paraId="42A405D1">
      <w:pPr>
        <w:spacing w:line="360" w:lineRule="auto"/>
        <w:rPr>
          <w:rFonts w:hint="eastAsia" w:ascii="黑体" w:hAnsi="黑体" w:eastAsia="黑体" w:cs="黑体"/>
          <w:color w:val="auto"/>
          <w:highlight w:val="none"/>
        </w:rPr>
      </w:pPr>
    </w:p>
    <w:p w14:paraId="297FF892">
      <w:pPr>
        <w:spacing w:line="360" w:lineRule="auto"/>
        <w:rPr>
          <w:rFonts w:hint="eastAsia" w:ascii="黑体" w:hAnsi="黑体" w:eastAsia="黑体" w:cs="黑体"/>
          <w:color w:val="auto"/>
          <w:highlight w:val="none"/>
        </w:rPr>
      </w:pPr>
    </w:p>
    <w:tbl>
      <w:tblPr>
        <w:tblStyle w:val="19"/>
        <w:tblW w:w="0" w:type="auto"/>
        <w:tblInd w:w="0" w:type="dxa"/>
        <w:tblLayout w:type="autofit"/>
        <w:tblCellMar>
          <w:top w:w="0" w:type="dxa"/>
          <w:left w:w="108" w:type="dxa"/>
          <w:bottom w:w="0" w:type="dxa"/>
          <w:right w:w="108" w:type="dxa"/>
        </w:tblCellMar>
      </w:tblPr>
      <w:tblGrid>
        <w:gridCol w:w="5353"/>
        <w:gridCol w:w="3175"/>
      </w:tblGrid>
      <w:tr w14:paraId="7000C012">
        <w:tblPrEx>
          <w:tblCellMar>
            <w:top w:w="0" w:type="dxa"/>
            <w:left w:w="108" w:type="dxa"/>
            <w:bottom w:w="0" w:type="dxa"/>
            <w:right w:w="108" w:type="dxa"/>
          </w:tblCellMar>
        </w:tblPrEx>
        <w:tc>
          <w:tcPr>
            <w:tcW w:w="5353" w:type="dxa"/>
          </w:tcPr>
          <w:p w14:paraId="2D6FC41E">
            <w:pPr>
              <w:overflowPunct w:val="0"/>
              <w:adjustRightIn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投标人名称（加盖公章）：</w:t>
            </w:r>
            <w:r>
              <w:rPr>
                <w:rFonts w:hint="eastAsia" w:ascii="黑体" w:hAnsi="黑体" w:eastAsia="黑体" w:cs="黑体"/>
                <w:color w:val="auto"/>
                <w:szCs w:val="21"/>
                <w:highlight w:val="none"/>
                <w:u w:val="single"/>
              </w:rPr>
              <w:t xml:space="preserve">                         </w:t>
            </w:r>
          </w:p>
        </w:tc>
        <w:tc>
          <w:tcPr>
            <w:tcW w:w="3175" w:type="dxa"/>
          </w:tcPr>
          <w:p w14:paraId="33C38CE3">
            <w:pPr>
              <w:spacing w:line="360" w:lineRule="auto"/>
              <w:rPr>
                <w:rFonts w:hint="eastAsia" w:ascii="黑体" w:hAnsi="黑体" w:eastAsia="黑体" w:cs="黑体"/>
                <w:color w:val="auto"/>
                <w:szCs w:val="21"/>
                <w:highlight w:val="none"/>
              </w:rPr>
            </w:pPr>
          </w:p>
        </w:tc>
      </w:tr>
      <w:tr w14:paraId="4BFECE9B">
        <w:tblPrEx>
          <w:tblCellMar>
            <w:top w:w="0" w:type="dxa"/>
            <w:left w:w="108" w:type="dxa"/>
            <w:bottom w:w="0" w:type="dxa"/>
            <w:right w:w="108" w:type="dxa"/>
          </w:tblCellMar>
        </w:tblPrEx>
        <w:tc>
          <w:tcPr>
            <w:tcW w:w="5353" w:type="dxa"/>
          </w:tcPr>
          <w:p w14:paraId="67D56A0C">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日期：</w:t>
            </w:r>
            <w:r>
              <w:rPr>
                <w:rFonts w:hint="eastAsia" w:ascii="黑体" w:hAnsi="黑体" w:eastAsia="黑体" w:cs="黑体"/>
                <w:color w:val="auto"/>
                <w:szCs w:val="21"/>
                <w:highlight w:val="none"/>
                <w:u w:val="single"/>
              </w:rPr>
              <w:t xml:space="preserve">             年           月            日</w:t>
            </w:r>
          </w:p>
        </w:tc>
        <w:tc>
          <w:tcPr>
            <w:tcW w:w="3175" w:type="dxa"/>
          </w:tcPr>
          <w:p w14:paraId="015243C7">
            <w:pPr>
              <w:spacing w:line="360" w:lineRule="auto"/>
              <w:rPr>
                <w:rFonts w:hint="eastAsia" w:ascii="黑体" w:hAnsi="黑体" w:eastAsia="黑体" w:cs="黑体"/>
                <w:color w:val="auto"/>
                <w:szCs w:val="21"/>
                <w:highlight w:val="none"/>
              </w:rPr>
            </w:pPr>
          </w:p>
        </w:tc>
      </w:tr>
    </w:tbl>
    <w:p w14:paraId="0948FBB0">
      <w:pPr>
        <w:pStyle w:val="29"/>
        <w:pageBreakBefore/>
        <w:numPr>
          <w:ilvl w:val="0"/>
          <w:numId w:val="84"/>
        </w:numPr>
        <w:tabs>
          <w:tab w:val="left" w:pos="284"/>
          <w:tab w:val="left" w:pos="426"/>
          <w:tab w:val="left" w:pos="709"/>
        </w:tabs>
        <w:ind w:left="1679" w:hanging="1537" w:firstLineChars="0"/>
        <w:jc w:val="left"/>
        <w:rPr>
          <w:rFonts w:hint="eastAsia" w:ascii="黑体" w:hAnsi="黑体" w:eastAsia="黑体" w:cs="黑体"/>
          <w:b/>
          <w:bCs/>
          <w:color w:val="auto"/>
          <w:highlight w:val="none"/>
        </w:rPr>
      </w:pPr>
      <w:r>
        <w:rPr>
          <w:rFonts w:hint="eastAsia" w:ascii="黑体" w:hAnsi="黑体" w:eastAsia="黑体" w:cs="黑体"/>
          <w:b/>
          <w:bCs/>
          <w:color w:val="auto"/>
          <w:highlight w:val="none"/>
        </w:rPr>
        <w:t>详细评审索引表</w:t>
      </w:r>
    </w:p>
    <w:p w14:paraId="4FEC32AD">
      <w:pPr>
        <w:spacing w:before="312" w:beforeLines="100" w:after="312" w:afterLines="100"/>
        <w:jc w:val="center"/>
        <w:rPr>
          <w:rFonts w:hint="eastAsia" w:ascii="黑体" w:hAnsi="黑体" w:eastAsia="黑体" w:cs="黑体"/>
          <w:b/>
          <w:color w:val="auto"/>
          <w:spacing w:val="20"/>
          <w:sz w:val="30"/>
          <w:szCs w:val="30"/>
          <w:highlight w:val="none"/>
        </w:rPr>
      </w:pPr>
      <w:r>
        <w:rPr>
          <w:rFonts w:hint="eastAsia" w:ascii="黑体" w:hAnsi="黑体" w:eastAsia="黑体" w:cs="黑体"/>
          <w:b/>
          <w:color w:val="auto"/>
          <w:spacing w:val="20"/>
          <w:sz w:val="30"/>
          <w:szCs w:val="30"/>
          <w:highlight w:val="none"/>
        </w:rPr>
        <w:t>详细评审索引表</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7"/>
        <w:gridCol w:w="1551"/>
        <w:gridCol w:w="3382"/>
        <w:gridCol w:w="2452"/>
      </w:tblGrid>
      <w:tr w14:paraId="713E8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2" w:type="dxa"/>
            <w:gridSpan w:val="4"/>
            <w:vAlign w:val="center"/>
          </w:tcPr>
          <w:p w14:paraId="7A718D16">
            <w:pPr>
              <w:spacing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商务评审细则</w:t>
            </w:r>
          </w:p>
        </w:tc>
      </w:tr>
      <w:tr w14:paraId="5F971E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060466DD">
            <w:pPr>
              <w:spacing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序号</w:t>
            </w:r>
          </w:p>
        </w:tc>
        <w:tc>
          <w:tcPr>
            <w:tcW w:w="1551" w:type="dxa"/>
            <w:vAlign w:val="center"/>
          </w:tcPr>
          <w:p w14:paraId="71EAE41B">
            <w:pPr>
              <w:spacing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评分内容</w:t>
            </w:r>
          </w:p>
        </w:tc>
        <w:tc>
          <w:tcPr>
            <w:tcW w:w="3382" w:type="dxa"/>
            <w:vAlign w:val="center"/>
          </w:tcPr>
          <w:p w14:paraId="5B3DC602">
            <w:pPr>
              <w:spacing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评分标准</w:t>
            </w:r>
          </w:p>
        </w:tc>
        <w:tc>
          <w:tcPr>
            <w:tcW w:w="2452" w:type="dxa"/>
            <w:vAlign w:val="center"/>
          </w:tcPr>
          <w:p w14:paraId="6BE231A3">
            <w:pPr>
              <w:spacing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投标文件响应页码</w:t>
            </w:r>
          </w:p>
        </w:tc>
      </w:tr>
      <w:tr w14:paraId="39A6C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436D3D73">
            <w:pPr>
              <w:spacing w:line="360" w:lineRule="auto"/>
              <w:jc w:val="center"/>
              <w:rPr>
                <w:rFonts w:hint="eastAsia" w:ascii="黑体" w:hAnsi="黑体" w:eastAsia="黑体" w:cs="黑体"/>
                <w:b/>
                <w:color w:val="auto"/>
                <w:szCs w:val="21"/>
                <w:highlight w:val="none"/>
              </w:rPr>
            </w:pPr>
          </w:p>
        </w:tc>
        <w:tc>
          <w:tcPr>
            <w:tcW w:w="1551" w:type="dxa"/>
            <w:vAlign w:val="center"/>
          </w:tcPr>
          <w:p w14:paraId="50DB38D9">
            <w:pPr>
              <w:spacing w:line="360" w:lineRule="auto"/>
              <w:jc w:val="center"/>
              <w:rPr>
                <w:rFonts w:hint="eastAsia" w:ascii="黑体" w:hAnsi="黑体" w:eastAsia="黑体" w:cs="黑体"/>
                <w:b/>
                <w:color w:val="auto"/>
                <w:szCs w:val="21"/>
                <w:highlight w:val="none"/>
              </w:rPr>
            </w:pPr>
          </w:p>
        </w:tc>
        <w:tc>
          <w:tcPr>
            <w:tcW w:w="3382" w:type="dxa"/>
            <w:vAlign w:val="center"/>
          </w:tcPr>
          <w:p w14:paraId="0520AF08">
            <w:pPr>
              <w:spacing w:line="360" w:lineRule="auto"/>
              <w:jc w:val="center"/>
              <w:rPr>
                <w:rFonts w:hint="eastAsia" w:ascii="黑体" w:hAnsi="黑体" w:eastAsia="黑体" w:cs="黑体"/>
                <w:b/>
                <w:color w:val="auto"/>
                <w:szCs w:val="21"/>
                <w:highlight w:val="none"/>
              </w:rPr>
            </w:pPr>
          </w:p>
        </w:tc>
        <w:tc>
          <w:tcPr>
            <w:tcW w:w="2452" w:type="dxa"/>
            <w:vAlign w:val="center"/>
          </w:tcPr>
          <w:p w14:paraId="51E78359">
            <w:pPr>
              <w:spacing w:line="360" w:lineRule="auto"/>
              <w:jc w:val="center"/>
              <w:rPr>
                <w:rFonts w:hint="eastAsia" w:ascii="黑体" w:hAnsi="黑体" w:eastAsia="黑体" w:cs="黑体"/>
                <w:b/>
                <w:color w:val="auto"/>
                <w:szCs w:val="21"/>
                <w:highlight w:val="none"/>
              </w:rPr>
            </w:pPr>
          </w:p>
        </w:tc>
      </w:tr>
      <w:tr w14:paraId="57BF5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4DE33847">
            <w:pPr>
              <w:spacing w:line="360" w:lineRule="auto"/>
              <w:jc w:val="center"/>
              <w:rPr>
                <w:rFonts w:hint="eastAsia" w:ascii="黑体" w:hAnsi="黑体" w:eastAsia="黑体" w:cs="黑体"/>
                <w:b/>
                <w:color w:val="auto"/>
                <w:szCs w:val="21"/>
                <w:highlight w:val="none"/>
              </w:rPr>
            </w:pPr>
          </w:p>
        </w:tc>
        <w:tc>
          <w:tcPr>
            <w:tcW w:w="1551" w:type="dxa"/>
            <w:vAlign w:val="center"/>
          </w:tcPr>
          <w:p w14:paraId="20F2D57C">
            <w:pPr>
              <w:spacing w:line="360" w:lineRule="auto"/>
              <w:jc w:val="center"/>
              <w:rPr>
                <w:rFonts w:hint="eastAsia" w:ascii="黑体" w:hAnsi="黑体" w:eastAsia="黑体" w:cs="黑体"/>
                <w:b/>
                <w:color w:val="auto"/>
                <w:szCs w:val="21"/>
                <w:highlight w:val="none"/>
              </w:rPr>
            </w:pPr>
          </w:p>
        </w:tc>
        <w:tc>
          <w:tcPr>
            <w:tcW w:w="3382" w:type="dxa"/>
            <w:vAlign w:val="center"/>
          </w:tcPr>
          <w:p w14:paraId="1EF4B9C9">
            <w:pPr>
              <w:spacing w:line="360" w:lineRule="auto"/>
              <w:jc w:val="center"/>
              <w:rPr>
                <w:rFonts w:hint="eastAsia" w:ascii="黑体" w:hAnsi="黑体" w:eastAsia="黑体" w:cs="黑体"/>
                <w:b/>
                <w:color w:val="auto"/>
                <w:szCs w:val="21"/>
                <w:highlight w:val="none"/>
              </w:rPr>
            </w:pPr>
          </w:p>
        </w:tc>
        <w:tc>
          <w:tcPr>
            <w:tcW w:w="2452" w:type="dxa"/>
            <w:vAlign w:val="center"/>
          </w:tcPr>
          <w:p w14:paraId="2D880F4A">
            <w:pPr>
              <w:spacing w:line="360" w:lineRule="auto"/>
              <w:jc w:val="center"/>
              <w:rPr>
                <w:rFonts w:hint="eastAsia" w:ascii="黑体" w:hAnsi="黑体" w:eastAsia="黑体" w:cs="黑体"/>
                <w:b/>
                <w:color w:val="auto"/>
                <w:szCs w:val="21"/>
                <w:highlight w:val="none"/>
              </w:rPr>
            </w:pPr>
          </w:p>
        </w:tc>
      </w:tr>
      <w:tr w14:paraId="3D9EE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62873737">
            <w:pPr>
              <w:spacing w:line="360" w:lineRule="auto"/>
              <w:jc w:val="center"/>
              <w:rPr>
                <w:rFonts w:hint="eastAsia" w:ascii="黑体" w:hAnsi="黑体" w:eastAsia="黑体" w:cs="黑体"/>
                <w:b/>
                <w:color w:val="auto"/>
                <w:szCs w:val="21"/>
                <w:highlight w:val="none"/>
              </w:rPr>
            </w:pPr>
          </w:p>
        </w:tc>
        <w:tc>
          <w:tcPr>
            <w:tcW w:w="1551" w:type="dxa"/>
            <w:vAlign w:val="center"/>
          </w:tcPr>
          <w:p w14:paraId="785E2E2A">
            <w:pPr>
              <w:spacing w:line="360" w:lineRule="auto"/>
              <w:jc w:val="center"/>
              <w:rPr>
                <w:rFonts w:hint="eastAsia" w:ascii="黑体" w:hAnsi="黑体" w:eastAsia="黑体" w:cs="黑体"/>
                <w:b/>
                <w:color w:val="auto"/>
                <w:szCs w:val="21"/>
                <w:highlight w:val="none"/>
              </w:rPr>
            </w:pPr>
          </w:p>
        </w:tc>
        <w:tc>
          <w:tcPr>
            <w:tcW w:w="3382" w:type="dxa"/>
            <w:vAlign w:val="center"/>
          </w:tcPr>
          <w:p w14:paraId="501E04C2">
            <w:pPr>
              <w:spacing w:line="360" w:lineRule="auto"/>
              <w:jc w:val="center"/>
              <w:rPr>
                <w:rFonts w:hint="eastAsia" w:ascii="黑体" w:hAnsi="黑体" w:eastAsia="黑体" w:cs="黑体"/>
                <w:b/>
                <w:color w:val="auto"/>
                <w:szCs w:val="21"/>
                <w:highlight w:val="none"/>
              </w:rPr>
            </w:pPr>
          </w:p>
        </w:tc>
        <w:tc>
          <w:tcPr>
            <w:tcW w:w="2452" w:type="dxa"/>
            <w:vAlign w:val="center"/>
          </w:tcPr>
          <w:p w14:paraId="2AA957ED">
            <w:pPr>
              <w:spacing w:line="360" w:lineRule="auto"/>
              <w:jc w:val="center"/>
              <w:rPr>
                <w:rFonts w:hint="eastAsia" w:ascii="黑体" w:hAnsi="黑体" w:eastAsia="黑体" w:cs="黑体"/>
                <w:b/>
                <w:color w:val="auto"/>
                <w:szCs w:val="21"/>
                <w:highlight w:val="none"/>
              </w:rPr>
            </w:pPr>
          </w:p>
        </w:tc>
      </w:tr>
      <w:tr w14:paraId="31A02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138DA5B8">
            <w:pPr>
              <w:spacing w:line="360" w:lineRule="auto"/>
              <w:jc w:val="center"/>
              <w:rPr>
                <w:rFonts w:hint="eastAsia" w:ascii="黑体" w:hAnsi="黑体" w:eastAsia="黑体" w:cs="黑体"/>
                <w:b/>
                <w:color w:val="auto"/>
                <w:szCs w:val="21"/>
                <w:highlight w:val="none"/>
              </w:rPr>
            </w:pPr>
          </w:p>
        </w:tc>
        <w:tc>
          <w:tcPr>
            <w:tcW w:w="1551" w:type="dxa"/>
            <w:vAlign w:val="center"/>
          </w:tcPr>
          <w:p w14:paraId="3C1B4E79">
            <w:pPr>
              <w:spacing w:line="360" w:lineRule="auto"/>
              <w:jc w:val="center"/>
              <w:rPr>
                <w:rFonts w:hint="eastAsia" w:ascii="黑体" w:hAnsi="黑体" w:eastAsia="黑体" w:cs="黑体"/>
                <w:b/>
                <w:color w:val="auto"/>
                <w:szCs w:val="21"/>
                <w:highlight w:val="none"/>
              </w:rPr>
            </w:pPr>
          </w:p>
        </w:tc>
        <w:tc>
          <w:tcPr>
            <w:tcW w:w="3382" w:type="dxa"/>
            <w:vAlign w:val="center"/>
          </w:tcPr>
          <w:p w14:paraId="7E9E4E7F">
            <w:pPr>
              <w:spacing w:line="360" w:lineRule="auto"/>
              <w:jc w:val="center"/>
              <w:rPr>
                <w:rFonts w:hint="eastAsia" w:ascii="黑体" w:hAnsi="黑体" w:eastAsia="黑体" w:cs="黑体"/>
                <w:b/>
                <w:color w:val="auto"/>
                <w:szCs w:val="21"/>
                <w:highlight w:val="none"/>
              </w:rPr>
            </w:pPr>
          </w:p>
        </w:tc>
        <w:tc>
          <w:tcPr>
            <w:tcW w:w="2452" w:type="dxa"/>
            <w:vAlign w:val="center"/>
          </w:tcPr>
          <w:p w14:paraId="1A365679">
            <w:pPr>
              <w:spacing w:line="360" w:lineRule="auto"/>
              <w:jc w:val="center"/>
              <w:rPr>
                <w:rFonts w:hint="eastAsia" w:ascii="黑体" w:hAnsi="黑体" w:eastAsia="黑体" w:cs="黑体"/>
                <w:b/>
                <w:color w:val="auto"/>
                <w:szCs w:val="21"/>
                <w:highlight w:val="none"/>
              </w:rPr>
            </w:pPr>
          </w:p>
        </w:tc>
      </w:tr>
      <w:tr w14:paraId="2AE5F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2" w:type="dxa"/>
            <w:gridSpan w:val="4"/>
            <w:vAlign w:val="center"/>
          </w:tcPr>
          <w:p w14:paraId="69382B67">
            <w:pPr>
              <w:spacing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技术评审细则</w:t>
            </w:r>
          </w:p>
        </w:tc>
      </w:tr>
      <w:tr w14:paraId="37199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53AC9F63">
            <w:pPr>
              <w:spacing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序号</w:t>
            </w:r>
          </w:p>
        </w:tc>
        <w:tc>
          <w:tcPr>
            <w:tcW w:w="1551" w:type="dxa"/>
            <w:vAlign w:val="center"/>
          </w:tcPr>
          <w:p w14:paraId="206B6D1D">
            <w:pPr>
              <w:spacing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评分内容</w:t>
            </w:r>
          </w:p>
        </w:tc>
        <w:tc>
          <w:tcPr>
            <w:tcW w:w="3382" w:type="dxa"/>
            <w:vAlign w:val="center"/>
          </w:tcPr>
          <w:p w14:paraId="5445A456">
            <w:pPr>
              <w:spacing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评分标准</w:t>
            </w:r>
          </w:p>
        </w:tc>
        <w:tc>
          <w:tcPr>
            <w:tcW w:w="2452" w:type="dxa"/>
            <w:vAlign w:val="center"/>
          </w:tcPr>
          <w:p w14:paraId="0EBE56EE">
            <w:pPr>
              <w:spacing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投标文件响应页码</w:t>
            </w:r>
          </w:p>
        </w:tc>
      </w:tr>
      <w:tr w14:paraId="77126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6C3DFAD5">
            <w:pPr>
              <w:spacing w:line="360" w:lineRule="auto"/>
              <w:jc w:val="center"/>
              <w:rPr>
                <w:rFonts w:hint="eastAsia" w:ascii="黑体" w:hAnsi="黑体" w:eastAsia="黑体" w:cs="黑体"/>
                <w:b/>
                <w:color w:val="auto"/>
                <w:szCs w:val="21"/>
                <w:highlight w:val="none"/>
              </w:rPr>
            </w:pPr>
          </w:p>
        </w:tc>
        <w:tc>
          <w:tcPr>
            <w:tcW w:w="1551" w:type="dxa"/>
            <w:vAlign w:val="center"/>
          </w:tcPr>
          <w:p w14:paraId="20CCA8D4">
            <w:pPr>
              <w:spacing w:line="360" w:lineRule="auto"/>
              <w:jc w:val="center"/>
              <w:rPr>
                <w:rFonts w:hint="eastAsia" w:ascii="黑体" w:hAnsi="黑体" w:eastAsia="黑体" w:cs="黑体"/>
                <w:b/>
                <w:color w:val="auto"/>
                <w:szCs w:val="21"/>
                <w:highlight w:val="none"/>
              </w:rPr>
            </w:pPr>
          </w:p>
        </w:tc>
        <w:tc>
          <w:tcPr>
            <w:tcW w:w="3382" w:type="dxa"/>
            <w:vAlign w:val="center"/>
          </w:tcPr>
          <w:p w14:paraId="667592C6">
            <w:pPr>
              <w:spacing w:line="360" w:lineRule="auto"/>
              <w:jc w:val="center"/>
              <w:rPr>
                <w:rFonts w:hint="eastAsia" w:ascii="黑体" w:hAnsi="黑体" w:eastAsia="黑体" w:cs="黑体"/>
                <w:b/>
                <w:color w:val="auto"/>
                <w:szCs w:val="21"/>
                <w:highlight w:val="none"/>
              </w:rPr>
            </w:pPr>
          </w:p>
        </w:tc>
        <w:tc>
          <w:tcPr>
            <w:tcW w:w="2452" w:type="dxa"/>
            <w:vAlign w:val="center"/>
          </w:tcPr>
          <w:p w14:paraId="478C93E4">
            <w:pPr>
              <w:spacing w:line="360" w:lineRule="auto"/>
              <w:jc w:val="center"/>
              <w:rPr>
                <w:rFonts w:hint="eastAsia" w:ascii="黑体" w:hAnsi="黑体" w:eastAsia="黑体" w:cs="黑体"/>
                <w:b/>
                <w:color w:val="auto"/>
                <w:szCs w:val="21"/>
                <w:highlight w:val="none"/>
              </w:rPr>
            </w:pPr>
          </w:p>
        </w:tc>
      </w:tr>
      <w:tr w14:paraId="7C312A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17719F8A">
            <w:pPr>
              <w:spacing w:line="360" w:lineRule="auto"/>
              <w:jc w:val="center"/>
              <w:rPr>
                <w:rFonts w:hint="eastAsia" w:ascii="黑体" w:hAnsi="黑体" w:eastAsia="黑体" w:cs="黑体"/>
                <w:b/>
                <w:color w:val="auto"/>
                <w:szCs w:val="21"/>
                <w:highlight w:val="none"/>
              </w:rPr>
            </w:pPr>
          </w:p>
        </w:tc>
        <w:tc>
          <w:tcPr>
            <w:tcW w:w="1551" w:type="dxa"/>
            <w:vAlign w:val="center"/>
          </w:tcPr>
          <w:p w14:paraId="7D022D99">
            <w:pPr>
              <w:spacing w:line="360" w:lineRule="auto"/>
              <w:jc w:val="center"/>
              <w:rPr>
                <w:rFonts w:hint="eastAsia" w:ascii="黑体" w:hAnsi="黑体" w:eastAsia="黑体" w:cs="黑体"/>
                <w:b/>
                <w:color w:val="auto"/>
                <w:szCs w:val="21"/>
                <w:highlight w:val="none"/>
              </w:rPr>
            </w:pPr>
          </w:p>
        </w:tc>
        <w:tc>
          <w:tcPr>
            <w:tcW w:w="3382" w:type="dxa"/>
            <w:vAlign w:val="center"/>
          </w:tcPr>
          <w:p w14:paraId="579C36D3">
            <w:pPr>
              <w:spacing w:line="360" w:lineRule="auto"/>
              <w:jc w:val="center"/>
              <w:rPr>
                <w:rFonts w:hint="eastAsia" w:ascii="黑体" w:hAnsi="黑体" w:eastAsia="黑体" w:cs="黑体"/>
                <w:b/>
                <w:color w:val="auto"/>
                <w:szCs w:val="21"/>
                <w:highlight w:val="none"/>
              </w:rPr>
            </w:pPr>
          </w:p>
        </w:tc>
        <w:tc>
          <w:tcPr>
            <w:tcW w:w="2452" w:type="dxa"/>
            <w:vAlign w:val="center"/>
          </w:tcPr>
          <w:p w14:paraId="1EF01A64">
            <w:pPr>
              <w:spacing w:line="360" w:lineRule="auto"/>
              <w:jc w:val="center"/>
              <w:rPr>
                <w:rFonts w:hint="eastAsia" w:ascii="黑体" w:hAnsi="黑体" w:eastAsia="黑体" w:cs="黑体"/>
                <w:b/>
                <w:color w:val="auto"/>
                <w:szCs w:val="21"/>
                <w:highlight w:val="none"/>
              </w:rPr>
            </w:pPr>
          </w:p>
        </w:tc>
      </w:tr>
      <w:tr w14:paraId="5E84F2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0540BE1F">
            <w:pPr>
              <w:spacing w:line="360" w:lineRule="auto"/>
              <w:jc w:val="center"/>
              <w:rPr>
                <w:rFonts w:hint="eastAsia" w:ascii="黑体" w:hAnsi="黑体" w:eastAsia="黑体" w:cs="黑体"/>
                <w:b/>
                <w:color w:val="auto"/>
                <w:szCs w:val="21"/>
                <w:highlight w:val="none"/>
              </w:rPr>
            </w:pPr>
          </w:p>
        </w:tc>
        <w:tc>
          <w:tcPr>
            <w:tcW w:w="1551" w:type="dxa"/>
            <w:vAlign w:val="center"/>
          </w:tcPr>
          <w:p w14:paraId="1FCA66AF">
            <w:pPr>
              <w:spacing w:line="360" w:lineRule="auto"/>
              <w:jc w:val="center"/>
              <w:rPr>
                <w:rFonts w:hint="eastAsia" w:ascii="黑体" w:hAnsi="黑体" w:eastAsia="黑体" w:cs="黑体"/>
                <w:b/>
                <w:color w:val="auto"/>
                <w:szCs w:val="21"/>
                <w:highlight w:val="none"/>
              </w:rPr>
            </w:pPr>
          </w:p>
        </w:tc>
        <w:tc>
          <w:tcPr>
            <w:tcW w:w="3382" w:type="dxa"/>
            <w:vAlign w:val="center"/>
          </w:tcPr>
          <w:p w14:paraId="32D1FCA0">
            <w:pPr>
              <w:spacing w:line="360" w:lineRule="auto"/>
              <w:jc w:val="center"/>
              <w:rPr>
                <w:rFonts w:hint="eastAsia" w:ascii="黑体" w:hAnsi="黑体" w:eastAsia="黑体" w:cs="黑体"/>
                <w:b/>
                <w:color w:val="auto"/>
                <w:szCs w:val="21"/>
                <w:highlight w:val="none"/>
              </w:rPr>
            </w:pPr>
          </w:p>
        </w:tc>
        <w:tc>
          <w:tcPr>
            <w:tcW w:w="2452" w:type="dxa"/>
            <w:vAlign w:val="center"/>
          </w:tcPr>
          <w:p w14:paraId="3CD550AE">
            <w:pPr>
              <w:spacing w:line="360" w:lineRule="auto"/>
              <w:jc w:val="center"/>
              <w:rPr>
                <w:rFonts w:hint="eastAsia" w:ascii="黑体" w:hAnsi="黑体" w:eastAsia="黑体" w:cs="黑体"/>
                <w:b/>
                <w:color w:val="auto"/>
                <w:szCs w:val="21"/>
                <w:highlight w:val="none"/>
              </w:rPr>
            </w:pPr>
          </w:p>
        </w:tc>
      </w:tr>
      <w:tr w14:paraId="156BF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2D62DF1D">
            <w:pPr>
              <w:spacing w:line="360" w:lineRule="auto"/>
              <w:jc w:val="center"/>
              <w:rPr>
                <w:rFonts w:hint="eastAsia" w:ascii="黑体" w:hAnsi="黑体" w:eastAsia="黑体" w:cs="黑体"/>
                <w:b/>
                <w:color w:val="auto"/>
                <w:szCs w:val="21"/>
                <w:highlight w:val="none"/>
              </w:rPr>
            </w:pPr>
          </w:p>
        </w:tc>
        <w:tc>
          <w:tcPr>
            <w:tcW w:w="1551" w:type="dxa"/>
            <w:vAlign w:val="center"/>
          </w:tcPr>
          <w:p w14:paraId="45162A0F">
            <w:pPr>
              <w:spacing w:line="360" w:lineRule="auto"/>
              <w:jc w:val="center"/>
              <w:rPr>
                <w:rFonts w:hint="eastAsia" w:ascii="黑体" w:hAnsi="黑体" w:eastAsia="黑体" w:cs="黑体"/>
                <w:b/>
                <w:color w:val="auto"/>
                <w:szCs w:val="21"/>
                <w:highlight w:val="none"/>
              </w:rPr>
            </w:pPr>
          </w:p>
        </w:tc>
        <w:tc>
          <w:tcPr>
            <w:tcW w:w="3382" w:type="dxa"/>
            <w:vAlign w:val="center"/>
          </w:tcPr>
          <w:p w14:paraId="7E586912">
            <w:pPr>
              <w:spacing w:line="360" w:lineRule="auto"/>
              <w:jc w:val="center"/>
              <w:rPr>
                <w:rFonts w:hint="eastAsia" w:ascii="黑体" w:hAnsi="黑体" w:eastAsia="黑体" w:cs="黑体"/>
                <w:b/>
                <w:color w:val="auto"/>
                <w:szCs w:val="21"/>
                <w:highlight w:val="none"/>
              </w:rPr>
            </w:pPr>
          </w:p>
        </w:tc>
        <w:tc>
          <w:tcPr>
            <w:tcW w:w="2452" w:type="dxa"/>
            <w:vAlign w:val="center"/>
          </w:tcPr>
          <w:p w14:paraId="20C3DFC3">
            <w:pPr>
              <w:spacing w:line="360" w:lineRule="auto"/>
              <w:jc w:val="center"/>
              <w:rPr>
                <w:rFonts w:hint="eastAsia" w:ascii="黑体" w:hAnsi="黑体" w:eastAsia="黑体" w:cs="黑体"/>
                <w:b/>
                <w:color w:val="auto"/>
                <w:szCs w:val="21"/>
                <w:highlight w:val="none"/>
              </w:rPr>
            </w:pPr>
          </w:p>
        </w:tc>
      </w:tr>
      <w:tr w14:paraId="7E6C50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6A163918">
            <w:pPr>
              <w:spacing w:line="360" w:lineRule="auto"/>
              <w:jc w:val="center"/>
              <w:rPr>
                <w:rFonts w:hint="eastAsia" w:ascii="黑体" w:hAnsi="黑体" w:eastAsia="黑体" w:cs="黑体"/>
                <w:b/>
                <w:color w:val="auto"/>
                <w:szCs w:val="21"/>
                <w:highlight w:val="none"/>
              </w:rPr>
            </w:pPr>
          </w:p>
        </w:tc>
        <w:tc>
          <w:tcPr>
            <w:tcW w:w="1551" w:type="dxa"/>
            <w:vAlign w:val="center"/>
          </w:tcPr>
          <w:p w14:paraId="71993BC9">
            <w:pPr>
              <w:spacing w:line="360" w:lineRule="auto"/>
              <w:jc w:val="center"/>
              <w:rPr>
                <w:rFonts w:hint="eastAsia" w:ascii="黑体" w:hAnsi="黑体" w:eastAsia="黑体" w:cs="黑体"/>
                <w:b/>
                <w:color w:val="auto"/>
                <w:szCs w:val="21"/>
                <w:highlight w:val="none"/>
              </w:rPr>
            </w:pPr>
          </w:p>
        </w:tc>
        <w:tc>
          <w:tcPr>
            <w:tcW w:w="3382" w:type="dxa"/>
            <w:vAlign w:val="center"/>
          </w:tcPr>
          <w:p w14:paraId="1E9787B5">
            <w:pPr>
              <w:spacing w:line="360" w:lineRule="auto"/>
              <w:jc w:val="center"/>
              <w:rPr>
                <w:rFonts w:hint="eastAsia" w:ascii="黑体" w:hAnsi="黑体" w:eastAsia="黑体" w:cs="黑体"/>
                <w:b/>
                <w:color w:val="auto"/>
                <w:szCs w:val="21"/>
                <w:highlight w:val="none"/>
              </w:rPr>
            </w:pPr>
          </w:p>
        </w:tc>
        <w:tc>
          <w:tcPr>
            <w:tcW w:w="2452" w:type="dxa"/>
            <w:vAlign w:val="center"/>
          </w:tcPr>
          <w:p w14:paraId="363DDDA2">
            <w:pPr>
              <w:spacing w:line="360" w:lineRule="auto"/>
              <w:jc w:val="center"/>
              <w:rPr>
                <w:rFonts w:hint="eastAsia" w:ascii="黑体" w:hAnsi="黑体" w:eastAsia="黑体" w:cs="黑体"/>
                <w:b/>
                <w:color w:val="auto"/>
                <w:szCs w:val="21"/>
                <w:highlight w:val="none"/>
              </w:rPr>
            </w:pPr>
          </w:p>
        </w:tc>
      </w:tr>
      <w:tr w14:paraId="5FBAFA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1C4B4913">
            <w:pPr>
              <w:spacing w:line="360" w:lineRule="auto"/>
              <w:jc w:val="center"/>
              <w:rPr>
                <w:rFonts w:hint="eastAsia" w:ascii="黑体" w:hAnsi="黑体" w:eastAsia="黑体" w:cs="黑体"/>
                <w:b/>
                <w:color w:val="auto"/>
                <w:szCs w:val="21"/>
                <w:highlight w:val="none"/>
              </w:rPr>
            </w:pPr>
          </w:p>
        </w:tc>
        <w:tc>
          <w:tcPr>
            <w:tcW w:w="1551" w:type="dxa"/>
            <w:vAlign w:val="center"/>
          </w:tcPr>
          <w:p w14:paraId="0F3F2935">
            <w:pPr>
              <w:spacing w:line="360" w:lineRule="auto"/>
              <w:jc w:val="center"/>
              <w:rPr>
                <w:rFonts w:hint="eastAsia" w:ascii="黑体" w:hAnsi="黑体" w:eastAsia="黑体" w:cs="黑体"/>
                <w:b/>
                <w:color w:val="auto"/>
                <w:szCs w:val="21"/>
                <w:highlight w:val="none"/>
              </w:rPr>
            </w:pPr>
          </w:p>
        </w:tc>
        <w:tc>
          <w:tcPr>
            <w:tcW w:w="3382" w:type="dxa"/>
            <w:vAlign w:val="center"/>
          </w:tcPr>
          <w:p w14:paraId="051C9ECA">
            <w:pPr>
              <w:spacing w:line="360" w:lineRule="auto"/>
              <w:jc w:val="center"/>
              <w:rPr>
                <w:rFonts w:hint="eastAsia" w:ascii="黑体" w:hAnsi="黑体" w:eastAsia="黑体" w:cs="黑体"/>
                <w:b/>
                <w:color w:val="auto"/>
                <w:szCs w:val="21"/>
                <w:highlight w:val="none"/>
              </w:rPr>
            </w:pPr>
          </w:p>
        </w:tc>
        <w:tc>
          <w:tcPr>
            <w:tcW w:w="2452" w:type="dxa"/>
            <w:vAlign w:val="center"/>
          </w:tcPr>
          <w:p w14:paraId="36045844">
            <w:pPr>
              <w:spacing w:line="360" w:lineRule="auto"/>
              <w:jc w:val="center"/>
              <w:rPr>
                <w:rFonts w:hint="eastAsia" w:ascii="黑体" w:hAnsi="黑体" w:eastAsia="黑体" w:cs="黑体"/>
                <w:b/>
                <w:color w:val="auto"/>
                <w:szCs w:val="21"/>
                <w:highlight w:val="none"/>
              </w:rPr>
            </w:pPr>
          </w:p>
        </w:tc>
      </w:tr>
    </w:tbl>
    <w:p w14:paraId="233B0D3B">
      <w:pPr>
        <w:spacing w:before="156" w:beforeLines="50" w:line="360" w:lineRule="auto"/>
        <w:rPr>
          <w:rFonts w:hint="eastAsia" w:ascii="黑体" w:hAnsi="黑体" w:eastAsia="黑体" w:cs="黑体"/>
          <w:color w:val="auto"/>
          <w:highlight w:val="none"/>
        </w:rPr>
      </w:pPr>
      <w:r>
        <w:rPr>
          <w:rFonts w:hint="eastAsia" w:ascii="黑体" w:hAnsi="黑体" w:eastAsia="黑体" w:cs="黑体"/>
          <w:color w:val="auto"/>
          <w:szCs w:val="21"/>
          <w:highlight w:val="none"/>
        </w:rPr>
        <w:t>注明：按招标文件第五部分 评标方法、步骤、标准之附表三详细评审表相对应条款填写。</w:t>
      </w:r>
    </w:p>
    <w:p w14:paraId="2B77640E">
      <w:pPr>
        <w:spacing w:line="360" w:lineRule="auto"/>
        <w:rPr>
          <w:rFonts w:hint="eastAsia" w:ascii="黑体" w:hAnsi="黑体" w:eastAsia="黑体" w:cs="黑体"/>
          <w:color w:val="auto"/>
          <w:highlight w:val="none"/>
        </w:rPr>
      </w:pPr>
    </w:p>
    <w:p w14:paraId="1E463BD7">
      <w:pPr>
        <w:spacing w:line="360" w:lineRule="auto"/>
        <w:rPr>
          <w:rFonts w:hint="eastAsia" w:ascii="黑体" w:hAnsi="黑体" w:eastAsia="黑体" w:cs="黑体"/>
          <w:color w:val="auto"/>
          <w:highlight w:val="none"/>
        </w:rPr>
      </w:pPr>
    </w:p>
    <w:p w14:paraId="077256EA">
      <w:pPr>
        <w:spacing w:line="360" w:lineRule="auto"/>
        <w:rPr>
          <w:rFonts w:hint="eastAsia" w:ascii="黑体" w:hAnsi="黑体" w:eastAsia="黑体" w:cs="黑体"/>
          <w:color w:val="auto"/>
          <w:highlight w:val="none"/>
        </w:rPr>
      </w:pPr>
    </w:p>
    <w:tbl>
      <w:tblPr>
        <w:tblStyle w:val="19"/>
        <w:tblW w:w="0" w:type="auto"/>
        <w:tblInd w:w="0" w:type="dxa"/>
        <w:tblLayout w:type="autofit"/>
        <w:tblCellMar>
          <w:top w:w="0" w:type="dxa"/>
          <w:left w:w="108" w:type="dxa"/>
          <w:bottom w:w="0" w:type="dxa"/>
          <w:right w:w="108" w:type="dxa"/>
        </w:tblCellMar>
      </w:tblPr>
      <w:tblGrid>
        <w:gridCol w:w="5353"/>
        <w:gridCol w:w="3175"/>
      </w:tblGrid>
      <w:tr w14:paraId="55610E93">
        <w:tblPrEx>
          <w:tblCellMar>
            <w:top w:w="0" w:type="dxa"/>
            <w:left w:w="108" w:type="dxa"/>
            <w:bottom w:w="0" w:type="dxa"/>
            <w:right w:w="108" w:type="dxa"/>
          </w:tblCellMar>
        </w:tblPrEx>
        <w:tc>
          <w:tcPr>
            <w:tcW w:w="5353" w:type="dxa"/>
          </w:tcPr>
          <w:p w14:paraId="487CFE23">
            <w:pPr>
              <w:overflowPunct w:val="0"/>
              <w:adjustRightIn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投标人名称（加盖公章）：</w:t>
            </w:r>
            <w:r>
              <w:rPr>
                <w:rFonts w:hint="eastAsia" w:ascii="黑体" w:hAnsi="黑体" w:eastAsia="黑体" w:cs="黑体"/>
                <w:color w:val="auto"/>
                <w:szCs w:val="21"/>
                <w:highlight w:val="none"/>
                <w:u w:val="single"/>
              </w:rPr>
              <w:t xml:space="preserve">                         </w:t>
            </w:r>
          </w:p>
        </w:tc>
        <w:tc>
          <w:tcPr>
            <w:tcW w:w="3175" w:type="dxa"/>
          </w:tcPr>
          <w:p w14:paraId="7E2E6837">
            <w:pPr>
              <w:spacing w:line="360" w:lineRule="auto"/>
              <w:rPr>
                <w:rFonts w:hint="eastAsia" w:ascii="黑体" w:hAnsi="黑体" w:eastAsia="黑体" w:cs="黑体"/>
                <w:color w:val="auto"/>
                <w:szCs w:val="21"/>
                <w:highlight w:val="none"/>
              </w:rPr>
            </w:pPr>
          </w:p>
        </w:tc>
      </w:tr>
      <w:tr w14:paraId="7A4D931E">
        <w:tblPrEx>
          <w:tblCellMar>
            <w:top w:w="0" w:type="dxa"/>
            <w:left w:w="108" w:type="dxa"/>
            <w:bottom w:w="0" w:type="dxa"/>
            <w:right w:w="108" w:type="dxa"/>
          </w:tblCellMar>
        </w:tblPrEx>
        <w:tc>
          <w:tcPr>
            <w:tcW w:w="5353" w:type="dxa"/>
          </w:tcPr>
          <w:p w14:paraId="0778FC57">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日期：</w:t>
            </w:r>
            <w:r>
              <w:rPr>
                <w:rFonts w:hint="eastAsia" w:ascii="黑体" w:hAnsi="黑体" w:eastAsia="黑体" w:cs="黑体"/>
                <w:color w:val="auto"/>
                <w:szCs w:val="21"/>
                <w:highlight w:val="none"/>
                <w:u w:val="single"/>
              </w:rPr>
              <w:t xml:space="preserve">             年           月            日</w:t>
            </w:r>
          </w:p>
        </w:tc>
        <w:tc>
          <w:tcPr>
            <w:tcW w:w="3175" w:type="dxa"/>
          </w:tcPr>
          <w:p w14:paraId="47754E67">
            <w:pPr>
              <w:spacing w:line="360" w:lineRule="auto"/>
              <w:rPr>
                <w:rFonts w:hint="eastAsia" w:ascii="黑体" w:hAnsi="黑体" w:eastAsia="黑体" w:cs="黑体"/>
                <w:color w:val="auto"/>
                <w:szCs w:val="21"/>
                <w:highlight w:val="none"/>
              </w:rPr>
            </w:pPr>
          </w:p>
        </w:tc>
      </w:tr>
    </w:tbl>
    <w:p w14:paraId="0A7E2158">
      <w:pPr>
        <w:pStyle w:val="29"/>
        <w:pageBreakBefore/>
        <w:numPr>
          <w:ilvl w:val="0"/>
          <w:numId w:val="84"/>
        </w:numPr>
        <w:tabs>
          <w:tab w:val="left" w:pos="284"/>
          <w:tab w:val="left" w:pos="426"/>
          <w:tab w:val="left" w:pos="709"/>
        </w:tabs>
        <w:ind w:left="1679" w:hanging="1537" w:firstLineChars="0"/>
        <w:jc w:val="left"/>
        <w:rPr>
          <w:rFonts w:hint="eastAsia" w:ascii="黑体" w:hAnsi="黑体" w:eastAsia="黑体" w:cs="黑体"/>
          <w:b/>
          <w:bCs/>
          <w:color w:val="auto"/>
          <w:highlight w:val="none"/>
        </w:rPr>
      </w:pPr>
      <w:r>
        <w:rPr>
          <w:rFonts w:hint="eastAsia" w:ascii="黑体" w:hAnsi="黑体" w:eastAsia="黑体" w:cs="黑体"/>
          <w:b/>
          <w:bCs/>
          <w:color w:val="auto"/>
          <w:highlight w:val="none"/>
        </w:rPr>
        <w:t>开标一览表</w:t>
      </w:r>
      <w:bookmarkEnd w:id="70"/>
      <w:bookmarkEnd w:id="71"/>
    </w:p>
    <w:p w14:paraId="23D1DB94">
      <w:pPr>
        <w:spacing w:before="624" w:beforeLines="200" w:after="312" w:afterLines="100" w:line="360" w:lineRule="auto"/>
        <w:jc w:val="center"/>
        <w:rPr>
          <w:rFonts w:hint="eastAsia" w:ascii="黑体" w:hAnsi="黑体" w:eastAsia="黑体" w:cs="黑体"/>
          <w:b/>
          <w:color w:val="auto"/>
          <w:spacing w:val="20"/>
          <w:sz w:val="28"/>
          <w:szCs w:val="28"/>
          <w:highlight w:val="none"/>
        </w:rPr>
      </w:pPr>
      <w:r>
        <w:rPr>
          <w:rFonts w:hint="eastAsia" w:ascii="黑体" w:hAnsi="黑体" w:eastAsia="黑体" w:cs="黑体"/>
          <w:b/>
          <w:color w:val="auto"/>
          <w:spacing w:val="20"/>
          <w:sz w:val="28"/>
          <w:szCs w:val="28"/>
          <w:highlight w:val="none"/>
        </w:rPr>
        <w:t>开标一览表</w:t>
      </w:r>
    </w:p>
    <w:tbl>
      <w:tblPr>
        <w:tblStyle w:val="19"/>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694"/>
        <w:gridCol w:w="3935"/>
        <w:gridCol w:w="3060"/>
        <w:gridCol w:w="1078"/>
      </w:tblGrid>
      <w:tr w14:paraId="450179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5" w:hRule="atLeast"/>
          <w:jc w:val="center"/>
        </w:trPr>
        <w:tc>
          <w:tcPr>
            <w:tcW w:w="396" w:type="pct"/>
            <w:tcBorders>
              <w:top w:val="single" w:color="auto" w:sz="4" w:space="0"/>
              <w:left w:val="single" w:color="auto" w:sz="4" w:space="0"/>
              <w:right w:val="single" w:color="auto" w:sz="4" w:space="0"/>
            </w:tcBorders>
            <w:vAlign w:val="center"/>
          </w:tcPr>
          <w:p w14:paraId="44E16F7E">
            <w:pPr>
              <w:overflowPunct w:val="0"/>
              <w:adjustRightInd w:val="0"/>
              <w:spacing w:line="460" w:lineRule="exact"/>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序号</w:t>
            </w:r>
          </w:p>
        </w:tc>
        <w:tc>
          <w:tcPr>
            <w:tcW w:w="2244" w:type="pct"/>
            <w:tcBorders>
              <w:top w:val="single" w:color="auto" w:sz="4" w:space="0"/>
              <w:left w:val="single" w:color="auto" w:sz="4" w:space="0"/>
              <w:right w:val="single" w:color="auto" w:sz="4" w:space="0"/>
            </w:tcBorders>
            <w:vAlign w:val="center"/>
          </w:tcPr>
          <w:p w14:paraId="177F0D7E">
            <w:pPr>
              <w:overflowPunct w:val="0"/>
              <w:adjustRightInd w:val="0"/>
              <w:spacing w:line="460" w:lineRule="exact"/>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项目名称及项目编号</w:t>
            </w:r>
          </w:p>
        </w:tc>
        <w:tc>
          <w:tcPr>
            <w:tcW w:w="1745" w:type="pct"/>
            <w:tcBorders>
              <w:top w:val="single" w:color="auto" w:sz="4" w:space="0"/>
              <w:left w:val="single" w:color="auto" w:sz="4" w:space="0"/>
              <w:bottom w:val="single" w:color="auto" w:sz="4" w:space="0"/>
              <w:right w:val="single" w:color="auto" w:sz="4" w:space="0"/>
            </w:tcBorders>
            <w:vAlign w:val="center"/>
          </w:tcPr>
          <w:p w14:paraId="003550A7">
            <w:pPr>
              <w:overflowPunct w:val="0"/>
              <w:adjustRightInd w:val="0"/>
              <w:spacing w:line="460" w:lineRule="exact"/>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总报价（单位：元）</w:t>
            </w:r>
          </w:p>
        </w:tc>
        <w:tc>
          <w:tcPr>
            <w:tcW w:w="615" w:type="pct"/>
            <w:tcBorders>
              <w:top w:val="single" w:color="auto" w:sz="4" w:space="0"/>
              <w:left w:val="single" w:color="auto" w:sz="4" w:space="0"/>
              <w:right w:val="single" w:color="auto" w:sz="4" w:space="0"/>
            </w:tcBorders>
            <w:vAlign w:val="center"/>
          </w:tcPr>
          <w:p w14:paraId="1863BAC9">
            <w:pPr>
              <w:overflowPunct w:val="0"/>
              <w:adjustRightInd w:val="0"/>
              <w:spacing w:line="460" w:lineRule="exact"/>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备注</w:t>
            </w:r>
          </w:p>
        </w:tc>
      </w:tr>
      <w:tr w14:paraId="33FAF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3" w:hRule="atLeast"/>
          <w:jc w:val="center"/>
        </w:trPr>
        <w:tc>
          <w:tcPr>
            <w:tcW w:w="396" w:type="pct"/>
            <w:tcBorders>
              <w:top w:val="single" w:color="auto" w:sz="4" w:space="0"/>
              <w:left w:val="single" w:color="auto" w:sz="4" w:space="0"/>
              <w:bottom w:val="single" w:color="auto" w:sz="4" w:space="0"/>
              <w:right w:val="single" w:color="auto" w:sz="4" w:space="0"/>
            </w:tcBorders>
            <w:vAlign w:val="center"/>
          </w:tcPr>
          <w:p w14:paraId="64A3D7B4">
            <w:pPr>
              <w:overflowPunct w:val="0"/>
              <w:adjustRightInd w:val="0"/>
              <w:spacing w:line="460" w:lineRule="exact"/>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1</w:t>
            </w:r>
          </w:p>
        </w:tc>
        <w:tc>
          <w:tcPr>
            <w:tcW w:w="2244" w:type="pct"/>
            <w:tcBorders>
              <w:top w:val="single" w:color="auto" w:sz="4" w:space="0"/>
              <w:left w:val="single" w:color="auto" w:sz="4" w:space="0"/>
              <w:bottom w:val="single" w:color="auto" w:sz="4" w:space="0"/>
              <w:right w:val="single" w:color="auto" w:sz="4" w:space="0"/>
            </w:tcBorders>
            <w:vAlign w:val="center"/>
          </w:tcPr>
          <w:p w14:paraId="7C970BF9">
            <w:pPr>
              <w:overflowPunct w:val="0"/>
              <w:adjustRightInd w:val="0"/>
              <w:spacing w:line="460" w:lineRule="exact"/>
              <w:jc w:val="center"/>
              <w:rPr>
                <w:rFonts w:hint="eastAsia" w:ascii="黑体" w:hAnsi="黑体" w:eastAsia="黑体" w:cs="黑体"/>
                <w:color w:val="auto"/>
                <w:szCs w:val="21"/>
                <w:highlight w:val="none"/>
              </w:rPr>
            </w:pPr>
          </w:p>
        </w:tc>
        <w:tc>
          <w:tcPr>
            <w:tcW w:w="1745" w:type="pct"/>
            <w:tcBorders>
              <w:top w:val="single" w:color="auto" w:sz="4" w:space="0"/>
              <w:left w:val="single" w:color="auto" w:sz="4" w:space="0"/>
              <w:bottom w:val="single" w:color="auto" w:sz="4" w:space="0"/>
              <w:right w:val="single" w:color="auto" w:sz="4" w:space="0"/>
            </w:tcBorders>
            <w:vAlign w:val="center"/>
          </w:tcPr>
          <w:p w14:paraId="49B34BC3">
            <w:pPr>
              <w:overflowPunct w:val="0"/>
              <w:adjustRightInd w:val="0"/>
              <w:spacing w:line="460" w:lineRule="exact"/>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大写：</w:t>
            </w:r>
            <w:r>
              <w:rPr>
                <w:rFonts w:hint="eastAsia" w:ascii="黑体" w:hAnsi="黑体" w:eastAsia="黑体" w:cs="黑体"/>
                <w:color w:val="auto"/>
                <w:szCs w:val="21"/>
                <w:highlight w:val="none"/>
                <w:u w:val="single"/>
              </w:rPr>
              <w:t xml:space="preserve">                    </w:t>
            </w:r>
          </w:p>
          <w:p w14:paraId="7E6E5EDD">
            <w:pPr>
              <w:overflowPunct w:val="0"/>
              <w:adjustRightInd w:val="0"/>
              <w:spacing w:line="460" w:lineRule="exact"/>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小写：</w:t>
            </w:r>
            <w:r>
              <w:rPr>
                <w:rFonts w:hint="eastAsia" w:ascii="黑体" w:hAnsi="黑体" w:eastAsia="黑体" w:cs="黑体"/>
                <w:color w:val="auto"/>
                <w:szCs w:val="21"/>
                <w:highlight w:val="none"/>
                <w:u w:val="single"/>
              </w:rPr>
              <w:t xml:space="preserve">                    </w:t>
            </w:r>
          </w:p>
        </w:tc>
        <w:tc>
          <w:tcPr>
            <w:tcW w:w="615" w:type="pct"/>
            <w:tcBorders>
              <w:top w:val="single" w:color="auto" w:sz="4" w:space="0"/>
              <w:left w:val="single" w:color="auto" w:sz="4" w:space="0"/>
              <w:bottom w:val="single" w:color="auto" w:sz="4" w:space="0"/>
              <w:right w:val="single" w:color="auto" w:sz="4" w:space="0"/>
            </w:tcBorders>
            <w:vAlign w:val="center"/>
          </w:tcPr>
          <w:p w14:paraId="6B3A3B1E">
            <w:pPr>
              <w:overflowPunct w:val="0"/>
              <w:adjustRightInd w:val="0"/>
              <w:spacing w:line="460" w:lineRule="exact"/>
              <w:jc w:val="center"/>
              <w:rPr>
                <w:rFonts w:hint="eastAsia" w:ascii="黑体" w:hAnsi="黑体" w:eastAsia="黑体" w:cs="黑体"/>
                <w:color w:val="auto"/>
                <w:szCs w:val="21"/>
                <w:highlight w:val="none"/>
              </w:rPr>
            </w:pPr>
          </w:p>
        </w:tc>
      </w:tr>
    </w:tbl>
    <w:p w14:paraId="3D0BA781">
      <w:pPr>
        <w:spacing w:before="312" w:beforeLines="100"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注明：</w:t>
      </w:r>
    </w:p>
    <w:p w14:paraId="0325C45A">
      <w:pPr>
        <w:pStyle w:val="29"/>
        <w:numPr>
          <w:ilvl w:val="0"/>
          <w:numId w:val="87"/>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投标总价栏须用文字和数字两种方式表示的投标总价。</w:t>
      </w:r>
    </w:p>
    <w:p w14:paraId="5AEA64EB">
      <w:pPr>
        <w:pStyle w:val="29"/>
        <w:numPr>
          <w:ilvl w:val="0"/>
          <w:numId w:val="87"/>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开标一览表内容与投标文件中相应内容不一致的，以开标一览表为准。</w:t>
      </w:r>
    </w:p>
    <w:p w14:paraId="6D2E7C5D">
      <w:pPr>
        <w:pStyle w:val="29"/>
        <w:numPr>
          <w:ilvl w:val="0"/>
          <w:numId w:val="87"/>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大写金额和小写金额不一致的，以大写金额为准。</w:t>
      </w:r>
    </w:p>
    <w:p w14:paraId="2B65E955">
      <w:pPr>
        <w:spacing w:line="360" w:lineRule="auto"/>
        <w:rPr>
          <w:rFonts w:hint="eastAsia" w:ascii="黑体" w:hAnsi="黑体" w:eastAsia="黑体" w:cs="黑体"/>
          <w:color w:val="auto"/>
          <w:szCs w:val="21"/>
          <w:highlight w:val="none"/>
        </w:rPr>
      </w:pPr>
    </w:p>
    <w:p w14:paraId="7FB52AEE">
      <w:pPr>
        <w:spacing w:line="360" w:lineRule="auto"/>
        <w:rPr>
          <w:rFonts w:hint="eastAsia" w:ascii="黑体" w:hAnsi="黑体" w:eastAsia="黑体" w:cs="黑体"/>
          <w:color w:val="auto"/>
          <w:szCs w:val="21"/>
          <w:highlight w:val="none"/>
        </w:rPr>
      </w:pPr>
    </w:p>
    <w:p w14:paraId="643CF07C">
      <w:pPr>
        <w:spacing w:line="360" w:lineRule="auto"/>
        <w:rPr>
          <w:rFonts w:hint="eastAsia" w:ascii="黑体" w:hAnsi="黑体" w:eastAsia="黑体" w:cs="黑体"/>
          <w:color w:val="auto"/>
          <w:szCs w:val="21"/>
          <w:highlight w:val="none"/>
        </w:rPr>
      </w:pPr>
    </w:p>
    <w:p w14:paraId="10E2A0FD">
      <w:pPr>
        <w:spacing w:line="360" w:lineRule="auto"/>
        <w:rPr>
          <w:rFonts w:hint="eastAsia" w:ascii="黑体" w:hAnsi="黑体" w:eastAsia="黑体" w:cs="黑体"/>
          <w:color w:val="auto"/>
          <w:szCs w:val="21"/>
          <w:highlight w:val="none"/>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629"/>
      </w:tblGrid>
      <w:tr w14:paraId="2C2D73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629" w:type="dxa"/>
          </w:tcPr>
          <w:p w14:paraId="6146B884">
            <w:pPr>
              <w:overflowPunct w:val="0"/>
              <w:adjustRightInd w:val="0"/>
              <w:spacing w:line="48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投标人名称（加盖公章）：</w:t>
            </w:r>
            <w:r>
              <w:rPr>
                <w:rFonts w:hint="eastAsia" w:ascii="黑体" w:hAnsi="黑体" w:eastAsia="黑体" w:cs="黑体"/>
                <w:color w:val="auto"/>
                <w:szCs w:val="21"/>
                <w:highlight w:val="none"/>
                <w:u w:val="single"/>
              </w:rPr>
              <w:t xml:space="preserve">                                             </w:t>
            </w:r>
          </w:p>
        </w:tc>
      </w:tr>
      <w:tr w14:paraId="594100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629" w:type="dxa"/>
          </w:tcPr>
          <w:p w14:paraId="66BCE95A">
            <w:pPr>
              <w:spacing w:line="48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投标人法定代表人或被授权人（签名或盖私章）：</w:t>
            </w:r>
            <w:r>
              <w:rPr>
                <w:rFonts w:hint="eastAsia" w:ascii="黑体" w:hAnsi="黑体" w:eastAsia="黑体" w:cs="黑体"/>
                <w:color w:val="auto"/>
                <w:szCs w:val="21"/>
                <w:highlight w:val="none"/>
                <w:u w:val="single"/>
              </w:rPr>
              <w:t xml:space="preserve">                  </w:t>
            </w:r>
          </w:p>
        </w:tc>
      </w:tr>
      <w:tr w14:paraId="5E6E78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629" w:type="dxa"/>
          </w:tcPr>
          <w:p w14:paraId="2DC62CF3">
            <w:pPr>
              <w:spacing w:line="48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日期：</w:t>
            </w:r>
            <w:r>
              <w:rPr>
                <w:rFonts w:hint="eastAsia" w:ascii="黑体" w:hAnsi="黑体" w:eastAsia="黑体" w:cs="黑体"/>
                <w:color w:val="auto"/>
                <w:szCs w:val="21"/>
                <w:highlight w:val="none"/>
                <w:u w:val="single"/>
              </w:rPr>
              <w:t xml:space="preserve">             年           月            日</w:t>
            </w:r>
          </w:p>
        </w:tc>
      </w:tr>
    </w:tbl>
    <w:p w14:paraId="4F19FB51">
      <w:pPr>
        <w:spacing w:line="360" w:lineRule="auto"/>
        <w:rPr>
          <w:rFonts w:hint="eastAsia" w:ascii="黑体" w:hAnsi="黑体" w:eastAsia="黑体" w:cs="黑体"/>
          <w:color w:val="auto"/>
          <w:szCs w:val="21"/>
          <w:highlight w:val="none"/>
        </w:rPr>
      </w:pPr>
    </w:p>
    <w:p w14:paraId="32CB2F6A">
      <w:pPr>
        <w:spacing w:line="360" w:lineRule="auto"/>
        <w:rPr>
          <w:rFonts w:hint="eastAsia" w:ascii="黑体" w:hAnsi="黑体" w:eastAsia="黑体" w:cs="黑体"/>
          <w:color w:val="auto"/>
          <w:szCs w:val="21"/>
          <w:highlight w:val="none"/>
        </w:rPr>
      </w:pPr>
    </w:p>
    <w:p w14:paraId="37E6B8F2">
      <w:pPr>
        <w:pStyle w:val="29"/>
        <w:pageBreakBefore/>
        <w:numPr>
          <w:ilvl w:val="0"/>
          <w:numId w:val="84"/>
        </w:numPr>
        <w:tabs>
          <w:tab w:val="left" w:pos="284"/>
          <w:tab w:val="left" w:pos="426"/>
          <w:tab w:val="left" w:pos="709"/>
        </w:tabs>
        <w:ind w:left="1679" w:hanging="1537" w:firstLineChars="0"/>
        <w:jc w:val="left"/>
        <w:rPr>
          <w:rFonts w:hint="eastAsia" w:ascii="黑体" w:hAnsi="黑体" w:eastAsia="黑体" w:cs="黑体"/>
          <w:b/>
          <w:bCs/>
          <w:color w:val="auto"/>
          <w:highlight w:val="none"/>
        </w:rPr>
      </w:pPr>
      <w:bookmarkStart w:id="74" w:name="_Toc391627755"/>
      <w:bookmarkStart w:id="75" w:name="_Toc405313959"/>
      <w:r>
        <w:rPr>
          <w:rFonts w:hint="eastAsia" w:ascii="黑体" w:hAnsi="黑体" w:eastAsia="黑体" w:cs="黑体"/>
          <w:b/>
          <w:bCs/>
          <w:color w:val="auto"/>
          <w:highlight w:val="none"/>
        </w:rPr>
        <w:t>分项报价表</w:t>
      </w:r>
      <w:bookmarkEnd w:id="74"/>
      <w:bookmarkEnd w:id="75"/>
    </w:p>
    <w:p w14:paraId="69EE0A7E">
      <w:pPr>
        <w:spacing w:before="312" w:beforeLines="100" w:line="360" w:lineRule="auto"/>
        <w:jc w:val="center"/>
        <w:rPr>
          <w:rFonts w:hint="eastAsia" w:ascii="黑体" w:hAnsi="黑体" w:eastAsia="黑体" w:cs="黑体"/>
          <w:b/>
          <w:color w:val="auto"/>
          <w:spacing w:val="20"/>
          <w:sz w:val="28"/>
          <w:szCs w:val="28"/>
          <w:highlight w:val="none"/>
        </w:rPr>
      </w:pPr>
      <w:r>
        <w:rPr>
          <w:rFonts w:hint="eastAsia" w:ascii="黑体" w:hAnsi="黑体" w:eastAsia="黑体" w:cs="黑体"/>
          <w:b/>
          <w:color w:val="auto"/>
          <w:spacing w:val="20"/>
          <w:sz w:val="28"/>
          <w:szCs w:val="28"/>
          <w:highlight w:val="none"/>
        </w:rPr>
        <w:t>分项报价表</w:t>
      </w:r>
    </w:p>
    <w:p w14:paraId="1F21F4CB">
      <w:pPr>
        <w:spacing w:line="360" w:lineRule="auto"/>
        <w:jc w:val="right"/>
        <w:rPr>
          <w:rFonts w:hint="eastAsia" w:ascii="黑体" w:hAnsi="黑体" w:eastAsia="黑体" w:cs="黑体"/>
          <w:b/>
          <w:color w:val="auto"/>
          <w:spacing w:val="20"/>
          <w:szCs w:val="21"/>
          <w:highlight w:val="none"/>
        </w:rPr>
      </w:pPr>
      <w:r>
        <w:rPr>
          <w:rFonts w:hint="eastAsia" w:ascii="黑体" w:hAnsi="黑体" w:eastAsia="黑体" w:cs="黑体"/>
          <w:b/>
          <w:color w:val="auto"/>
          <w:spacing w:val="20"/>
          <w:szCs w:val="21"/>
          <w:highlight w:val="none"/>
        </w:rPr>
        <w:t>报价单位：人民币元</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2"/>
        <w:gridCol w:w="1155"/>
        <w:gridCol w:w="1300"/>
        <w:gridCol w:w="866"/>
        <w:gridCol w:w="2421"/>
        <w:gridCol w:w="865"/>
        <w:gridCol w:w="570"/>
        <w:gridCol w:w="1028"/>
      </w:tblGrid>
      <w:tr w14:paraId="2E636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321" w:type="pct"/>
            <w:vAlign w:val="center"/>
          </w:tcPr>
          <w:p w14:paraId="74B8C46B">
            <w:pPr>
              <w:adjustRightInd w:val="0"/>
              <w:snapToGrid w:val="0"/>
              <w:spacing w:line="360" w:lineRule="auto"/>
              <w:jc w:val="center"/>
              <w:rPr>
                <w:rFonts w:hint="eastAsia" w:ascii="黑体" w:hAnsi="黑体" w:eastAsia="黑体" w:cs="黑体"/>
                <w:b/>
                <w:color w:val="auto"/>
                <w:szCs w:val="21"/>
                <w:highlight w:val="none"/>
              </w:rPr>
            </w:pPr>
            <w:bookmarkStart w:id="76" w:name="_Hlk119659673"/>
            <w:r>
              <w:rPr>
                <w:rFonts w:hint="eastAsia" w:ascii="黑体" w:hAnsi="黑体" w:eastAsia="黑体" w:cs="黑体"/>
                <w:b/>
                <w:color w:val="auto"/>
                <w:szCs w:val="21"/>
                <w:highlight w:val="none"/>
              </w:rPr>
              <w:t>序号</w:t>
            </w:r>
          </w:p>
        </w:tc>
        <w:tc>
          <w:tcPr>
            <w:tcW w:w="659" w:type="pct"/>
            <w:vAlign w:val="center"/>
          </w:tcPr>
          <w:p w14:paraId="6F54314F">
            <w:pPr>
              <w:adjustRightInd w:val="0"/>
              <w:snapToGrid w:val="0"/>
              <w:spacing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分项名称</w:t>
            </w:r>
          </w:p>
        </w:tc>
        <w:tc>
          <w:tcPr>
            <w:tcW w:w="741" w:type="pct"/>
            <w:vAlign w:val="center"/>
          </w:tcPr>
          <w:p w14:paraId="0BF48808">
            <w:pPr>
              <w:adjustRightInd w:val="0"/>
              <w:snapToGrid w:val="0"/>
              <w:spacing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制造商/</w:t>
            </w:r>
          </w:p>
          <w:p w14:paraId="3F1356C6">
            <w:pPr>
              <w:adjustRightInd w:val="0"/>
              <w:snapToGrid w:val="0"/>
              <w:spacing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生产厂家</w:t>
            </w:r>
          </w:p>
        </w:tc>
        <w:tc>
          <w:tcPr>
            <w:tcW w:w="492" w:type="pct"/>
            <w:vAlign w:val="center"/>
          </w:tcPr>
          <w:p w14:paraId="63F4C8C9">
            <w:pPr>
              <w:adjustRightInd w:val="0"/>
              <w:snapToGrid w:val="0"/>
              <w:spacing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产地</w:t>
            </w:r>
          </w:p>
        </w:tc>
        <w:tc>
          <w:tcPr>
            <w:tcW w:w="1380" w:type="pct"/>
            <w:vAlign w:val="center"/>
          </w:tcPr>
          <w:p w14:paraId="40C7C593">
            <w:pPr>
              <w:adjustRightInd w:val="0"/>
              <w:snapToGrid w:val="0"/>
              <w:spacing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品牌、规格、型号</w:t>
            </w:r>
          </w:p>
        </w:tc>
        <w:tc>
          <w:tcPr>
            <w:tcW w:w="493" w:type="pct"/>
            <w:vAlign w:val="center"/>
          </w:tcPr>
          <w:p w14:paraId="4AF36A39">
            <w:pPr>
              <w:adjustRightInd w:val="0"/>
              <w:snapToGrid w:val="0"/>
              <w:spacing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单价（元）</w:t>
            </w:r>
          </w:p>
        </w:tc>
        <w:tc>
          <w:tcPr>
            <w:tcW w:w="325" w:type="pct"/>
            <w:vAlign w:val="center"/>
          </w:tcPr>
          <w:p w14:paraId="773EF408">
            <w:pPr>
              <w:adjustRightInd w:val="0"/>
              <w:snapToGrid w:val="0"/>
              <w:spacing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数量</w:t>
            </w:r>
          </w:p>
        </w:tc>
        <w:tc>
          <w:tcPr>
            <w:tcW w:w="584" w:type="pct"/>
            <w:vAlign w:val="center"/>
          </w:tcPr>
          <w:p w14:paraId="4524C341">
            <w:pPr>
              <w:adjustRightInd w:val="0"/>
              <w:snapToGrid w:val="0"/>
              <w:spacing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合价（元）</w:t>
            </w:r>
          </w:p>
        </w:tc>
      </w:tr>
      <w:tr w14:paraId="211F8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1" w:type="pct"/>
            <w:vAlign w:val="center"/>
          </w:tcPr>
          <w:p w14:paraId="35974093">
            <w:pPr>
              <w:adjustRightInd w:val="0"/>
              <w:snapToGrid w:val="0"/>
              <w:spacing w:line="480" w:lineRule="auto"/>
              <w:jc w:val="center"/>
              <w:rPr>
                <w:rFonts w:hint="eastAsia" w:ascii="黑体" w:hAnsi="黑体" w:eastAsia="黑体" w:cs="黑体"/>
                <w:color w:val="auto"/>
                <w:szCs w:val="21"/>
                <w:highlight w:val="none"/>
              </w:rPr>
            </w:pPr>
          </w:p>
        </w:tc>
        <w:tc>
          <w:tcPr>
            <w:tcW w:w="659" w:type="pct"/>
            <w:vAlign w:val="center"/>
          </w:tcPr>
          <w:p w14:paraId="06951D33">
            <w:pPr>
              <w:adjustRightInd w:val="0"/>
              <w:snapToGrid w:val="0"/>
              <w:spacing w:line="480" w:lineRule="auto"/>
              <w:jc w:val="left"/>
              <w:rPr>
                <w:rFonts w:hint="eastAsia" w:ascii="黑体" w:hAnsi="黑体" w:eastAsia="黑体" w:cs="黑体"/>
                <w:color w:val="auto"/>
                <w:szCs w:val="21"/>
                <w:highlight w:val="none"/>
              </w:rPr>
            </w:pPr>
          </w:p>
        </w:tc>
        <w:tc>
          <w:tcPr>
            <w:tcW w:w="741" w:type="pct"/>
            <w:vAlign w:val="center"/>
          </w:tcPr>
          <w:p w14:paraId="218DE02E">
            <w:pPr>
              <w:adjustRightInd w:val="0"/>
              <w:snapToGrid w:val="0"/>
              <w:spacing w:line="480" w:lineRule="auto"/>
              <w:jc w:val="left"/>
              <w:rPr>
                <w:rFonts w:hint="eastAsia" w:ascii="黑体" w:hAnsi="黑体" w:eastAsia="黑体" w:cs="黑体"/>
                <w:color w:val="auto"/>
                <w:szCs w:val="21"/>
                <w:highlight w:val="none"/>
              </w:rPr>
            </w:pPr>
          </w:p>
        </w:tc>
        <w:tc>
          <w:tcPr>
            <w:tcW w:w="492" w:type="pct"/>
          </w:tcPr>
          <w:p w14:paraId="5ADE1675">
            <w:pPr>
              <w:adjustRightInd w:val="0"/>
              <w:snapToGrid w:val="0"/>
              <w:spacing w:line="480" w:lineRule="auto"/>
              <w:jc w:val="left"/>
              <w:rPr>
                <w:rFonts w:hint="eastAsia" w:ascii="黑体" w:hAnsi="黑体" w:eastAsia="黑体" w:cs="黑体"/>
                <w:color w:val="auto"/>
                <w:szCs w:val="21"/>
                <w:highlight w:val="none"/>
              </w:rPr>
            </w:pPr>
          </w:p>
        </w:tc>
        <w:tc>
          <w:tcPr>
            <w:tcW w:w="1380" w:type="pct"/>
            <w:vAlign w:val="center"/>
          </w:tcPr>
          <w:p w14:paraId="1DB2E3FD">
            <w:pPr>
              <w:adjustRightInd w:val="0"/>
              <w:snapToGrid w:val="0"/>
              <w:spacing w:line="480" w:lineRule="auto"/>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单列货架尺寸（共计13列）</w:t>
            </w:r>
          </w:p>
          <w:p w14:paraId="5716E1BC">
            <w:pPr>
              <w:adjustRightInd w:val="0"/>
              <w:snapToGrid w:val="0"/>
              <w:spacing w:line="480" w:lineRule="auto"/>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≥1830mm×638mm×2055mm</w:t>
            </w:r>
          </w:p>
          <w:p w14:paraId="151066DD">
            <w:pPr>
              <w:adjustRightInd w:val="0"/>
              <w:snapToGrid w:val="0"/>
              <w:spacing w:line="480" w:lineRule="auto"/>
              <w:jc w:val="left"/>
              <w:rPr>
                <w:rFonts w:hint="eastAsia" w:ascii="黑体" w:hAnsi="黑体" w:eastAsia="黑体" w:cs="黑体"/>
                <w:color w:val="auto"/>
                <w:szCs w:val="21"/>
                <w:highlight w:val="none"/>
                <w:lang w:eastAsia="zh-CN"/>
              </w:rPr>
            </w:pPr>
            <w:r>
              <w:rPr>
                <w:rFonts w:hint="eastAsia" w:ascii="黑体" w:hAnsi="黑体" w:eastAsia="黑体" w:cs="黑体"/>
                <w:color w:val="auto"/>
                <w:szCs w:val="21"/>
                <w:highlight w:val="none"/>
              </w:rPr>
              <w:t>（±10%</w:t>
            </w:r>
            <w:r>
              <w:rPr>
                <w:rFonts w:hint="eastAsia" w:ascii="黑体" w:hAnsi="黑体" w:eastAsia="黑体" w:cs="黑体"/>
                <w:color w:val="auto"/>
                <w:szCs w:val="21"/>
                <w:highlight w:val="none"/>
                <w:lang w:eastAsia="zh-CN"/>
              </w:rPr>
              <w:t>）</w:t>
            </w:r>
          </w:p>
        </w:tc>
        <w:tc>
          <w:tcPr>
            <w:tcW w:w="493" w:type="pct"/>
            <w:vAlign w:val="center"/>
          </w:tcPr>
          <w:p w14:paraId="3146F664">
            <w:pPr>
              <w:adjustRightInd w:val="0"/>
              <w:snapToGrid w:val="0"/>
              <w:spacing w:line="480" w:lineRule="auto"/>
              <w:jc w:val="left"/>
              <w:rPr>
                <w:rFonts w:hint="eastAsia" w:ascii="黑体" w:hAnsi="黑体" w:eastAsia="黑体" w:cs="黑体"/>
                <w:color w:val="auto"/>
                <w:szCs w:val="21"/>
                <w:highlight w:val="none"/>
              </w:rPr>
            </w:pPr>
          </w:p>
        </w:tc>
        <w:tc>
          <w:tcPr>
            <w:tcW w:w="325" w:type="pct"/>
            <w:vAlign w:val="center"/>
          </w:tcPr>
          <w:p w14:paraId="0A672675">
            <w:pPr>
              <w:adjustRightInd w:val="0"/>
              <w:snapToGrid w:val="0"/>
              <w:spacing w:line="480" w:lineRule="auto"/>
              <w:jc w:val="left"/>
              <w:rPr>
                <w:rFonts w:hint="eastAsia" w:ascii="黑体" w:hAnsi="黑体" w:eastAsia="黑体" w:cs="黑体"/>
                <w:color w:val="auto"/>
                <w:szCs w:val="21"/>
                <w:highlight w:val="none"/>
              </w:rPr>
            </w:pPr>
          </w:p>
        </w:tc>
        <w:tc>
          <w:tcPr>
            <w:tcW w:w="584" w:type="pct"/>
            <w:vAlign w:val="center"/>
          </w:tcPr>
          <w:p w14:paraId="323B1EF6">
            <w:pPr>
              <w:adjustRightInd w:val="0"/>
              <w:snapToGrid w:val="0"/>
              <w:spacing w:line="480" w:lineRule="auto"/>
              <w:jc w:val="left"/>
              <w:rPr>
                <w:rFonts w:hint="eastAsia" w:ascii="黑体" w:hAnsi="黑体" w:eastAsia="黑体" w:cs="黑体"/>
                <w:color w:val="auto"/>
                <w:szCs w:val="21"/>
                <w:highlight w:val="none"/>
              </w:rPr>
            </w:pPr>
          </w:p>
        </w:tc>
      </w:tr>
      <w:tr w14:paraId="3ED14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1" w:type="pct"/>
            <w:vAlign w:val="center"/>
          </w:tcPr>
          <w:p w14:paraId="52D68355">
            <w:pPr>
              <w:adjustRightInd w:val="0"/>
              <w:snapToGrid w:val="0"/>
              <w:spacing w:line="480" w:lineRule="auto"/>
              <w:jc w:val="center"/>
              <w:rPr>
                <w:rFonts w:hint="eastAsia" w:ascii="黑体" w:hAnsi="黑体" w:eastAsia="黑体" w:cs="黑体"/>
                <w:color w:val="auto"/>
                <w:szCs w:val="21"/>
                <w:highlight w:val="none"/>
              </w:rPr>
            </w:pPr>
          </w:p>
        </w:tc>
        <w:tc>
          <w:tcPr>
            <w:tcW w:w="659" w:type="pct"/>
            <w:vAlign w:val="center"/>
          </w:tcPr>
          <w:p w14:paraId="0A793E48">
            <w:pPr>
              <w:adjustRightInd w:val="0"/>
              <w:snapToGrid w:val="0"/>
              <w:spacing w:line="480" w:lineRule="auto"/>
              <w:jc w:val="left"/>
              <w:rPr>
                <w:rFonts w:hint="eastAsia" w:ascii="黑体" w:hAnsi="黑体" w:eastAsia="黑体" w:cs="黑体"/>
                <w:color w:val="auto"/>
                <w:szCs w:val="21"/>
                <w:highlight w:val="none"/>
              </w:rPr>
            </w:pPr>
          </w:p>
        </w:tc>
        <w:tc>
          <w:tcPr>
            <w:tcW w:w="741" w:type="pct"/>
            <w:vAlign w:val="center"/>
          </w:tcPr>
          <w:p w14:paraId="685700EF">
            <w:pPr>
              <w:adjustRightInd w:val="0"/>
              <w:snapToGrid w:val="0"/>
              <w:spacing w:line="480" w:lineRule="auto"/>
              <w:jc w:val="left"/>
              <w:rPr>
                <w:rFonts w:hint="eastAsia" w:ascii="黑体" w:hAnsi="黑体" w:eastAsia="黑体" w:cs="黑体"/>
                <w:color w:val="auto"/>
                <w:szCs w:val="21"/>
                <w:highlight w:val="none"/>
              </w:rPr>
            </w:pPr>
          </w:p>
        </w:tc>
        <w:tc>
          <w:tcPr>
            <w:tcW w:w="492" w:type="pct"/>
          </w:tcPr>
          <w:p w14:paraId="6CCBB42D">
            <w:pPr>
              <w:adjustRightInd w:val="0"/>
              <w:snapToGrid w:val="0"/>
              <w:spacing w:line="480" w:lineRule="auto"/>
              <w:jc w:val="left"/>
              <w:rPr>
                <w:rFonts w:hint="eastAsia" w:ascii="黑体" w:hAnsi="黑体" w:eastAsia="黑体" w:cs="黑体"/>
                <w:color w:val="auto"/>
                <w:szCs w:val="21"/>
                <w:highlight w:val="none"/>
              </w:rPr>
            </w:pPr>
          </w:p>
        </w:tc>
        <w:tc>
          <w:tcPr>
            <w:tcW w:w="1380" w:type="pct"/>
            <w:vAlign w:val="center"/>
          </w:tcPr>
          <w:p w14:paraId="5DCC1D01">
            <w:pPr>
              <w:adjustRightInd w:val="0"/>
              <w:snapToGrid w:val="0"/>
              <w:spacing w:line="480" w:lineRule="auto"/>
              <w:jc w:val="left"/>
              <w:rPr>
                <w:rFonts w:hint="eastAsia" w:ascii="黑体" w:hAnsi="黑体" w:eastAsia="黑体" w:cs="黑体"/>
                <w:color w:val="auto"/>
                <w:szCs w:val="21"/>
                <w:highlight w:val="none"/>
              </w:rPr>
            </w:pPr>
          </w:p>
        </w:tc>
        <w:tc>
          <w:tcPr>
            <w:tcW w:w="493" w:type="pct"/>
            <w:vAlign w:val="center"/>
          </w:tcPr>
          <w:p w14:paraId="7A819689">
            <w:pPr>
              <w:adjustRightInd w:val="0"/>
              <w:snapToGrid w:val="0"/>
              <w:spacing w:line="480" w:lineRule="auto"/>
              <w:jc w:val="left"/>
              <w:rPr>
                <w:rFonts w:hint="eastAsia" w:ascii="黑体" w:hAnsi="黑体" w:eastAsia="黑体" w:cs="黑体"/>
                <w:color w:val="auto"/>
                <w:szCs w:val="21"/>
                <w:highlight w:val="none"/>
              </w:rPr>
            </w:pPr>
          </w:p>
        </w:tc>
        <w:tc>
          <w:tcPr>
            <w:tcW w:w="325" w:type="pct"/>
            <w:vAlign w:val="center"/>
          </w:tcPr>
          <w:p w14:paraId="58790A8B">
            <w:pPr>
              <w:adjustRightInd w:val="0"/>
              <w:snapToGrid w:val="0"/>
              <w:spacing w:line="480" w:lineRule="auto"/>
              <w:jc w:val="left"/>
              <w:rPr>
                <w:rFonts w:hint="eastAsia" w:ascii="黑体" w:hAnsi="黑体" w:eastAsia="黑体" w:cs="黑体"/>
                <w:color w:val="auto"/>
                <w:szCs w:val="21"/>
                <w:highlight w:val="none"/>
              </w:rPr>
            </w:pPr>
          </w:p>
        </w:tc>
        <w:tc>
          <w:tcPr>
            <w:tcW w:w="584" w:type="pct"/>
            <w:vAlign w:val="center"/>
          </w:tcPr>
          <w:p w14:paraId="36964B3E">
            <w:pPr>
              <w:adjustRightInd w:val="0"/>
              <w:snapToGrid w:val="0"/>
              <w:spacing w:line="480" w:lineRule="auto"/>
              <w:jc w:val="left"/>
              <w:rPr>
                <w:rFonts w:hint="eastAsia" w:ascii="黑体" w:hAnsi="黑体" w:eastAsia="黑体" w:cs="黑体"/>
                <w:color w:val="auto"/>
                <w:szCs w:val="21"/>
                <w:highlight w:val="none"/>
              </w:rPr>
            </w:pPr>
          </w:p>
        </w:tc>
      </w:tr>
      <w:tr w14:paraId="35448B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1" w:type="pct"/>
            <w:vAlign w:val="center"/>
          </w:tcPr>
          <w:p w14:paraId="7E9EFDD4">
            <w:pPr>
              <w:adjustRightInd w:val="0"/>
              <w:snapToGrid w:val="0"/>
              <w:spacing w:line="480" w:lineRule="auto"/>
              <w:jc w:val="center"/>
              <w:rPr>
                <w:rFonts w:hint="eastAsia" w:ascii="黑体" w:hAnsi="黑体" w:eastAsia="黑体" w:cs="黑体"/>
                <w:color w:val="auto"/>
                <w:szCs w:val="21"/>
                <w:highlight w:val="none"/>
              </w:rPr>
            </w:pPr>
          </w:p>
        </w:tc>
        <w:tc>
          <w:tcPr>
            <w:tcW w:w="659" w:type="pct"/>
            <w:vAlign w:val="center"/>
          </w:tcPr>
          <w:p w14:paraId="347CAF7E">
            <w:pPr>
              <w:adjustRightInd w:val="0"/>
              <w:snapToGrid w:val="0"/>
              <w:spacing w:line="480" w:lineRule="auto"/>
              <w:jc w:val="left"/>
              <w:rPr>
                <w:rFonts w:hint="eastAsia" w:ascii="黑体" w:hAnsi="黑体" w:eastAsia="黑体" w:cs="黑体"/>
                <w:color w:val="auto"/>
                <w:szCs w:val="21"/>
                <w:highlight w:val="none"/>
              </w:rPr>
            </w:pPr>
          </w:p>
        </w:tc>
        <w:tc>
          <w:tcPr>
            <w:tcW w:w="741" w:type="pct"/>
            <w:vAlign w:val="center"/>
          </w:tcPr>
          <w:p w14:paraId="2E6549D2">
            <w:pPr>
              <w:adjustRightInd w:val="0"/>
              <w:snapToGrid w:val="0"/>
              <w:spacing w:line="480" w:lineRule="auto"/>
              <w:jc w:val="left"/>
              <w:rPr>
                <w:rFonts w:hint="eastAsia" w:ascii="黑体" w:hAnsi="黑体" w:eastAsia="黑体" w:cs="黑体"/>
                <w:color w:val="auto"/>
                <w:szCs w:val="21"/>
                <w:highlight w:val="none"/>
              </w:rPr>
            </w:pPr>
          </w:p>
        </w:tc>
        <w:tc>
          <w:tcPr>
            <w:tcW w:w="492" w:type="pct"/>
          </w:tcPr>
          <w:p w14:paraId="7ECDB6FB">
            <w:pPr>
              <w:adjustRightInd w:val="0"/>
              <w:snapToGrid w:val="0"/>
              <w:spacing w:line="480" w:lineRule="auto"/>
              <w:jc w:val="left"/>
              <w:rPr>
                <w:rFonts w:hint="eastAsia" w:ascii="黑体" w:hAnsi="黑体" w:eastAsia="黑体" w:cs="黑体"/>
                <w:color w:val="auto"/>
                <w:szCs w:val="21"/>
                <w:highlight w:val="none"/>
              </w:rPr>
            </w:pPr>
          </w:p>
        </w:tc>
        <w:tc>
          <w:tcPr>
            <w:tcW w:w="1380" w:type="pct"/>
            <w:vAlign w:val="center"/>
          </w:tcPr>
          <w:p w14:paraId="34F1B624">
            <w:pPr>
              <w:adjustRightInd w:val="0"/>
              <w:snapToGrid w:val="0"/>
              <w:spacing w:line="480" w:lineRule="auto"/>
              <w:jc w:val="left"/>
              <w:rPr>
                <w:rFonts w:hint="eastAsia" w:ascii="黑体" w:hAnsi="黑体" w:eastAsia="黑体" w:cs="黑体"/>
                <w:color w:val="auto"/>
                <w:szCs w:val="21"/>
                <w:highlight w:val="none"/>
              </w:rPr>
            </w:pPr>
          </w:p>
        </w:tc>
        <w:tc>
          <w:tcPr>
            <w:tcW w:w="493" w:type="pct"/>
            <w:vAlign w:val="center"/>
          </w:tcPr>
          <w:p w14:paraId="37E55FC4">
            <w:pPr>
              <w:adjustRightInd w:val="0"/>
              <w:snapToGrid w:val="0"/>
              <w:spacing w:line="480" w:lineRule="auto"/>
              <w:jc w:val="left"/>
              <w:rPr>
                <w:rFonts w:hint="eastAsia" w:ascii="黑体" w:hAnsi="黑体" w:eastAsia="黑体" w:cs="黑体"/>
                <w:color w:val="auto"/>
                <w:szCs w:val="21"/>
                <w:highlight w:val="none"/>
              </w:rPr>
            </w:pPr>
          </w:p>
        </w:tc>
        <w:tc>
          <w:tcPr>
            <w:tcW w:w="325" w:type="pct"/>
            <w:vAlign w:val="center"/>
          </w:tcPr>
          <w:p w14:paraId="7597B020">
            <w:pPr>
              <w:adjustRightInd w:val="0"/>
              <w:snapToGrid w:val="0"/>
              <w:spacing w:line="480" w:lineRule="auto"/>
              <w:jc w:val="left"/>
              <w:rPr>
                <w:rFonts w:hint="eastAsia" w:ascii="黑体" w:hAnsi="黑体" w:eastAsia="黑体" w:cs="黑体"/>
                <w:color w:val="auto"/>
                <w:szCs w:val="21"/>
                <w:highlight w:val="none"/>
              </w:rPr>
            </w:pPr>
          </w:p>
        </w:tc>
        <w:tc>
          <w:tcPr>
            <w:tcW w:w="584" w:type="pct"/>
            <w:vAlign w:val="center"/>
          </w:tcPr>
          <w:p w14:paraId="574CB83B">
            <w:pPr>
              <w:adjustRightInd w:val="0"/>
              <w:snapToGrid w:val="0"/>
              <w:spacing w:line="480" w:lineRule="auto"/>
              <w:jc w:val="left"/>
              <w:rPr>
                <w:rFonts w:hint="eastAsia" w:ascii="黑体" w:hAnsi="黑体" w:eastAsia="黑体" w:cs="黑体"/>
                <w:color w:val="auto"/>
                <w:szCs w:val="21"/>
                <w:highlight w:val="none"/>
              </w:rPr>
            </w:pPr>
          </w:p>
        </w:tc>
      </w:tr>
      <w:tr w14:paraId="64200D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1" w:type="pct"/>
            <w:vAlign w:val="center"/>
          </w:tcPr>
          <w:p w14:paraId="21BA8F73">
            <w:pPr>
              <w:adjustRightInd w:val="0"/>
              <w:snapToGrid w:val="0"/>
              <w:spacing w:line="480" w:lineRule="auto"/>
              <w:jc w:val="center"/>
              <w:rPr>
                <w:rFonts w:hint="eastAsia" w:ascii="黑体" w:hAnsi="黑体" w:eastAsia="黑体" w:cs="黑体"/>
                <w:color w:val="auto"/>
                <w:szCs w:val="21"/>
                <w:highlight w:val="none"/>
              </w:rPr>
            </w:pPr>
          </w:p>
        </w:tc>
        <w:tc>
          <w:tcPr>
            <w:tcW w:w="659" w:type="pct"/>
            <w:vAlign w:val="center"/>
          </w:tcPr>
          <w:p w14:paraId="0D1DE6E7">
            <w:pPr>
              <w:adjustRightInd w:val="0"/>
              <w:snapToGrid w:val="0"/>
              <w:spacing w:line="480" w:lineRule="auto"/>
              <w:jc w:val="left"/>
              <w:rPr>
                <w:rFonts w:hint="eastAsia" w:ascii="黑体" w:hAnsi="黑体" w:eastAsia="黑体" w:cs="黑体"/>
                <w:color w:val="auto"/>
                <w:szCs w:val="21"/>
                <w:highlight w:val="none"/>
              </w:rPr>
            </w:pPr>
          </w:p>
        </w:tc>
        <w:tc>
          <w:tcPr>
            <w:tcW w:w="741" w:type="pct"/>
            <w:vAlign w:val="center"/>
          </w:tcPr>
          <w:p w14:paraId="4F2FE144">
            <w:pPr>
              <w:adjustRightInd w:val="0"/>
              <w:snapToGrid w:val="0"/>
              <w:spacing w:line="480" w:lineRule="auto"/>
              <w:jc w:val="left"/>
              <w:rPr>
                <w:rFonts w:hint="eastAsia" w:ascii="黑体" w:hAnsi="黑体" w:eastAsia="黑体" w:cs="黑体"/>
                <w:color w:val="auto"/>
                <w:szCs w:val="21"/>
                <w:highlight w:val="none"/>
              </w:rPr>
            </w:pPr>
          </w:p>
        </w:tc>
        <w:tc>
          <w:tcPr>
            <w:tcW w:w="492" w:type="pct"/>
          </w:tcPr>
          <w:p w14:paraId="7AE1D420">
            <w:pPr>
              <w:adjustRightInd w:val="0"/>
              <w:snapToGrid w:val="0"/>
              <w:spacing w:line="480" w:lineRule="auto"/>
              <w:jc w:val="left"/>
              <w:rPr>
                <w:rFonts w:hint="eastAsia" w:ascii="黑体" w:hAnsi="黑体" w:eastAsia="黑体" w:cs="黑体"/>
                <w:color w:val="auto"/>
                <w:szCs w:val="21"/>
                <w:highlight w:val="none"/>
              </w:rPr>
            </w:pPr>
          </w:p>
        </w:tc>
        <w:tc>
          <w:tcPr>
            <w:tcW w:w="1380" w:type="pct"/>
            <w:vAlign w:val="center"/>
          </w:tcPr>
          <w:p w14:paraId="4493DB71">
            <w:pPr>
              <w:adjustRightInd w:val="0"/>
              <w:snapToGrid w:val="0"/>
              <w:spacing w:line="480" w:lineRule="auto"/>
              <w:jc w:val="left"/>
              <w:rPr>
                <w:rFonts w:hint="eastAsia" w:ascii="黑体" w:hAnsi="黑体" w:eastAsia="黑体" w:cs="黑体"/>
                <w:color w:val="auto"/>
                <w:szCs w:val="21"/>
                <w:highlight w:val="none"/>
              </w:rPr>
            </w:pPr>
          </w:p>
        </w:tc>
        <w:tc>
          <w:tcPr>
            <w:tcW w:w="493" w:type="pct"/>
            <w:vAlign w:val="center"/>
          </w:tcPr>
          <w:p w14:paraId="775655CA">
            <w:pPr>
              <w:adjustRightInd w:val="0"/>
              <w:snapToGrid w:val="0"/>
              <w:spacing w:line="480" w:lineRule="auto"/>
              <w:jc w:val="left"/>
              <w:rPr>
                <w:rFonts w:hint="eastAsia" w:ascii="黑体" w:hAnsi="黑体" w:eastAsia="黑体" w:cs="黑体"/>
                <w:color w:val="auto"/>
                <w:szCs w:val="21"/>
                <w:highlight w:val="none"/>
              </w:rPr>
            </w:pPr>
          </w:p>
        </w:tc>
        <w:tc>
          <w:tcPr>
            <w:tcW w:w="325" w:type="pct"/>
            <w:vAlign w:val="center"/>
          </w:tcPr>
          <w:p w14:paraId="46261B1F">
            <w:pPr>
              <w:adjustRightInd w:val="0"/>
              <w:snapToGrid w:val="0"/>
              <w:spacing w:line="480" w:lineRule="auto"/>
              <w:jc w:val="left"/>
              <w:rPr>
                <w:rFonts w:hint="eastAsia" w:ascii="黑体" w:hAnsi="黑体" w:eastAsia="黑体" w:cs="黑体"/>
                <w:color w:val="auto"/>
                <w:szCs w:val="21"/>
                <w:highlight w:val="none"/>
              </w:rPr>
            </w:pPr>
          </w:p>
        </w:tc>
        <w:tc>
          <w:tcPr>
            <w:tcW w:w="584" w:type="pct"/>
            <w:vAlign w:val="center"/>
          </w:tcPr>
          <w:p w14:paraId="3EEB4E1A">
            <w:pPr>
              <w:adjustRightInd w:val="0"/>
              <w:snapToGrid w:val="0"/>
              <w:spacing w:line="480" w:lineRule="auto"/>
              <w:jc w:val="left"/>
              <w:rPr>
                <w:rFonts w:hint="eastAsia" w:ascii="黑体" w:hAnsi="黑体" w:eastAsia="黑体" w:cs="黑体"/>
                <w:color w:val="auto"/>
                <w:szCs w:val="21"/>
                <w:highlight w:val="none"/>
              </w:rPr>
            </w:pPr>
          </w:p>
        </w:tc>
      </w:tr>
      <w:tr w14:paraId="4AC01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1" w:type="pct"/>
            <w:vAlign w:val="center"/>
          </w:tcPr>
          <w:p w14:paraId="3CA4114A">
            <w:pPr>
              <w:adjustRightInd w:val="0"/>
              <w:snapToGrid w:val="0"/>
              <w:spacing w:line="480" w:lineRule="auto"/>
              <w:jc w:val="left"/>
              <w:rPr>
                <w:rFonts w:hint="eastAsia" w:ascii="黑体" w:hAnsi="黑体" w:eastAsia="黑体" w:cs="黑体"/>
                <w:color w:val="auto"/>
                <w:szCs w:val="21"/>
                <w:highlight w:val="none"/>
              </w:rPr>
            </w:pPr>
          </w:p>
        </w:tc>
        <w:tc>
          <w:tcPr>
            <w:tcW w:w="659" w:type="pct"/>
            <w:vAlign w:val="center"/>
          </w:tcPr>
          <w:p w14:paraId="7D38121B">
            <w:pPr>
              <w:adjustRightInd w:val="0"/>
              <w:snapToGrid w:val="0"/>
              <w:spacing w:line="480" w:lineRule="auto"/>
              <w:jc w:val="left"/>
              <w:rPr>
                <w:rFonts w:hint="eastAsia" w:ascii="黑体" w:hAnsi="黑体" w:eastAsia="黑体" w:cs="黑体"/>
                <w:color w:val="auto"/>
                <w:szCs w:val="21"/>
                <w:highlight w:val="none"/>
              </w:rPr>
            </w:pPr>
          </w:p>
        </w:tc>
        <w:tc>
          <w:tcPr>
            <w:tcW w:w="741" w:type="pct"/>
            <w:vAlign w:val="center"/>
          </w:tcPr>
          <w:p w14:paraId="6B1B87EC">
            <w:pPr>
              <w:adjustRightInd w:val="0"/>
              <w:snapToGrid w:val="0"/>
              <w:spacing w:line="480" w:lineRule="auto"/>
              <w:jc w:val="left"/>
              <w:rPr>
                <w:rFonts w:hint="eastAsia" w:ascii="黑体" w:hAnsi="黑体" w:eastAsia="黑体" w:cs="黑体"/>
                <w:color w:val="auto"/>
                <w:szCs w:val="21"/>
                <w:highlight w:val="none"/>
              </w:rPr>
            </w:pPr>
          </w:p>
        </w:tc>
        <w:tc>
          <w:tcPr>
            <w:tcW w:w="492" w:type="pct"/>
          </w:tcPr>
          <w:p w14:paraId="1A3A5B27">
            <w:pPr>
              <w:adjustRightInd w:val="0"/>
              <w:snapToGrid w:val="0"/>
              <w:spacing w:line="480" w:lineRule="auto"/>
              <w:jc w:val="left"/>
              <w:rPr>
                <w:rFonts w:hint="eastAsia" w:ascii="黑体" w:hAnsi="黑体" w:eastAsia="黑体" w:cs="黑体"/>
                <w:color w:val="auto"/>
                <w:szCs w:val="21"/>
                <w:highlight w:val="none"/>
              </w:rPr>
            </w:pPr>
          </w:p>
        </w:tc>
        <w:tc>
          <w:tcPr>
            <w:tcW w:w="1380" w:type="pct"/>
            <w:vAlign w:val="center"/>
          </w:tcPr>
          <w:p w14:paraId="4BC7A8BB">
            <w:pPr>
              <w:adjustRightInd w:val="0"/>
              <w:snapToGrid w:val="0"/>
              <w:spacing w:line="480" w:lineRule="auto"/>
              <w:jc w:val="left"/>
              <w:rPr>
                <w:rFonts w:hint="eastAsia" w:ascii="黑体" w:hAnsi="黑体" w:eastAsia="黑体" w:cs="黑体"/>
                <w:color w:val="auto"/>
                <w:szCs w:val="21"/>
                <w:highlight w:val="none"/>
              </w:rPr>
            </w:pPr>
          </w:p>
        </w:tc>
        <w:tc>
          <w:tcPr>
            <w:tcW w:w="493" w:type="pct"/>
            <w:vAlign w:val="center"/>
          </w:tcPr>
          <w:p w14:paraId="45A0E54D">
            <w:pPr>
              <w:adjustRightInd w:val="0"/>
              <w:snapToGrid w:val="0"/>
              <w:spacing w:line="480" w:lineRule="auto"/>
              <w:jc w:val="left"/>
              <w:rPr>
                <w:rFonts w:hint="eastAsia" w:ascii="黑体" w:hAnsi="黑体" w:eastAsia="黑体" w:cs="黑体"/>
                <w:color w:val="auto"/>
                <w:szCs w:val="21"/>
                <w:highlight w:val="none"/>
              </w:rPr>
            </w:pPr>
          </w:p>
        </w:tc>
        <w:tc>
          <w:tcPr>
            <w:tcW w:w="325" w:type="pct"/>
            <w:vAlign w:val="center"/>
          </w:tcPr>
          <w:p w14:paraId="48898CDE">
            <w:pPr>
              <w:adjustRightInd w:val="0"/>
              <w:snapToGrid w:val="0"/>
              <w:spacing w:line="480" w:lineRule="auto"/>
              <w:jc w:val="left"/>
              <w:rPr>
                <w:rFonts w:hint="eastAsia" w:ascii="黑体" w:hAnsi="黑体" w:eastAsia="黑体" w:cs="黑体"/>
                <w:color w:val="auto"/>
                <w:szCs w:val="21"/>
                <w:highlight w:val="none"/>
              </w:rPr>
            </w:pPr>
          </w:p>
        </w:tc>
        <w:tc>
          <w:tcPr>
            <w:tcW w:w="584" w:type="pct"/>
            <w:vAlign w:val="center"/>
          </w:tcPr>
          <w:p w14:paraId="5FEE0EF1">
            <w:pPr>
              <w:adjustRightInd w:val="0"/>
              <w:snapToGrid w:val="0"/>
              <w:spacing w:line="480" w:lineRule="auto"/>
              <w:jc w:val="left"/>
              <w:rPr>
                <w:rFonts w:hint="eastAsia" w:ascii="黑体" w:hAnsi="黑体" w:eastAsia="黑体" w:cs="黑体"/>
                <w:color w:val="auto"/>
                <w:szCs w:val="21"/>
                <w:highlight w:val="none"/>
              </w:rPr>
            </w:pPr>
          </w:p>
        </w:tc>
      </w:tr>
      <w:tr w14:paraId="23A40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15" w:type="pct"/>
            <w:gridSpan w:val="4"/>
            <w:vAlign w:val="center"/>
          </w:tcPr>
          <w:p w14:paraId="46F66E2B">
            <w:pPr>
              <w:adjustRightInd w:val="0"/>
              <w:snapToGrid w:val="0"/>
              <w:spacing w:line="480" w:lineRule="auto"/>
              <w:jc w:val="right"/>
              <w:rPr>
                <w:rFonts w:hint="eastAsia" w:ascii="黑体" w:hAnsi="黑体" w:eastAsia="黑体" w:cs="黑体"/>
                <w:color w:val="auto"/>
                <w:szCs w:val="21"/>
                <w:highlight w:val="none"/>
              </w:rPr>
            </w:pPr>
            <w:r>
              <w:rPr>
                <w:rFonts w:hint="eastAsia" w:ascii="黑体" w:hAnsi="黑体" w:eastAsia="黑体" w:cs="黑体"/>
                <w:b/>
                <w:color w:val="auto"/>
                <w:szCs w:val="21"/>
                <w:highlight w:val="none"/>
              </w:rPr>
              <w:t>总价（元）</w:t>
            </w:r>
          </w:p>
        </w:tc>
        <w:tc>
          <w:tcPr>
            <w:tcW w:w="2784" w:type="pct"/>
            <w:gridSpan w:val="4"/>
            <w:vAlign w:val="center"/>
          </w:tcPr>
          <w:p w14:paraId="76ED4F65">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大写：</w:t>
            </w:r>
            <w:r>
              <w:rPr>
                <w:rFonts w:hint="eastAsia" w:ascii="黑体" w:hAnsi="黑体" w:eastAsia="黑体" w:cs="黑体"/>
                <w:color w:val="auto"/>
                <w:szCs w:val="21"/>
                <w:highlight w:val="none"/>
                <w:u w:val="single"/>
              </w:rPr>
              <w:t xml:space="preserve">                       元</w:t>
            </w:r>
          </w:p>
          <w:p w14:paraId="090BC57D">
            <w:pPr>
              <w:adjustRightInd w:val="0"/>
              <w:snapToGrid w:val="0"/>
              <w:spacing w:line="48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小写：</w:t>
            </w:r>
            <w:r>
              <w:rPr>
                <w:rFonts w:hint="eastAsia" w:ascii="黑体" w:hAnsi="黑体" w:eastAsia="黑体" w:cs="黑体"/>
                <w:color w:val="auto"/>
                <w:szCs w:val="21"/>
                <w:highlight w:val="none"/>
                <w:u w:val="single"/>
              </w:rPr>
              <w:t xml:space="preserve">                       元</w:t>
            </w:r>
          </w:p>
        </w:tc>
      </w:tr>
      <w:bookmarkEnd w:id="76"/>
    </w:tbl>
    <w:p w14:paraId="6589A1FA">
      <w:pPr>
        <w:spacing w:before="312" w:beforeLines="100"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注明：</w:t>
      </w:r>
    </w:p>
    <w:p w14:paraId="6C17EFF9">
      <w:pPr>
        <w:pStyle w:val="29"/>
        <w:numPr>
          <w:ilvl w:val="0"/>
          <w:numId w:val="88"/>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此表为报价总表的分项报价表。</w:t>
      </w:r>
    </w:p>
    <w:p w14:paraId="6D5E22D5">
      <w:pPr>
        <w:pStyle w:val="29"/>
        <w:numPr>
          <w:ilvl w:val="0"/>
          <w:numId w:val="88"/>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如果单价和总价不符时，以单价为准，修正总价。</w:t>
      </w:r>
    </w:p>
    <w:p w14:paraId="4F6B3D7D">
      <w:pPr>
        <w:pStyle w:val="29"/>
        <w:numPr>
          <w:ilvl w:val="0"/>
          <w:numId w:val="88"/>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投标人应列明按“采购需求”所要求提供的所有报价项的价格明细。</w:t>
      </w:r>
    </w:p>
    <w:p w14:paraId="052C6259">
      <w:pPr>
        <w:tabs>
          <w:tab w:val="left" w:pos="1180"/>
        </w:tabs>
        <w:rPr>
          <w:rFonts w:hint="eastAsia" w:ascii="黑体" w:hAnsi="黑体" w:eastAsia="黑体" w:cs="黑体"/>
          <w:color w:val="auto"/>
          <w:sz w:val="28"/>
          <w:szCs w:val="28"/>
          <w:highlight w:val="none"/>
        </w:rPr>
      </w:pPr>
    </w:p>
    <w:p w14:paraId="6D3938AE">
      <w:pPr>
        <w:tabs>
          <w:tab w:val="left" w:pos="1180"/>
        </w:tabs>
        <w:rPr>
          <w:rFonts w:hint="eastAsia" w:ascii="黑体" w:hAnsi="黑体" w:eastAsia="黑体" w:cs="黑体"/>
          <w:color w:val="auto"/>
          <w:sz w:val="28"/>
          <w:szCs w:val="28"/>
          <w:highlight w:val="none"/>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184A4C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36368AF4">
            <w:pPr>
              <w:overflowPunct w:val="0"/>
              <w:adjustRightIn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投标人名称（加盖公章）：</w:t>
            </w:r>
            <w:r>
              <w:rPr>
                <w:rFonts w:hint="eastAsia" w:ascii="黑体" w:hAnsi="黑体" w:eastAsia="黑体" w:cs="黑体"/>
                <w:color w:val="auto"/>
                <w:szCs w:val="21"/>
                <w:highlight w:val="none"/>
                <w:u w:val="single"/>
              </w:rPr>
              <w:t xml:space="preserve">                         </w:t>
            </w:r>
          </w:p>
        </w:tc>
        <w:tc>
          <w:tcPr>
            <w:tcW w:w="3175" w:type="dxa"/>
          </w:tcPr>
          <w:p w14:paraId="657D704E">
            <w:pPr>
              <w:spacing w:line="360" w:lineRule="auto"/>
              <w:rPr>
                <w:rFonts w:hint="eastAsia" w:ascii="黑体" w:hAnsi="黑体" w:eastAsia="黑体" w:cs="黑体"/>
                <w:color w:val="auto"/>
                <w:szCs w:val="21"/>
                <w:highlight w:val="none"/>
              </w:rPr>
            </w:pPr>
          </w:p>
        </w:tc>
      </w:tr>
      <w:tr w14:paraId="17FD29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7578218E">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日期：</w:t>
            </w:r>
            <w:r>
              <w:rPr>
                <w:rFonts w:hint="eastAsia" w:ascii="黑体" w:hAnsi="黑体" w:eastAsia="黑体" w:cs="黑体"/>
                <w:color w:val="auto"/>
                <w:szCs w:val="21"/>
                <w:highlight w:val="none"/>
                <w:u w:val="single"/>
              </w:rPr>
              <w:t xml:space="preserve">             年           月            日</w:t>
            </w:r>
          </w:p>
        </w:tc>
        <w:tc>
          <w:tcPr>
            <w:tcW w:w="3175" w:type="dxa"/>
          </w:tcPr>
          <w:p w14:paraId="1CAC45C4">
            <w:pPr>
              <w:spacing w:line="360" w:lineRule="auto"/>
              <w:rPr>
                <w:rFonts w:hint="eastAsia" w:ascii="黑体" w:hAnsi="黑体" w:eastAsia="黑体" w:cs="黑体"/>
                <w:color w:val="auto"/>
                <w:szCs w:val="21"/>
                <w:highlight w:val="none"/>
              </w:rPr>
            </w:pPr>
          </w:p>
        </w:tc>
      </w:tr>
    </w:tbl>
    <w:p w14:paraId="0B2F4CCF">
      <w:pPr>
        <w:tabs>
          <w:tab w:val="left" w:pos="1180"/>
        </w:tabs>
        <w:rPr>
          <w:rFonts w:hint="eastAsia" w:ascii="黑体" w:hAnsi="黑体" w:eastAsia="黑体" w:cs="黑体"/>
          <w:color w:val="auto"/>
          <w:sz w:val="28"/>
          <w:szCs w:val="28"/>
          <w:highlight w:val="none"/>
        </w:rPr>
      </w:pPr>
    </w:p>
    <w:p w14:paraId="1F3BE6D9">
      <w:pPr>
        <w:pStyle w:val="29"/>
        <w:pageBreakBefore/>
        <w:numPr>
          <w:ilvl w:val="0"/>
          <w:numId w:val="84"/>
        </w:numPr>
        <w:tabs>
          <w:tab w:val="left" w:pos="284"/>
          <w:tab w:val="left" w:pos="426"/>
        </w:tabs>
        <w:ind w:left="1679" w:hanging="1537" w:firstLineChars="0"/>
        <w:jc w:val="left"/>
        <w:rPr>
          <w:rFonts w:hint="eastAsia" w:ascii="黑体" w:hAnsi="黑体" w:eastAsia="黑体" w:cs="黑体"/>
          <w:b/>
          <w:bCs/>
          <w:color w:val="auto"/>
          <w:highlight w:val="none"/>
        </w:rPr>
      </w:pPr>
      <w:r>
        <w:rPr>
          <w:rFonts w:hint="eastAsia" w:ascii="黑体" w:hAnsi="黑体" w:eastAsia="黑体" w:cs="黑体"/>
          <w:b/>
          <w:bCs/>
          <w:color w:val="auto"/>
          <w:highlight w:val="none"/>
        </w:rPr>
        <w:t>中小企业声明函（如需）</w:t>
      </w:r>
    </w:p>
    <w:p w14:paraId="43A30FA6">
      <w:pPr>
        <w:spacing w:before="468" w:beforeLines="150" w:after="312" w:afterLines="100" w:line="360" w:lineRule="auto"/>
        <w:jc w:val="center"/>
        <w:rPr>
          <w:rFonts w:hint="eastAsia" w:ascii="黑体" w:hAnsi="黑体" w:eastAsia="黑体" w:cs="黑体"/>
          <w:b/>
          <w:color w:val="auto"/>
          <w:spacing w:val="20"/>
          <w:sz w:val="30"/>
          <w:szCs w:val="30"/>
          <w:highlight w:val="none"/>
        </w:rPr>
      </w:pPr>
      <w:bookmarkStart w:id="77" w:name="_Hlk90663850"/>
      <w:r>
        <w:rPr>
          <w:rFonts w:hint="eastAsia" w:ascii="黑体" w:hAnsi="黑体" w:eastAsia="黑体" w:cs="黑体"/>
          <w:b/>
          <w:color w:val="auto"/>
          <w:spacing w:val="20"/>
          <w:sz w:val="30"/>
          <w:szCs w:val="30"/>
          <w:highlight w:val="none"/>
        </w:rPr>
        <w:t>中小企业声明函（货物）</w:t>
      </w:r>
    </w:p>
    <w:p w14:paraId="619C3875">
      <w:pPr>
        <w:spacing w:line="360" w:lineRule="auto"/>
        <w:ind w:firstLine="424" w:firstLineChars="202"/>
        <w:rPr>
          <w:rFonts w:hint="eastAsia" w:ascii="黑体" w:hAnsi="黑体" w:eastAsia="黑体" w:cs="黑体"/>
          <w:color w:val="auto"/>
          <w:szCs w:val="21"/>
          <w:highlight w:val="none"/>
        </w:rPr>
      </w:pPr>
      <w:r>
        <w:rPr>
          <w:rFonts w:hint="eastAsia" w:ascii="黑体" w:hAnsi="黑体" w:eastAsia="黑体" w:cs="黑体"/>
          <w:color w:val="auto"/>
          <w:szCs w:val="21"/>
          <w:highlight w:val="none"/>
        </w:rPr>
        <w:t>本公司（联合体）郑重声明，根据《政府采购促进中小企业发展管理办法》（财库﹝2020﹞46 号）的规定，本公司（联合体）参加</w:t>
      </w:r>
      <w:r>
        <w:rPr>
          <w:rFonts w:hint="eastAsia" w:ascii="黑体" w:hAnsi="黑体" w:eastAsia="黑体" w:cs="黑体"/>
          <w:color w:val="auto"/>
          <w:szCs w:val="21"/>
          <w:highlight w:val="none"/>
          <w:u w:val="single"/>
        </w:rPr>
        <w:t>（单位名称）</w:t>
      </w:r>
      <w:r>
        <w:rPr>
          <w:rFonts w:hint="eastAsia" w:ascii="黑体" w:hAnsi="黑体" w:eastAsia="黑体" w:cs="黑体"/>
          <w:color w:val="auto"/>
          <w:szCs w:val="21"/>
          <w:highlight w:val="none"/>
        </w:rPr>
        <w:t>的</w:t>
      </w:r>
      <w:r>
        <w:rPr>
          <w:rFonts w:hint="eastAsia" w:ascii="黑体" w:hAnsi="黑体" w:eastAsia="黑体" w:cs="黑体"/>
          <w:color w:val="auto"/>
          <w:szCs w:val="21"/>
          <w:highlight w:val="none"/>
          <w:u w:val="single"/>
        </w:rPr>
        <w:t>（项目名称）</w:t>
      </w:r>
      <w:r>
        <w:rPr>
          <w:rFonts w:hint="eastAsia" w:ascii="黑体" w:hAnsi="黑体" w:eastAsia="黑体" w:cs="黑体"/>
          <w:color w:val="auto"/>
          <w:szCs w:val="21"/>
          <w:highlight w:val="none"/>
        </w:rPr>
        <w:t>采购活动，提供的货物全部由符合政策要求的中小企业制造。相关企业（含联合体中的中小企业、签订分包意向协议的中小企业）的具体情况如下：</w:t>
      </w:r>
    </w:p>
    <w:p w14:paraId="412EC296">
      <w:pPr>
        <w:spacing w:line="360" w:lineRule="auto"/>
        <w:ind w:firstLine="424" w:firstLineChars="202"/>
        <w:rPr>
          <w:rFonts w:hint="eastAsia" w:ascii="黑体" w:hAnsi="黑体" w:eastAsia="黑体" w:cs="黑体"/>
          <w:color w:val="auto"/>
          <w:szCs w:val="21"/>
          <w:highlight w:val="none"/>
        </w:rPr>
      </w:pPr>
      <w:r>
        <w:rPr>
          <w:rFonts w:hint="eastAsia" w:ascii="黑体" w:hAnsi="黑体" w:eastAsia="黑体" w:cs="黑体"/>
          <w:color w:val="auto"/>
          <w:szCs w:val="21"/>
          <w:highlight w:val="none"/>
        </w:rPr>
        <w:t>1.</w:t>
      </w:r>
      <w:r>
        <w:rPr>
          <w:rFonts w:hint="eastAsia" w:ascii="黑体" w:hAnsi="黑体" w:eastAsia="黑体" w:cs="黑体"/>
          <w:color w:val="auto"/>
          <w:szCs w:val="21"/>
          <w:highlight w:val="none"/>
          <w:u w:val="single"/>
        </w:rPr>
        <w:t xml:space="preserve"> （标的名称） </w:t>
      </w:r>
      <w:r>
        <w:rPr>
          <w:rFonts w:hint="eastAsia" w:ascii="黑体" w:hAnsi="黑体" w:eastAsia="黑体" w:cs="黑体"/>
          <w:color w:val="auto"/>
          <w:szCs w:val="21"/>
          <w:highlight w:val="none"/>
        </w:rPr>
        <w:t>，属于</w:t>
      </w:r>
      <w:r>
        <w:rPr>
          <w:rFonts w:hint="eastAsia" w:ascii="黑体" w:hAnsi="黑体" w:eastAsia="黑体" w:cs="黑体"/>
          <w:color w:val="auto"/>
          <w:szCs w:val="21"/>
          <w:highlight w:val="none"/>
          <w:u w:val="single"/>
        </w:rPr>
        <w:t>（采购文件中明确的所属行业）</w:t>
      </w:r>
      <w:r>
        <w:rPr>
          <w:rFonts w:hint="eastAsia" w:ascii="黑体" w:hAnsi="黑体" w:eastAsia="黑体" w:cs="黑体"/>
          <w:color w:val="auto"/>
          <w:szCs w:val="21"/>
          <w:highlight w:val="none"/>
        </w:rPr>
        <w:t>行业；制造商为</w:t>
      </w:r>
      <w:r>
        <w:rPr>
          <w:rFonts w:hint="eastAsia" w:ascii="黑体" w:hAnsi="黑体" w:eastAsia="黑体" w:cs="黑体"/>
          <w:color w:val="auto"/>
          <w:szCs w:val="21"/>
          <w:highlight w:val="none"/>
          <w:u w:val="single"/>
        </w:rPr>
        <w:t>（企业名称）</w:t>
      </w:r>
      <w:r>
        <w:rPr>
          <w:rFonts w:hint="eastAsia" w:ascii="黑体" w:hAnsi="黑体" w:eastAsia="黑体" w:cs="黑体"/>
          <w:color w:val="auto"/>
          <w:szCs w:val="21"/>
          <w:highlight w:val="none"/>
        </w:rPr>
        <w:t>，从业人员</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 xml:space="preserve">人，营业收入为 </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万元，资产总额为</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 xml:space="preserve"> 万元</w:t>
      </w:r>
      <w:r>
        <w:rPr>
          <w:rFonts w:hint="eastAsia" w:ascii="黑体" w:hAnsi="黑体" w:eastAsia="黑体" w:cs="黑体"/>
          <w:color w:val="auto"/>
          <w:szCs w:val="21"/>
          <w:highlight w:val="none"/>
          <w:vertAlign w:val="superscript"/>
        </w:rPr>
        <w:t>1</w:t>
      </w:r>
      <w:r>
        <w:rPr>
          <w:rFonts w:hint="eastAsia" w:ascii="黑体" w:hAnsi="黑体" w:eastAsia="黑体" w:cs="黑体"/>
          <w:color w:val="auto"/>
          <w:szCs w:val="21"/>
          <w:highlight w:val="none"/>
        </w:rPr>
        <w:t>，属于</w:t>
      </w:r>
      <w:r>
        <w:rPr>
          <w:rFonts w:hint="eastAsia" w:ascii="黑体" w:hAnsi="黑体" w:eastAsia="黑体" w:cs="黑体"/>
          <w:color w:val="auto"/>
          <w:szCs w:val="21"/>
          <w:highlight w:val="none"/>
          <w:u w:val="single"/>
        </w:rPr>
        <w:t>（中型企业、小型企业、微型企业）</w:t>
      </w:r>
      <w:r>
        <w:rPr>
          <w:rFonts w:hint="eastAsia" w:ascii="黑体" w:hAnsi="黑体" w:eastAsia="黑体" w:cs="黑体"/>
          <w:color w:val="auto"/>
          <w:szCs w:val="21"/>
          <w:highlight w:val="none"/>
        </w:rPr>
        <w:t>；</w:t>
      </w:r>
    </w:p>
    <w:p w14:paraId="39EBC56A">
      <w:pPr>
        <w:spacing w:line="360" w:lineRule="auto"/>
        <w:ind w:firstLine="424" w:firstLineChars="202"/>
        <w:rPr>
          <w:rFonts w:hint="eastAsia" w:ascii="黑体" w:hAnsi="黑体" w:eastAsia="黑体" w:cs="黑体"/>
          <w:color w:val="auto"/>
          <w:szCs w:val="21"/>
          <w:highlight w:val="none"/>
        </w:rPr>
      </w:pPr>
      <w:r>
        <w:rPr>
          <w:rFonts w:hint="eastAsia" w:ascii="黑体" w:hAnsi="黑体" w:eastAsia="黑体" w:cs="黑体"/>
          <w:color w:val="auto"/>
          <w:szCs w:val="21"/>
          <w:highlight w:val="none"/>
        </w:rPr>
        <w:t>2.</w:t>
      </w:r>
      <w:r>
        <w:rPr>
          <w:rFonts w:hint="eastAsia" w:ascii="黑体" w:hAnsi="黑体" w:eastAsia="黑体" w:cs="黑体"/>
          <w:color w:val="auto"/>
          <w:szCs w:val="21"/>
          <w:highlight w:val="none"/>
          <w:u w:val="single"/>
        </w:rPr>
        <w:t xml:space="preserve"> （标的名称）</w:t>
      </w:r>
      <w:r>
        <w:rPr>
          <w:rFonts w:hint="eastAsia" w:ascii="黑体" w:hAnsi="黑体" w:eastAsia="黑体" w:cs="黑体"/>
          <w:color w:val="auto"/>
          <w:szCs w:val="21"/>
          <w:highlight w:val="none"/>
        </w:rPr>
        <w:t xml:space="preserve"> ，属于</w:t>
      </w:r>
      <w:r>
        <w:rPr>
          <w:rFonts w:hint="eastAsia" w:ascii="黑体" w:hAnsi="黑体" w:eastAsia="黑体" w:cs="黑体"/>
          <w:color w:val="auto"/>
          <w:szCs w:val="21"/>
          <w:highlight w:val="none"/>
          <w:u w:val="single"/>
        </w:rPr>
        <w:t>（采购文件中明确的所属行业）</w:t>
      </w:r>
      <w:r>
        <w:rPr>
          <w:rFonts w:hint="eastAsia" w:ascii="黑体" w:hAnsi="黑体" w:eastAsia="黑体" w:cs="黑体"/>
          <w:color w:val="auto"/>
          <w:szCs w:val="21"/>
          <w:highlight w:val="none"/>
        </w:rPr>
        <w:t>行业；制造商为</w:t>
      </w:r>
      <w:r>
        <w:rPr>
          <w:rFonts w:hint="eastAsia" w:ascii="黑体" w:hAnsi="黑体" w:eastAsia="黑体" w:cs="黑体"/>
          <w:color w:val="auto"/>
          <w:szCs w:val="21"/>
          <w:highlight w:val="none"/>
          <w:u w:val="single"/>
        </w:rPr>
        <w:t>（企业名称）</w:t>
      </w:r>
      <w:r>
        <w:rPr>
          <w:rFonts w:hint="eastAsia" w:ascii="黑体" w:hAnsi="黑体" w:eastAsia="黑体" w:cs="黑体"/>
          <w:color w:val="auto"/>
          <w:szCs w:val="21"/>
          <w:highlight w:val="none"/>
        </w:rPr>
        <w:t>，从业人员</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人，营业收入为</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万元，资产总额为</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万元，属于</w:t>
      </w:r>
      <w:r>
        <w:rPr>
          <w:rFonts w:hint="eastAsia" w:ascii="黑体" w:hAnsi="黑体" w:eastAsia="黑体" w:cs="黑体"/>
          <w:color w:val="auto"/>
          <w:szCs w:val="21"/>
          <w:highlight w:val="none"/>
          <w:u w:val="single"/>
        </w:rPr>
        <w:t>（中型企业、小型企业、微型企业）</w:t>
      </w:r>
      <w:r>
        <w:rPr>
          <w:rFonts w:hint="eastAsia" w:ascii="黑体" w:hAnsi="黑体" w:eastAsia="黑体" w:cs="黑体"/>
          <w:color w:val="auto"/>
          <w:szCs w:val="21"/>
          <w:highlight w:val="none"/>
        </w:rPr>
        <w:t>；</w:t>
      </w:r>
    </w:p>
    <w:p w14:paraId="250153F1">
      <w:pPr>
        <w:spacing w:line="360" w:lineRule="auto"/>
        <w:ind w:firstLine="424" w:firstLineChars="202"/>
        <w:rPr>
          <w:rFonts w:hint="eastAsia" w:ascii="黑体" w:hAnsi="黑体" w:eastAsia="黑体" w:cs="黑体"/>
          <w:color w:val="auto"/>
          <w:szCs w:val="21"/>
          <w:highlight w:val="none"/>
        </w:rPr>
      </w:pPr>
      <w:r>
        <w:rPr>
          <w:rFonts w:hint="eastAsia" w:ascii="黑体" w:hAnsi="黑体" w:eastAsia="黑体" w:cs="黑体"/>
          <w:color w:val="auto"/>
          <w:szCs w:val="21"/>
          <w:highlight w:val="none"/>
        </w:rPr>
        <w:t>……</w:t>
      </w:r>
    </w:p>
    <w:p w14:paraId="3EFE15A0">
      <w:pPr>
        <w:spacing w:line="360" w:lineRule="auto"/>
        <w:ind w:firstLine="424" w:firstLineChars="202"/>
        <w:rPr>
          <w:rFonts w:hint="eastAsia" w:ascii="黑体" w:hAnsi="黑体" w:eastAsia="黑体" w:cs="黑体"/>
          <w:color w:val="auto"/>
          <w:szCs w:val="21"/>
          <w:highlight w:val="none"/>
        </w:rPr>
      </w:pPr>
      <w:r>
        <w:rPr>
          <w:rFonts w:hint="eastAsia" w:ascii="黑体" w:hAnsi="黑体" w:eastAsia="黑体" w:cs="黑体"/>
          <w:color w:val="auto"/>
          <w:szCs w:val="21"/>
          <w:highlight w:val="none"/>
        </w:rPr>
        <w:t>以上企业，不属于大企业的分支机构，不存在控股股东为大企业的情形，也不存在与大企业的负责人为同一人的情形。</w:t>
      </w:r>
    </w:p>
    <w:p w14:paraId="34906322">
      <w:pPr>
        <w:spacing w:line="360" w:lineRule="auto"/>
        <w:ind w:firstLine="424" w:firstLineChars="202"/>
        <w:rPr>
          <w:rFonts w:hint="eastAsia" w:ascii="黑体" w:hAnsi="黑体" w:eastAsia="黑体" w:cs="黑体"/>
          <w:color w:val="auto"/>
          <w:szCs w:val="21"/>
          <w:highlight w:val="none"/>
        </w:rPr>
      </w:pPr>
      <w:r>
        <w:rPr>
          <w:rFonts w:hint="eastAsia" w:ascii="黑体" w:hAnsi="黑体" w:eastAsia="黑体" w:cs="黑体"/>
          <w:color w:val="auto"/>
          <w:szCs w:val="21"/>
          <w:highlight w:val="none"/>
        </w:rPr>
        <w:t>本企业对上述声明内容的真实性负责。如有虚假，将依法承担相应责任。</w:t>
      </w:r>
    </w:p>
    <w:p w14:paraId="2237D82F">
      <w:pPr>
        <w:spacing w:before="936" w:beforeLines="300" w:line="360" w:lineRule="auto"/>
        <w:ind w:right="420"/>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 xml:space="preserve">                        企业名称（盖章）：</w:t>
      </w:r>
    </w:p>
    <w:p w14:paraId="536D4BD4">
      <w:pPr>
        <w:spacing w:line="360" w:lineRule="auto"/>
        <w:ind w:firstLine="5527" w:firstLineChars="2632"/>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日期：</w:t>
      </w:r>
    </w:p>
    <w:p w14:paraId="2302EC2B">
      <w:pPr>
        <w:spacing w:line="360" w:lineRule="auto"/>
        <w:rPr>
          <w:rFonts w:hint="eastAsia" w:ascii="黑体" w:hAnsi="黑体" w:eastAsia="黑体" w:cs="黑体"/>
          <w:color w:val="auto"/>
          <w:szCs w:val="21"/>
          <w:highlight w:val="none"/>
        </w:rPr>
      </w:pPr>
    </w:p>
    <w:p w14:paraId="422AF388">
      <w:pPr>
        <w:spacing w:line="360" w:lineRule="auto"/>
        <w:rPr>
          <w:rFonts w:hint="eastAsia" w:ascii="黑体" w:hAnsi="黑体" w:eastAsia="黑体" w:cs="黑体"/>
          <w:color w:val="auto"/>
          <w:szCs w:val="21"/>
          <w:highlight w:val="none"/>
        </w:rPr>
      </w:pPr>
    </w:p>
    <w:p w14:paraId="04CD6DF2">
      <w:pPr>
        <w:spacing w:line="360" w:lineRule="auto"/>
        <w:rPr>
          <w:rFonts w:hint="eastAsia" w:ascii="黑体" w:hAnsi="黑体" w:eastAsia="黑体" w:cs="黑体"/>
          <w:color w:val="auto"/>
          <w:szCs w:val="21"/>
          <w:highlight w:val="none"/>
        </w:rPr>
      </w:pPr>
    </w:p>
    <w:p w14:paraId="57FF7F9B">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1.从业人员、营业收入、资产总额填报上一年度数据，无上一年度数据的新成立企业可不填报。</w:t>
      </w:r>
    </w:p>
    <w:bookmarkEnd w:id="77"/>
    <w:p w14:paraId="47158969">
      <w:pPr>
        <w:spacing w:before="936" w:beforeLines="300" w:line="360" w:lineRule="auto"/>
        <w:ind w:right="-51"/>
        <w:jc w:val="left"/>
        <w:rPr>
          <w:rFonts w:hint="eastAsia" w:ascii="黑体" w:hAnsi="黑体" w:eastAsia="黑体" w:cs="黑体"/>
          <w:color w:val="auto"/>
          <w:spacing w:val="-4"/>
          <w:szCs w:val="21"/>
          <w:highlight w:val="none"/>
        </w:rPr>
      </w:pPr>
    </w:p>
    <w:p w14:paraId="3170DE56">
      <w:pPr>
        <w:pStyle w:val="29"/>
        <w:pageBreakBefore/>
        <w:numPr>
          <w:ilvl w:val="0"/>
          <w:numId w:val="84"/>
        </w:numPr>
        <w:tabs>
          <w:tab w:val="left" w:pos="284"/>
          <w:tab w:val="left" w:pos="426"/>
          <w:tab w:val="left" w:pos="709"/>
        </w:tabs>
        <w:ind w:left="1679" w:hanging="1537" w:firstLineChars="0"/>
        <w:jc w:val="left"/>
        <w:rPr>
          <w:rFonts w:hint="eastAsia" w:ascii="黑体" w:hAnsi="黑体" w:eastAsia="黑体" w:cs="黑体"/>
          <w:b/>
          <w:bCs/>
          <w:color w:val="auto"/>
          <w:highlight w:val="none"/>
        </w:rPr>
      </w:pPr>
      <w:r>
        <w:rPr>
          <w:rFonts w:hint="eastAsia" w:ascii="黑体" w:hAnsi="黑体" w:eastAsia="黑体" w:cs="黑体"/>
          <w:b/>
          <w:bCs/>
          <w:color w:val="auto"/>
          <w:highlight w:val="none"/>
        </w:rPr>
        <w:t>残疾人福利性单位声明函（如需）</w:t>
      </w:r>
    </w:p>
    <w:p w14:paraId="520E5704">
      <w:pPr>
        <w:spacing w:before="312" w:beforeLines="100" w:after="312" w:afterLines="100" w:line="360" w:lineRule="auto"/>
        <w:jc w:val="center"/>
        <w:rPr>
          <w:rFonts w:hint="eastAsia" w:ascii="黑体" w:hAnsi="黑体" w:eastAsia="黑体" w:cs="黑体"/>
          <w:b/>
          <w:color w:val="auto"/>
          <w:spacing w:val="20"/>
          <w:sz w:val="30"/>
          <w:szCs w:val="30"/>
          <w:highlight w:val="none"/>
        </w:rPr>
      </w:pPr>
      <w:r>
        <w:rPr>
          <w:rFonts w:hint="eastAsia" w:ascii="黑体" w:hAnsi="黑体" w:eastAsia="黑体" w:cs="黑体"/>
          <w:b/>
          <w:color w:val="auto"/>
          <w:spacing w:val="20"/>
          <w:sz w:val="30"/>
          <w:szCs w:val="30"/>
          <w:highlight w:val="none"/>
        </w:rPr>
        <w:t>残疾人福利性单位声明函</w:t>
      </w:r>
    </w:p>
    <w:p w14:paraId="0B2D2320">
      <w:pPr>
        <w:spacing w:line="480" w:lineRule="auto"/>
        <w:ind w:firstLine="630" w:firstLineChars="300"/>
        <w:rPr>
          <w:rFonts w:hint="eastAsia" w:ascii="黑体" w:hAnsi="黑体" w:eastAsia="黑体" w:cs="黑体"/>
          <w:color w:val="auto"/>
          <w:highlight w:val="none"/>
        </w:rPr>
      </w:pPr>
      <w:r>
        <w:rPr>
          <w:rFonts w:hint="eastAsia" w:ascii="黑体" w:hAnsi="黑体" w:eastAsia="黑体" w:cs="黑体"/>
          <w:bCs/>
          <w:color w:val="auto"/>
          <w:highlight w:val="none"/>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5DA940F7">
      <w:pPr>
        <w:spacing w:line="480" w:lineRule="auto"/>
        <w:ind w:firstLine="420" w:firstLineChars="200"/>
        <w:rPr>
          <w:rFonts w:hint="eastAsia" w:ascii="黑体" w:hAnsi="黑体" w:eastAsia="黑体" w:cs="黑体"/>
          <w:color w:val="auto"/>
          <w:highlight w:val="none"/>
        </w:rPr>
      </w:pPr>
      <w:r>
        <w:rPr>
          <w:rFonts w:hint="eastAsia" w:ascii="黑体" w:hAnsi="黑体" w:eastAsia="黑体" w:cs="黑体"/>
          <w:color w:val="auto"/>
          <w:highlight w:val="none"/>
        </w:rPr>
        <w:t>本单位对上述声明的真实性负责。如有虚假，将依法承担相应责任。</w:t>
      </w:r>
    </w:p>
    <w:p w14:paraId="412E225D">
      <w:pPr>
        <w:spacing w:line="360" w:lineRule="auto"/>
        <w:rPr>
          <w:rFonts w:hint="eastAsia" w:ascii="黑体" w:hAnsi="黑体" w:eastAsia="黑体" w:cs="黑体"/>
          <w:color w:val="auto"/>
          <w:highlight w:val="none"/>
        </w:rPr>
      </w:pPr>
    </w:p>
    <w:p w14:paraId="21E93370">
      <w:pPr>
        <w:spacing w:line="360" w:lineRule="auto"/>
        <w:rPr>
          <w:rFonts w:hint="eastAsia" w:ascii="黑体" w:hAnsi="黑体" w:eastAsia="黑体" w:cs="黑体"/>
          <w:color w:val="auto"/>
          <w:highlight w:val="none"/>
        </w:rPr>
      </w:pPr>
    </w:p>
    <w:p w14:paraId="0A670783">
      <w:pPr>
        <w:spacing w:line="360" w:lineRule="auto"/>
        <w:rPr>
          <w:rFonts w:hint="eastAsia" w:ascii="黑体" w:hAnsi="黑体" w:eastAsia="黑体" w:cs="黑体"/>
          <w:color w:val="auto"/>
          <w:highlight w:val="none"/>
        </w:rPr>
      </w:pPr>
    </w:p>
    <w:tbl>
      <w:tblPr>
        <w:tblStyle w:val="19"/>
        <w:tblW w:w="0" w:type="auto"/>
        <w:tblInd w:w="0" w:type="dxa"/>
        <w:tblLayout w:type="autofit"/>
        <w:tblCellMar>
          <w:top w:w="0" w:type="dxa"/>
          <w:left w:w="108" w:type="dxa"/>
          <w:bottom w:w="0" w:type="dxa"/>
          <w:right w:w="108" w:type="dxa"/>
        </w:tblCellMar>
      </w:tblPr>
      <w:tblGrid>
        <w:gridCol w:w="5353"/>
        <w:gridCol w:w="3175"/>
      </w:tblGrid>
      <w:tr w14:paraId="5791472E">
        <w:tblPrEx>
          <w:tblCellMar>
            <w:top w:w="0" w:type="dxa"/>
            <w:left w:w="108" w:type="dxa"/>
            <w:bottom w:w="0" w:type="dxa"/>
            <w:right w:w="108" w:type="dxa"/>
          </w:tblCellMar>
        </w:tblPrEx>
        <w:tc>
          <w:tcPr>
            <w:tcW w:w="5353" w:type="dxa"/>
            <w:shd w:val="clear" w:color="auto" w:fill="auto"/>
          </w:tcPr>
          <w:p w14:paraId="2D97EC6E">
            <w:pPr>
              <w:overflowPunct w:val="0"/>
              <w:adjustRightIn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投标人名称（加盖公章）：</w:t>
            </w:r>
            <w:r>
              <w:rPr>
                <w:rFonts w:hint="eastAsia" w:ascii="黑体" w:hAnsi="黑体" w:eastAsia="黑体" w:cs="黑体"/>
                <w:color w:val="auto"/>
                <w:szCs w:val="21"/>
                <w:highlight w:val="none"/>
                <w:u w:val="single"/>
              </w:rPr>
              <w:t xml:space="preserve">                         </w:t>
            </w:r>
          </w:p>
        </w:tc>
        <w:tc>
          <w:tcPr>
            <w:tcW w:w="3175" w:type="dxa"/>
            <w:shd w:val="clear" w:color="auto" w:fill="auto"/>
          </w:tcPr>
          <w:p w14:paraId="38560882">
            <w:pPr>
              <w:spacing w:line="360" w:lineRule="auto"/>
              <w:rPr>
                <w:rFonts w:hint="eastAsia" w:ascii="黑体" w:hAnsi="黑体" w:eastAsia="黑体" w:cs="黑体"/>
                <w:color w:val="auto"/>
                <w:szCs w:val="21"/>
                <w:highlight w:val="none"/>
              </w:rPr>
            </w:pPr>
          </w:p>
        </w:tc>
      </w:tr>
      <w:tr w14:paraId="61FA004E">
        <w:tblPrEx>
          <w:tblCellMar>
            <w:top w:w="0" w:type="dxa"/>
            <w:left w:w="108" w:type="dxa"/>
            <w:bottom w:w="0" w:type="dxa"/>
            <w:right w:w="108" w:type="dxa"/>
          </w:tblCellMar>
        </w:tblPrEx>
        <w:tc>
          <w:tcPr>
            <w:tcW w:w="5353" w:type="dxa"/>
            <w:shd w:val="clear" w:color="auto" w:fill="auto"/>
          </w:tcPr>
          <w:p w14:paraId="7B649563">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日期：</w:t>
            </w:r>
            <w:r>
              <w:rPr>
                <w:rFonts w:hint="eastAsia" w:ascii="黑体" w:hAnsi="黑体" w:eastAsia="黑体" w:cs="黑体"/>
                <w:color w:val="auto"/>
                <w:szCs w:val="21"/>
                <w:highlight w:val="none"/>
                <w:u w:val="single"/>
              </w:rPr>
              <w:t xml:space="preserve">             年           月            日</w:t>
            </w:r>
          </w:p>
        </w:tc>
        <w:tc>
          <w:tcPr>
            <w:tcW w:w="3175" w:type="dxa"/>
            <w:shd w:val="clear" w:color="auto" w:fill="auto"/>
          </w:tcPr>
          <w:p w14:paraId="5CC3E376">
            <w:pPr>
              <w:spacing w:line="360" w:lineRule="auto"/>
              <w:rPr>
                <w:rFonts w:hint="eastAsia" w:ascii="黑体" w:hAnsi="黑体" w:eastAsia="黑体" w:cs="黑体"/>
                <w:color w:val="auto"/>
                <w:szCs w:val="21"/>
                <w:highlight w:val="none"/>
              </w:rPr>
            </w:pPr>
          </w:p>
        </w:tc>
      </w:tr>
    </w:tbl>
    <w:p w14:paraId="4EEA9364">
      <w:pPr>
        <w:rPr>
          <w:rFonts w:hint="eastAsia" w:ascii="黑体" w:hAnsi="黑体" w:eastAsia="黑体" w:cs="黑体"/>
          <w:color w:val="auto"/>
          <w:highlight w:val="none"/>
        </w:rPr>
      </w:pPr>
    </w:p>
    <w:p w14:paraId="1825421D">
      <w:pPr>
        <w:pStyle w:val="29"/>
        <w:pageBreakBefore/>
        <w:numPr>
          <w:ilvl w:val="0"/>
          <w:numId w:val="84"/>
        </w:numPr>
        <w:tabs>
          <w:tab w:val="left" w:pos="284"/>
          <w:tab w:val="left" w:pos="426"/>
          <w:tab w:val="left" w:pos="709"/>
        </w:tabs>
        <w:ind w:left="1679" w:hanging="1537" w:firstLineChars="0"/>
        <w:jc w:val="left"/>
        <w:rPr>
          <w:rFonts w:hint="eastAsia" w:ascii="黑体" w:hAnsi="黑体" w:eastAsia="黑体" w:cs="黑体"/>
          <w:b/>
          <w:bCs/>
          <w:color w:val="auto"/>
          <w:highlight w:val="none"/>
        </w:rPr>
      </w:pPr>
      <w:r>
        <w:rPr>
          <w:rFonts w:hint="eastAsia" w:ascii="黑体" w:hAnsi="黑体" w:eastAsia="黑体" w:cs="黑体"/>
          <w:b/>
          <w:bCs/>
          <w:color w:val="auto"/>
          <w:highlight w:val="none"/>
        </w:rPr>
        <w:t>监狱企业的证明文件（如需）</w:t>
      </w:r>
    </w:p>
    <w:p w14:paraId="686623C1">
      <w:pPr>
        <w:rPr>
          <w:rFonts w:hint="eastAsia" w:ascii="黑体" w:hAnsi="黑体" w:eastAsia="黑体" w:cs="黑体"/>
          <w:color w:val="auto"/>
          <w:highlight w:val="none"/>
        </w:rPr>
      </w:pPr>
    </w:p>
    <w:p w14:paraId="31769F6C">
      <w:pPr>
        <w:spacing w:before="312" w:beforeLines="100" w:after="312" w:afterLines="100" w:line="360" w:lineRule="auto"/>
        <w:jc w:val="center"/>
        <w:rPr>
          <w:rFonts w:hint="eastAsia" w:ascii="黑体" w:hAnsi="黑体" w:eastAsia="黑体" w:cs="黑体"/>
          <w:b/>
          <w:color w:val="auto"/>
          <w:spacing w:val="20"/>
          <w:sz w:val="30"/>
          <w:szCs w:val="30"/>
          <w:highlight w:val="none"/>
        </w:rPr>
      </w:pPr>
      <w:r>
        <w:rPr>
          <w:rFonts w:hint="eastAsia" w:ascii="黑体" w:hAnsi="黑体" w:eastAsia="黑体" w:cs="黑体"/>
          <w:b/>
          <w:color w:val="auto"/>
          <w:spacing w:val="20"/>
          <w:sz w:val="30"/>
          <w:szCs w:val="30"/>
          <w:highlight w:val="none"/>
        </w:rPr>
        <w:t>监狱企业的证明文件</w:t>
      </w:r>
    </w:p>
    <w:p w14:paraId="2ECEB2D3">
      <w:pPr>
        <w:spacing w:line="440" w:lineRule="exact"/>
        <w:rPr>
          <w:rFonts w:hint="eastAsia" w:ascii="黑体" w:hAnsi="黑体" w:eastAsia="黑体" w:cs="黑体"/>
          <w:color w:val="auto"/>
          <w:highlight w:val="none"/>
        </w:rPr>
      </w:pPr>
      <w:r>
        <w:rPr>
          <w:rFonts w:hint="eastAsia" w:ascii="黑体" w:hAnsi="黑体" w:eastAsia="黑体" w:cs="黑体"/>
          <w:color w:val="auto"/>
          <w:highlight w:val="none"/>
        </w:rPr>
        <w:t>说明：监狱企业参加政府采购活动时，应当提供由省级以上监狱管理局、戒毒管理局（含新疆生产建设兵团）出具的属于监狱企业的证明文件并加盖投标单位公章。</w:t>
      </w:r>
    </w:p>
    <w:p w14:paraId="4AAF1228">
      <w:pPr>
        <w:rPr>
          <w:rFonts w:hint="eastAsia" w:ascii="黑体" w:hAnsi="黑体" w:eastAsia="黑体" w:cs="黑体"/>
          <w:color w:val="auto"/>
          <w:highlight w:val="none"/>
        </w:rPr>
      </w:pPr>
    </w:p>
    <w:p w14:paraId="395869A4">
      <w:pPr>
        <w:pStyle w:val="29"/>
        <w:pageBreakBefore/>
        <w:numPr>
          <w:ilvl w:val="0"/>
          <w:numId w:val="84"/>
        </w:numPr>
        <w:tabs>
          <w:tab w:val="left" w:pos="284"/>
          <w:tab w:val="left" w:pos="426"/>
          <w:tab w:val="left" w:pos="709"/>
        </w:tabs>
        <w:ind w:left="1679" w:hanging="1537" w:firstLineChars="0"/>
        <w:jc w:val="left"/>
        <w:rPr>
          <w:rFonts w:hint="eastAsia" w:ascii="黑体" w:hAnsi="黑体" w:eastAsia="黑体" w:cs="黑体"/>
          <w:b/>
          <w:bCs/>
          <w:color w:val="auto"/>
          <w:highlight w:val="none"/>
        </w:rPr>
      </w:pPr>
      <w:r>
        <w:rPr>
          <w:rFonts w:hint="eastAsia" w:ascii="黑体" w:hAnsi="黑体" w:eastAsia="黑体" w:cs="黑体"/>
          <w:b/>
          <w:bCs/>
          <w:color w:val="auto"/>
          <w:highlight w:val="none"/>
        </w:rPr>
        <w:t>政策适用性说明（如需）</w:t>
      </w:r>
    </w:p>
    <w:p w14:paraId="0FD97BA4">
      <w:pPr>
        <w:spacing w:before="312" w:beforeLines="100" w:after="312" w:afterLines="100" w:line="360" w:lineRule="auto"/>
        <w:jc w:val="center"/>
        <w:rPr>
          <w:rFonts w:hint="eastAsia" w:ascii="黑体" w:hAnsi="黑体" w:eastAsia="黑体" w:cs="黑体"/>
          <w:b/>
          <w:color w:val="auto"/>
          <w:spacing w:val="20"/>
          <w:sz w:val="30"/>
          <w:szCs w:val="30"/>
          <w:highlight w:val="none"/>
        </w:rPr>
      </w:pPr>
      <w:r>
        <w:rPr>
          <w:rFonts w:hint="eastAsia" w:ascii="黑体" w:hAnsi="黑体" w:eastAsia="黑体" w:cs="黑体"/>
          <w:b/>
          <w:color w:val="auto"/>
          <w:spacing w:val="20"/>
          <w:sz w:val="30"/>
          <w:szCs w:val="30"/>
          <w:highlight w:val="none"/>
        </w:rPr>
        <w:t>政策适用性说明</w:t>
      </w:r>
    </w:p>
    <w:p w14:paraId="25690BDC">
      <w:pPr>
        <w:spacing w:after="156" w:afterLines="50" w:line="360" w:lineRule="auto"/>
        <w:rPr>
          <w:rFonts w:hint="eastAsia" w:ascii="黑体" w:hAnsi="黑体" w:eastAsia="黑体" w:cs="黑体"/>
          <w:bCs/>
          <w:color w:val="auto"/>
          <w:szCs w:val="21"/>
          <w:highlight w:val="none"/>
          <w:lang w:val="zh-CN"/>
        </w:rPr>
      </w:pPr>
      <w:r>
        <w:rPr>
          <w:rFonts w:hint="eastAsia" w:ascii="黑体" w:hAnsi="黑体" w:eastAsia="黑体" w:cs="黑体"/>
          <w:bCs/>
          <w:color w:val="auto"/>
          <w:szCs w:val="21"/>
          <w:highlight w:val="none"/>
          <w:lang w:val="zh-CN"/>
        </w:rPr>
        <w:t>按照政府采购有关政策的要求，在本次的技术方案中，采用符合政策的小型或微型企业产品、节能产品、环保标志产品，主要产品与核心技术介绍说明如下：</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3"/>
        <w:gridCol w:w="2185"/>
        <w:gridCol w:w="1020"/>
        <w:gridCol w:w="1022"/>
        <w:gridCol w:w="733"/>
        <w:gridCol w:w="877"/>
        <w:gridCol w:w="868"/>
        <w:gridCol w:w="1659"/>
      </w:tblGrid>
      <w:tr w14:paraId="7B91E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230" w:type="pct"/>
            <w:vAlign w:val="center"/>
          </w:tcPr>
          <w:p w14:paraId="46BE24E1">
            <w:pPr>
              <w:tabs>
                <w:tab w:val="left" w:pos="1260"/>
              </w:tabs>
              <w:ind w:left="-53" w:leftChars="-25" w:right="-53" w:rightChars="-25"/>
              <w:jc w:val="center"/>
              <w:rPr>
                <w:rFonts w:hint="eastAsia" w:ascii="黑体" w:hAnsi="黑体" w:eastAsia="黑体" w:cs="黑体"/>
                <w:color w:val="auto"/>
                <w:szCs w:val="21"/>
                <w:highlight w:val="none"/>
                <w:lang w:val="en-GB"/>
              </w:rPr>
            </w:pPr>
            <w:r>
              <w:rPr>
                <w:rFonts w:hint="eastAsia" w:ascii="黑体" w:hAnsi="黑体" w:eastAsia="黑体" w:cs="黑体"/>
                <w:color w:val="auto"/>
                <w:szCs w:val="21"/>
                <w:highlight w:val="none"/>
                <w:lang w:val="en-GB"/>
              </w:rPr>
              <w:t>序号</w:t>
            </w:r>
          </w:p>
        </w:tc>
        <w:tc>
          <w:tcPr>
            <w:tcW w:w="1246" w:type="pct"/>
            <w:vAlign w:val="center"/>
          </w:tcPr>
          <w:p w14:paraId="0799A282">
            <w:pPr>
              <w:tabs>
                <w:tab w:val="left" w:pos="1260"/>
              </w:tabs>
              <w:ind w:left="-53" w:leftChars="-25" w:right="-53" w:rightChars="-25"/>
              <w:jc w:val="center"/>
              <w:rPr>
                <w:rFonts w:hint="eastAsia" w:ascii="黑体" w:hAnsi="黑体" w:eastAsia="黑体" w:cs="黑体"/>
                <w:color w:val="auto"/>
                <w:szCs w:val="21"/>
                <w:highlight w:val="none"/>
                <w:lang w:val="en-GB"/>
              </w:rPr>
            </w:pPr>
            <w:r>
              <w:rPr>
                <w:rFonts w:hint="eastAsia" w:ascii="黑体" w:hAnsi="黑体" w:eastAsia="黑体" w:cs="黑体"/>
                <w:color w:val="auto"/>
                <w:szCs w:val="21"/>
                <w:highlight w:val="none"/>
                <w:lang w:val="en-GB"/>
              </w:rPr>
              <w:t>主要产品/技术名称</w:t>
            </w:r>
          </w:p>
          <w:p w14:paraId="2BFC15BE">
            <w:pPr>
              <w:tabs>
                <w:tab w:val="left" w:pos="1260"/>
              </w:tabs>
              <w:ind w:left="-53" w:leftChars="-25" w:right="-53" w:rightChars="-25"/>
              <w:jc w:val="center"/>
              <w:rPr>
                <w:rFonts w:hint="eastAsia" w:ascii="黑体" w:hAnsi="黑体" w:eastAsia="黑体" w:cs="黑体"/>
                <w:color w:val="auto"/>
                <w:szCs w:val="21"/>
                <w:highlight w:val="none"/>
                <w:lang w:val="en-GB"/>
              </w:rPr>
            </w:pPr>
            <w:r>
              <w:rPr>
                <w:rFonts w:hint="eastAsia" w:ascii="黑体" w:hAnsi="黑体" w:eastAsia="黑体" w:cs="黑体"/>
                <w:color w:val="auto"/>
                <w:spacing w:val="-6"/>
                <w:szCs w:val="21"/>
                <w:highlight w:val="none"/>
                <w:lang w:val="en-GB"/>
              </w:rPr>
              <w:t>(规格型号、注册商标)</w:t>
            </w:r>
          </w:p>
        </w:tc>
        <w:tc>
          <w:tcPr>
            <w:tcW w:w="582" w:type="pct"/>
            <w:vAlign w:val="center"/>
          </w:tcPr>
          <w:p w14:paraId="00DADC90">
            <w:pPr>
              <w:tabs>
                <w:tab w:val="left" w:pos="1260"/>
              </w:tabs>
              <w:ind w:left="-53" w:leftChars="-25" w:right="-53" w:rightChars="-25"/>
              <w:jc w:val="center"/>
              <w:rPr>
                <w:rFonts w:hint="eastAsia" w:ascii="黑体" w:hAnsi="黑体" w:eastAsia="黑体" w:cs="黑体"/>
                <w:color w:val="auto"/>
                <w:szCs w:val="21"/>
                <w:highlight w:val="none"/>
                <w:lang w:val="en-GB"/>
              </w:rPr>
            </w:pPr>
            <w:r>
              <w:rPr>
                <w:rFonts w:hint="eastAsia" w:ascii="黑体" w:hAnsi="黑体" w:eastAsia="黑体" w:cs="黑体"/>
                <w:color w:val="auto"/>
                <w:szCs w:val="21"/>
                <w:highlight w:val="none"/>
                <w:lang w:val="en-GB"/>
              </w:rPr>
              <w:t>制造商</w:t>
            </w:r>
            <w:r>
              <w:rPr>
                <w:rFonts w:hint="eastAsia" w:ascii="黑体" w:hAnsi="黑体" w:eastAsia="黑体" w:cs="黑体"/>
                <w:color w:val="auto"/>
                <w:szCs w:val="21"/>
                <w:highlight w:val="none"/>
                <w:lang w:val="en-GB"/>
              </w:rPr>
              <w:br w:type="textWrapping"/>
            </w:r>
            <w:r>
              <w:rPr>
                <w:rFonts w:hint="eastAsia" w:ascii="黑体" w:hAnsi="黑体" w:eastAsia="黑体" w:cs="黑体"/>
                <w:color w:val="auto"/>
                <w:spacing w:val="-6"/>
                <w:szCs w:val="21"/>
                <w:highlight w:val="none"/>
                <w:lang w:val="en-GB"/>
              </w:rPr>
              <w:t>(开发商)</w:t>
            </w:r>
          </w:p>
        </w:tc>
        <w:tc>
          <w:tcPr>
            <w:tcW w:w="583" w:type="pct"/>
            <w:vAlign w:val="center"/>
          </w:tcPr>
          <w:p w14:paraId="674C3F2D">
            <w:pPr>
              <w:tabs>
                <w:tab w:val="left" w:pos="1260"/>
              </w:tabs>
              <w:ind w:left="-53" w:leftChars="-25" w:right="-53" w:rightChars="-25"/>
              <w:jc w:val="center"/>
              <w:rPr>
                <w:rFonts w:hint="eastAsia" w:ascii="黑体" w:hAnsi="黑体" w:eastAsia="黑体" w:cs="黑体"/>
                <w:color w:val="auto"/>
                <w:szCs w:val="21"/>
                <w:highlight w:val="none"/>
                <w:lang w:val="en-GB"/>
              </w:rPr>
            </w:pPr>
            <w:r>
              <w:rPr>
                <w:rFonts w:hint="eastAsia" w:ascii="黑体" w:hAnsi="黑体" w:eastAsia="黑体" w:cs="黑体"/>
                <w:color w:val="auto"/>
                <w:szCs w:val="21"/>
                <w:highlight w:val="none"/>
                <w:lang w:val="en-GB"/>
              </w:rPr>
              <w:t>制造商</w:t>
            </w:r>
            <w:r>
              <w:rPr>
                <w:rFonts w:hint="eastAsia" w:ascii="黑体" w:hAnsi="黑体" w:eastAsia="黑体" w:cs="黑体"/>
                <w:color w:val="auto"/>
                <w:szCs w:val="21"/>
                <w:highlight w:val="none"/>
                <w:lang w:val="en-GB"/>
              </w:rPr>
              <w:br w:type="textWrapping"/>
            </w:r>
            <w:r>
              <w:rPr>
                <w:rFonts w:hint="eastAsia" w:ascii="黑体" w:hAnsi="黑体" w:eastAsia="黑体" w:cs="黑体"/>
                <w:color w:val="auto"/>
                <w:spacing w:val="-8"/>
                <w:szCs w:val="21"/>
                <w:highlight w:val="none"/>
                <w:lang w:val="en-GB"/>
              </w:rPr>
              <w:t>企业类型</w:t>
            </w:r>
          </w:p>
        </w:tc>
        <w:tc>
          <w:tcPr>
            <w:tcW w:w="418" w:type="pct"/>
            <w:vAlign w:val="center"/>
          </w:tcPr>
          <w:p w14:paraId="73208A65">
            <w:pPr>
              <w:tabs>
                <w:tab w:val="left" w:pos="1260"/>
              </w:tabs>
              <w:ind w:left="-53" w:leftChars="-25" w:right="-53" w:rightChars="-25"/>
              <w:jc w:val="center"/>
              <w:rPr>
                <w:rFonts w:hint="eastAsia" w:ascii="黑体" w:hAnsi="黑体" w:eastAsia="黑体" w:cs="黑体"/>
                <w:color w:val="auto"/>
                <w:szCs w:val="21"/>
                <w:highlight w:val="none"/>
                <w:lang w:val="en-GB"/>
              </w:rPr>
            </w:pPr>
            <w:r>
              <w:rPr>
                <w:rFonts w:hint="eastAsia" w:ascii="黑体" w:hAnsi="黑体" w:eastAsia="黑体" w:cs="黑体"/>
                <w:color w:val="auto"/>
                <w:szCs w:val="21"/>
                <w:highlight w:val="none"/>
                <w:lang w:val="en-GB"/>
              </w:rPr>
              <w:t>节能</w:t>
            </w:r>
            <w:r>
              <w:rPr>
                <w:rFonts w:hint="eastAsia" w:ascii="黑体" w:hAnsi="黑体" w:eastAsia="黑体" w:cs="黑体"/>
                <w:color w:val="auto"/>
                <w:szCs w:val="21"/>
                <w:highlight w:val="none"/>
                <w:lang w:val="en-GB"/>
              </w:rPr>
              <w:br w:type="textWrapping"/>
            </w:r>
            <w:r>
              <w:rPr>
                <w:rFonts w:hint="eastAsia" w:ascii="黑体" w:hAnsi="黑体" w:eastAsia="黑体" w:cs="黑体"/>
                <w:color w:val="auto"/>
                <w:szCs w:val="21"/>
                <w:highlight w:val="none"/>
                <w:lang w:val="en-GB"/>
              </w:rPr>
              <w:t>产品</w:t>
            </w:r>
          </w:p>
        </w:tc>
        <w:tc>
          <w:tcPr>
            <w:tcW w:w="500" w:type="pct"/>
            <w:vAlign w:val="center"/>
          </w:tcPr>
          <w:p w14:paraId="426A4352">
            <w:pPr>
              <w:tabs>
                <w:tab w:val="left" w:pos="1260"/>
              </w:tabs>
              <w:ind w:left="-53" w:leftChars="-25" w:right="-53" w:rightChars="-25"/>
              <w:jc w:val="center"/>
              <w:rPr>
                <w:rFonts w:hint="eastAsia" w:ascii="黑体" w:hAnsi="黑体" w:eastAsia="黑体" w:cs="黑体"/>
                <w:color w:val="auto"/>
                <w:szCs w:val="21"/>
                <w:highlight w:val="none"/>
                <w:lang w:val="en-GB"/>
              </w:rPr>
            </w:pPr>
            <w:r>
              <w:rPr>
                <w:rFonts w:hint="eastAsia" w:ascii="黑体" w:hAnsi="黑体" w:eastAsia="黑体" w:cs="黑体"/>
                <w:color w:val="auto"/>
                <w:szCs w:val="21"/>
                <w:highlight w:val="none"/>
                <w:lang w:val="en-GB"/>
              </w:rPr>
              <w:t>环保标</w:t>
            </w:r>
          </w:p>
          <w:p w14:paraId="01A579BC">
            <w:pPr>
              <w:tabs>
                <w:tab w:val="left" w:pos="1260"/>
              </w:tabs>
              <w:ind w:left="-53" w:leftChars="-25" w:right="-53" w:rightChars="-25"/>
              <w:jc w:val="center"/>
              <w:rPr>
                <w:rFonts w:hint="eastAsia" w:ascii="黑体" w:hAnsi="黑体" w:eastAsia="黑体" w:cs="黑体"/>
                <w:color w:val="auto"/>
                <w:szCs w:val="21"/>
                <w:highlight w:val="none"/>
                <w:lang w:val="en-GB"/>
              </w:rPr>
            </w:pPr>
            <w:r>
              <w:rPr>
                <w:rFonts w:hint="eastAsia" w:ascii="黑体" w:hAnsi="黑体" w:eastAsia="黑体" w:cs="黑体"/>
                <w:color w:val="auto"/>
                <w:szCs w:val="21"/>
                <w:highlight w:val="none"/>
                <w:lang w:val="en-GB"/>
              </w:rPr>
              <w:t>志产品</w:t>
            </w:r>
          </w:p>
        </w:tc>
        <w:tc>
          <w:tcPr>
            <w:tcW w:w="495" w:type="pct"/>
            <w:vAlign w:val="center"/>
          </w:tcPr>
          <w:p w14:paraId="443BC5B6">
            <w:pPr>
              <w:tabs>
                <w:tab w:val="left" w:pos="1260"/>
              </w:tabs>
              <w:ind w:left="-53" w:leftChars="-25" w:right="-53" w:rightChars="-25"/>
              <w:jc w:val="center"/>
              <w:rPr>
                <w:rFonts w:hint="eastAsia" w:ascii="黑体" w:hAnsi="黑体" w:eastAsia="黑体" w:cs="黑体"/>
                <w:color w:val="auto"/>
                <w:szCs w:val="21"/>
                <w:highlight w:val="none"/>
                <w:lang w:val="en-GB"/>
              </w:rPr>
            </w:pPr>
            <w:r>
              <w:rPr>
                <w:rFonts w:hint="eastAsia" w:ascii="黑体" w:hAnsi="黑体" w:eastAsia="黑体" w:cs="黑体"/>
                <w:color w:val="auto"/>
                <w:szCs w:val="21"/>
                <w:highlight w:val="none"/>
                <w:lang w:val="en-GB"/>
              </w:rPr>
              <w:t>认证证</w:t>
            </w:r>
          </w:p>
          <w:p w14:paraId="441CBB99">
            <w:pPr>
              <w:tabs>
                <w:tab w:val="left" w:pos="1260"/>
              </w:tabs>
              <w:ind w:left="-53" w:leftChars="-25" w:right="-53" w:rightChars="-25"/>
              <w:jc w:val="center"/>
              <w:rPr>
                <w:rFonts w:hint="eastAsia" w:ascii="黑体" w:hAnsi="黑体" w:eastAsia="黑体" w:cs="黑体"/>
                <w:color w:val="auto"/>
                <w:szCs w:val="21"/>
                <w:highlight w:val="none"/>
                <w:lang w:val="en-GB"/>
              </w:rPr>
            </w:pPr>
            <w:r>
              <w:rPr>
                <w:rFonts w:hint="eastAsia" w:ascii="黑体" w:hAnsi="黑体" w:eastAsia="黑体" w:cs="黑体"/>
                <w:color w:val="auto"/>
                <w:szCs w:val="21"/>
                <w:highlight w:val="none"/>
                <w:lang w:val="en-GB"/>
              </w:rPr>
              <w:t>书编号</w:t>
            </w:r>
          </w:p>
        </w:tc>
        <w:tc>
          <w:tcPr>
            <w:tcW w:w="946" w:type="pct"/>
            <w:vAlign w:val="center"/>
          </w:tcPr>
          <w:p w14:paraId="1D55B1C7">
            <w:pPr>
              <w:tabs>
                <w:tab w:val="left" w:pos="1260"/>
              </w:tabs>
              <w:ind w:left="-53" w:leftChars="-25" w:right="-53" w:rightChars="-25"/>
              <w:jc w:val="center"/>
              <w:rPr>
                <w:rFonts w:hint="eastAsia" w:ascii="黑体" w:hAnsi="黑体" w:eastAsia="黑体" w:cs="黑体"/>
                <w:color w:val="auto"/>
                <w:szCs w:val="21"/>
                <w:highlight w:val="none"/>
                <w:lang w:val="en-GB"/>
              </w:rPr>
            </w:pPr>
            <w:r>
              <w:rPr>
                <w:rFonts w:hint="eastAsia" w:ascii="黑体" w:hAnsi="黑体" w:eastAsia="黑体" w:cs="黑体"/>
                <w:color w:val="auto"/>
                <w:szCs w:val="21"/>
                <w:highlight w:val="none"/>
                <w:lang w:val="en-GB"/>
              </w:rPr>
              <w:t>该产品报价在总报价中占比(%)</w:t>
            </w:r>
          </w:p>
        </w:tc>
      </w:tr>
      <w:tr w14:paraId="22804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30" w:type="pct"/>
            <w:vAlign w:val="center"/>
          </w:tcPr>
          <w:p w14:paraId="2754DE74">
            <w:pPr>
              <w:tabs>
                <w:tab w:val="left" w:pos="1260"/>
              </w:tabs>
              <w:ind w:left="-53" w:leftChars="-25" w:right="-53" w:rightChars="-25"/>
              <w:jc w:val="center"/>
              <w:rPr>
                <w:rFonts w:hint="eastAsia" w:ascii="黑体" w:hAnsi="黑体" w:eastAsia="黑体" w:cs="黑体"/>
                <w:color w:val="auto"/>
                <w:szCs w:val="21"/>
                <w:highlight w:val="none"/>
                <w:lang w:val="en-GB"/>
              </w:rPr>
            </w:pPr>
            <w:r>
              <w:rPr>
                <w:rFonts w:hint="eastAsia" w:ascii="黑体" w:hAnsi="黑体" w:eastAsia="黑体" w:cs="黑体"/>
                <w:color w:val="auto"/>
                <w:szCs w:val="21"/>
                <w:highlight w:val="none"/>
                <w:lang w:val="en-GB"/>
              </w:rPr>
              <w:t>1</w:t>
            </w:r>
          </w:p>
        </w:tc>
        <w:tc>
          <w:tcPr>
            <w:tcW w:w="1246" w:type="pct"/>
            <w:vAlign w:val="center"/>
          </w:tcPr>
          <w:p w14:paraId="7DE6BF36">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582" w:type="pct"/>
            <w:vAlign w:val="center"/>
          </w:tcPr>
          <w:p w14:paraId="184267DE">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583" w:type="pct"/>
            <w:vAlign w:val="center"/>
          </w:tcPr>
          <w:p w14:paraId="46975CD5">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418" w:type="pct"/>
            <w:vAlign w:val="center"/>
          </w:tcPr>
          <w:p w14:paraId="37D11F29">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500" w:type="pct"/>
            <w:vAlign w:val="center"/>
          </w:tcPr>
          <w:p w14:paraId="6CA5422E">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495" w:type="pct"/>
            <w:vAlign w:val="center"/>
          </w:tcPr>
          <w:p w14:paraId="1AE8DA32">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946" w:type="pct"/>
            <w:vAlign w:val="center"/>
          </w:tcPr>
          <w:p w14:paraId="720770D3">
            <w:pPr>
              <w:tabs>
                <w:tab w:val="left" w:pos="1260"/>
              </w:tabs>
              <w:ind w:left="-53" w:leftChars="-25" w:right="-53" w:rightChars="-25"/>
              <w:jc w:val="center"/>
              <w:rPr>
                <w:rFonts w:hint="eastAsia" w:ascii="黑体" w:hAnsi="黑体" w:eastAsia="黑体" w:cs="黑体"/>
                <w:color w:val="auto"/>
                <w:szCs w:val="21"/>
                <w:highlight w:val="none"/>
                <w:lang w:val="en-GB"/>
              </w:rPr>
            </w:pPr>
          </w:p>
        </w:tc>
      </w:tr>
      <w:tr w14:paraId="65537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30" w:type="pct"/>
            <w:vAlign w:val="center"/>
          </w:tcPr>
          <w:p w14:paraId="2DF6A98C">
            <w:pPr>
              <w:tabs>
                <w:tab w:val="left" w:pos="1260"/>
              </w:tabs>
              <w:ind w:left="-53" w:leftChars="-25" w:right="-53" w:rightChars="-25"/>
              <w:jc w:val="center"/>
              <w:rPr>
                <w:rFonts w:hint="eastAsia" w:ascii="黑体" w:hAnsi="黑体" w:eastAsia="黑体" w:cs="黑体"/>
                <w:color w:val="auto"/>
                <w:szCs w:val="21"/>
                <w:highlight w:val="none"/>
                <w:lang w:val="en-GB"/>
              </w:rPr>
            </w:pPr>
            <w:r>
              <w:rPr>
                <w:rFonts w:hint="eastAsia" w:ascii="黑体" w:hAnsi="黑体" w:eastAsia="黑体" w:cs="黑体"/>
                <w:color w:val="auto"/>
                <w:szCs w:val="21"/>
                <w:highlight w:val="none"/>
                <w:lang w:val="en-GB"/>
              </w:rPr>
              <w:t>2</w:t>
            </w:r>
          </w:p>
        </w:tc>
        <w:tc>
          <w:tcPr>
            <w:tcW w:w="1246" w:type="pct"/>
            <w:vAlign w:val="center"/>
          </w:tcPr>
          <w:p w14:paraId="6AD3313B">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582" w:type="pct"/>
            <w:vAlign w:val="center"/>
          </w:tcPr>
          <w:p w14:paraId="43148850">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583" w:type="pct"/>
            <w:vAlign w:val="center"/>
          </w:tcPr>
          <w:p w14:paraId="05BE43DA">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418" w:type="pct"/>
            <w:vAlign w:val="center"/>
          </w:tcPr>
          <w:p w14:paraId="6F3DAD0D">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500" w:type="pct"/>
            <w:vAlign w:val="center"/>
          </w:tcPr>
          <w:p w14:paraId="2C24C808">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495" w:type="pct"/>
            <w:vAlign w:val="center"/>
          </w:tcPr>
          <w:p w14:paraId="1A1A9B92">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946" w:type="pct"/>
            <w:vAlign w:val="center"/>
          </w:tcPr>
          <w:p w14:paraId="09CF0084">
            <w:pPr>
              <w:tabs>
                <w:tab w:val="left" w:pos="1260"/>
              </w:tabs>
              <w:ind w:left="-53" w:leftChars="-25" w:right="-53" w:rightChars="-25"/>
              <w:jc w:val="center"/>
              <w:rPr>
                <w:rFonts w:hint="eastAsia" w:ascii="黑体" w:hAnsi="黑体" w:eastAsia="黑体" w:cs="黑体"/>
                <w:color w:val="auto"/>
                <w:szCs w:val="21"/>
                <w:highlight w:val="none"/>
                <w:lang w:val="en-GB"/>
              </w:rPr>
            </w:pPr>
          </w:p>
        </w:tc>
      </w:tr>
      <w:tr w14:paraId="03619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30" w:type="pct"/>
            <w:vAlign w:val="center"/>
          </w:tcPr>
          <w:p w14:paraId="4F2BB733">
            <w:pPr>
              <w:tabs>
                <w:tab w:val="left" w:pos="1260"/>
              </w:tabs>
              <w:ind w:left="-53" w:leftChars="-25" w:right="-53" w:rightChars="-25"/>
              <w:jc w:val="center"/>
              <w:rPr>
                <w:rFonts w:hint="eastAsia" w:ascii="黑体" w:hAnsi="黑体" w:eastAsia="黑体" w:cs="黑体"/>
                <w:color w:val="auto"/>
                <w:szCs w:val="21"/>
                <w:highlight w:val="none"/>
                <w:lang w:val="en-GB"/>
              </w:rPr>
            </w:pPr>
            <w:r>
              <w:rPr>
                <w:rFonts w:hint="eastAsia" w:ascii="黑体" w:hAnsi="黑体" w:eastAsia="黑体" w:cs="黑体"/>
                <w:color w:val="auto"/>
                <w:szCs w:val="21"/>
                <w:highlight w:val="none"/>
                <w:lang w:val="en-GB"/>
              </w:rPr>
              <w:t>3</w:t>
            </w:r>
          </w:p>
        </w:tc>
        <w:tc>
          <w:tcPr>
            <w:tcW w:w="1246" w:type="pct"/>
            <w:vAlign w:val="center"/>
          </w:tcPr>
          <w:p w14:paraId="5B200BA6">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582" w:type="pct"/>
            <w:vAlign w:val="center"/>
          </w:tcPr>
          <w:p w14:paraId="776BBD43">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583" w:type="pct"/>
            <w:vAlign w:val="center"/>
          </w:tcPr>
          <w:p w14:paraId="7B48AAFF">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418" w:type="pct"/>
            <w:vAlign w:val="center"/>
          </w:tcPr>
          <w:p w14:paraId="2DD4FBFD">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500" w:type="pct"/>
            <w:vAlign w:val="center"/>
          </w:tcPr>
          <w:p w14:paraId="5ED3DC6B">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495" w:type="pct"/>
            <w:vAlign w:val="center"/>
          </w:tcPr>
          <w:p w14:paraId="00BBE7F7">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946" w:type="pct"/>
            <w:vAlign w:val="center"/>
          </w:tcPr>
          <w:p w14:paraId="43BEA235">
            <w:pPr>
              <w:tabs>
                <w:tab w:val="left" w:pos="1260"/>
              </w:tabs>
              <w:ind w:left="-53" w:leftChars="-25" w:right="-53" w:rightChars="-25"/>
              <w:jc w:val="center"/>
              <w:rPr>
                <w:rFonts w:hint="eastAsia" w:ascii="黑体" w:hAnsi="黑体" w:eastAsia="黑体" w:cs="黑体"/>
                <w:color w:val="auto"/>
                <w:szCs w:val="21"/>
                <w:highlight w:val="none"/>
                <w:lang w:val="en-GB"/>
              </w:rPr>
            </w:pPr>
          </w:p>
        </w:tc>
      </w:tr>
      <w:tr w14:paraId="5BC97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30" w:type="pct"/>
            <w:vAlign w:val="center"/>
          </w:tcPr>
          <w:p w14:paraId="52CE14F3">
            <w:pPr>
              <w:tabs>
                <w:tab w:val="left" w:pos="1260"/>
              </w:tabs>
              <w:ind w:left="-53" w:leftChars="-25" w:right="-53" w:rightChars="-25"/>
              <w:jc w:val="center"/>
              <w:rPr>
                <w:rFonts w:hint="eastAsia" w:ascii="黑体" w:hAnsi="黑体" w:eastAsia="黑体" w:cs="黑体"/>
                <w:color w:val="auto"/>
                <w:szCs w:val="21"/>
                <w:highlight w:val="none"/>
                <w:lang w:val="en-GB"/>
              </w:rPr>
            </w:pPr>
            <w:r>
              <w:rPr>
                <w:rFonts w:hint="eastAsia" w:ascii="黑体" w:hAnsi="黑体" w:eastAsia="黑体" w:cs="黑体"/>
                <w:color w:val="auto"/>
                <w:szCs w:val="21"/>
                <w:highlight w:val="none"/>
                <w:lang w:val="en-GB"/>
              </w:rPr>
              <w:t>4</w:t>
            </w:r>
          </w:p>
        </w:tc>
        <w:tc>
          <w:tcPr>
            <w:tcW w:w="1246" w:type="pct"/>
            <w:vAlign w:val="center"/>
          </w:tcPr>
          <w:p w14:paraId="47069AD9">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582" w:type="pct"/>
            <w:vAlign w:val="center"/>
          </w:tcPr>
          <w:p w14:paraId="636F583D">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583" w:type="pct"/>
            <w:vAlign w:val="center"/>
          </w:tcPr>
          <w:p w14:paraId="4198FB18">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418" w:type="pct"/>
            <w:vAlign w:val="center"/>
          </w:tcPr>
          <w:p w14:paraId="24E5A6E1">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500" w:type="pct"/>
            <w:vAlign w:val="center"/>
          </w:tcPr>
          <w:p w14:paraId="193FD371">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495" w:type="pct"/>
            <w:vAlign w:val="center"/>
          </w:tcPr>
          <w:p w14:paraId="409F5763">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946" w:type="pct"/>
            <w:vAlign w:val="center"/>
          </w:tcPr>
          <w:p w14:paraId="3BE859CA">
            <w:pPr>
              <w:tabs>
                <w:tab w:val="left" w:pos="1260"/>
              </w:tabs>
              <w:ind w:left="-53" w:leftChars="-25" w:right="-53" w:rightChars="-25"/>
              <w:jc w:val="center"/>
              <w:rPr>
                <w:rFonts w:hint="eastAsia" w:ascii="黑体" w:hAnsi="黑体" w:eastAsia="黑体" w:cs="黑体"/>
                <w:color w:val="auto"/>
                <w:szCs w:val="21"/>
                <w:highlight w:val="none"/>
                <w:lang w:val="en-GB"/>
              </w:rPr>
            </w:pPr>
          </w:p>
        </w:tc>
      </w:tr>
      <w:tr w14:paraId="3A5BE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30" w:type="pct"/>
            <w:vAlign w:val="center"/>
          </w:tcPr>
          <w:p w14:paraId="5B2618BF">
            <w:pPr>
              <w:tabs>
                <w:tab w:val="left" w:pos="1260"/>
              </w:tabs>
              <w:ind w:left="-53" w:leftChars="-25" w:right="-53" w:rightChars="-25"/>
              <w:jc w:val="center"/>
              <w:rPr>
                <w:rFonts w:hint="eastAsia" w:ascii="黑体" w:hAnsi="黑体" w:eastAsia="黑体" w:cs="黑体"/>
                <w:color w:val="auto"/>
                <w:szCs w:val="21"/>
                <w:highlight w:val="none"/>
                <w:lang w:val="en-GB"/>
              </w:rPr>
            </w:pPr>
            <w:r>
              <w:rPr>
                <w:rFonts w:hint="eastAsia" w:ascii="黑体" w:hAnsi="黑体" w:eastAsia="黑体" w:cs="黑体"/>
                <w:color w:val="auto"/>
                <w:szCs w:val="21"/>
                <w:highlight w:val="none"/>
                <w:lang w:val="en-GB"/>
              </w:rPr>
              <w:t>5</w:t>
            </w:r>
          </w:p>
        </w:tc>
        <w:tc>
          <w:tcPr>
            <w:tcW w:w="1246" w:type="pct"/>
            <w:vAlign w:val="center"/>
          </w:tcPr>
          <w:p w14:paraId="5F904A2D">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582" w:type="pct"/>
            <w:vAlign w:val="center"/>
          </w:tcPr>
          <w:p w14:paraId="3D7A84AD">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583" w:type="pct"/>
            <w:vAlign w:val="center"/>
          </w:tcPr>
          <w:p w14:paraId="2040C302">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418" w:type="pct"/>
            <w:vAlign w:val="center"/>
          </w:tcPr>
          <w:p w14:paraId="6F85D540">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500" w:type="pct"/>
            <w:vAlign w:val="center"/>
          </w:tcPr>
          <w:p w14:paraId="7C52FAEC">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495" w:type="pct"/>
            <w:vAlign w:val="center"/>
          </w:tcPr>
          <w:p w14:paraId="1671278C">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946" w:type="pct"/>
            <w:vAlign w:val="center"/>
          </w:tcPr>
          <w:p w14:paraId="0E06EA6C">
            <w:pPr>
              <w:tabs>
                <w:tab w:val="left" w:pos="1260"/>
              </w:tabs>
              <w:ind w:left="-53" w:leftChars="-25" w:right="-53" w:rightChars="-25"/>
              <w:jc w:val="center"/>
              <w:rPr>
                <w:rFonts w:hint="eastAsia" w:ascii="黑体" w:hAnsi="黑体" w:eastAsia="黑体" w:cs="黑体"/>
                <w:color w:val="auto"/>
                <w:szCs w:val="21"/>
                <w:highlight w:val="none"/>
                <w:lang w:val="en-GB"/>
              </w:rPr>
            </w:pPr>
          </w:p>
        </w:tc>
      </w:tr>
      <w:tr w14:paraId="0FD6A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30" w:type="pct"/>
            <w:vAlign w:val="center"/>
          </w:tcPr>
          <w:p w14:paraId="7389FE77">
            <w:pPr>
              <w:tabs>
                <w:tab w:val="left" w:pos="1260"/>
              </w:tabs>
              <w:ind w:left="-53" w:leftChars="-25" w:right="-53" w:rightChars="-25"/>
              <w:jc w:val="center"/>
              <w:rPr>
                <w:rFonts w:hint="eastAsia" w:ascii="黑体" w:hAnsi="黑体" w:eastAsia="黑体" w:cs="黑体"/>
                <w:color w:val="auto"/>
                <w:szCs w:val="21"/>
                <w:highlight w:val="none"/>
                <w:lang w:val="en-GB"/>
              </w:rPr>
            </w:pPr>
            <w:r>
              <w:rPr>
                <w:rFonts w:hint="eastAsia" w:ascii="黑体" w:hAnsi="黑体" w:eastAsia="黑体" w:cs="黑体"/>
                <w:color w:val="auto"/>
                <w:szCs w:val="21"/>
                <w:highlight w:val="none"/>
                <w:lang w:val="en-GB"/>
              </w:rPr>
              <w:t>…</w:t>
            </w:r>
          </w:p>
        </w:tc>
        <w:tc>
          <w:tcPr>
            <w:tcW w:w="1246" w:type="pct"/>
            <w:vAlign w:val="center"/>
          </w:tcPr>
          <w:p w14:paraId="0FF41884">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582" w:type="pct"/>
            <w:vAlign w:val="center"/>
          </w:tcPr>
          <w:p w14:paraId="225D280B">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583" w:type="pct"/>
            <w:vAlign w:val="center"/>
          </w:tcPr>
          <w:p w14:paraId="6AD5E84A">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418" w:type="pct"/>
            <w:vAlign w:val="center"/>
          </w:tcPr>
          <w:p w14:paraId="2B3D44DD">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500" w:type="pct"/>
            <w:vAlign w:val="center"/>
          </w:tcPr>
          <w:p w14:paraId="68878E00">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495" w:type="pct"/>
            <w:vAlign w:val="center"/>
          </w:tcPr>
          <w:p w14:paraId="335F8D49">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946" w:type="pct"/>
            <w:vAlign w:val="center"/>
          </w:tcPr>
          <w:p w14:paraId="73BC09F3">
            <w:pPr>
              <w:tabs>
                <w:tab w:val="left" w:pos="1260"/>
              </w:tabs>
              <w:ind w:left="-53" w:leftChars="-25" w:right="-53" w:rightChars="-25"/>
              <w:jc w:val="center"/>
              <w:rPr>
                <w:rFonts w:hint="eastAsia" w:ascii="黑体" w:hAnsi="黑体" w:eastAsia="黑体" w:cs="黑体"/>
                <w:color w:val="auto"/>
                <w:szCs w:val="21"/>
                <w:highlight w:val="none"/>
                <w:lang w:val="en-GB"/>
              </w:rPr>
            </w:pPr>
          </w:p>
        </w:tc>
      </w:tr>
    </w:tbl>
    <w:p w14:paraId="38C682A3">
      <w:pPr>
        <w:spacing w:before="156" w:beforeLines="50" w:line="360" w:lineRule="auto"/>
        <w:rPr>
          <w:rFonts w:hint="eastAsia" w:ascii="黑体" w:hAnsi="黑体" w:eastAsia="黑体" w:cs="黑体"/>
          <w:bCs/>
          <w:color w:val="auto"/>
          <w:szCs w:val="21"/>
          <w:highlight w:val="none"/>
          <w:lang w:val="en-GB"/>
        </w:rPr>
      </w:pPr>
      <w:r>
        <w:rPr>
          <w:rFonts w:hint="eastAsia" w:ascii="黑体" w:hAnsi="黑体" w:eastAsia="黑体" w:cs="黑体"/>
          <w:bCs/>
          <w:color w:val="auto"/>
          <w:szCs w:val="21"/>
          <w:highlight w:val="none"/>
          <w:lang w:val="en-GB"/>
        </w:rPr>
        <w:t>注明：</w:t>
      </w:r>
    </w:p>
    <w:p w14:paraId="328E7DFC">
      <w:pPr>
        <w:pStyle w:val="29"/>
        <w:numPr>
          <w:ilvl w:val="0"/>
          <w:numId w:val="89"/>
        </w:numPr>
        <w:spacing w:line="360" w:lineRule="auto"/>
        <w:ind w:left="284" w:hanging="284" w:firstLineChars="0"/>
        <w:rPr>
          <w:rFonts w:hint="eastAsia" w:ascii="黑体" w:hAnsi="黑体" w:eastAsia="黑体" w:cs="黑体"/>
          <w:bCs/>
          <w:color w:val="auto"/>
          <w:szCs w:val="21"/>
          <w:highlight w:val="none"/>
          <w:lang w:val="en-GB"/>
        </w:rPr>
      </w:pPr>
      <w:r>
        <w:rPr>
          <w:rFonts w:hint="eastAsia" w:ascii="黑体" w:hAnsi="黑体" w:eastAsia="黑体" w:cs="黑体"/>
          <w:bCs/>
          <w:color w:val="auto"/>
          <w:szCs w:val="21"/>
          <w:highlight w:val="none"/>
          <w:lang w:val="en-GB"/>
        </w:rPr>
        <w:t>制造商为小型或微型企业时才需要填“制造商企业类型”栏，填写内容为“小型”或“微型”；</w:t>
      </w:r>
    </w:p>
    <w:p w14:paraId="1F83ED10">
      <w:pPr>
        <w:pStyle w:val="29"/>
        <w:numPr>
          <w:ilvl w:val="0"/>
          <w:numId w:val="89"/>
        </w:numPr>
        <w:tabs>
          <w:tab w:val="left" w:pos="142"/>
        </w:tabs>
        <w:spacing w:line="360" w:lineRule="auto"/>
        <w:ind w:left="272" w:leftChars="-1" w:hanging="274" w:hangingChars="136"/>
        <w:rPr>
          <w:rFonts w:hint="eastAsia" w:ascii="黑体" w:hAnsi="黑体" w:eastAsia="黑体" w:cs="黑体"/>
          <w:bCs/>
          <w:color w:val="auto"/>
          <w:spacing w:val="-4"/>
          <w:szCs w:val="21"/>
          <w:highlight w:val="none"/>
          <w:lang w:val="en-GB"/>
        </w:rPr>
      </w:pPr>
      <w:r>
        <w:rPr>
          <w:rFonts w:hint="eastAsia" w:ascii="黑体" w:hAnsi="黑体" w:eastAsia="黑体" w:cs="黑体"/>
          <w:bCs/>
          <w:color w:val="auto"/>
          <w:spacing w:val="-4"/>
          <w:szCs w:val="21"/>
          <w:highlight w:val="none"/>
          <w:lang w:val="en-GB"/>
        </w:rPr>
        <w:t>节能产品须填写认证证书编号，并提供投标产品的节能产品认证证书复印件加盖投标人公章；</w:t>
      </w:r>
    </w:p>
    <w:p w14:paraId="232A415A">
      <w:pPr>
        <w:pStyle w:val="29"/>
        <w:numPr>
          <w:ilvl w:val="0"/>
          <w:numId w:val="89"/>
        </w:numPr>
        <w:spacing w:line="360" w:lineRule="auto"/>
        <w:ind w:left="284" w:hanging="284" w:firstLineChars="0"/>
        <w:rPr>
          <w:rFonts w:hint="eastAsia" w:ascii="黑体" w:hAnsi="黑体" w:eastAsia="黑体" w:cs="黑体"/>
          <w:bCs/>
          <w:color w:val="auto"/>
          <w:szCs w:val="21"/>
          <w:highlight w:val="none"/>
          <w:lang w:val="en-GB"/>
        </w:rPr>
      </w:pPr>
      <w:r>
        <w:rPr>
          <w:rFonts w:hint="eastAsia" w:ascii="黑体" w:hAnsi="黑体" w:eastAsia="黑体" w:cs="黑体"/>
          <w:bCs/>
          <w:color w:val="auto"/>
          <w:szCs w:val="21"/>
          <w:highlight w:val="none"/>
          <w:lang w:val="en-GB"/>
        </w:rPr>
        <w:t>环保标志产品须填写认证证书编号，并提供投标产品的环保标志产品认证证书复印件加盖投标人公章。</w:t>
      </w:r>
    </w:p>
    <w:p w14:paraId="2719D890">
      <w:pPr>
        <w:pStyle w:val="29"/>
        <w:numPr>
          <w:ilvl w:val="0"/>
          <w:numId w:val="89"/>
        </w:numPr>
        <w:spacing w:line="360" w:lineRule="auto"/>
        <w:ind w:left="284" w:hanging="284" w:firstLineChars="0"/>
        <w:rPr>
          <w:rFonts w:hint="eastAsia" w:ascii="黑体" w:hAnsi="黑体" w:eastAsia="黑体" w:cs="黑体"/>
          <w:bCs/>
          <w:color w:val="auto"/>
          <w:szCs w:val="21"/>
          <w:highlight w:val="none"/>
          <w:lang w:val="en-GB"/>
        </w:rPr>
      </w:pPr>
      <w:r>
        <w:rPr>
          <w:rFonts w:hint="eastAsia" w:ascii="黑体" w:hAnsi="黑体" w:eastAsia="黑体" w:cs="黑体"/>
          <w:bCs/>
          <w:color w:val="auto"/>
          <w:szCs w:val="21"/>
          <w:highlight w:val="none"/>
          <w:lang w:val="en-GB"/>
        </w:rPr>
        <w:t>以上证明资料未按要求提供或未提供完整的，视为未提供处理。</w:t>
      </w:r>
    </w:p>
    <w:p w14:paraId="2595CF00">
      <w:pPr>
        <w:spacing w:line="360" w:lineRule="auto"/>
        <w:rPr>
          <w:rFonts w:hint="eastAsia" w:ascii="黑体" w:hAnsi="黑体" w:eastAsia="黑体" w:cs="黑体"/>
          <w:bCs/>
          <w:color w:val="auto"/>
          <w:szCs w:val="21"/>
          <w:highlight w:val="none"/>
          <w:lang w:val="en-GB"/>
        </w:rPr>
      </w:pPr>
    </w:p>
    <w:tbl>
      <w:tblPr>
        <w:tblStyle w:val="19"/>
        <w:tblW w:w="0" w:type="auto"/>
        <w:tblInd w:w="0" w:type="dxa"/>
        <w:tblLayout w:type="autofit"/>
        <w:tblCellMar>
          <w:top w:w="0" w:type="dxa"/>
          <w:left w:w="108" w:type="dxa"/>
          <w:bottom w:w="0" w:type="dxa"/>
          <w:right w:w="108" w:type="dxa"/>
        </w:tblCellMar>
      </w:tblPr>
      <w:tblGrid>
        <w:gridCol w:w="5991"/>
        <w:gridCol w:w="2537"/>
      </w:tblGrid>
      <w:tr w14:paraId="38F163B5">
        <w:tc>
          <w:tcPr>
            <w:tcW w:w="5991" w:type="dxa"/>
            <w:shd w:val="clear" w:color="auto" w:fill="auto"/>
          </w:tcPr>
          <w:p w14:paraId="7F32FFCC">
            <w:pPr>
              <w:overflowPunct w:val="0"/>
              <w:adjustRightIn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 xml:space="preserve">投标人名称（加盖公章）： </w:t>
            </w:r>
            <w:r>
              <w:rPr>
                <w:rFonts w:hint="eastAsia" w:ascii="黑体" w:hAnsi="黑体" w:eastAsia="黑体" w:cs="黑体"/>
                <w:color w:val="auto"/>
                <w:szCs w:val="21"/>
                <w:highlight w:val="none"/>
                <w:u w:val="single"/>
              </w:rPr>
              <w:t xml:space="preserve">                        </w:t>
            </w:r>
          </w:p>
        </w:tc>
        <w:tc>
          <w:tcPr>
            <w:tcW w:w="2537" w:type="dxa"/>
            <w:shd w:val="clear" w:color="auto" w:fill="auto"/>
          </w:tcPr>
          <w:p w14:paraId="628C3C47">
            <w:pPr>
              <w:overflowPunct w:val="0"/>
              <w:adjustRightInd w:val="0"/>
              <w:spacing w:line="360" w:lineRule="auto"/>
              <w:rPr>
                <w:rFonts w:hint="eastAsia" w:ascii="黑体" w:hAnsi="黑体" w:eastAsia="黑体" w:cs="黑体"/>
                <w:color w:val="auto"/>
                <w:szCs w:val="21"/>
                <w:highlight w:val="none"/>
              </w:rPr>
            </w:pPr>
          </w:p>
        </w:tc>
      </w:tr>
      <w:tr w14:paraId="38AD4254">
        <w:tblPrEx>
          <w:tblCellMar>
            <w:top w:w="0" w:type="dxa"/>
            <w:left w:w="108" w:type="dxa"/>
            <w:bottom w:w="0" w:type="dxa"/>
            <w:right w:w="108" w:type="dxa"/>
          </w:tblCellMar>
        </w:tblPrEx>
        <w:tc>
          <w:tcPr>
            <w:tcW w:w="5991" w:type="dxa"/>
            <w:shd w:val="clear" w:color="auto" w:fill="auto"/>
          </w:tcPr>
          <w:p w14:paraId="1F8AF085">
            <w:pPr>
              <w:overflowPunct w:val="0"/>
              <w:adjustRightInd w:val="0"/>
              <w:spacing w:line="360" w:lineRule="auto"/>
              <w:rPr>
                <w:rFonts w:hint="eastAsia" w:ascii="黑体" w:hAnsi="黑体" w:eastAsia="黑体" w:cs="黑体"/>
                <w:color w:val="auto"/>
                <w:szCs w:val="21"/>
                <w:highlight w:val="none"/>
                <w:u w:val="single"/>
              </w:rPr>
            </w:pPr>
            <w:r>
              <w:rPr>
                <w:rFonts w:hint="eastAsia" w:ascii="黑体" w:hAnsi="黑体" w:eastAsia="黑体" w:cs="黑体"/>
                <w:color w:val="auto"/>
                <w:szCs w:val="21"/>
                <w:highlight w:val="none"/>
              </w:rPr>
              <w:t xml:space="preserve">日期： </w:t>
            </w:r>
            <w:r>
              <w:rPr>
                <w:rFonts w:hint="eastAsia" w:ascii="黑体" w:hAnsi="黑体" w:eastAsia="黑体" w:cs="黑体"/>
                <w:color w:val="auto"/>
                <w:szCs w:val="21"/>
                <w:highlight w:val="none"/>
                <w:u w:val="single"/>
              </w:rPr>
              <w:t xml:space="preserve">            年           月            日</w:t>
            </w:r>
          </w:p>
        </w:tc>
        <w:tc>
          <w:tcPr>
            <w:tcW w:w="2537" w:type="dxa"/>
            <w:shd w:val="clear" w:color="auto" w:fill="auto"/>
          </w:tcPr>
          <w:p w14:paraId="3039E905">
            <w:pPr>
              <w:overflowPunct w:val="0"/>
              <w:adjustRightInd w:val="0"/>
              <w:spacing w:line="360" w:lineRule="auto"/>
              <w:rPr>
                <w:rFonts w:hint="eastAsia" w:ascii="黑体" w:hAnsi="黑体" w:eastAsia="黑体" w:cs="黑体"/>
                <w:color w:val="auto"/>
                <w:szCs w:val="21"/>
                <w:highlight w:val="none"/>
                <w:u w:val="single"/>
              </w:rPr>
            </w:pPr>
          </w:p>
        </w:tc>
      </w:tr>
    </w:tbl>
    <w:p w14:paraId="15AA7177">
      <w:pPr>
        <w:tabs>
          <w:tab w:val="left" w:pos="1180"/>
        </w:tabs>
        <w:rPr>
          <w:rFonts w:hint="eastAsia" w:ascii="黑体" w:hAnsi="黑体" w:eastAsia="黑体" w:cs="黑体"/>
          <w:color w:val="auto"/>
          <w:sz w:val="28"/>
          <w:szCs w:val="28"/>
          <w:highlight w:val="none"/>
        </w:rPr>
      </w:pPr>
    </w:p>
    <w:p w14:paraId="04BAD4E2">
      <w:pPr>
        <w:pStyle w:val="35"/>
        <w:spacing w:before="156" w:beforeLines="50" w:line="360" w:lineRule="auto"/>
        <w:ind w:firstLine="0" w:firstLineChars="0"/>
        <w:rPr>
          <w:rFonts w:hint="eastAsia" w:ascii="黑体" w:hAnsi="黑体" w:eastAsia="黑体" w:cs="黑体"/>
          <w:b/>
          <w:color w:val="auto"/>
          <w:sz w:val="21"/>
          <w:szCs w:val="21"/>
          <w:highlight w:val="none"/>
        </w:rPr>
      </w:pPr>
    </w:p>
    <w:p w14:paraId="6CB78603">
      <w:pPr>
        <w:pStyle w:val="35"/>
        <w:spacing w:before="156" w:beforeLines="50" w:line="360" w:lineRule="auto"/>
        <w:ind w:firstLine="0" w:firstLineChars="0"/>
        <w:rPr>
          <w:rFonts w:hint="eastAsia" w:ascii="黑体" w:hAnsi="黑体" w:eastAsia="黑体" w:cs="黑体"/>
          <w:b/>
          <w:color w:val="auto"/>
          <w:sz w:val="21"/>
          <w:szCs w:val="21"/>
          <w:highlight w:val="none"/>
        </w:rPr>
      </w:pPr>
    </w:p>
    <w:p w14:paraId="588201BE">
      <w:pPr>
        <w:pStyle w:val="29"/>
        <w:pageBreakBefore/>
        <w:numPr>
          <w:ilvl w:val="0"/>
          <w:numId w:val="84"/>
        </w:numPr>
        <w:tabs>
          <w:tab w:val="left" w:pos="284"/>
          <w:tab w:val="left" w:pos="567"/>
          <w:tab w:val="left" w:pos="709"/>
        </w:tabs>
        <w:ind w:left="1679" w:hanging="1537" w:firstLineChars="0"/>
        <w:jc w:val="left"/>
        <w:rPr>
          <w:rFonts w:hint="eastAsia" w:ascii="黑体" w:hAnsi="黑体" w:eastAsia="黑体" w:cs="黑体"/>
          <w:b/>
          <w:bCs/>
          <w:color w:val="auto"/>
          <w:highlight w:val="none"/>
        </w:rPr>
      </w:pPr>
      <w:bookmarkStart w:id="78" w:name="_Toc405313961"/>
      <w:bookmarkStart w:id="79" w:name="_Toc391627757"/>
      <w:r>
        <w:rPr>
          <w:rFonts w:hint="eastAsia" w:ascii="黑体" w:hAnsi="黑体" w:eastAsia="黑体" w:cs="黑体"/>
          <w:b/>
          <w:bCs/>
          <w:color w:val="auto"/>
          <w:highlight w:val="none"/>
        </w:rPr>
        <w:t>投标函</w:t>
      </w:r>
      <w:bookmarkEnd w:id="78"/>
      <w:bookmarkEnd w:id="79"/>
    </w:p>
    <w:p w14:paraId="0E89C6DE">
      <w:pPr>
        <w:spacing w:before="156" w:beforeLines="50" w:after="156" w:afterLines="50" w:line="360" w:lineRule="auto"/>
        <w:jc w:val="center"/>
        <w:rPr>
          <w:rFonts w:hint="eastAsia" w:ascii="黑体" w:hAnsi="黑体" w:eastAsia="黑体" w:cs="黑体"/>
          <w:b/>
          <w:color w:val="auto"/>
          <w:spacing w:val="20"/>
          <w:sz w:val="30"/>
          <w:szCs w:val="30"/>
          <w:highlight w:val="none"/>
        </w:rPr>
      </w:pPr>
      <w:r>
        <w:rPr>
          <w:rFonts w:hint="eastAsia" w:ascii="黑体" w:hAnsi="黑体" w:eastAsia="黑体" w:cs="黑体"/>
          <w:b/>
          <w:color w:val="auto"/>
          <w:spacing w:val="20"/>
          <w:sz w:val="30"/>
          <w:szCs w:val="30"/>
          <w:highlight w:val="none"/>
        </w:rPr>
        <w:t>投标函</w:t>
      </w:r>
    </w:p>
    <w:p w14:paraId="569EFB41">
      <w:pPr>
        <w:spacing w:before="156" w:beforeLines="50" w:after="156" w:afterLines="50" w:line="360" w:lineRule="auto"/>
        <w:rPr>
          <w:rFonts w:hint="eastAsia" w:ascii="黑体" w:hAnsi="黑体" w:eastAsia="黑体" w:cs="黑体"/>
          <w:b/>
          <w:color w:val="auto"/>
          <w:highlight w:val="none"/>
        </w:rPr>
      </w:pPr>
      <w:r>
        <w:rPr>
          <w:rFonts w:hint="eastAsia" w:ascii="黑体" w:hAnsi="黑体" w:eastAsia="黑体" w:cs="黑体"/>
          <w:b/>
          <w:color w:val="auto"/>
          <w:highlight w:val="none"/>
        </w:rPr>
        <w:t>致：广东有德招标采购有限公司</w:t>
      </w:r>
    </w:p>
    <w:p w14:paraId="2C19C6D4">
      <w:pPr>
        <w:autoSpaceDE w:val="0"/>
        <w:autoSpaceDN w:val="0"/>
        <w:adjustRightInd w:val="0"/>
        <w:spacing w:line="360" w:lineRule="auto"/>
        <w:ind w:right="26" w:firstLine="420" w:firstLineChars="200"/>
        <w:rPr>
          <w:rFonts w:hint="eastAsia" w:ascii="黑体" w:hAnsi="黑体" w:eastAsia="黑体" w:cs="黑体"/>
          <w:color w:val="auto"/>
          <w:kern w:val="0"/>
          <w:szCs w:val="21"/>
          <w:highlight w:val="none"/>
        </w:rPr>
      </w:pPr>
      <w:r>
        <w:rPr>
          <w:rFonts w:hint="eastAsia" w:ascii="黑体" w:hAnsi="黑体" w:eastAsia="黑体" w:cs="黑体"/>
          <w:bCs/>
          <w:color w:val="auto"/>
          <w:kern w:val="0"/>
          <w:szCs w:val="21"/>
          <w:highlight w:val="none"/>
        </w:rPr>
        <w:t>依据贵方</w:t>
      </w:r>
      <w:r>
        <w:rPr>
          <w:rFonts w:hint="eastAsia" w:ascii="黑体" w:hAnsi="黑体" w:eastAsia="黑体" w:cs="黑体"/>
          <w:bCs/>
          <w:color w:val="auto"/>
          <w:kern w:val="0"/>
          <w:szCs w:val="21"/>
          <w:highlight w:val="none"/>
          <w:u w:val="single"/>
        </w:rPr>
        <w:t xml:space="preserve">    </w:t>
      </w:r>
      <w:r>
        <w:rPr>
          <w:rFonts w:hint="eastAsia" w:ascii="黑体" w:hAnsi="黑体" w:eastAsia="黑体" w:cs="黑体"/>
          <w:b/>
          <w:bCs/>
          <w:color w:val="auto"/>
          <w:szCs w:val="21"/>
          <w:highlight w:val="none"/>
          <w:u w:val="single"/>
        </w:rPr>
        <w:t xml:space="preserve">项目名称 </w:t>
      </w:r>
      <w:r>
        <w:rPr>
          <w:rFonts w:hint="eastAsia" w:ascii="黑体" w:hAnsi="黑体" w:eastAsia="黑体" w:cs="黑体"/>
          <w:bCs/>
          <w:color w:val="auto"/>
          <w:szCs w:val="21"/>
          <w:highlight w:val="none"/>
          <w:u w:val="single"/>
        </w:rPr>
        <w:t xml:space="preserve">    </w:t>
      </w:r>
      <w:r>
        <w:rPr>
          <w:rFonts w:hint="eastAsia" w:ascii="黑体" w:hAnsi="黑体" w:eastAsia="黑体" w:cs="黑体"/>
          <w:bCs/>
          <w:color w:val="auto"/>
          <w:kern w:val="0"/>
          <w:szCs w:val="21"/>
          <w:highlight w:val="none"/>
        </w:rPr>
        <w:t>项目</w:t>
      </w:r>
      <w:r>
        <w:rPr>
          <w:rFonts w:hint="eastAsia" w:ascii="黑体" w:hAnsi="黑体" w:eastAsia="黑体" w:cs="黑体"/>
          <w:bCs/>
          <w:color w:val="auto"/>
          <w:szCs w:val="21"/>
          <w:highlight w:val="none"/>
          <w:u w:val="single"/>
        </w:rPr>
        <w:t>（</w:t>
      </w:r>
      <w:r>
        <w:rPr>
          <w:rFonts w:hint="eastAsia" w:ascii="黑体" w:hAnsi="黑体" w:eastAsia="黑体" w:cs="黑体"/>
          <w:b/>
          <w:bCs/>
          <w:color w:val="auto"/>
          <w:szCs w:val="21"/>
          <w:highlight w:val="none"/>
          <w:u w:val="single"/>
        </w:rPr>
        <w:t>项目编号：</w:t>
      </w:r>
      <w:r>
        <w:rPr>
          <w:rFonts w:hint="eastAsia" w:ascii="黑体" w:hAnsi="黑体" w:eastAsia="黑体" w:cs="黑体"/>
          <w:bCs/>
          <w:color w:val="auto"/>
          <w:szCs w:val="21"/>
          <w:highlight w:val="none"/>
          <w:u w:val="single"/>
        </w:rPr>
        <w:t xml:space="preserve">        )</w:t>
      </w:r>
      <w:r>
        <w:rPr>
          <w:rFonts w:hint="eastAsia" w:ascii="黑体" w:hAnsi="黑体" w:eastAsia="黑体" w:cs="黑体"/>
          <w:bCs/>
          <w:color w:val="auto"/>
          <w:kern w:val="0"/>
          <w:szCs w:val="21"/>
          <w:highlight w:val="none"/>
        </w:rPr>
        <w:t>的投标邀请，我方代表</w:t>
      </w:r>
      <w:r>
        <w:rPr>
          <w:rFonts w:hint="eastAsia" w:ascii="黑体" w:hAnsi="黑体" w:eastAsia="黑体" w:cs="黑体"/>
          <w:bCs/>
          <w:color w:val="auto"/>
          <w:kern w:val="0"/>
          <w:szCs w:val="21"/>
          <w:highlight w:val="none"/>
          <w:u w:val="single"/>
        </w:rPr>
        <w:t xml:space="preserve"> </w:t>
      </w:r>
      <w:r>
        <w:rPr>
          <w:rFonts w:hint="eastAsia" w:ascii="黑体" w:hAnsi="黑体" w:eastAsia="黑体" w:cs="黑体"/>
          <w:b/>
          <w:bCs/>
          <w:color w:val="auto"/>
          <w:szCs w:val="21"/>
          <w:highlight w:val="none"/>
          <w:u w:val="single"/>
        </w:rPr>
        <w:t>（姓名、职务）</w:t>
      </w:r>
      <w:r>
        <w:rPr>
          <w:rFonts w:hint="eastAsia" w:ascii="黑体" w:hAnsi="黑体" w:eastAsia="黑体" w:cs="黑体"/>
          <w:bCs/>
          <w:color w:val="auto"/>
          <w:szCs w:val="21"/>
          <w:highlight w:val="none"/>
          <w:u w:val="single"/>
        </w:rPr>
        <w:t xml:space="preserve"> </w:t>
      </w:r>
      <w:r>
        <w:rPr>
          <w:rFonts w:hint="eastAsia" w:ascii="黑体" w:hAnsi="黑体" w:eastAsia="黑体" w:cs="黑体"/>
          <w:bCs/>
          <w:color w:val="auto"/>
          <w:kern w:val="0"/>
          <w:szCs w:val="21"/>
          <w:highlight w:val="none"/>
        </w:rPr>
        <w:t>经正式授权并代表</w:t>
      </w:r>
      <w:r>
        <w:rPr>
          <w:rFonts w:hint="eastAsia" w:ascii="黑体" w:hAnsi="黑体" w:eastAsia="黑体" w:cs="黑体"/>
          <w:bCs/>
          <w:color w:val="auto"/>
          <w:kern w:val="0"/>
          <w:szCs w:val="21"/>
          <w:highlight w:val="none"/>
          <w:u w:val="single"/>
        </w:rPr>
        <w:t xml:space="preserve"> </w:t>
      </w:r>
      <w:r>
        <w:rPr>
          <w:rFonts w:hint="eastAsia" w:ascii="黑体" w:hAnsi="黑体" w:eastAsia="黑体" w:cs="黑体"/>
          <w:b/>
          <w:bCs/>
          <w:color w:val="auto"/>
          <w:szCs w:val="21"/>
          <w:highlight w:val="none"/>
          <w:u w:val="single"/>
        </w:rPr>
        <w:t>（投标人名称）</w:t>
      </w:r>
      <w:r>
        <w:rPr>
          <w:rFonts w:hint="eastAsia" w:ascii="黑体" w:hAnsi="黑体" w:eastAsia="黑体" w:cs="黑体"/>
          <w:bCs/>
          <w:color w:val="auto"/>
          <w:szCs w:val="21"/>
          <w:highlight w:val="none"/>
          <w:u w:val="single"/>
        </w:rPr>
        <w:t xml:space="preserve"> </w:t>
      </w:r>
      <w:r>
        <w:rPr>
          <w:rFonts w:hint="eastAsia" w:ascii="黑体" w:hAnsi="黑体" w:eastAsia="黑体" w:cs="黑体"/>
          <w:bCs/>
          <w:color w:val="auto"/>
          <w:szCs w:val="21"/>
          <w:highlight w:val="none"/>
        </w:rPr>
        <w:t>提交唱标信封一份、</w:t>
      </w:r>
      <w:r>
        <w:rPr>
          <w:rFonts w:hint="eastAsia" w:ascii="黑体" w:hAnsi="黑体" w:eastAsia="黑体" w:cs="黑体"/>
          <w:bCs/>
          <w:color w:val="auto"/>
          <w:kern w:val="0"/>
          <w:szCs w:val="21"/>
          <w:highlight w:val="none"/>
        </w:rPr>
        <w:t>投标文件正本一份，副本</w:t>
      </w:r>
      <w:r>
        <w:rPr>
          <w:rFonts w:hint="eastAsia" w:ascii="黑体" w:hAnsi="黑体" w:eastAsia="黑体" w:cs="黑体"/>
          <w:bCs/>
          <w:color w:val="auto"/>
          <w:kern w:val="0"/>
          <w:szCs w:val="21"/>
          <w:highlight w:val="none"/>
          <w:u w:val="single"/>
        </w:rPr>
        <w:t xml:space="preserve"> （</w:t>
      </w:r>
      <w:r>
        <w:rPr>
          <w:rFonts w:hint="eastAsia" w:ascii="黑体" w:hAnsi="黑体" w:eastAsia="黑体" w:cs="黑体"/>
          <w:b/>
          <w:bCs/>
          <w:color w:val="auto"/>
          <w:kern w:val="0"/>
          <w:szCs w:val="21"/>
          <w:highlight w:val="none"/>
          <w:u w:val="single"/>
        </w:rPr>
        <w:t xml:space="preserve">详见投标人须知前附表） </w:t>
      </w:r>
      <w:r>
        <w:rPr>
          <w:rFonts w:hint="eastAsia" w:ascii="黑体" w:hAnsi="黑体" w:eastAsia="黑体" w:cs="黑体"/>
          <w:bCs/>
          <w:color w:val="auto"/>
          <w:kern w:val="0"/>
          <w:szCs w:val="21"/>
          <w:highlight w:val="none"/>
          <w:u w:val="single"/>
        </w:rPr>
        <w:t xml:space="preserve"> </w:t>
      </w:r>
      <w:r>
        <w:rPr>
          <w:rFonts w:hint="eastAsia" w:ascii="黑体" w:hAnsi="黑体" w:eastAsia="黑体" w:cs="黑体"/>
          <w:bCs/>
          <w:color w:val="auto"/>
          <w:kern w:val="0"/>
          <w:szCs w:val="21"/>
          <w:highlight w:val="none"/>
        </w:rPr>
        <w:t>份。</w:t>
      </w:r>
    </w:p>
    <w:p w14:paraId="73ED812A">
      <w:pPr>
        <w:autoSpaceDE w:val="0"/>
        <w:autoSpaceDN w:val="0"/>
        <w:adjustRightInd w:val="0"/>
        <w:spacing w:line="360" w:lineRule="auto"/>
        <w:ind w:right="246"/>
        <w:rPr>
          <w:rFonts w:hint="eastAsia" w:ascii="黑体" w:hAnsi="黑体" w:eastAsia="黑体" w:cs="黑体"/>
          <w:color w:val="auto"/>
          <w:kern w:val="0"/>
          <w:szCs w:val="21"/>
          <w:highlight w:val="none"/>
        </w:rPr>
      </w:pPr>
      <w:r>
        <w:rPr>
          <w:rFonts w:hint="eastAsia" w:ascii="黑体" w:hAnsi="黑体" w:eastAsia="黑体" w:cs="黑体"/>
          <w:color w:val="auto"/>
          <w:kern w:val="0"/>
          <w:szCs w:val="21"/>
          <w:highlight w:val="none"/>
        </w:rPr>
        <w:t>在此，我方声明如下：</w:t>
      </w:r>
    </w:p>
    <w:p w14:paraId="0D6598CE">
      <w:pPr>
        <w:pStyle w:val="29"/>
        <w:numPr>
          <w:ilvl w:val="0"/>
          <w:numId w:val="90"/>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pacing w:val="-6"/>
          <w:szCs w:val="21"/>
          <w:highlight w:val="none"/>
        </w:rPr>
        <w:t>同意并接受招标文件的各项要求，遵守招标文件中的各项规定，按招标文件的要求提供报价</w:t>
      </w:r>
      <w:r>
        <w:rPr>
          <w:rFonts w:hint="eastAsia" w:ascii="黑体" w:hAnsi="黑体" w:eastAsia="黑体" w:cs="黑体"/>
          <w:color w:val="auto"/>
          <w:szCs w:val="21"/>
          <w:highlight w:val="none"/>
        </w:rPr>
        <w:t>。</w:t>
      </w:r>
    </w:p>
    <w:p w14:paraId="0DA3DBEC">
      <w:pPr>
        <w:pStyle w:val="29"/>
        <w:numPr>
          <w:ilvl w:val="0"/>
          <w:numId w:val="90"/>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投标有效期为递交投标文件截止日起</w:t>
      </w:r>
      <w:r>
        <w:rPr>
          <w:rFonts w:hint="eastAsia" w:ascii="黑体" w:hAnsi="黑体" w:eastAsia="黑体" w:cs="黑体"/>
          <w:color w:val="auto"/>
          <w:szCs w:val="21"/>
          <w:highlight w:val="none"/>
          <w:u w:val="single"/>
        </w:rPr>
        <w:t xml:space="preserve"> 90 </w:t>
      </w:r>
      <w:r>
        <w:rPr>
          <w:rFonts w:hint="eastAsia" w:ascii="黑体" w:hAnsi="黑体" w:eastAsia="黑体" w:cs="黑体"/>
          <w:color w:val="auto"/>
          <w:szCs w:val="21"/>
          <w:highlight w:val="none"/>
        </w:rPr>
        <w:t>天，如中标，有效期将延至合同终止日为止。</w:t>
      </w:r>
    </w:p>
    <w:p w14:paraId="6238B257">
      <w:pPr>
        <w:pStyle w:val="29"/>
        <w:numPr>
          <w:ilvl w:val="0"/>
          <w:numId w:val="90"/>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我方已经详细地阅读了全部招标文件及其附件，</w:t>
      </w:r>
      <w:bookmarkStart w:id="80" w:name="_Hlk90989655"/>
      <w:r>
        <w:rPr>
          <w:rFonts w:hint="eastAsia" w:ascii="黑体" w:hAnsi="黑体" w:eastAsia="黑体" w:cs="黑体"/>
          <w:color w:val="auto"/>
          <w:szCs w:val="21"/>
          <w:highlight w:val="none"/>
        </w:rPr>
        <w:t>包括澄清及参考文件(如有)。我方已完全清晰理解招标文件的要求，不存在任何含糊不清和误解之处，同意放弃对这些文件所提出的询问和质疑的权利。</w:t>
      </w:r>
      <w:bookmarkEnd w:id="80"/>
    </w:p>
    <w:p w14:paraId="341EA9FE">
      <w:pPr>
        <w:pStyle w:val="29"/>
        <w:numPr>
          <w:ilvl w:val="0"/>
          <w:numId w:val="90"/>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我方已毫无保留地向贵方提供一切所需的证明材料。</w:t>
      </w:r>
    </w:p>
    <w:p w14:paraId="176C4ED1">
      <w:pPr>
        <w:pStyle w:val="29"/>
        <w:numPr>
          <w:ilvl w:val="0"/>
          <w:numId w:val="90"/>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我方承诺在本次投标文件中提供的一切文件，无论是原件还是复印件均为真实和准确的，绝无任何虚假、伪造和夸大的成份，否则，愿承担相应的后果和法律责任。</w:t>
      </w:r>
    </w:p>
    <w:p w14:paraId="31185DBA">
      <w:pPr>
        <w:pStyle w:val="29"/>
        <w:numPr>
          <w:ilvl w:val="0"/>
          <w:numId w:val="90"/>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我方完全服从和尊重评委会所作的评定结果，同时清楚理解到报价最低并非意味着必定获得中标资格。</w:t>
      </w:r>
    </w:p>
    <w:p w14:paraId="0ED06C16">
      <w:pPr>
        <w:pStyle w:val="29"/>
        <w:numPr>
          <w:ilvl w:val="0"/>
          <w:numId w:val="90"/>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我方同意按招标文件规定向采购代理机构缴纳中标服务费。</w:t>
      </w:r>
    </w:p>
    <w:p w14:paraId="45475E4F">
      <w:pPr>
        <w:pStyle w:val="29"/>
        <w:numPr>
          <w:ilvl w:val="0"/>
          <w:numId w:val="90"/>
        </w:numPr>
        <w:tabs>
          <w:tab w:val="left" w:pos="567"/>
          <w:tab w:val="left" w:pos="709"/>
        </w:tabs>
        <w:spacing w:after="312" w:afterLines="100"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所有与本招标有关的函件请发往下列地址：</w:t>
      </w:r>
    </w:p>
    <w:tbl>
      <w:tblPr>
        <w:tblStyle w:val="20"/>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383"/>
        <w:gridCol w:w="4384"/>
      </w:tblGrid>
      <w:tr w14:paraId="04CCB1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00" w:type="pct"/>
          </w:tcPr>
          <w:p w14:paraId="00AAA373">
            <w:pPr>
              <w:spacing w:before="156" w:beforeLines="50"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投标人地址：</w:t>
            </w:r>
            <w:r>
              <w:rPr>
                <w:rFonts w:hint="eastAsia" w:ascii="黑体" w:hAnsi="黑体" w:eastAsia="黑体" w:cs="黑体"/>
                <w:color w:val="auto"/>
                <w:szCs w:val="21"/>
                <w:highlight w:val="none"/>
                <w:u w:val="single"/>
              </w:rPr>
              <w:t xml:space="preserve">                          </w:t>
            </w:r>
          </w:p>
        </w:tc>
        <w:tc>
          <w:tcPr>
            <w:tcW w:w="2500" w:type="pct"/>
          </w:tcPr>
          <w:p w14:paraId="2D4D2D39">
            <w:pPr>
              <w:spacing w:before="156" w:beforeLines="50"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邮编：</w:t>
            </w:r>
            <w:r>
              <w:rPr>
                <w:rFonts w:hint="eastAsia" w:ascii="黑体" w:hAnsi="黑体" w:eastAsia="黑体" w:cs="黑体"/>
                <w:color w:val="auto"/>
                <w:szCs w:val="21"/>
                <w:highlight w:val="none"/>
                <w:u w:val="single"/>
              </w:rPr>
              <w:t xml:space="preserve">                                </w:t>
            </w:r>
          </w:p>
        </w:tc>
      </w:tr>
      <w:tr w14:paraId="2EFB6C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00" w:type="pct"/>
          </w:tcPr>
          <w:p w14:paraId="3BB9163E">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联系电话：</w:t>
            </w:r>
            <w:r>
              <w:rPr>
                <w:rFonts w:hint="eastAsia" w:ascii="黑体" w:hAnsi="黑体" w:eastAsia="黑体" w:cs="黑体"/>
                <w:color w:val="auto"/>
                <w:szCs w:val="21"/>
                <w:highlight w:val="none"/>
                <w:u w:val="single"/>
              </w:rPr>
              <w:t xml:space="preserve">                            </w:t>
            </w:r>
          </w:p>
        </w:tc>
        <w:tc>
          <w:tcPr>
            <w:tcW w:w="2500" w:type="pct"/>
          </w:tcPr>
          <w:p w14:paraId="469721E0">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传真：</w:t>
            </w:r>
            <w:r>
              <w:rPr>
                <w:rFonts w:hint="eastAsia" w:ascii="黑体" w:hAnsi="黑体" w:eastAsia="黑体" w:cs="黑体"/>
                <w:color w:val="auto"/>
                <w:szCs w:val="21"/>
                <w:highlight w:val="none"/>
                <w:u w:val="single"/>
              </w:rPr>
              <w:t xml:space="preserve">                                </w:t>
            </w:r>
          </w:p>
        </w:tc>
      </w:tr>
      <w:tr w14:paraId="593B77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00" w:type="pct"/>
          </w:tcPr>
          <w:p w14:paraId="7E77F089">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项目联系人：</w:t>
            </w:r>
            <w:r>
              <w:rPr>
                <w:rFonts w:hint="eastAsia" w:ascii="黑体" w:hAnsi="黑体" w:eastAsia="黑体" w:cs="黑体"/>
                <w:color w:val="auto"/>
                <w:szCs w:val="21"/>
                <w:highlight w:val="none"/>
                <w:u w:val="single"/>
              </w:rPr>
              <w:t xml:space="preserve">                          </w:t>
            </w:r>
          </w:p>
        </w:tc>
        <w:tc>
          <w:tcPr>
            <w:tcW w:w="2500" w:type="pct"/>
          </w:tcPr>
          <w:p w14:paraId="5A53BB0B">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手机：</w:t>
            </w:r>
            <w:r>
              <w:rPr>
                <w:rFonts w:hint="eastAsia" w:ascii="黑体" w:hAnsi="黑体" w:eastAsia="黑体" w:cs="黑体"/>
                <w:color w:val="auto"/>
                <w:szCs w:val="21"/>
                <w:highlight w:val="none"/>
                <w:u w:val="single"/>
              </w:rPr>
              <w:t xml:space="preserve">                                </w:t>
            </w:r>
          </w:p>
        </w:tc>
      </w:tr>
      <w:tr w14:paraId="56FE33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2"/>
          </w:tcPr>
          <w:p w14:paraId="5970C9E5">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投标人名称（加盖公章）：</w:t>
            </w:r>
            <w:r>
              <w:rPr>
                <w:rFonts w:hint="eastAsia" w:ascii="黑体" w:hAnsi="黑体" w:eastAsia="黑体" w:cs="黑体"/>
                <w:color w:val="auto"/>
                <w:szCs w:val="21"/>
                <w:highlight w:val="none"/>
                <w:u w:val="single"/>
              </w:rPr>
              <w:t xml:space="preserve">                                                       </w:t>
            </w:r>
          </w:p>
        </w:tc>
      </w:tr>
      <w:tr w14:paraId="5496D9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2"/>
          </w:tcPr>
          <w:p w14:paraId="71152E1C">
            <w:pPr>
              <w:spacing w:line="360" w:lineRule="auto"/>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投标人法定代表人或被授权人（签名或盖私章）：</w:t>
            </w:r>
            <w:r>
              <w:rPr>
                <w:rFonts w:hint="eastAsia" w:ascii="黑体" w:hAnsi="黑体" w:eastAsia="黑体" w:cs="黑体"/>
                <w:color w:val="auto"/>
                <w:szCs w:val="21"/>
                <w:highlight w:val="none"/>
                <w:u w:val="single"/>
              </w:rPr>
              <w:t xml:space="preserve">                                   </w:t>
            </w:r>
          </w:p>
        </w:tc>
      </w:tr>
      <w:tr w14:paraId="7B99AD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2"/>
          </w:tcPr>
          <w:p w14:paraId="3A2A15F8">
            <w:pPr>
              <w:spacing w:line="360" w:lineRule="auto"/>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日期：</w:t>
            </w:r>
            <w:r>
              <w:rPr>
                <w:rFonts w:hint="eastAsia" w:ascii="黑体" w:hAnsi="黑体" w:eastAsia="黑体" w:cs="黑体"/>
                <w:color w:val="auto"/>
                <w:szCs w:val="21"/>
                <w:highlight w:val="none"/>
                <w:u w:val="single"/>
              </w:rPr>
              <w:t xml:space="preserve">        年        月         日</w:t>
            </w:r>
          </w:p>
        </w:tc>
      </w:tr>
    </w:tbl>
    <w:p w14:paraId="6CF4A0C4">
      <w:pPr>
        <w:pStyle w:val="29"/>
        <w:pageBreakBefore/>
        <w:numPr>
          <w:ilvl w:val="0"/>
          <w:numId w:val="84"/>
        </w:numPr>
        <w:tabs>
          <w:tab w:val="left" w:pos="284"/>
          <w:tab w:val="left" w:pos="567"/>
          <w:tab w:val="left" w:pos="709"/>
        </w:tabs>
        <w:ind w:left="1679" w:hanging="1537" w:firstLineChars="0"/>
        <w:jc w:val="left"/>
        <w:rPr>
          <w:rFonts w:hint="eastAsia" w:ascii="黑体" w:hAnsi="黑体" w:eastAsia="黑体" w:cs="黑体"/>
          <w:b/>
          <w:bCs/>
          <w:color w:val="auto"/>
          <w:highlight w:val="none"/>
        </w:rPr>
      </w:pPr>
      <w:bookmarkStart w:id="81" w:name="_Toc391627764"/>
      <w:bookmarkStart w:id="82" w:name="_Toc405313969"/>
      <w:bookmarkStart w:id="83" w:name="_Toc75734373"/>
      <w:bookmarkStart w:id="84" w:name="_Toc391627758"/>
      <w:bookmarkStart w:id="85" w:name="_Toc405313962"/>
      <w:r>
        <w:rPr>
          <w:rFonts w:hint="eastAsia" w:ascii="黑体" w:hAnsi="黑体" w:eastAsia="黑体" w:cs="黑体"/>
          <w:b/>
          <w:bCs/>
          <w:color w:val="auto"/>
          <w:highlight w:val="none"/>
        </w:rPr>
        <w:t>资格</w:t>
      </w:r>
      <w:bookmarkEnd w:id="81"/>
      <w:bookmarkEnd w:id="82"/>
      <w:r>
        <w:rPr>
          <w:rFonts w:hint="eastAsia" w:ascii="黑体" w:hAnsi="黑体" w:eastAsia="黑体" w:cs="黑体"/>
          <w:b/>
          <w:bCs/>
          <w:color w:val="auto"/>
          <w:highlight w:val="none"/>
        </w:rPr>
        <w:t>声明函</w:t>
      </w:r>
      <w:bookmarkEnd w:id="83"/>
    </w:p>
    <w:p w14:paraId="7FC86062">
      <w:pPr>
        <w:spacing w:before="156" w:beforeLines="50" w:after="312" w:afterLines="100" w:line="360" w:lineRule="auto"/>
        <w:jc w:val="center"/>
        <w:rPr>
          <w:rFonts w:hint="eastAsia" w:ascii="黑体" w:hAnsi="黑体" w:eastAsia="黑体" w:cs="黑体"/>
          <w:b/>
          <w:color w:val="auto"/>
          <w:spacing w:val="20"/>
          <w:sz w:val="30"/>
          <w:szCs w:val="30"/>
          <w:highlight w:val="none"/>
        </w:rPr>
      </w:pPr>
      <w:bookmarkStart w:id="86" w:name="_Hlk81177964"/>
      <w:r>
        <w:rPr>
          <w:rFonts w:hint="eastAsia" w:ascii="黑体" w:hAnsi="黑体" w:eastAsia="黑体" w:cs="黑体"/>
          <w:b/>
          <w:color w:val="auto"/>
          <w:spacing w:val="20"/>
          <w:sz w:val="30"/>
          <w:szCs w:val="30"/>
          <w:highlight w:val="none"/>
        </w:rPr>
        <w:t>资格声明函</w:t>
      </w:r>
    </w:p>
    <w:bookmarkEnd w:id="86"/>
    <w:p w14:paraId="45268012">
      <w:pPr>
        <w:adjustRightInd w:val="0"/>
        <w:snapToGrid w:val="0"/>
        <w:spacing w:after="156" w:afterLines="50" w:line="360" w:lineRule="auto"/>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广东有德招标采购有限公司：</w:t>
      </w:r>
    </w:p>
    <w:p w14:paraId="710BFEBD">
      <w:pPr>
        <w:adjustRightInd w:val="0"/>
        <w:snapToGrid w:val="0"/>
        <w:spacing w:line="360" w:lineRule="auto"/>
        <w:ind w:firstLine="424" w:firstLineChars="202"/>
        <w:rPr>
          <w:rFonts w:hint="eastAsia" w:ascii="黑体" w:hAnsi="黑体" w:eastAsia="黑体" w:cs="黑体"/>
          <w:color w:val="auto"/>
          <w:szCs w:val="21"/>
          <w:highlight w:val="none"/>
        </w:rPr>
      </w:pPr>
      <w:r>
        <w:rPr>
          <w:rFonts w:hint="eastAsia" w:ascii="黑体" w:hAnsi="黑体" w:eastAsia="黑体" w:cs="黑体"/>
          <w:color w:val="auto"/>
          <w:szCs w:val="21"/>
          <w:highlight w:val="none"/>
        </w:rPr>
        <w:t xml:space="preserve">关于贵公司 </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年</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月</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日发布</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项目（项目编号：</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）的采购公告，本单位愿意参加投标，并声明：</w:t>
      </w:r>
    </w:p>
    <w:p w14:paraId="3840B6F9">
      <w:pPr>
        <w:pStyle w:val="29"/>
        <w:widowControl/>
        <w:numPr>
          <w:ilvl w:val="0"/>
          <w:numId w:val="91"/>
        </w:numPr>
        <w:adjustRightInd w:val="0"/>
        <w:snapToGrid w:val="0"/>
        <w:spacing w:line="360" w:lineRule="auto"/>
        <w:ind w:firstLineChars="0"/>
        <w:rPr>
          <w:rFonts w:hint="eastAsia" w:ascii="黑体" w:hAnsi="黑体" w:eastAsia="黑体" w:cs="黑体"/>
          <w:color w:val="auto"/>
          <w:kern w:val="0"/>
          <w:szCs w:val="21"/>
          <w:highlight w:val="none"/>
        </w:rPr>
      </w:pPr>
      <w:r>
        <w:rPr>
          <w:rFonts w:hint="eastAsia" w:ascii="黑体" w:hAnsi="黑体" w:eastAsia="黑体" w:cs="黑体"/>
          <w:color w:val="auto"/>
          <w:kern w:val="0"/>
          <w:szCs w:val="21"/>
          <w:highlight w:val="none"/>
        </w:rPr>
        <w:t>本单位具有依法缴纳税收和社会保障资金的良好记录。</w:t>
      </w:r>
    </w:p>
    <w:p w14:paraId="25B83C9C">
      <w:pPr>
        <w:pStyle w:val="29"/>
        <w:widowControl/>
        <w:numPr>
          <w:ilvl w:val="0"/>
          <w:numId w:val="91"/>
        </w:numPr>
        <w:adjustRightInd w:val="0"/>
        <w:snapToGrid w:val="0"/>
        <w:spacing w:line="360" w:lineRule="auto"/>
        <w:ind w:firstLineChars="0"/>
        <w:rPr>
          <w:rFonts w:hint="eastAsia" w:ascii="黑体" w:hAnsi="黑体" w:eastAsia="黑体" w:cs="黑体"/>
          <w:color w:val="auto"/>
          <w:kern w:val="0"/>
          <w:szCs w:val="21"/>
          <w:highlight w:val="none"/>
        </w:rPr>
      </w:pPr>
      <w:r>
        <w:rPr>
          <w:rFonts w:hint="eastAsia" w:ascii="黑体" w:hAnsi="黑体" w:eastAsia="黑体" w:cs="黑体"/>
          <w:color w:val="auto"/>
          <w:kern w:val="0"/>
          <w:szCs w:val="21"/>
          <w:highlight w:val="none"/>
        </w:rPr>
        <w:t>本单位具有良好的商业信誉和健全的财务会计制度。</w:t>
      </w:r>
    </w:p>
    <w:p w14:paraId="248BEC9F">
      <w:pPr>
        <w:pStyle w:val="29"/>
        <w:widowControl/>
        <w:numPr>
          <w:ilvl w:val="0"/>
          <w:numId w:val="91"/>
        </w:numPr>
        <w:adjustRightInd w:val="0"/>
        <w:snapToGrid w:val="0"/>
        <w:spacing w:line="360" w:lineRule="auto"/>
        <w:ind w:firstLineChars="0"/>
        <w:rPr>
          <w:rFonts w:hint="eastAsia" w:ascii="黑体" w:hAnsi="黑体" w:eastAsia="黑体" w:cs="黑体"/>
          <w:color w:val="auto"/>
          <w:kern w:val="0"/>
          <w:szCs w:val="21"/>
          <w:highlight w:val="none"/>
        </w:rPr>
      </w:pPr>
      <w:r>
        <w:rPr>
          <w:rFonts w:hint="eastAsia" w:ascii="黑体" w:hAnsi="黑体" w:eastAsia="黑体" w:cs="黑体"/>
          <w:color w:val="auto"/>
          <w:kern w:val="0"/>
          <w:szCs w:val="21"/>
          <w:highlight w:val="none"/>
        </w:rPr>
        <w:t>本单位具有履行合同所必需的设备和专业技术能力。</w:t>
      </w:r>
    </w:p>
    <w:p w14:paraId="7849ADC5">
      <w:pPr>
        <w:pStyle w:val="29"/>
        <w:widowControl/>
        <w:numPr>
          <w:ilvl w:val="0"/>
          <w:numId w:val="91"/>
        </w:numPr>
        <w:adjustRightInd w:val="0"/>
        <w:snapToGrid w:val="0"/>
        <w:spacing w:line="360" w:lineRule="auto"/>
        <w:ind w:firstLineChars="0"/>
        <w:rPr>
          <w:rFonts w:hint="eastAsia" w:ascii="黑体" w:hAnsi="黑体" w:eastAsia="黑体" w:cs="黑体"/>
          <w:color w:val="auto"/>
          <w:kern w:val="0"/>
          <w:szCs w:val="21"/>
          <w:highlight w:val="none"/>
        </w:rPr>
      </w:pPr>
      <w:r>
        <w:rPr>
          <w:rFonts w:hint="eastAsia" w:ascii="黑体" w:hAnsi="黑体" w:eastAsia="黑体" w:cs="黑体"/>
          <w:color w:val="auto"/>
          <w:kern w:val="0"/>
          <w:szCs w:val="21"/>
          <w:highlight w:val="none"/>
        </w:rPr>
        <w:t>本单位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3D4A62A0">
      <w:pPr>
        <w:pStyle w:val="29"/>
        <w:widowControl/>
        <w:numPr>
          <w:ilvl w:val="0"/>
          <w:numId w:val="91"/>
        </w:numPr>
        <w:adjustRightInd w:val="0"/>
        <w:snapToGrid w:val="0"/>
        <w:spacing w:line="360" w:lineRule="auto"/>
        <w:ind w:firstLineChars="0"/>
        <w:rPr>
          <w:rFonts w:hint="eastAsia" w:ascii="黑体" w:hAnsi="黑体" w:eastAsia="黑体" w:cs="黑体"/>
          <w:color w:val="auto"/>
          <w:kern w:val="0"/>
          <w:szCs w:val="21"/>
          <w:highlight w:val="none"/>
        </w:rPr>
      </w:pPr>
      <w:r>
        <w:rPr>
          <w:rFonts w:hint="eastAsia" w:ascii="黑体" w:hAnsi="黑体" w:eastAsia="黑体" w:cs="黑体"/>
          <w:color w:val="auto"/>
          <w:kern w:val="0"/>
          <w:szCs w:val="21"/>
          <w:highlight w:val="none"/>
        </w:rPr>
        <w:t>本单位具备法律、行政法规规定的其他条件。</w:t>
      </w:r>
    </w:p>
    <w:p w14:paraId="2FF49A68">
      <w:pPr>
        <w:pStyle w:val="29"/>
        <w:widowControl/>
        <w:numPr>
          <w:ilvl w:val="0"/>
          <w:numId w:val="91"/>
        </w:numPr>
        <w:adjustRightInd w:val="0"/>
        <w:snapToGrid w:val="0"/>
        <w:spacing w:line="360" w:lineRule="auto"/>
        <w:ind w:firstLineChars="0"/>
        <w:rPr>
          <w:rFonts w:hint="eastAsia" w:ascii="黑体" w:hAnsi="黑体" w:eastAsia="黑体" w:cs="黑体"/>
          <w:color w:val="auto"/>
          <w:kern w:val="0"/>
          <w:szCs w:val="21"/>
          <w:highlight w:val="none"/>
        </w:rPr>
      </w:pPr>
      <w:r>
        <w:rPr>
          <w:rFonts w:hint="eastAsia" w:ascii="黑体" w:hAnsi="黑体" w:eastAsia="黑体" w:cs="黑体"/>
          <w:color w:val="auto"/>
          <w:kern w:val="0"/>
          <w:szCs w:val="21"/>
          <w:highlight w:val="none"/>
        </w:rPr>
        <w:t>本单位承诺单位负责人为同一人或者存在直接控股、管理关系的不同供应商，不得同时参加本采购项目（或采购包）投标。</w:t>
      </w:r>
    </w:p>
    <w:p w14:paraId="4D03BCD4">
      <w:pPr>
        <w:pStyle w:val="29"/>
        <w:widowControl/>
        <w:numPr>
          <w:ilvl w:val="0"/>
          <w:numId w:val="91"/>
        </w:numPr>
        <w:adjustRightInd w:val="0"/>
        <w:snapToGrid w:val="0"/>
        <w:spacing w:line="360" w:lineRule="auto"/>
        <w:ind w:firstLineChars="0"/>
        <w:rPr>
          <w:rFonts w:hint="eastAsia" w:ascii="黑体" w:hAnsi="黑体" w:eastAsia="黑体" w:cs="黑体"/>
          <w:color w:val="auto"/>
          <w:kern w:val="0"/>
          <w:szCs w:val="21"/>
          <w:highlight w:val="none"/>
        </w:rPr>
      </w:pPr>
      <w:r>
        <w:rPr>
          <w:rFonts w:hint="eastAsia" w:ascii="黑体" w:hAnsi="黑体" w:eastAsia="黑体" w:cs="黑体"/>
          <w:color w:val="auto"/>
          <w:kern w:val="0"/>
          <w:szCs w:val="21"/>
          <w:highlight w:val="none"/>
        </w:rPr>
        <w:t>本单位承诺为本项目提供整体设计、规范编制或者项目管理、监理、检测等服务的供应商，不得再参与本项目投标。</w:t>
      </w:r>
    </w:p>
    <w:p w14:paraId="4EA7566D">
      <w:pPr>
        <w:adjustRightInd w:val="0"/>
        <w:snapToGrid w:val="0"/>
        <w:spacing w:line="360" w:lineRule="auto"/>
        <w:ind w:firstLine="424" w:firstLineChars="202"/>
        <w:rPr>
          <w:rFonts w:hint="eastAsia" w:ascii="黑体" w:hAnsi="黑体" w:eastAsia="黑体" w:cs="黑体"/>
          <w:color w:val="auto"/>
          <w:szCs w:val="21"/>
          <w:highlight w:val="none"/>
        </w:rPr>
      </w:pPr>
      <w:r>
        <w:rPr>
          <w:rFonts w:hint="eastAsia" w:ascii="黑体" w:hAnsi="黑体" w:eastAsia="黑体" w:cs="黑体"/>
          <w:color w:val="auto"/>
          <w:szCs w:val="21"/>
          <w:highlight w:val="none"/>
        </w:rPr>
        <w:t>本单位承诺在本次招标采购活动中，如有违法、违规、弄虚作假行为，所造成的损失、不良后果及法律责任，一律由本单位承担。</w:t>
      </w:r>
    </w:p>
    <w:p w14:paraId="04AB67AC">
      <w:pPr>
        <w:adjustRightInd w:val="0"/>
        <w:snapToGrid w:val="0"/>
        <w:spacing w:before="156" w:beforeLines="50" w:line="360" w:lineRule="auto"/>
        <w:ind w:firstLine="420"/>
        <w:rPr>
          <w:rFonts w:hint="eastAsia" w:ascii="黑体" w:hAnsi="黑体" w:eastAsia="黑体" w:cs="黑体"/>
          <w:color w:val="auto"/>
          <w:szCs w:val="21"/>
          <w:highlight w:val="none"/>
        </w:rPr>
      </w:pPr>
      <w:r>
        <w:rPr>
          <w:rFonts w:hint="eastAsia" w:ascii="黑体" w:hAnsi="黑体" w:eastAsia="黑体" w:cs="黑体"/>
          <w:color w:val="auto"/>
          <w:szCs w:val="21"/>
          <w:highlight w:val="none"/>
        </w:rPr>
        <w:t>特此声明！</w:t>
      </w:r>
    </w:p>
    <w:p w14:paraId="3EB4DD51">
      <w:pPr>
        <w:tabs>
          <w:tab w:val="left" w:pos="851"/>
        </w:tabs>
        <w:adjustRightInd w:val="0"/>
        <w:snapToGrid w:val="0"/>
        <w:spacing w:before="312" w:beforeLines="100" w:line="360" w:lineRule="auto"/>
        <w:ind w:firstLine="420"/>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备注： 1.本声明函必须提供且内容不得擅自删改，否则视为无效投标。</w:t>
      </w:r>
    </w:p>
    <w:p w14:paraId="3B9B503B">
      <w:pPr>
        <w:adjustRightInd w:val="0"/>
        <w:snapToGrid w:val="0"/>
        <w:spacing w:line="360" w:lineRule="auto"/>
        <w:ind w:firstLine="1132" w:firstLineChars="537"/>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2.本</w:t>
      </w:r>
      <w:bookmarkStart w:id="87" w:name="_Hlk20518506"/>
      <w:r>
        <w:rPr>
          <w:rFonts w:hint="eastAsia" w:ascii="黑体" w:hAnsi="黑体" w:eastAsia="黑体" w:cs="黑体"/>
          <w:b/>
          <w:color w:val="auto"/>
          <w:szCs w:val="21"/>
          <w:highlight w:val="none"/>
        </w:rPr>
        <w:t>声明</w:t>
      </w:r>
      <w:bookmarkEnd w:id="87"/>
      <w:r>
        <w:rPr>
          <w:rFonts w:hint="eastAsia" w:ascii="黑体" w:hAnsi="黑体" w:eastAsia="黑体" w:cs="黑体"/>
          <w:b/>
          <w:color w:val="auto"/>
          <w:szCs w:val="21"/>
          <w:highlight w:val="none"/>
        </w:rPr>
        <w:t>函如有虚假或与事实不符的，作无效投标处理。</w:t>
      </w:r>
    </w:p>
    <w:p w14:paraId="5061BF2D">
      <w:pPr>
        <w:adjustRightInd w:val="0"/>
        <w:snapToGrid w:val="0"/>
        <w:spacing w:after="156" w:afterLines="50" w:line="360" w:lineRule="auto"/>
        <w:jc w:val="left"/>
        <w:rPr>
          <w:rFonts w:hint="eastAsia" w:ascii="黑体" w:hAnsi="黑体" w:eastAsia="黑体" w:cs="黑体"/>
          <w:b/>
          <w:color w:val="auto"/>
          <w:szCs w:val="21"/>
          <w:highlight w:val="none"/>
        </w:rPr>
      </w:pPr>
    </w:p>
    <w:p w14:paraId="50EFEFB9">
      <w:pPr>
        <w:adjustRightInd w:val="0"/>
        <w:snapToGrid w:val="0"/>
        <w:spacing w:after="156" w:afterLines="50" w:line="360" w:lineRule="auto"/>
        <w:jc w:val="left"/>
        <w:rPr>
          <w:rFonts w:hint="eastAsia" w:ascii="黑体" w:hAnsi="黑体" w:eastAsia="黑体" w:cs="黑体"/>
          <w:b/>
          <w:color w:val="auto"/>
          <w:szCs w:val="21"/>
          <w:highlight w:val="none"/>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370EB4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5353" w:type="dxa"/>
          </w:tcPr>
          <w:p w14:paraId="1FCC65E6">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投标人名称（加盖公章）：</w:t>
            </w:r>
            <w:r>
              <w:rPr>
                <w:rFonts w:hint="eastAsia" w:ascii="黑体" w:hAnsi="黑体" w:eastAsia="黑体" w:cs="黑体"/>
                <w:color w:val="auto"/>
                <w:szCs w:val="21"/>
                <w:highlight w:val="none"/>
                <w:u w:val="single"/>
              </w:rPr>
              <w:t xml:space="preserve">                         </w:t>
            </w:r>
          </w:p>
        </w:tc>
        <w:tc>
          <w:tcPr>
            <w:tcW w:w="3175" w:type="dxa"/>
          </w:tcPr>
          <w:p w14:paraId="7F6DEC49">
            <w:pPr>
              <w:spacing w:line="360" w:lineRule="auto"/>
              <w:rPr>
                <w:rFonts w:hint="eastAsia" w:ascii="黑体" w:hAnsi="黑体" w:eastAsia="黑体" w:cs="黑体"/>
                <w:color w:val="auto"/>
                <w:szCs w:val="21"/>
                <w:highlight w:val="none"/>
              </w:rPr>
            </w:pPr>
          </w:p>
        </w:tc>
      </w:tr>
      <w:tr w14:paraId="2E2922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4A2FF981">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日期：</w:t>
            </w:r>
            <w:r>
              <w:rPr>
                <w:rFonts w:hint="eastAsia" w:ascii="黑体" w:hAnsi="黑体" w:eastAsia="黑体" w:cs="黑体"/>
                <w:color w:val="auto"/>
                <w:szCs w:val="21"/>
                <w:highlight w:val="none"/>
                <w:u w:val="single"/>
              </w:rPr>
              <w:t xml:space="preserve">             年           月            日</w:t>
            </w:r>
          </w:p>
        </w:tc>
        <w:tc>
          <w:tcPr>
            <w:tcW w:w="3175" w:type="dxa"/>
          </w:tcPr>
          <w:p w14:paraId="2D83A3A1">
            <w:pPr>
              <w:spacing w:line="360" w:lineRule="auto"/>
              <w:rPr>
                <w:rFonts w:hint="eastAsia" w:ascii="黑体" w:hAnsi="黑体" w:eastAsia="黑体" w:cs="黑体"/>
                <w:color w:val="auto"/>
                <w:szCs w:val="21"/>
                <w:highlight w:val="none"/>
              </w:rPr>
            </w:pPr>
          </w:p>
        </w:tc>
      </w:tr>
    </w:tbl>
    <w:p w14:paraId="51A3C79F">
      <w:pPr>
        <w:pStyle w:val="29"/>
        <w:pageBreakBefore/>
        <w:numPr>
          <w:ilvl w:val="0"/>
          <w:numId w:val="84"/>
        </w:numPr>
        <w:tabs>
          <w:tab w:val="left" w:pos="284"/>
          <w:tab w:val="left" w:pos="567"/>
          <w:tab w:val="left" w:pos="709"/>
        </w:tabs>
        <w:ind w:left="1679" w:hanging="1537" w:firstLineChars="0"/>
        <w:jc w:val="left"/>
        <w:rPr>
          <w:rFonts w:hint="eastAsia" w:ascii="黑体" w:hAnsi="黑体" w:eastAsia="黑体" w:cs="黑体"/>
          <w:b/>
          <w:bCs/>
          <w:color w:val="auto"/>
          <w:highlight w:val="none"/>
        </w:rPr>
      </w:pPr>
      <w:r>
        <w:rPr>
          <w:rFonts w:hint="eastAsia" w:ascii="黑体" w:hAnsi="黑体" w:eastAsia="黑体" w:cs="黑体"/>
          <w:b/>
          <w:bCs/>
          <w:color w:val="auto"/>
          <w:highlight w:val="none"/>
        </w:rPr>
        <w:t>法定代表人身份证明书</w:t>
      </w:r>
      <w:bookmarkEnd w:id="84"/>
      <w:bookmarkEnd w:id="85"/>
    </w:p>
    <w:p w14:paraId="132E1108">
      <w:pPr>
        <w:spacing w:before="156" w:beforeLines="50" w:after="156" w:afterLines="50" w:line="360" w:lineRule="auto"/>
        <w:jc w:val="center"/>
        <w:rPr>
          <w:rFonts w:hint="eastAsia" w:ascii="黑体" w:hAnsi="黑体" w:eastAsia="黑体" w:cs="黑体"/>
          <w:b/>
          <w:color w:val="auto"/>
          <w:spacing w:val="20"/>
          <w:sz w:val="30"/>
          <w:szCs w:val="30"/>
          <w:highlight w:val="none"/>
        </w:rPr>
      </w:pPr>
      <w:r>
        <w:rPr>
          <w:rFonts w:hint="eastAsia" w:ascii="黑体" w:hAnsi="黑体" w:eastAsia="黑体" w:cs="黑体"/>
          <w:b/>
          <w:color w:val="auto"/>
          <w:spacing w:val="20"/>
          <w:sz w:val="30"/>
          <w:szCs w:val="30"/>
          <w:highlight w:val="none"/>
        </w:rPr>
        <w:t>法定代表人身份证明书</w:t>
      </w:r>
    </w:p>
    <w:p w14:paraId="69501374">
      <w:pPr>
        <w:spacing w:before="312" w:beforeLines="100" w:after="156" w:afterLines="50" w:line="360" w:lineRule="auto"/>
        <w:rPr>
          <w:rFonts w:hint="eastAsia" w:ascii="黑体" w:hAnsi="黑体" w:eastAsia="黑体" w:cs="黑体"/>
          <w:b/>
          <w:color w:val="auto"/>
          <w:highlight w:val="none"/>
        </w:rPr>
      </w:pPr>
      <w:r>
        <w:rPr>
          <w:rFonts w:hint="eastAsia" w:ascii="黑体" w:hAnsi="黑体" w:eastAsia="黑体" w:cs="黑体"/>
          <w:b/>
          <w:color w:val="auto"/>
          <w:highlight w:val="none"/>
        </w:rPr>
        <w:t>致：广东有德招标采购有限公司</w:t>
      </w:r>
    </w:p>
    <w:tbl>
      <w:tblPr>
        <w:tblStyle w:val="20"/>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81"/>
        <w:gridCol w:w="5886"/>
      </w:tblGrid>
      <w:tr w14:paraId="726788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2"/>
          </w:tcPr>
          <w:p w14:paraId="40074825">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同志，现任我单位</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职务，为法定代表人，特此证明。</w:t>
            </w:r>
          </w:p>
        </w:tc>
      </w:tr>
      <w:tr w14:paraId="462483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91" w:hRule="atLeast"/>
          <w:jc w:val="center"/>
        </w:trPr>
        <w:tc>
          <w:tcPr>
            <w:tcW w:w="5000" w:type="pct"/>
            <w:gridSpan w:val="2"/>
          </w:tcPr>
          <w:p w14:paraId="08F47CB8">
            <w:pPr>
              <w:spacing w:line="360" w:lineRule="auto"/>
              <w:rPr>
                <w:rFonts w:hint="eastAsia" w:ascii="黑体" w:hAnsi="黑体" w:eastAsia="黑体" w:cs="黑体"/>
                <w:color w:val="auto"/>
                <w:szCs w:val="21"/>
                <w:highlight w:val="none"/>
              </w:rPr>
            </w:pPr>
          </w:p>
          <w:p w14:paraId="26616727">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附：</w:t>
            </w:r>
          </w:p>
          <w:p w14:paraId="01BF0183">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 xml:space="preserve">代表人性别：    </w:t>
            </w:r>
          </w:p>
          <w:p w14:paraId="17A9B6DD">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 xml:space="preserve">身份证号码： </w:t>
            </w:r>
          </w:p>
          <w:p w14:paraId="64D8FF92">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 xml:space="preserve">联系电话：  </w:t>
            </w:r>
          </w:p>
          <w:p w14:paraId="73D17939">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 xml:space="preserve">主营（产）：            </w:t>
            </w:r>
          </w:p>
        </w:tc>
      </w:tr>
      <w:tr w14:paraId="4AE012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4" w:hRule="atLeast"/>
          <w:jc w:val="center"/>
        </w:trPr>
        <w:tc>
          <w:tcPr>
            <w:tcW w:w="5000" w:type="pct"/>
            <w:gridSpan w:val="2"/>
          </w:tcPr>
          <w:p w14:paraId="01CA59B5">
            <w:pPr>
              <w:spacing w:line="360" w:lineRule="auto"/>
              <w:rPr>
                <w:rFonts w:hint="eastAsia" w:ascii="黑体" w:hAnsi="黑体" w:eastAsia="黑体" w:cs="黑体"/>
                <w:color w:val="auto"/>
                <w:szCs w:val="21"/>
                <w:highlight w:val="none"/>
              </w:rPr>
            </w:pPr>
          </w:p>
        </w:tc>
      </w:tr>
      <w:tr w14:paraId="301A4B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43" w:type="pct"/>
          </w:tcPr>
          <w:p w14:paraId="1140F5F8">
            <w:pPr>
              <w:spacing w:line="360" w:lineRule="auto"/>
              <w:rPr>
                <w:rFonts w:hint="eastAsia" w:ascii="黑体" w:hAnsi="黑体" w:eastAsia="黑体" w:cs="黑体"/>
                <w:color w:val="auto"/>
                <w:szCs w:val="21"/>
                <w:highlight w:val="none"/>
              </w:rPr>
            </w:pPr>
          </w:p>
        </w:tc>
        <w:tc>
          <w:tcPr>
            <w:tcW w:w="3357" w:type="pct"/>
          </w:tcPr>
          <w:p w14:paraId="0428E65E">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投标人名称（加盖公章）：</w:t>
            </w:r>
            <w:r>
              <w:rPr>
                <w:rFonts w:hint="eastAsia" w:ascii="黑体" w:hAnsi="黑体" w:eastAsia="黑体" w:cs="黑体"/>
                <w:color w:val="auto"/>
                <w:szCs w:val="21"/>
                <w:highlight w:val="none"/>
                <w:u w:val="single"/>
              </w:rPr>
              <w:t xml:space="preserve">                             </w:t>
            </w:r>
          </w:p>
        </w:tc>
      </w:tr>
      <w:tr w14:paraId="73D640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43" w:type="pct"/>
          </w:tcPr>
          <w:p w14:paraId="7BC61C22">
            <w:pPr>
              <w:spacing w:line="360" w:lineRule="auto"/>
              <w:rPr>
                <w:rFonts w:hint="eastAsia" w:ascii="黑体" w:hAnsi="黑体" w:eastAsia="黑体" w:cs="黑体"/>
                <w:color w:val="auto"/>
                <w:szCs w:val="21"/>
                <w:highlight w:val="none"/>
              </w:rPr>
            </w:pPr>
          </w:p>
        </w:tc>
        <w:tc>
          <w:tcPr>
            <w:tcW w:w="3357" w:type="pct"/>
          </w:tcPr>
          <w:p w14:paraId="7A323989">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法定代表人（签名或盖私章）：</w:t>
            </w:r>
            <w:r>
              <w:rPr>
                <w:rFonts w:hint="eastAsia" w:ascii="黑体" w:hAnsi="黑体" w:eastAsia="黑体" w:cs="黑体"/>
                <w:color w:val="auto"/>
                <w:szCs w:val="21"/>
                <w:highlight w:val="none"/>
                <w:u w:val="single"/>
              </w:rPr>
              <w:t xml:space="preserve">                         </w:t>
            </w:r>
          </w:p>
        </w:tc>
      </w:tr>
      <w:tr w14:paraId="65A107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43" w:type="pct"/>
          </w:tcPr>
          <w:p w14:paraId="7D6C6883">
            <w:pPr>
              <w:spacing w:line="360" w:lineRule="auto"/>
              <w:rPr>
                <w:rFonts w:hint="eastAsia" w:ascii="黑体" w:hAnsi="黑体" w:eastAsia="黑体" w:cs="黑体"/>
                <w:color w:val="auto"/>
                <w:szCs w:val="21"/>
                <w:highlight w:val="none"/>
              </w:rPr>
            </w:pPr>
          </w:p>
        </w:tc>
        <w:tc>
          <w:tcPr>
            <w:tcW w:w="3357" w:type="pct"/>
          </w:tcPr>
          <w:p w14:paraId="42F25483">
            <w:pPr>
              <w:spacing w:after="312" w:afterLines="100"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日期：</w:t>
            </w:r>
            <w:r>
              <w:rPr>
                <w:rFonts w:hint="eastAsia" w:ascii="黑体" w:hAnsi="黑体" w:eastAsia="黑体" w:cs="黑体"/>
                <w:color w:val="auto"/>
                <w:szCs w:val="21"/>
                <w:highlight w:val="none"/>
                <w:u w:val="single"/>
              </w:rPr>
              <w:t xml:space="preserve">             年             月              日</w:t>
            </w:r>
          </w:p>
        </w:tc>
      </w:tr>
    </w:tbl>
    <w:p w14:paraId="6D9EE32E">
      <w:pPr>
        <w:spacing w:before="156" w:beforeLines="50" w:after="156" w:afterLines="50"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须附：法定代表人有效期内身份证复印件</w:t>
      </w:r>
    </w:p>
    <w:tbl>
      <w:tblPr>
        <w:tblStyle w:val="19"/>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383"/>
        <w:gridCol w:w="4384"/>
      </w:tblGrid>
      <w:tr w14:paraId="05A477C1">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1833" w:hRule="atLeast"/>
          <w:jc w:val="center"/>
        </w:trPr>
        <w:tc>
          <w:tcPr>
            <w:tcW w:w="2500" w:type="pct"/>
            <w:vAlign w:val="center"/>
          </w:tcPr>
          <w:p w14:paraId="037E54E0">
            <w:pPr>
              <w:pStyle w:val="35"/>
              <w:spacing w:line="460" w:lineRule="exact"/>
              <w:ind w:firstLine="0" w:firstLineChars="0"/>
              <w:jc w:val="center"/>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正面</w:t>
            </w:r>
          </w:p>
        </w:tc>
        <w:tc>
          <w:tcPr>
            <w:tcW w:w="2500" w:type="pct"/>
            <w:vAlign w:val="center"/>
          </w:tcPr>
          <w:p w14:paraId="208ABDEA">
            <w:pPr>
              <w:pStyle w:val="35"/>
              <w:spacing w:line="460" w:lineRule="exact"/>
              <w:ind w:firstLine="0" w:firstLineChars="0"/>
              <w:jc w:val="center"/>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背面</w:t>
            </w:r>
          </w:p>
        </w:tc>
      </w:tr>
    </w:tbl>
    <w:p w14:paraId="1192CE01">
      <w:pPr>
        <w:spacing w:before="156" w:beforeLines="50" w:after="93" w:afterLines="30" w:line="360" w:lineRule="auto"/>
        <w:rPr>
          <w:rFonts w:hint="eastAsia" w:ascii="黑体" w:hAnsi="黑体" w:eastAsia="黑体" w:cs="黑体"/>
          <w:color w:val="auto"/>
          <w:szCs w:val="21"/>
          <w:highlight w:val="none"/>
        </w:rPr>
      </w:pPr>
    </w:p>
    <w:p w14:paraId="47F5BA41">
      <w:pPr>
        <w:pStyle w:val="29"/>
        <w:pageBreakBefore/>
        <w:numPr>
          <w:ilvl w:val="0"/>
          <w:numId w:val="84"/>
        </w:numPr>
        <w:tabs>
          <w:tab w:val="left" w:pos="284"/>
          <w:tab w:val="left" w:pos="567"/>
          <w:tab w:val="left" w:pos="709"/>
        </w:tabs>
        <w:ind w:left="1679" w:hanging="1537" w:firstLineChars="0"/>
        <w:jc w:val="left"/>
        <w:rPr>
          <w:rFonts w:hint="eastAsia" w:ascii="黑体" w:hAnsi="黑体" w:eastAsia="黑体" w:cs="黑体"/>
          <w:b/>
          <w:bCs/>
          <w:color w:val="auto"/>
          <w:highlight w:val="none"/>
        </w:rPr>
      </w:pPr>
      <w:bookmarkStart w:id="88" w:name="_Toc405313963"/>
      <w:bookmarkStart w:id="89" w:name="_Toc391627759"/>
      <w:r>
        <w:rPr>
          <w:rFonts w:hint="eastAsia" w:ascii="黑体" w:hAnsi="黑体" w:eastAsia="黑体" w:cs="黑体"/>
          <w:b/>
          <w:bCs/>
          <w:color w:val="auto"/>
          <w:highlight w:val="none"/>
        </w:rPr>
        <w:t>法定代表人授权委托书</w:t>
      </w:r>
      <w:bookmarkEnd w:id="88"/>
      <w:bookmarkEnd w:id="89"/>
    </w:p>
    <w:p w14:paraId="38F72ACD">
      <w:pPr>
        <w:spacing w:before="156" w:beforeLines="50" w:after="156" w:afterLines="50" w:line="360" w:lineRule="auto"/>
        <w:jc w:val="center"/>
        <w:rPr>
          <w:rFonts w:hint="eastAsia" w:ascii="黑体" w:hAnsi="黑体" w:eastAsia="黑体" w:cs="黑体"/>
          <w:b/>
          <w:color w:val="auto"/>
          <w:spacing w:val="20"/>
          <w:sz w:val="30"/>
          <w:szCs w:val="30"/>
          <w:highlight w:val="none"/>
        </w:rPr>
      </w:pPr>
      <w:r>
        <w:rPr>
          <w:rFonts w:hint="eastAsia" w:ascii="黑体" w:hAnsi="黑体" w:eastAsia="黑体" w:cs="黑体"/>
          <w:b/>
          <w:color w:val="auto"/>
          <w:spacing w:val="20"/>
          <w:sz w:val="30"/>
          <w:szCs w:val="30"/>
          <w:highlight w:val="none"/>
        </w:rPr>
        <w:t>法定代表人授权委托书</w:t>
      </w:r>
    </w:p>
    <w:p w14:paraId="7D31D67B">
      <w:pPr>
        <w:spacing w:before="468" w:beforeLines="150" w:after="312" w:afterLines="100" w:line="360" w:lineRule="auto"/>
        <w:rPr>
          <w:rFonts w:hint="eastAsia" w:ascii="黑体" w:hAnsi="黑体" w:eastAsia="黑体" w:cs="黑体"/>
          <w:b/>
          <w:color w:val="auto"/>
          <w:highlight w:val="none"/>
        </w:rPr>
      </w:pPr>
      <w:r>
        <w:rPr>
          <w:rFonts w:hint="eastAsia" w:ascii="黑体" w:hAnsi="黑体" w:eastAsia="黑体" w:cs="黑体"/>
          <w:b/>
          <w:color w:val="auto"/>
          <w:highlight w:val="none"/>
        </w:rPr>
        <w:t>致：广东有德招标采购有限公司</w:t>
      </w:r>
    </w:p>
    <w:p w14:paraId="7BFE2EFB">
      <w:pPr>
        <w:pStyle w:val="35"/>
        <w:spacing w:line="360" w:lineRule="auto"/>
        <w:ind w:firstLine="450"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本人</w:t>
      </w:r>
      <w:r>
        <w:rPr>
          <w:rFonts w:hint="eastAsia" w:ascii="黑体" w:hAnsi="黑体" w:eastAsia="黑体" w:cs="黑体"/>
          <w:color w:val="auto"/>
          <w:sz w:val="21"/>
          <w:szCs w:val="21"/>
          <w:highlight w:val="none"/>
          <w:u w:val="single"/>
        </w:rPr>
        <w:t xml:space="preserve">   （姓名）  </w:t>
      </w:r>
      <w:r>
        <w:rPr>
          <w:rFonts w:hint="eastAsia" w:ascii="黑体" w:hAnsi="黑体" w:eastAsia="黑体" w:cs="黑体"/>
          <w:color w:val="auto"/>
          <w:sz w:val="21"/>
          <w:szCs w:val="21"/>
          <w:highlight w:val="none"/>
        </w:rPr>
        <w:t>系</w:t>
      </w:r>
      <w:r>
        <w:rPr>
          <w:rFonts w:hint="eastAsia" w:ascii="黑体" w:hAnsi="黑体" w:eastAsia="黑体" w:cs="黑体"/>
          <w:color w:val="auto"/>
          <w:sz w:val="21"/>
          <w:szCs w:val="21"/>
          <w:highlight w:val="none"/>
          <w:u w:val="single"/>
        </w:rPr>
        <w:t xml:space="preserve">     （投标人名称）    </w:t>
      </w:r>
      <w:r>
        <w:rPr>
          <w:rFonts w:hint="eastAsia" w:ascii="黑体" w:hAnsi="黑体" w:eastAsia="黑体" w:cs="黑体"/>
          <w:color w:val="auto"/>
          <w:sz w:val="21"/>
          <w:szCs w:val="21"/>
          <w:highlight w:val="none"/>
        </w:rPr>
        <w:t>的法定代表人，现委托</w:t>
      </w:r>
      <w:r>
        <w:rPr>
          <w:rFonts w:hint="eastAsia" w:ascii="黑体" w:hAnsi="黑体" w:eastAsia="黑体" w:cs="黑体"/>
          <w:color w:val="auto"/>
          <w:sz w:val="21"/>
          <w:szCs w:val="21"/>
          <w:highlight w:val="none"/>
          <w:u w:val="single"/>
        </w:rPr>
        <w:t xml:space="preserve"> （姓名） </w:t>
      </w:r>
      <w:r>
        <w:rPr>
          <w:rFonts w:hint="eastAsia" w:ascii="黑体" w:hAnsi="黑体" w:eastAsia="黑体" w:cs="黑体"/>
          <w:color w:val="auto"/>
          <w:sz w:val="21"/>
          <w:szCs w:val="21"/>
          <w:highlight w:val="none"/>
        </w:rPr>
        <w:t>为我方合法代理人。代理人根据授权，以我方名义签署、澄清、说明、补正、递交、撤回、修改</w:t>
      </w:r>
      <w:r>
        <w:rPr>
          <w:rFonts w:hint="eastAsia" w:ascii="黑体" w:hAnsi="黑体" w:eastAsia="黑体" w:cs="黑体"/>
          <w:color w:val="auto"/>
          <w:sz w:val="21"/>
          <w:szCs w:val="21"/>
          <w:highlight w:val="none"/>
          <w:u w:val="single"/>
        </w:rPr>
        <w:t xml:space="preserve">          （项目名称）      </w:t>
      </w:r>
      <w:r>
        <w:rPr>
          <w:rFonts w:hint="eastAsia" w:ascii="黑体" w:hAnsi="黑体" w:eastAsia="黑体" w:cs="黑体"/>
          <w:color w:val="auto"/>
          <w:sz w:val="21"/>
          <w:szCs w:val="21"/>
          <w:highlight w:val="none"/>
        </w:rPr>
        <w:t>（项目编号：</w:t>
      </w:r>
      <w:r>
        <w:rPr>
          <w:rFonts w:hint="eastAsia" w:ascii="黑体" w:hAnsi="黑体" w:eastAsia="黑体" w:cs="黑体"/>
          <w:color w:val="auto"/>
          <w:sz w:val="21"/>
          <w:szCs w:val="21"/>
          <w:highlight w:val="none"/>
          <w:u w:val="single"/>
        </w:rPr>
        <w:t>　　     　</w:t>
      </w:r>
      <w:r>
        <w:rPr>
          <w:rFonts w:hint="eastAsia" w:ascii="黑体" w:hAnsi="黑体" w:eastAsia="黑体" w:cs="黑体"/>
          <w:color w:val="auto"/>
          <w:sz w:val="21"/>
          <w:szCs w:val="21"/>
          <w:highlight w:val="none"/>
        </w:rPr>
        <w:t>）投标文件、签订合同和处理有关事宜，其法律后果由我方承担。</w:t>
      </w:r>
    </w:p>
    <w:p w14:paraId="615D4E97">
      <w:pPr>
        <w:pStyle w:val="35"/>
        <w:spacing w:line="360" w:lineRule="auto"/>
        <w:ind w:firstLine="428" w:firstLineChars="204"/>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本委托书于</w:t>
      </w:r>
      <w:r>
        <w:rPr>
          <w:rFonts w:hint="eastAsia" w:ascii="黑体" w:hAnsi="黑体" w:eastAsia="黑体" w:cs="黑体"/>
          <w:color w:val="auto"/>
          <w:sz w:val="21"/>
          <w:szCs w:val="21"/>
          <w:highlight w:val="none"/>
          <w:u w:val="single"/>
        </w:rPr>
        <w:t xml:space="preserve">　    </w:t>
      </w:r>
      <w:r>
        <w:rPr>
          <w:rFonts w:hint="eastAsia" w:ascii="黑体" w:hAnsi="黑体" w:eastAsia="黑体" w:cs="黑体"/>
          <w:color w:val="auto"/>
          <w:sz w:val="21"/>
          <w:szCs w:val="21"/>
          <w:highlight w:val="none"/>
        </w:rPr>
        <w:t>年</w:t>
      </w:r>
      <w:r>
        <w:rPr>
          <w:rFonts w:hint="eastAsia" w:ascii="黑体" w:hAnsi="黑体" w:eastAsia="黑体" w:cs="黑体"/>
          <w:color w:val="auto"/>
          <w:sz w:val="21"/>
          <w:szCs w:val="21"/>
          <w:highlight w:val="none"/>
          <w:u w:val="single"/>
        </w:rPr>
        <w:t xml:space="preserve">　 </w:t>
      </w:r>
      <w:r>
        <w:rPr>
          <w:rFonts w:hint="eastAsia" w:ascii="黑体" w:hAnsi="黑体" w:eastAsia="黑体" w:cs="黑体"/>
          <w:color w:val="auto"/>
          <w:sz w:val="21"/>
          <w:szCs w:val="21"/>
          <w:highlight w:val="none"/>
        </w:rPr>
        <w:t>月</w:t>
      </w:r>
      <w:r>
        <w:rPr>
          <w:rFonts w:hint="eastAsia" w:ascii="黑体" w:hAnsi="黑体" w:eastAsia="黑体" w:cs="黑体"/>
          <w:color w:val="auto"/>
          <w:sz w:val="21"/>
          <w:szCs w:val="21"/>
          <w:highlight w:val="none"/>
          <w:u w:val="single"/>
        </w:rPr>
        <w:t xml:space="preserve">　 </w:t>
      </w:r>
      <w:r>
        <w:rPr>
          <w:rFonts w:hint="eastAsia" w:ascii="黑体" w:hAnsi="黑体" w:eastAsia="黑体" w:cs="黑体"/>
          <w:color w:val="auto"/>
          <w:sz w:val="21"/>
          <w:szCs w:val="21"/>
          <w:highlight w:val="none"/>
        </w:rPr>
        <w:t>日签字生效，特此证明。</w:t>
      </w:r>
    </w:p>
    <w:p w14:paraId="539CD6FD">
      <w:pPr>
        <w:pStyle w:val="35"/>
        <w:spacing w:line="360" w:lineRule="auto"/>
        <w:ind w:firstLine="428" w:firstLineChars="204"/>
        <w:rPr>
          <w:rFonts w:hint="eastAsia" w:ascii="黑体" w:hAnsi="黑体" w:eastAsia="黑体" w:cs="黑体"/>
          <w:color w:val="auto"/>
          <w:sz w:val="21"/>
          <w:szCs w:val="21"/>
          <w:highlight w:val="none"/>
        </w:rPr>
      </w:pPr>
    </w:p>
    <w:p w14:paraId="42F08379">
      <w:pPr>
        <w:pStyle w:val="35"/>
        <w:spacing w:line="360" w:lineRule="auto"/>
        <w:ind w:firstLine="0" w:firstLineChars="0"/>
        <w:rPr>
          <w:rFonts w:hint="eastAsia" w:ascii="黑体" w:hAnsi="黑体" w:eastAsia="黑体" w:cs="黑体"/>
          <w:color w:val="auto"/>
          <w:sz w:val="21"/>
          <w:szCs w:val="21"/>
          <w:highlight w:val="none"/>
        </w:rPr>
      </w:pPr>
    </w:p>
    <w:p w14:paraId="1FF09173">
      <w:pPr>
        <w:pStyle w:val="35"/>
        <w:spacing w:line="360" w:lineRule="auto"/>
        <w:ind w:firstLine="0" w:firstLineChars="0"/>
        <w:rPr>
          <w:rFonts w:hint="eastAsia" w:ascii="黑体" w:hAnsi="黑体" w:eastAsia="黑体" w:cs="黑体"/>
          <w:color w:val="auto"/>
          <w:sz w:val="21"/>
          <w:szCs w:val="21"/>
          <w:highlight w:val="none"/>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02"/>
        <w:gridCol w:w="5726"/>
      </w:tblGrid>
      <w:tr w14:paraId="3B55D6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14:paraId="6B08B01B">
            <w:pPr>
              <w:pStyle w:val="35"/>
              <w:spacing w:line="360" w:lineRule="auto"/>
              <w:ind w:firstLine="0" w:firstLineChars="0"/>
              <w:rPr>
                <w:rFonts w:hint="eastAsia" w:ascii="黑体" w:hAnsi="黑体" w:eastAsia="黑体" w:cs="黑体"/>
                <w:color w:val="auto"/>
                <w:sz w:val="21"/>
                <w:szCs w:val="21"/>
                <w:highlight w:val="none"/>
              </w:rPr>
            </w:pPr>
          </w:p>
        </w:tc>
        <w:tc>
          <w:tcPr>
            <w:tcW w:w="5726" w:type="dxa"/>
          </w:tcPr>
          <w:p w14:paraId="4758F903">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投标人名称（加盖公章）：</w:t>
            </w:r>
            <w:r>
              <w:rPr>
                <w:rFonts w:hint="eastAsia" w:ascii="黑体" w:hAnsi="黑体" w:eastAsia="黑体" w:cs="黑体"/>
                <w:color w:val="auto"/>
                <w:szCs w:val="21"/>
                <w:highlight w:val="none"/>
                <w:u w:val="single"/>
              </w:rPr>
              <w:t xml:space="preserve">                             </w:t>
            </w:r>
          </w:p>
        </w:tc>
      </w:tr>
      <w:tr w14:paraId="7169EB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14:paraId="66FFF679">
            <w:pPr>
              <w:pStyle w:val="35"/>
              <w:spacing w:line="360" w:lineRule="auto"/>
              <w:ind w:firstLine="0" w:firstLineChars="0"/>
              <w:rPr>
                <w:rFonts w:hint="eastAsia" w:ascii="黑体" w:hAnsi="黑体" w:eastAsia="黑体" w:cs="黑体"/>
                <w:color w:val="auto"/>
                <w:sz w:val="21"/>
                <w:szCs w:val="21"/>
                <w:highlight w:val="none"/>
              </w:rPr>
            </w:pPr>
          </w:p>
        </w:tc>
        <w:tc>
          <w:tcPr>
            <w:tcW w:w="5726" w:type="dxa"/>
          </w:tcPr>
          <w:p w14:paraId="049F6171">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法定代表人（签名或盖私章）：</w:t>
            </w:r>
            <w:r>
              <w:rPr>
                <w:rFonts w:hint="eastAsia" w:ascii="黑体" w:hAnsi="黑体" w:eastAsia="黑体" w:cs="黑体"/>
                <w:color w:val="auto"/>
                <w:szCs w:val="21"/>
                <w:highlight w:val="none"/>
                <w:u w:val="single"/>
              </w:rPr>
              <w:t xml:space="preserve">                         </w:t>
            </w:r>
          </w:p>
        </w:tc>
      </w:tr>
      <w:tr w14:paraId="672661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14:paraId="077FDAE6">
            <w:pPr>
              <w:pStyle w:val="35"/>
              <w:spacing w:line="360" w:lineRule="auto"/>
              <w:ind w:firstLine="0" w:firstLineChars="0"/>
              <w:rPr>
                <w:rFonts w:hint="eastAsia" w:ascii="黑体" w:hAnsi="黑体" w:eastAsia="黑体" w:cs="黑体"/>
                <w:color w:val="auto"/>
                <w:sz w:val="21"/>
                <w:szCs w:val="21"/>
                <w:highlight w:val="none"/>
              </w:rPr>
            </w:pPr>
          </w:p>
        </w:tc>
        <w:tc>
          <w:tcPr>
            <w:tcW w:w="5726" w:type="dxa"/>
          </w:tcPr>
          <w:p w14:paraId="4EFD5157">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职务：</w:t>
            </w:r>
            <w:r>
              <w:rPr>
                <w:rFonts w:hint="eastAsia" w:ascii="黑体" w:hAnsi="黑体" w:eastAsia="黑体" w:cs="黑体"/>
                <w:color w:val="auto"/>
                <w:szCs w:val="21"/>
                <w:highlight w:val="none"/>
                <w:u w:val="single"/>
              </w:rPr>
              <w:t xml:space="preserve">                                              </w:t>
            </w:r>
          </w:p>
        </w:tc>
      </w:tr>
      <w:tr w14:paraId="68983C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14:paraId="4680F936">
            <w:pPr>
              <w:pStyle w:val="35"/>
              <w:spacing w:line="360" w:lineRule="auto"/>
              <w:ind w:firstLine="0" w:firstLineChars="0"/>
              <w:rPr>
                <w:rFonts w:hint="eastAsia" w:ascii="黑体" w:hAnsi="黑体" w:eastAsia="黑体" w:cs="黑体"/>
                <w:color w:val="auto"/>
                <w:sz w:val="21"/>
                <w:szCs w:val="21"/>
                <w:highlight w:val="none"/>
              </w:rPr>
            </w:pPr>
          </w:p>
        </w:tc>
        <w:tc>
          <w:tcPr>
            <w:tcW w:w="5726" w:type="dxa"/>
          </w:tcPr>
          <w:p w14:paraId="5CE56D20">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被授权人（签名或盖私章）：</w:t>
            </w:r>
            <w:r>
              <w:rPr>
                <w:rFonts w:hint="eastAsia" w:ascii="黑体" w:hAnsi="黑体" w:eastAsia="黑体" w:cs="黑体"/>
                <w:color w:val="auto"/>
                <w:szCs w:val="21"/>
                <w:highlight w:val="none"/>
                <w:u w:val="single"/>
              </w:rPr>
              <w:t xml:space="preserve">                           </w:t>
            </w:r>
          </w:p>
        </w:tc>
      </w:tr>
      <w:tr w14:paraId="12E0E7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14:paraId="335C3002">
            <w:pPr>
              <w:pStyle w:val="35"/>
              <w:spacing w:line="360" w:lineRule="auto"/>
              <w:ind w:firstLine="0" w:firstLineChars="0"/>
              <w:rPr>
                <w:rFonts w:hint="eastAsia" w:ascii="黑体" w:hAnsi="黑体" w:eastAsia="黑体" w:cs="黑体"/>
                <w:color w:val="auto"/>
                <w:sz w:val="21"/>
                <w:szCs w:val="21"/>
                <w:highlight w:val="none"/>
              </w:rPr>
            </w:pPr>
          </w:p>
        </w:tc>
        <w:tc>
          <w:tcPr>
            <w:tcW w:w="5726" w:type="dxa"/>
          </w:tcPr>
          <w:p w14:paraId="72AA85EE">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职务：</w:t>
            </w:r>
            <w:r>
              <w:rPr>
                <w:rFonts w:hint="eastAsia" w:ascii="黑体" w:hAnsi="黑体" w:eastAsia="黑体" w:cs="黑体"/>
                <w:color w:val="auto"/>
                <w:szCs w:val="21"/>
                <w:highlight w:val="none"/>
                <w:u w:val="single"/>
              </w:rPr>
              <w:t xml:space="preserve">                                              </w:t>
            </w:r>
          </w:p>
        </w:tc>
      </w:tr>
      <w:tr w14:paraId="5352CE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14:paraId="590CFDFE">
            <w:pPr>
              <w:pStyle w:val="35"/>
              <w:spacing w:line="360" w:lineRule="auto"/>
              <w:ind w:firstLine="0" w:firstLineChars="0"/>
              <w:rPr>
                <w:rFonts w:hint="eastAsia" w:ascii="黑体" w:hAnsi="黑体" w:eastAsia="黑体" w:cs="黑体"/>
                <w:color w:val="auto"/>
                <w:sz w:val="21"/>
                <w:szCs w:val="21"/>
                <w:highlight w:val="none"/>
              </w:rPr>
            </w:pPr>
          </w:p>
        </w:tc>
        <w:tc>
          <w:tcPr>
            <w:tcW w:w="5726" w:type="dxa"/>
          </w:tcPr>
          <w:p w14:paraId="6278E76B">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日期：</w:t>
            </w:r>
            <w:r>
              <w:rPr>
                <w:rFonts w:hint="eastAsia" w:ascii="黑体" w:hAnsi="黑体" w:eastAsia="黑体" w:cs="黑体"/>
                <w:color w:val="auto"/>
                <w:szCs w:val="21"/>
                <w:highlight w:val="none"/>
                <w:u w:val="single"/>
              </w:rPr>
              <w:t xml:space="preserve">         年         月         日</w:t>
            </w:r>
          </w:p>
        </w:tc>
      </w:tr>
    </w:tbl>
    <w:p w14:paraId="2ABBD004">
      <w:pPr>
        <w:pStyle w:val="35"/>
        <w:spacing w:line="360" w:lineRule="auto"/>
        <w:ind w:firstLine="0" w:firstLineChars="0"/>
        <w:rPr>
          <w:rFonts w:hint="eastAsia" w:ascii="黑体" w:hAnsi="黑体" w:eastAsia="黑体" w:cs="黑体"/>
          <w:color w:val="auto"/>
          <w:sz w:val="21"/>
          <w:szCs w:val="21"/>
          <w:highlight w:val="none"/>
        </w:rPr>
      </w:pPr>
    </w:p>
    <w:p w14:paraId="0227EA1F">
      <w:pPr>
        <w:pStyle w:val="35"/>
        <w:spacing w:line="360" w:lineRule="auto"/>
        <w:ind w:firstLine="0" w:firstLineChars="0"/>
        <w:rPr>
          <w:rFonts w:hint="eastAsia" w:ascii="黑体" w:hAnsi="黑体" w:eastAsia="黑体" w:cs="黑体"/>
          <w:color w:val="auto"/>
          <w:sz w:val="21"/>
          <w:szCs w:val="21"/>
          <w:highlight w:val="none"/>
        </w:rPr>
      </w:pPr>
    </w:p>
    <w:p w14:paraId="504D515F">
      <w:pPr>
        <w:spacing w:after="156" w:afterLines="50"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须附：被授权人有效期内身份证复印件</w:t>
      </w:r>
    </w:p>
    <w:tbl>
      <w:tblPr>
        <w:tblStyle w:val="19"/>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383"/>
        <w:gridCol w:w="4384"/>
      </w:tblGrid>
      <w:tr w14:paraId="6389F83E">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310" w:hRule="atLeast"/>
          <w:jc w:val="center"/>
        </w:trPr>
        <w:tc>
          <w:tcPr>
            <w:tcW w:w="2500" w:type="pct"/>
            <w:vAlign w:val="center"/>
          </w:tcPr>
          <w:p w14:paraId="41378680">
            <w:pPr>
              <w:pStyle w:val="35"/>
              <w:spacing w:line="460" w:lineRule="exact"/>
              <w:ind w:firstLine="0" w:firstLineChars="0"/>
              <w:jc w:val="center"/>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正面</w:t>
            </w:r>
          </w:p>
        </w:tc>
        <w:tc>
          <w:tcPr>
            <w:tcW w:w="2500" w:type="pct"/>
            <w:vAlign w:val="center"/>
          </w:tcPr>
          <w:p w14:paraId="0A2FB6F1">
            <w:pPr>
              <w:pStyle w:val="35"/>
              <w:spacing w:line="460" w:lineRule="exact"/>
              <w:ind w:firstLine="0" w:firstLineChars="0"/>
              <w:jc w:val="center"/>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背面</w:t>
            </w:r>
          </w:p>
        </w:tc>
      </w:tr>
    </w:tbl>
    <w:p w14:paraId="3F05414F">
      <w:pPr>
        <w:pStyle w:val="29"/>
        <w:pageBreakBefore/>
        <w:numPr>
          <w:ilvl w:val="0"/>
          <w:numId w:val="84"/>
        </w:numPr>
        <w:tabs>
          <w:tab w:val="left" w:pos="284"/>
          <w:tab w:val="left" w:pos="426"/>
        </w:tabs>
        <w:ind w:left="1679" w:hanging="1679" w:firstLineChars="0"/>
        <w:jc w:val="left"/>
        <w:rPr>
          <w:rFonts w:hint="eastAsia" w:ascii="黑体" w:hAnsi="黑体" w:eastAsia="黑体" w:cs="黑体"/>
          <w:b/>
          <w:bCs/>
          <w:color w:val="auto"/>
          <w:highlight w:val="none"/>
        </w:rPr>
      </w:pPr>
      <w:bookmarkStart w:id="90" w:name="_Toc405313964"/>
      <w:bookmarkStart w:id="91" w:name="_Toc391627760"/>
      <w:r>
        <w:rPr>
          <w:rFonts w:hint="eastAsia" w:ascii="黑体" w:hAnsi="黑体" w:eastAsia="黑体" w:cs="黑体"/>
          <w:b/>
          <w:bCs/>
          <w:color w:val="auto"/>
          <w:highlight w:val="none"/>
        </w:rPr>
        <w:t>投标人基本情况说明</w:t>
      </w:r>
      <w:bookmarkEnd w:id="90"/>
      <w:bookmarkEnd w:id="91"/>
    </w:p>
    <w:p w14:paraId="47A744EC">
      <w:pPr>
        <w:spacing w:before="156" w:beforeLines="50" w:after="156" w:afterLines="50" w:line="360" w:lineRule="auto"/>
        <w:jc w:val="center"/>
        <w:rPr>
          <w:rFonts w:hint="eastAsia" w:ascii="黑体" w:hAnsi="黑体" w:eastAsia="黑体" w:cs="黑体"/>
          <w:b/>
          <w:color w:val="auto"/>
          <w:spacing w:val="20"/>
          <w:sz w:val="30"/>
          <w:szCs w:val="30"/>
          <w:highlight w:val="none"/>
        </w:rPr>
      </w:pPr>
      <w:r>
        <w:rPr>
          <w:rFonts w:hint="eastAsia" w:ascii="黑体" w:hAnsi="黑体" w:eastAsia="黑体" w:cs="黑体"/>
          <w:b/>
          <w:color w:val="auto"/>
          <w:spacing w:val="20"/>
          <w:sz w:val="30"/>
          <w:szCs w:val="30"/>
          <w:highlight w:val="none"/>
        </w:rPr>
        <w:t>投标人基本情况说明</w:t>
      </w:r>
    </w:p>
    <w:p w14:paraId="770BE7AD">
      <w:pPr>
        <w:pStyle w:val="29"/>
        <w:numPr>
          <w:ilvl w:val="0"/>
          <w:numId w:val="92"/>
        </w:numPr>
        <w:spacing w:after="156" w:afterLines="50"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公司基本情况</w:t>
      </w:r>
    </w:p>
    <w:tbl>
      <w:tblPr>
        <w:tblStyle w:val="20"/>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753"/>
        <w:gridCol w:w="2439"/>
        <w:gridCol w:w="1068"/>
        <w:gridCol w:w="1410"/>
        <w:gridCol w:w="2097"/>
      </w:tblGrid>
      <w:tr w14:paraId="5C2222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00" w:type="pct"/>
            <w:gridSpan w:val="3"/>
          </w:tcPr>
          <w:p w14:paraId="1EC3BECD">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公司名称：</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 xml:space="preserve"> </w:t>
            </w:r>
          </w:p>
        </w:tc>
        <w:tc>
          <w:tcPr>
            <w:tcW w:w="2000" w:type="pct"/>
            <w:gridSpan w:val="2"/>
          </w:tcPr>
          <w:p w14:paraId="567B8820">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公司固话：</w:t>
            </w:r>
            <w:r>
              <w:rPr>
                <w:rFonts w:hint="eastAsia" w:ascii="黑体" w:hAnsi="黑体" w:eastAsia="黑体" w:cs="黑体"/>
                <w:color w:val="auto"/>
                <w:szCs w:val="21"/>
                <w:highlight w:val="none"/>
                <w:u w:val="single"/>
              </w:rPr>
              <w:t xml:space="preserve">                    </w:t>
            </w:r>
          </w:p>
        </w:tc>
      </w:tr>
      <w:tr w14:paraId="0FCE20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00" w:type="pct"/>
            <w:gridSpan w:val="3"/>
          </w:tcPr>
          <w:p w14:paraId="2498DB4E">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单位地址：</w:t>
            </w:r>
            <w:r>
              <w:rPr>
                <w:rFonts w:hint="eastAsia" w:ascii="黑体" w:hAnsi="黑体" w:eastAsia="黑体" w:cs="黑体"/>
                <w:color w:val="auto"/>
                <w:szCs w:val="21"/>
                <w:highlight w:val="none"/>
                <w:u w:val="single"/>
              </w:rPr>
              <w:t xml:space="preserve">                                    </w:t>
            </w:r>
          </w:p>
        </w:tc>
        <w:tc>
          <w:tcPr>
            <w:tcW w:w="2000" w:type="pct"/>
            <w:gridSpan w:val="2"/>
          </w:tcPr>
          <w:p w14:paraId="1722095E">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公司传真：</w:t>
            </w:r>
            <w:r>
              <w:rPr>
                <w:rFonts w:hint="eastAsia" w:ascii="黑体" w:hAnsi="黑体" w:eastAsia="黑体" w:cs="黑体"/>
                <w:color w:val="auto"/>
                <w:szCs w:val="21"/>
                <w:highlight w:val="none"/>
                <w:u w:val="single"/>
              </w:rPr>
              <w:t xml:space="preserve">                    </w:t>
            </w:r>
          </w:p>
        </w:tc>
      </w:tr>
      <w:tr w14:paraId="38DA74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00" w:type="pct"/>
            <w:gridSpan w:val="3"/>
          </w:tcPr>
          <w:p w14:paraId="71BA4346">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注册资金：</w:t>
            </w:r>
            <w:r>
              <w:rPr>
                <w:rFonts w:hint="eastAsia" w:ascii="黑体" w:hAnsi="黑体" w:eastAsia="黑体" w:cs="黑体"/>
                <w:color w:val="auto"/>
                <w:szCs w:val="21"/>
                <w:highlight w:val="none"/>
                <w:u w:val="single"/>
              </w:rPr>
              <w:t xml:space="preserve">                                    </w:t>
            </w:r>
          </w:p>
        </w:tc>
        <w:tc>
          <w:tcPr>
            <w:tcW w:w="2000" w:type="pct"/>
            <w:gridSpan w:val="2"/>
          </w:tcPr>
          <w:p w14:paraId="11B3C6B3">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单位性质：</w:t>
            </w:r>
            <w:r>
              <w:rPr>
                <w:rFonts w:hint="eastAsia" w:ascii="黑体" w:hAnsi="黑体" w:eastAsia="黑体" w:cs="黑体"/>
                <w:color w:val="auto"/>
                <w:szCs w:val="21"/>
                <w:highlight w:val="none"/>
                <w:u w:val="single"/>
              </w:rPr>
              <w:t xml:space="preserve">                    </w:t>
            </w:r>
          </w:p>
        </w:tc>
      </w:tr>
      <w:tr w14:paraId="3661EA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00" w:type="pct"/>
            <w:gridSpan w:val="3"/>
          </w:tcPr>
          <w:p w14:paraId="2FBA0A47">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公司开户银行名称：</w:t>
            </w:r>
            <w:r>
              <w:rPr>
                <w:rFonts w:hint="eastAsia" w:ascii="黑体" w:hAnsi="黑体" w:eastAsia="黑体" w:cs="黑体"/>
                <w:color w:val="auto"/>
                <w:szCs w:val="21"/>
                <w:highlight w:val="none"/>
                <w:u w:val="single"/>
              </w:rPr>
              <w:t xml:space="preserve">                            </w:t>
            </w:r>
          </w:p>
        </w:tc>
        <w:tc>
          <w:tcPr>
            <w:tcW w:w="2000" w:type="pct"/>
            <w:gridSpan w:val="2"/>
          </w:tcPr>
          <w:p w14:paraId="0F2916F2">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开户账号：</w:t>
            </w:r>
            <w:r>
              <w:rPr>
                <w:rFonts w:hint="eastAsia" w:ascii="黑体" w:hAnsi="黑体" w:eastAsia="黑体" w:cs="黑体"/>
                <w:color w:val="auto"/>
                <w:szCs w:val="21"/>
                <w:highlight w:val="none"/>
                <w:u w:val="single"/>
              </w:rPr>
              <w:t xml:space="preserve">                    </w:t>
            </w:r>
          </w:p>
        </w:tc>
      </w:tr>
      <w:tr w14:paraId="6EA312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5"/>
          </w:tcPr>
          <w:p w14:paraId="656F01C0">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营业注册执照或事业单位法人证书号：</w:t>
            </w:r>
            <w:r>
              <w:rPr>
                <w:rFonts w:hint="eastAsia" w:ascii="黑体" w:hAnsi="黑体" w:eastAsia="黑体" w:cs="黑体"/>
                <w:color w:val="auto"/>
                <w:szCs w:val="21"/>
                <w:highlight w:val="none"/>
                <w:u w:val="single"/>
              </w:rPr>
              <w:t xml:space="preserve">                                             </w:t>
            </w:r>
          </w:p>
        </w:tc>
      </w:tr>
      <w:tr w14:paraId="6D6EE4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3" w:hRule="atLeast"/>
          <w:jc w:val="center"/>
        </w:trPr>
        <w:tc>
          <w:tcPr>
            <w:tcW w:w="5000" w:type="pct"/>
            <w:gridSpan w:val="5"/>
          </w:tcPr>
          <w:p w14:paraId="00FFB928">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公司财务状况：（如有）                                  【价格单位：（人民币）元】</w:t>
            </w:r>
          </w:p>
        </w:tc>
      </w:tr>
      <w:tr w14:paraId="34C7F7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00" w:type="pct"/>
            <w:tcBorders>
              <w:top w:val="single" w:color="auto" w:sz="6" w:space="0"/>
              <w:left w:val="single" w:color="auto" w:sz="6" w:space="0"/>
              <w:bottom w:val="single" w:color="auto" w:sz="6" w:space="0"/>
              <w:right w:val="single" w:color="auto" w:sz="6" w:space="0"/>
            </w:tcBorders>
            <w:vAlign w:val="center"/>
          </w:tcPr>
          <w:p w14:paraId="52508D05">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年  度</w:t>
            </w:r>
          </w:p>
        </w:tc>
        <w:tc>
          <w:tcPr>
            <w:tcW w:w="1391" w:type="pct"/>
            <w:tcBorders>
              <w:top w:val="single" w:color="auto" w:sz="6" w:space="0"/>
              <w:left w:val="single" w:color="auto" w:sz="6" w:space="0"/>
              <w:bottom w:val="single" w:color="auto" w:sz="6" w:space="0"/>
              <w:right w:val="single" w:color="auto" w:sz="6" w:space="0"/>
            </w:tcBorders>
            <w:vAlign w:val="center"/>
          </w:tcPr>
          <w:p w14:paraId="773EDE0B">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总资产（元）</w:t>
            </w:r>
          </w:p>
        </w:tc>
        <w:tc>
          <w:tcPr>
            <w:tcW w:w="1413" w:type="pct"/>
            <w:gridSpan w:val="2"/>
            <w:tcBorders>
              <w:top w:val="single" w:color="auto" w:sz="6" w:space="0"/>
              <w:left w:val="single" w:color="auto" w:sz="6" w:space="0"/>
              <w:bottom w:val="single" w:color="auto" w:sz="6" w:space="0"/>
              <w:right w:val="single" w:color="auto" w:sz="6" w:space="0"/>
            </w:tcBorders>
            <w:vAlign w:val="center"/>
          </w:tcPr>
          <w:p w14:paraId="41D9350C">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年营业额（元）</w:t>
            </w:r>
          </w:p>
        </w:tc>
        <w:tc>
          <w:tcPr>
            <w:tcW w:w="1197" w:type="pct"/>
            <w:tcBorders>
              <w:top w:val="single" w:color="auto" w:sz="6" w:space="0"/>
              <w:left w:val="single" w:color="auto" w:sz="6" w:space="0"/>
              <w:bottom w:val="single" w:color="auto" w:sz="6" w:space="0"/>
              <w:right w:val="single" w:color="auto" w:sz="6" w:space="0"/>
            </w:tcBorders>
            <w:vAlign w:val="center"/>
          </w:tcPr>
          <w:p w14:paraId="44D4DA50">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年净利润（元）</w:t>
            </w:r>
          </w:p>
        </w:tc>
      </w:tr>
      <w:tr w14:paraId="7004F1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00" w:type="pct"/>
            <w:tcBorders>
              <w:top w:val="single" w:color="auto" w:sz="6" w:space="0"/>
              <w:left w:val="single" w:color="auto" w:sz="6" w:space="0"/>
              <w:bottom w:val="single" w:color="auto" w:sz="6" w:space="0"/>
              <w:right w:val="single" w:color="auto" w:sz="6" w:space="0"/>
            </w:tcBorders>
          </w:tcPr>
          <w:p w14:paraId="766C95B8">
            <w:pPr>
              <w:spacing w:line="360" w:lineRule="auto"/>
              <w:rPr>
                <w:rFonts w:hint="eastAsia" w:ascii="黑体" w:hAnsi="黑体" w:eastAsia="黑体" w:cs="黑体"/>
                <w:color w:val="auto"/>
                <w:szCs w:val="21"/>
                <w:highlight w:val="none"/>
              </w:rPr>
            </w:pPr>
          </w:p>
        </w:tc>
        <w:tc>
          <w:tcPr>
            <w:tcW w:w="1391" w:type="pct"/>
            <w:tcBorders>
              <w:top w:val="single" w:color="auto" w:sz="6" w:space="0"/>
              <w:left w:val="single" w:color="auto" w:sz="6" w:space="0"/>
              <w:bottom w:val="single" w:color="auto" w:sz="6" w:space="0"/>
              <w:right w:val="single" w:color="auto" w:sz="6" w:space="0"/>
            </w:tcBorders>
          </w:tcPr>
          <w:p w14:paraId="3EB8B4B9">
            <w:pPr>
              <w:spacing w:line="360" w:lineRule="auto"/>
              <w:rPr>
                <w:rFonts w:hint="eastAsia" w:ascii="黑体" w:hAnsi="黑体" w:eastAsia="黑体" w:cs="黑体"/>
                <w:color w:val="auto"/>
                <w:szCs w:val="21"/>
                <w:highlight w:val="none"/>
              </w:rPr>
            </w:pPr>
          </w:p>
        </w:tc>
        <w:tc>
          <w:tcPr>
            <w:tcW w:w="1413" w:type="pct"/>
            <w:gridSpan w:val="2"/>
            <w:tcBorders>
              <w:top w:val="single" w:color="auto" w:sz="6" w:space="0"/>
              <w:left w:val="single" w:color="auto" w:sz="6" w:space="0"/>
              <w:bottom w:val="single" w:color="auto" w:sz="6" w:space="0"/>
              <w:right w:val="single" w:color="auto" w:sz="6" w:space="0"/>
            </w:tcBorders>
          </w:tcPr>
          <w:p w14:paraId="4EF9E0DE">
            <w:pPr>
              <w:spacing w:line="360" w:lineRule="auto"/>
              <w:rPr>
                <w:rFonts w:hint="eastAsia" w:ascii="黑体" w:hAnsi="黑体" w:eastAsia="黑体" w:cs="黑体"/>
                <w:color w:val="auto"/>
                <w:szCs w:val="21"/>
                <w:highlight w:val="none"/>
              </w:rPr>
            </w:pPr>
          </w:p>
        </w:tc>
        <w:tc>
          <w:tcPr>
            <w:tcW w:w="1197" w:type="pct"/>
            <w:tcBorders>
              <w:top w:val="single" w:color="auto" w:sz="6" w:space="0"/>
              <w:left w:val="single" w:color="auto" w:sz="6" w:space="0"/>
              <w:bottom w:val="single" w:color="auto" w:sz="6" w:space="0"/>
              <w:right w:val="single" w:color="auto" w:sz="6" w:space="0"/>
            </w:tcBorders>
          </w:tcPr>
          <w:p w14:paraId="63347F4F">
            <w:pPr>
              <w:spacing w:line="360" w:lineRule="auto"/>
              <w:rPr>
                <w:rFonts w:hint="eastAsia" w:ascii="黑体" w:hAnsi="黑体" w:eastAsia="黑体" w:cs="黑体"/>
                <w:color w:val="auto"/>
                <w:szCs w:val="21"/>
                <w:highlight w:val="none"/>
              </w:rPr>
            </w:pPr>
          </w:p>
        </w:tc>
      </w:tr>
      <w:tr w14:paraId="1F8E34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00" w:type="pct"/>
            <w:tcBorders>
              <w:top w:val="single" w:color="auto" w:sz="6" w:space="0"/>
              <w:left w:val="single" w:color="auto" w:sz="6" w:space="0"/>
              <w:bottom w:val="single" w:color="auto" w:sz="6" w:space="0"/>
              <w:right w:val="single" w:color="auto" w:sz="6" w:space="0"/>
            </w:tcBorders>
          </w:tcPr>
          <w:p w14:paraId="08B7B2D2">
            <w:pPr>
              <w:spacing w:line="360" w:lineRule="auto"/>
              <w:rPr>
                <w:rFonts w:hint="eastAsia" w:ascii="黑体" w:hAnsi="黑体" w:eastAsia="黑体" w:cs="黑体"/>
                <w:color w:val="auto"/>
                <w:szCs w:val="21"/>
                <w:highlight w:val="none"/>
              </w:rPr>
            </w:pPr>
          </w:p>
        </w:tc>
        <w:tc>
          <w:tcPr>
            <w:tcW w:w="1391" w:type="pct"/>
            <w:tcBorders>
              <w:top w:val="single" w:color="auto" w:sz="6" w:space="0"/>
              <w:left w:val="single" w:color="auto" w:sz="6" w:space="0"/>
              <w:bottom w:val="single" w:color="auto" w:sz="6" w:space="0"/>
              <w:right w:val="single" w:color="auto" w:sz="6" w:space="0"/>
            </w:tcBorders>
          </w:tcPr>
          <w:p w14:paraId="0A53CE47">
            <w:pPr>
              <w:spacing w:line="360" w:lineRule="auto"/>
              <w:rPr>
                <w:rFonts w:hint="eastAsia" w:ascii="黑体" w:hAnsi="黑体" w:eastAsia="黑体" w:cs="黑体"/>
                <w:color w:val="auto"/>
                <w:szCs w:val="21"/>
                <w:highlight w:val="none"/>
              </w:rPr>
            </w:pPr>
          </w:p>
        </w:tc>
        <w:tc>
          <w:tcPr>
            <w:tcW w:w="1413" w:type="pct"/>
            <w:gridSpan w:val="2"/>
            <w:tcBorders>
              <w:top w:val="single" w:color="auto" w:sz="6" w:space="0"/>
              <w:left w:val="single" w:color="auto" w:sz="6" w:space="0"/>
              <w:bottom w:val="single" w:color="auto" w:sz="6" w:space="0"/>
              <w:right w:val="single" w:color="auto" w:sz="6" w:space="0"/>
            </w:tcBorders>
          </w:tcPr>
          <w:p w14:paraId="4C1D1ECF">
            <w:pPr>
              <w:spacing w:line="360" w:lineRule="auto"/>
              <w:rPr>
                <w:rFonts w:hint="eastAsia" w:ascii="黑体" w:hAnsi="黑体" w:eastAsia="黑体" w:cs="黑体"/>
                <w:color w:val="auto"/>
                <w:szCs w:val="21"/>
                <w:highlight w:val="none"/>
              </w:rPr>
            </w:pPr>
          </w:p>
        </w:tc>
        <w:tc>
          <w:tcPr>
            <w:tcW w:w="1197" w:type="pct"/>
            <w:tcBorders>
              <w:top w:val="single" w:color="auto" w:sz="6" w:space="0"/>
              <w:left w:val="single" w:color="auto" w:sz="6" w:space="0"/>
              <w:bottom w:val="single" w:color="auto" w:sz="6" w:space="0"/>
              <w:right w:val="single" w:color="auto" w:sz="6" w:space="0"/>
            </w:tcBorders>
          </w:tcPr>
          <w:p w14:paraId="1433BAB3">
            <w:pPr>
              <w:spacing w:line="360" w:lineRule="auto"/>
              <w:rPr>
                <w:rFonts w:hint="eastAsia" w:ascii="黑体" w:hAnsi="黑体" w:eastAsia="黑体" w:cs="黑体"/>
                <w:color w:val="auto"/>
                <w:szCs w:val="21"/>
                <w:highlight w:val="none"/>
              </w:rPr>
            </w:pPr>
          </w:p>
        </w:tc>
      </w:tr>
    </w:tbl>
    <w:p w14:paraId="2D738ED1">
      <w:pPr>
        <w:pStyle w:val="29"/>
        <w:numPr>
          <w:ilvl w:val="0"/>
          <w:numId w:val="92"/>
        </w:numPr>
        <w:spacing w:after="156" w:afterLines="50"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投标人获得国家有关部门颁发的资质证明或荣誉：（如有）</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91"/>
        <w:gridCol w:w="2192"/>
        <w:gridCol w:w="2192"/>
        <w:gridCol w:w="2192"/>
      </w:tblGrid>
      <w:tr w14:paraId="248A3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250" w:type="pct"/>
            <w:vAlign w:val="center"/>
          </w:tcPr>
          <w:p w14:paraId="453AA8D0">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证书名称</w:t>
            </w:r>
          </w:p>
        </w:tc>
        <w:tc>
          <w:tcPr>
            <w:tcW w:w="1250" w:type="pct"/>
            <w:vAlign w:val="center"/>
          </w:tcPr>
          <w:p w14:paraId="766B18F0">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发证单位</w:t>
            </w:r>
          </w:p>
        </w:tc>
        <w:tc>
          <w:tcPr>
            <w:tcW w:w="1250" w:type="pct"/>
            <w:vAlign w:val="center"/>
          </w:tcPr>
          <w:p w14:paraId="05A8A62D">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证书等级</w:t>
            </w:r>
          </w:p>
        </w:tc>
        <w:tc>
          <w:tcPr>
            <w:tcW w:w="1250" w:type="pct"/>
            <w:vAlign w:val="center"/>
          </w:tcPr>
          <w:p w14:paraId="31FBD0E9">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证书有效期</w:t>
            </w:r>
          </w:p>
        </w:tc>
      </w:tr>
      <w:tr w14:paraId="04613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0" w:type="pct"/>
          </w:tcPr>
          <w:p w14:paraId="65403F9C">
            <w:pPr>
              <w:spacing w:line="360" w:lineRule="auto"/>
              <w:rPr>
                <w:rFonts w:hint="eastAsia" w:ascii="黑体" w:hAnsi="黑体" w:eastAsia="黑体" w:cs="黑体"/>
                <w:color w:val="auto"/>
                <w:szCs w:val="21"/>
                <w:highlight w:val="none"/>
              </w:rPr>
            </w:pPr>
          </w:p>
        </w:tc>
        <w:tc>
          <w:tcPr>
            <w:tcW w:w="1250" w:type="pct"/>
          </w:tcPr>
          <w:p w14:paraId="6CD540F3">
            <w:pPr>
              <w:spacing w:line="360" w:lineRule="auto"/>
              <w:rPr>
                <w:rFonts w:hint="eastAsia" w:ascii="黑体" w:hAnsi="黑体" w:eastAsia="黑体" w:cs="黑体"/>
                <w:color w:val="auto"/>
                <w:szCs w:val="21"/>
                <w:highlight w:val="none"/>
              </w:rPr>
            </w:pPr>
          </w:p>
        </w:tc>
        <w:tc>
          <w:tcPr>
            <w:tcW w:w="1250" w:type="pct"/>
          </w:tcPr>
          <w:p w14:paraId="4C299F17">
            <w:pPr>
              <w:spacing w:line="360" w:lineRule="auto"/>
              <w:rPr>
                <w:rFonts w:hint="eastAsia" w:ascii="黑体" w:hAnsi="黑体" w:eastAsia="黑体" w:cs="黑体"/>
                <w:color w:val="auto"/>
                <w:szCs w:val="21"/>
                <w:highlight w:val="none"/>
              </w:rPr>
            </w:pPr>
          </w:p>
        </w:tc>
        <w:tc>
          <w:tcPr>
            <w:tcW w:w="1250" w:type="pct"/>
          </w:tcPr>
          <w:p w14:paraId="73C91616">
            <w:pPr>
              <w:spacing w:line="360" w:lineRule="auto"/>
              <w:rPr>
                <w:rFonts w:hint="eastAsia" w:ascii="黑体" w:hAnsi="黑体" w:eastAsia="黑体" w:cs="黑体"/>
                <w:color w:val="auto"/>
                <w:szCs w:val="21"/>
                <w:highlight w:val="none"/>
              </w:rPr>
            </w:pPr>
          </w:p>
        </w:tc>
      </w:tr>
      <w:tr w14:paraId="5C7EE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0" w:type="pct"/>
          </w:tcPr>
          <w:p w14:paraId="2085733A">
            <w:pPr>
              <w:spacing w:line="360" w:lineRule="auto"/>
              <w:rPr>
                <w:rFonts w:hint="eastAsia" w:ascii="黑体" w:hAnsi="黑体" w:eastAsia="黑体" w:cs="黑体"/>
                <w:color w:val="auto"/>
                <w:szCs w:val="21"/>
                <w:highlight w:val="none"/>
              </w:rPr>
            </w:pPr>
          </w:p>
        </w:tc>
        <w:tc>
          <w:tcPr>
            <w:tcW w:w="1250" w:type="pct"/>
          </w:tcPr>
          <w:p w14:paraId="3AA229F9">
            <w:pPr>
              <w:spacing w:line="360" w:lineRule="auto"/>
              <w:rPr>
                <w:rFonts w:hint="eastAsia" w:ascii="黑体" w:hAnsi="黑体" w:eastAsia="黑体" w:cs="黑体"/>
                <w:color w:val="auto"/>
                <w:szCs w:val="21"/>
                <w:highlight w:val="none"/>
              </w:rPr>
            </w:pPr>
          </w:p>
        </w:tc>
        <w:tc>
          <w:tcPr>
            <w:tcW w:w="1250" w:type="pct"/>
          </w:tcPr>
          <w:p w14:paraId="7A310E3E">
            <w:pPr>
              <w:spacing w:line="360" w:lineRule="auto"/>
              <w:rPr>
                <w:rFonts w:hint="eastAsia" w:ascii="黑体" w:hAnsi="黑体" w:eastAsia="黑体" w:cs="黑体"/>
                <w:color w:val="auto"/>
                <w:szCs w:val="21"/>
                <w:highlight w:val="none"/>
              </w:rPr>
            </w:pPr>
          </w:p>
        </w:tc>
        <w:tc>
          <w:tcPr>
            <w:tcW w:w="1250" w:type="pct"/>
          </w:tcPr>
          <w:p w14:paraId="46FC6A17">
            <w:pPr>
              <w:spacing w:line="360" w:lineRule="auto"/>
              <w:rPr>
                <w:rFonts w:hint="eastAsia" w:ascii="黑体" w:hAnsi="黑体" w:eastAsia="黑体" w:cs="黑体"/>
                <w:color w:val="auto"/>
                <w:szCs w:val="21"/>
                <w:highlight w:val="none"/>
              </w:rPr>
            </w:pPr>
          </w:p>
        </w:tc>
      </w:tr>
    </w:tbl>
    <w:p w14:paraId="0A8D8540">
      <w:pPr>
        <w:spacing w:before="156" w:beforeLines="50" w:after="624" w:afterLines="200"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兹证明上述声明是真实、正确的，并提供了全部能提供的资料和数据，我方同意遵照贵方要求出示有关证明文件。</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3E64C4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723D9893">
            <w:pPr>
              <w:overflowPunct w:val="0"/>
              <w:adjustRightIn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投标人名称（加盖公章）：</w:t>
            </w:r>
            <w:r>
              <w:rPr>
                <w:rFonts w:hint="eastAsia" w:ascii="黑体" w:hAnsi="黑体" w:eastAsia="黑体" w:cs="黑体"/>
                <w:color w:val="auto"/>
                <w:szCs w:val="21"/>
                <w:highlight w:val="none"/>
                <w:u w:val="single"/>
              </w:rPr>
              <w:t xml:space="preserve">                         </w:t>
            </w:r>
          </w:p>
        </w:tc>
        <w:tc>
          <w:tcPr>
            <w:tcW w:w="3175" w:type="dxa"/>
          </w:tcPr>
          <w:p w14:paraId="401345AD">
            <w:pPr>
              <w:spacing w:line="360" w:lineRule="auto"/>
              <w:rPr>
                <w:rFonts w:hint="eastAsia" w:ascii="黑体" w:hAnsi="黑体" w:eastAsia="黑体" w:cs="黑体"/>
                <w:color w:val="auto"/>
                <w:szCs w:val="21"/>
                <w:highlight w:val="none"/>
              </w:rPr>
            </w:pPr>
          </w:p>
        </w:tc>
      </w:tr>
      <w:tr w14:paraId="1066BE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3AD36DB8">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日期：</w:t>
            </w:r>
            <w:r>
              <w:rPr>
                <w:rFonts w:hint="eastAsia" w:ascii="黑体" w:hAnsi="黑体" w:eastAsia="黑体" w:cs="黑体"/>
                <w:color w:val="auto"/>
                <w:szCs w:val="21"/>
                <w:highlight w:val="none"/>
                <w:u w:val="single"/>
              </w:rPr>
              <w:t xml:space="preserve">             年           月            日</w:t>
            </w:r>
          </w:p>
        </w:tc>
        <w:tc>
          <w:tcPr>
            <w:tcW w:w="3175" w:type="dxa"/>
          </w:tcPr>
          <w:p w14:paraId="5C24F20D">
            <w:pPr>
              <w:spacing w:line="360" w:lineRule="auto"/>
              <w:rPr>
                <w:rFonts w:hint="eastAsia" w:ascii="黑体" w:hAnsi="黑体" w:eastAsia="黑体" w:cs="黑体"/>
                <w:color w:val="auto"/>
                <w:szCs w:val="21"/>
                <w:highlight w:val="none"/>
              </w:rPr>
            </w:pPr>
          </w:p>
        </w:tc>
      </w:tr>
    </w:tbl>
    <w:p w14:paraId="19D441DA">
      <w:pPr>
        <w:pageBreakBefore/>
        <w:rPr>
          <w:rFonts w:hint="eastAsia" w:ascii="黑体" w:hAnsi="黑体" w:eastAsia="黑体" w:cs="黑体"/>
          <w:b/>
          <w:bCs/>
          <w:color w:val="auto"/>
          <w:highlight w:val="none"/>
        </w:rPr>
      </w:pPr>
      <w:bookmarkStart w:id="92" w:name="_Toc391627761"/>
      <w:bookmarkStart w:id="93" w:name="_Toc405313965"/>
      <w:r>
        <w:rPr>
          <w:rFonts w:hint="eastAsia" w:ascii="黑体" w:hAnsi="黑体" w:eastAsia="黑体" w:cs="黑体"/>
          <w:b/>
          <w:bCs/>
          <w:color w:val="auto"/>
          <w:highlight w:val="none"/>
        </w:rPr>
        <w:t>14.1投标人资格证明文件</w:t>
      </w:r>
    </w:p>
    <w:bookmarkEnd w:id="92"/>
    <w:bookmarkEnd w:id="93"/>
    <w:p w14:paraId="2B519E02">
      <w:pPr>
        <w:spacing w:line="360" w:lineRule="auto"/>
        <w:rPr>
          <w:rFonts w:hint="eastAsia" w:ascii="黑体" w:hAnsi="黑体" w:eastAsia="黑体" w:cs="黑体"/>
          <w:color w:val="auto"/>
          <w:szCs w:val="21"/>
          <w:highlight w:val="none"/>
        </w:rPr>
      </w:pPr>
    </w:p>
    <w:p w14:paraId="752783DF">
      <w:pPr>
        <w:pStyle w:val="29"/>
        <w:pageBreakBefore/>
        <w:numPr>
          <w:ilvl w:val="0"/>
          <w:numId w:val="84"/>
        </w:numPr>
        <w:tabs>
          <w:tab w:val="left" w:pos="284"/>
          <w:tab w:val="left" w:pos="567"/>
          <w:tab w:val="left" w:pos="709"/>
        </w:tabs>
        <w:ind w:left="1679" w:hanging="1537" w:firstLineChars="0"/>
        <w:jc w:val="left"/>
        <w:rPr>
          <w:rFonts w:hint="eastAsia" w:ascii="黑体" w:hAnsi="黑体" w:eastAsia="黑体" w:cs="黑体"/>
          <w:b/>
          <w:bCs/>
          <w:color w:val="auto"/>
          <w:highlight w:val="none"/>
        </w:rPr>
      </w:pPr>
      <w:bookmarkStart w:id="94" w:name="_Toc391627765"/>
      <w:bookmarkStart w:id="95" w:name="_Toc405313968"/>
      <w:r>
        <w:rPr>
          <w:rFonts w:hint="eastAsia" w:ascii="黑体" w:hAnsi="黑体" w:eastAsia="黑体" w:cs="黑体"/>
          <w:b/>
          <w:bCs/>
          <w:color w:val="auto"/>
          <w:highlight w:val="none"/>
        </w:rPr>
        <w:t>业绩表</w:t>
      </w:r>
      <w:bookmarkEnd w:id="94"/>
      <w:bookmarkEnd w:id="95"/>
    </w:p>
    <w:p w14:paraId="07FAF75A">
      <w:pPr>
        <w:spacing w:before="312" w:beforeLines="100" w:after="468" w:afterLines="150" w:line="360" w:lineRule="auto"/>
        <w:jc w:val="center"/>
        <w:rPr>
          <w:rFonts w:hint="eastAsia" w:ascii="黑体" w:hAnsi="黑体" w:eastAsia="黑体" w:cs="黑体"/>
          <w:b/>
          <w:color w:val="auto"/>
          <w:spacing w:val="20"/>
          <w:sz w:val="30"/>
          <w:szCs w:val="30"/>
          <w:highlight w:val="none"/>
        </w:rPr>
      </w:pPr>
      <w:r>
        <w:rPr>
          <w:rFonts w:hint="eastAsia" w:ascii="黑体" w:hAnsi="黑体" w:eastAsia="黑体" w:cs="黑体"/>
          <w:b/>
          <w:color w:val="auto"/>
          <w:spacing w:val="20"/>
          <w:sz w:val="30"/>
          <w:szCs w:val="30"/>
          <w:highlight w:val="none"/>
        </w:rPr>
        <w:t>业绩表</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3"/>
        <w:gridCol w:w="2362"/>
        <w:gridCol w:w="1606"/>
        <w:gridCol w:w="1601"/>
        <w:gridCol w:w="1456"/>
        <w:gridCol w:w="1079"/>
      </w:tblGrid>
      <w:tr w14:paraId="02235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378" w:type="pct"/>
            <w:vAlign w:val="center"/>
          </w:tcPr>
          <w:p w14:paraId="7D77A50D">
            <w:pPr>
              <w:spacing w:before="156" w:after="156" w:line="240" w:lineRule="exact"/>
              <w:jc w:val="center"/>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序号</w:t>
            </w:r>
          </w:p>
        </w:tc>
        <w:tc>
          <w:tcPr>
            <w:tcW w:w="1347" w:type="pct"/>
            <w:vAlign w:val="center"/>
          </w:tcPr>
          <w:p w14:paraId="7203E280">
            <w:pPr>
              <w:spacing w:before="156" w:after="156" w:line="240" w:lineRule="exact"/>
              <w:jc w:val="center"/>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项目名称</w:t>
            </w:r>
          </w:p>
        </w:tc>
        <w:tc>
          <w:tcPr>
            <w:tcW w:w="916" w:type="pct"/>
            <w:vAlign w:val="center"/>
          </w:tcPr>
          <w:p w14:paraId="1A152F3B">
            <w:pPr>
              <w:spacing w:before="156" w:after="156" w:line="240" w:lineRule="exact"/>
              <w:jc w:val="center"/>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合同金额</w:t>
            </w:r>
          </w:p>
        </w:tc>
        <w:tc>
          <w:tcPr>
            <w:tcW w:w="913" w:type="pct"/>
            <w:vAlign w:val="center"/>
          </w:tcPr>
          <w:p w14:paraId="39C19F1C">
            <w:pPr>
              <w:spacing w:before="156" w:after="156" w:line="240" w:lineRule="exact"/>
              <w:jc w:val="center"/>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签约时间</w:t>
            </w:r>
          </w:p>
        </w:tc>
        <w:tc>
          <w:tcPr>
            <w:tcW w:w="830" w:type="pct"/>
            <w:vAlign w:val="center"/>
          </w:tcPr>
          <w:p w14:paraId="5401C33F">
            <w:pPr>
              <w:spacing w:before="156" w:after="156" w:line="240" w:lineRule="exact"/>
              <w:jc w:val="center"/>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完成情况</w:t>
            </w:r>
          </w:p>
        </w:tc>
        <w:tc>
          <w:tcPr>
            <w:tcW w:w="615" w:type="pct"/>
            <w:vAlign w:val="center"/>
          </w:tcPr>
          <w:p w14:paraId="62AC2C10">
            <w:pPr>
              <w:spacing w:before="156" w:after="156" w:line="240" w:lineRule="exact"/>
              <w:jc w:val="center"/>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备注</w:t>
            </w:r>
          </w:p>
        </w:tc>
      </w:tr>
      <w:tr w14:paraId="0D6110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219C6ED4">
            <w:pPr>
              <w:spacing w:before="156" w:after="156" w:line="240" w:lineRule="exact"/>
              <w:jc w:val="center"/>
              <w:rPr>
                <w:rFonts w:hint="eastAsia" w:ascii="黑体" w:hAnsi="黑体" w:eastAsia="黑体" w:cs="黑体"/>
                <w:color w:val="auto"/>
                <w:szCs w:val="21"/>
                <w:highlight w:val="none"/>
              </w:rPr>
            </w:pPr>
          </w:p>
        </w:tc>
        <w:tc>
          <w:tcPr>
            <w:tcW w:w="1347" w:type="pct"/>
            <w:vAlign w:val="center"/>
          </w:tcPr>
          <w:p w14:paraId="09547039">
            <w:pPr>
              <w:spacing w:before="156" w:after="156" w:line="240" w:lineRule="exact"/>
              <w:jc w:val="center"/>
              <w:rPr>
                <w:rFonts w:hint="eastAsia" w:ascii="黑体" w:hAnsi="黑体" w:eastAsia="黑体" w:cs="黑体"/>
                <w:color w:val="auto"/>
                <w:szCs w:val="21"/>
                <w:highlight w:val="none"/>
              </w:rPr>
            </w:pPr>
          </w:p>
        </w:tc>
        <w:tc>
          <w:tcPr>
            <w:tcW w:w="916" w:type="pct"/>
            <w:vAlign w:val="center"/>
          </w:tcPr>
          <w:p w14:paraId="0761DD7A">
            <w:pPr>
              <w:spacing w:before="156" w:after="156" w:line="240" w:lineRule="exact"/>
              <w:jc w:val="center"/>
              <w:rPr>
                <w:rFonts w:hint="eastAsia" w:ascii="黑体" w:hAnsi="黑体" w:eastAsia="黑体" w:cs="黑体"/>
                <w:color w:val="auto"/>
                <w:szCs w:val="21"/>
                <w:highlight w:val="none"/>
              </w:rPr>
            </w:pPr>
          </w:p>
        </w:tc>
        <w:tc>
          <w:tcPr>
            <w:tcW w:w="913" w:type="pct"/>
            <w:vAlign w:val="center"/>
          </w:tcPr>
          <w:p w14:paraId="507A4F96">
            <w:pPr>
              <w:spacing w:before="156" w:after="156" w:line="240" w:lineRule="exact"/>
              <w:jc w:val="center"/>
              <w:rPr>
                <w:rFonts w:hint="eastAsia" w:ascii="黑体" w:hAnsi="黑体" w:eastAsia="黑体" w:cs="黑体"/>
                <w:color w:val="auto"/>
                <w:szCs w:val="21"/>
                <w:highlight w:val="none"/>
              </w:rPr>
            </w:pPr>
          </w:p>
        </w:tc>
        <w:tc>
          <w:tcPr>
            <w:tcW w:w="830" w:type="pct"/>
            <w:vAlign w:val="center"/>
          </w:tcPr>
          <w:p w14:paraId="7F4C0528">
            <w:pPr>
              <w:spacing w:before="156" w:after="156" w:line="240" w:lineRule="exact"/>
              <w:jc w:val="center"/>
              <w:rPr>
                <w:rFonts w:hint="eastAsia" w:ascii="黑体" w:hAnsi="黑体" w:eastAsia="黑体" w:cs="黑体"/>
                <w:color w:val="auto"/>
                <w:szCs w:val="21"/>
                <w:highlight w:val="none"/>
              </w:rPr>
            </w:pPr>
          </w:p>
        </w:tc>
        <w:tc>
          <w:tcPr>
            <w:tcW w:w="615" w:type="pct"/>
            <w:vAlign w:val="center"/>
          </w:tcPr>
          <w:p w14:paraId="226EBD4E">
            <w:pPr>
              <w:spacing w:before="156" w:after="156" w:line="240" w:lineRule="exact"/>
              <w:jc w:val="center"/>
              <w:rPr>
                <w:rFonts w:hint="eastAsia" w:ascii="黑体" w:hAnsi="黑体" w:eastAsia="黑体" w:cs="黑体"/>
                <w:color w:val="auto"/>
                <w:szCs w:val="21"/>
                <w:highlight w:val="none"/>
              </w:rPr>
            </w:pPr>
          </w:p>
        </w:tc>
      </w:tr>
      <w:tr w14:paraId="616F5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5FD09240">
            <w:pPr>
              <w:spacing w:before="156" w:after="156" w:line="240" w:lineRule="exact"/>
              <w:jc w:val="center"/>
              <w:rPr>
                <w:rFonts w:hint="eastAsia" w:ascii="黑体" w:hAnsi="黑体" w:eastAsia="黑体" w:cs="黑体"/>
                <w:color w:val="auto"/>
                <w:szCs w:val="21"/>
                <w:highlight w:val="none"/>
              </w:rPr>
            </w:pPr>
          </w:p>
        </w:tc>
        <w:tc>
          <w:tcPr>
            <w:tcW w:w="1347" w:type="pct"/>
            <w:vAlign w:val="center"/>
          </w:tcPr>
          <w:p w14:paraId="5F878248">
            <w:pPr>
              <w:spacing w:before="156" w:after="156" w:line="240" w:lineRule="exact"/>
              <w:jc w:val="center"/>
              <w:rPr>
                <w:rFonts w:hint="eastAsia" w:ascii="黑体" w:hAnsi="黑体" w:eastAsia="黑体" w:cs="黑体"/>
                <w:color w:val="auto"/>
                <w:szCs w:val="21"/>
                <w:highlight w:val="none"/>
              </w:rPr>
            </w:pPr>
          </w:p>
        </w:tc>
        <w:tc>
          <w:tcPr>
            <w:tcW w:w="916" w:type="pct"/>
            <w:vAlign w:val="center"/>
          </w:tcPr>
          <w:p w14:paraId="6C9DE69C">
            <w:pPr>
              <w:spacing w:before="156" w:after="156" w:line="240" w:lineRule="exact"/>
              <w:jc w:val="center"/>
              <w:rPr>
                <w:rFonts w:hint="eastAsia" w:ascii="黑体" w:hAnsi="黑体" w:eastAsia="黑体" w:cs="黑体"/>
                <w:color w:val="auto"/>
                <w:szCs w:val="21"/>
                <w:highlight w:val="none"/>
              </w:rPr>
            </w:pPr>
          </w:p>
        </w:tc>
        <w:tc>
          <w:tcPr>
            <w:tcW w:w="913" w:type="pct"/>
            <w:vAlign w:val="center"/>
          </w:tcPr>
          <w:p w14:paraId="00A4E271">
            <w:pPr>
              <w:spacing w:before="156" w:after="156" w:line="240" w:lineRule="exact"/>
              <w:jc w:val="center"/>
              <w:rPr>
                <w:rFonts w:hint="eastAsia" w:ascii="黑体" w:hAnsi="黑体" w:eastAsia="黑体" w:cs="黑体"/>
                <w:color w:val="auto"/>
                <w:szCs w:val="21"/>
                <w:highlight w:val="none"/>
              </w:rPr>
            </w:pPr>
          </w:p>
        </w:tc>
        <w:tc>
          <w:tcPr>
            <w:tcW w:w="830" w:type="pct"/>
            <w:vAlign w:val="center"/>
          </w:tcPr>
          <w:p w14:paraId="508FAE97">
            <w:pPr>
              <w:spacing w:before="156" w:after="156" w:line="240" w:lineRule="exact"/>
              <w:jc w:val="center"/>
              <w:rPr>
                <w:rFonts w:hint="eastAsia" w:ascii="黑体" w:hAnsi="黑体" w:eastAsia="黑体" w:cs="黑体"/>
                <w:color w:val="auto"/>
                <w:szCs w:val="21"/>
                <w:highlight w:val="none"/>
              </w:rPr>
            </w:pPr>
          </w:p>
        </w:tc>
        <w:tc>
          <w:tcPr>
            <w:tcW w:w="615" w:type="pct"/>
            <w:vAlign w:val="center"/>
          </w:tcPr>
          <w:p w14:paraId="3329B0C6">
            <w:pPr>
              <w:spacing w:before="156" w:after="156" w:line="240" w:lineRule="exact"/>
              <w:jc w:val="center"/>
              <w:rPr>
                <w:rFonts w:hint="eastAsia" w:ascii="黑体" w:hAnsi="黑体" w:eastAsia="黑体" w:cs="黑体"/>
                <w:color w:val="auto"/>
                <w:szCs w:val="21"/>
                <w:highlight w:val="none"/>
              </w:rPr>
            </w:pPr>
          </w:p>
        </w:tc>
      </w:tr>
      <w:tr w14:paraId="38F65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07CFE8BD">
            <w:pPr>
              <w:spacing w:before="156" w:after="156" w:line="240" w:lineRule="exact"/>
              <w:jc w:val="center"/>
              <w:rPr>
                <w:rFonts w:hint="eastAsia" w:ascii="黑体" w:hAnsi="黑体" w:eastAsia="黑体" w:cs="黑体"/>
                <w:color w:val="auto"/>
                <w:szCs w:val="21"/>
                <w:highlight w:val="none"/>
              </w:rPr>
            </w:pPr>
          </w:p>
        </w:tc>
        <w:tc>
          <w:tcPr>
            <w:tcW w:w="1347" w:type="pct"/>
            <w:vAlign w:val="center"/>
          </w:tcPr>
          <w:p w14:paraId="4E20588D">
            <w:pPr>
              <w:spacing w:before="156" w:after="156" w:line="240" w:lineRule="exact"/>
              <w:jc w:val="center"/>
              <w:rPr>
                <w:rFonts w:hint="eastAsia" w:ascii="黑体" w:hAnsi="黑体" w:eastAsia="黑体" w:cs="黑体"/>
                <w:color w:val="auto"/>
                <w:szCs w:val="21"/>
                <w:highlight w:val="none"/>
              </w:rPr>
            </w:pPr>
          </w:p>
        </w:tc>
        <w:tc>
          <w:tcPr>
            <w:tcW w:w="916" w:type="pct"/>
            <w:vAlign w:val="center"/>
          </w:tcPr>
          <w:p w14:paraId="49F1F469">
            <w:pPr>
              <w:spacing w:before="156" w:after="156" w:line="240" w:lineRule="exact"/>
              <w:jc w:val="center"/>
              <w:rPr>
                <w:rFonts w:hint="eastAsia" w:ascii="黑体" w:hAnsi="黑体" w:eastAsia="黑体" w:cs="黑体"/>
                <w:color w:val="auto"/>
                <w:szCs w:val="21"/>
                <w:highlight w:val="none"/>
              </w:rPr>
            </w:pPr>
          </w:p>
        </w:tc>
        <w:tc>
          <w:tcPr>
            <w:tcW w:w="913" w:type="pct"/>
            <w:vAlign w:val="center"/>
          </w:tcPr>
          <w:p w14:paraId="623A3C28">
            <w:pPr>
              <w:spacing w:before="156" w:after="156" w:line="240" w:lineRule="exact"/>
              <w:jc w:val="center"/>
              <w:rPr>
                <w:rFonts w:hint="eastAsia" w:ascii="黑体" w:hAnsi="黑体" w:eastAsia="黑体" w:cs="黑体"/>
                <w:color w:val="auto"/>
                <w:szCs w:val="21"/>
                <w:highlight w:val="none"/>
              </w:rPr>
            </w:pPr>
          </w:p>
        </w:tc>
        <w:tc>
          <w:tcPr>
            <w:tcW w:w="830" w:type="pct"/>
            <w:vAlign w:val="center"/>
          </w:tcPr>
          <w:p w14:paraId="6F22A677">
            <w:pPr>
              <w:spacing w:before="156" w:after="156" w:line="240" w:lineRule="exact"/>
              <w:jc w:val="center"/>
              <w:rPr>
                <w:rFonts w:hint="eastAsia" w:ascii="黑体" w:hAnsi="黑体" w:eastAsia="黑体" w:cs="黑体"/>
                <w:color w:val="auto"/>
                <w:szCs w:val="21"/>
                <w:highlight w:val="none"/>
              </w:rPr>
            </w:pPr>
          </w:p>
        </w:tc>
        <w:tc>
          <w:tcPr>
            <w:tcW w:w="615" w:type="pct"/>
            <w:vAlign w:val="center"/>
          </w:tcPr>
          <w:p w14:paraId="1F591E91">
            <w:pPr>
              <w:spacing w:before="156" w:after="156" w:line="240" w:lineRule="exact"/>
              <w:jc w:val="center"/>
              <w:rPr>
                <w:rFonts w:hint="eastAsia" w:ascii="黑体" w:hAnsi="黑体" w:eastAsia="黑体" w:cs="黑体"/>
                <w:color w:val="auto"/>
                <w:szCs w:val="21"/>
                <w:highlight w:val="none"/>
              </w:rPr>
            </w:pPr>
          </w:p>
        </w:tc>
      </w:tr>
      <w:tr w14:paraId="72662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5CF02EDF">
            <w:pPr>
              <w:spacing w:before="156" w:after="156" w:line="240" w:lineRule="exact"/>
              <w:jc w:val="center"/>
              <w:rPr>
                <w:rFonts w:hint="eastAsia" w:ascii="黑体" w:hAnsi="黑体" w:eastAsia="黑体" w:cs="黑体"/>
                <w:color w:val="auto"/>
                <w:szCs w:val="21"/>
                <w:highlight w:val="none"/>
              </w:rPr>
            </w:pPr>
          </w:p>
        </w:tc>
        <w:tc>
          <w:tcPr>
            <w:tcW w:w="1347" w:type="pct"/>
            <w:vAlign w:val="center"/>
          </w:tcPr>
          <w:p w14:paraId="05431B60">
            <w:pPr>
              <w:spacing w:before="156" w:after="156" w:line="240" w:lineRule="exact"/>
              <w:jc w:val="center"/>
              <w:rPr>
                <w:rFonts w:hint="eastAsia" w:ascii="黑体" w:hAnsi="黑体" w:eastAsia="黑体" w:cs="黑体"/>
                <w:color w:val="auto"/>
                <w:szCs w:val="21"/>
                <w:highlight w:val="none"/>
              </w:rPr>
            </w:pPr>
          </w:p>
        </w:tc>
        <w:tc>
          <w:tcPr>
            <w:tcW w:w="916" w:type="pct"/>
            <w:vAlign w:val="center"/>
          </w:tcPr>
          <w:p w14:paraId="7A7DD6BD">
            <w:pPr>
              <w:spacing w:before="156" w:after="156" w:line="240" w:lineRule="exact"/>
              <w:jc w:val="center"/>
              <w:rPr>
                <w:rFonts w:hint="eastAsia" w:ascii="黑体" w:hAnsi="黑体" w:eastAsia="黑体" w:cs="黑体"/>
                <w:color w:val="auto"/>
                <w:szCs w:val="21"/>
                <w:highlight w:val="none"/>
              </w:rPr>
            </w:pPr>
          </w:p>
        </w:tc>
        <w:tc>
          <w:tcPr>
            <w:tcW w:w="913" w:type="pct"/>
            <w:vAlign w:val="center"/>
          </w:tcPr>
          <w:p w14:paraId="48A3F896">
            <w:pPr>
              <w:spacing w:before="156" w:after="156" w:line="240" w:lineRule="exact"/>
              <w:jc w:val="center"/>
              <w:rPr>
                <w:rFonts w:hint="eastAsia" w:ascii="黑体" w:hAnsi="黑体" w:eastAsia="黑体" w:cs="黑体"/>
                <w:color w:val="auto"/>
                <w:szCs w:val="21"/>
                <w:highlight w:val="none"/>
              </w:rPr>
            </w:pPr>
          </w:p>
        </w:tc>
        <w:tc>
          <w:tcPr>
            <w:tcW w:w="830" w:type="pct"/>
            <w:vAlign w:val="center"/>
          </w:tcPr>
          <w:p w14:paraId="558469EF">
            <w:pPr>
              <w:spacing w:before="156" w:after="156" w:line="240" w:lineRule="exact"/>
              <w:jc w:val="center"/>
              <w:rPr>
                <w:rFonts w:hint="eastAsia" w:ascii="黑体" w:hAnsi="黑体" w:eastAsia="黑体" w:cs="黑体"/>
                <w:color w:val="auto"/>
                <w:szCs w:val="21"/>
                <w:highlight w:val="none"/>
              </w:rPr>
            </w:pPr>
          </w:p>
        </w:tc>
        <w:tc>
          <w:tcPr>
            <w:tcW w:w="615" w:type="pct"/>
            <w:vAlign w:val="center"/>
          </w:tcPr>
          <w:p w14:paraId="53E0CEB0">
            <w:pPr>
              <w:spacing w:before="156" w:after="156" w:line="240" w:lineRule="exact"/>
              <w:jc w:val="center"/>
              <w:rPr>
                <w:rFonts w:hint="eastAsia" w:ascii="黑体" w:hAnsi="黑体" w:eastAsia="黑体" w:cs="黑体"/>
                <w:color w:val="auto"/>
                <w:szCs w:val="21"/>
                <w:highlight w:val="none"/>
              </w:rPr>
            </w:pPr>
          </w:p>
        </w:tc>
      </w:tr>
      <w:tr w14:paraId="574D8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52EABAC5">
            <w:pPr>
              <w:spacing w:before="156" w:after="156" w:line="240" w:lineRule="exact"/>
              <w:jc w:val="center"/>
              <w:rPr>
                <w:rFonts w:hint="eastAsia" w:ascii="黑体" w:hAnsi="黑体" w:eastAsia="黑体" w:cs="黑体"/>
                <w:color w:val="auto"/>
                <w:szCs w:val="21"/>
                <w:highlight w:val="none"/>
              </w:rPr>
            </w:pPr>
          </w:p>
        </w:tc>
        <w:tc>
          <w:tcPr>
            <w:tcW w:w="1347" w:type="pct"/>
            <w:vAlign w:val="center"/>
          </w:tcPr>
          <w:p w14:paraId="120C074A">
            <w:pPr>
              <w:spacing w:before="156" w:after="156" w:line="240" w:lineRule="exact"/>
              <w:jc w:val="center"/>
              <w:rPr>
                <w:rFonts w:hint="eastAsia" w:ascii="黑体" w:hAnsi="黑体" w:eastAsia="黑体" w:cs="黑体"/>
                <w:color w:val="auto"/>
                <w:szCs w:val="21"/>
                <w:highlight w:val="none"/>
              </w:rPr>
            </w:pPr>
          </w:p>
        </w:tc>
        <w:tc>
          <w:tcPr>
            <w:tcW w:w="916" w:type="pct"/>
            <w:vAlign w:val="center"/>
          </w:tcPr>
          <w:p w14:paraId="72804EB0">
            <w:pPr>
              <w:spacing w:before="156" w:after="156" w:line="240" w:lineRule="exact"/>
              <w:jc w:val="center"/>
              <w:rPr>
                <w:rFonts w:hint="eastAsia" w:ascii="黑体" w:hAnsi="黑体" w:eastAsia="黑体" w:cs="黑体"/>
                <w:color w:val="auto"/>
                <w:szCs w:val="21"/>
                <w:highlight w:val="none"/>
              </w:rPr>
            </w:pPr>
          </w:p>
        </w:tc>
        <w:tc>
          <w:tcPr>
            <w:tcW w:w="913" w:type="pct"/>
            <w:vAlign w:val="center"/>
          </w:tcPr>
          <w:p w14:paraId="3F57A79B">
            <w:pPr>
              <w:spacing w:before="156" w:after="156" w:line="240" w:lineRule="exact"/>
              <w:jc w:val="center"/>
              <w:rPr>
                <w:rFonts w:hint="eastAsia" w:ascii="黑体" w:hAnsi="黑体" w:eastAsia="黑体" w:cs="黑体"/>
                <w:color w:val="auto"/>
                <w:szCs w:val="21"/>
                <w:highlight w:val="none"/>
              </w:rPr>
            </w:pPr>
          </w:p>
        </w:tc>
        <w:tc>
          <w:tcPr>
            <w:tcW w:w="830" w:type="pct"/>
            <w:vAlign w:val="center"/>
          </w:tcPr>
          <w:p w14:paraId="20C5ADEB">
            <w:pPr>
              <w:spacing w:before="156" w:after="156" w:line="240" w:lineRule="exact"/>
              <w:jc w:val="center"/>
              <w:rPr>
                <w:rFonts w:hint="eastAsia" w:ascii="黑体" w:hAnsi="黑体" w:eastAsia="黑体" w:cs="黑体"/>
                <w:color w:val="auto"/>
                <w:szCs w:val="21"/>
                <w:highlight w:val="none"/>
              </w:rPr>
            </w:pPr>
          </w:p>
        </w:tc>
        <w:tc>
          <w:tcPr>
            <w:tcW w:w="615" w:type="pct"/>
            <w:vAlign w:val="center"/>
          </w:tcPr>
          <w:p w14:paraId="5AADC438">
            <w:pPr>
              <w:spacing w:before="156" w:after="156" w:line="240" w:lineRule="exact"/>
              <w:jc w:val="center"/>
              <w:rPr>
                <w:rFonts w:hint="eastAsia" w:ascii="黑体" w:hAnsi="黑体" w:eastAsia="黑体" w:cs="黑体"/>
                <w:color w:val="auto"/>
                <w:szCs w:val="21"/>
                <w:highlight w:val="none"/>
              </w:rPr>
            </w:pPr>
          </w:p>
        </w:tc>
      </w:tr>
      <w:tr w14:paraId="5819E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552198B5">
            <w:pPr>
              <w:spacing w:before="156" w:after="156" w:line="240" w:lineRule="exact"/>
              <w:jc w:val="center"/>
              <w:rPr>
                <w:rFonts w:hint="eastAsia" w:ascii="黑体" w:hAnsi="黑体" w:eastAsia="黑体" w:cs="黑体"/>
                <w:color w:val="auto"/>
                <w:szCs w:val="21"/>
                <w:highlight w:val="none"/>
              </w:rPr>
            </w:pPr>
          </w:p>
        </w:tc>
        <w:tc>
          <w:tcPr>
            <w:tcW w:w="1347" w:type="pct"/>
            <w:vAlign w:val="center"/>
          </w:tcPr>
          <w:p w14:paraId="04EC27DB">
            <w:pPr>
              <w:spacing w:before="156" w:after="156" w:line="240" w:lineRule="exact"/>
              <w:jc w:val="center"/>
              <w:rPr>
                <w:rFonts w:hint="eastAsia" w:ascii="黑体" w:hAnsi="黑体" w:eastAsia="黑体" w:cs="黑体"/>
                <w:color w:val="auto"/>
                <w:szCs w:val="21"/>
                <w:highlight w:val="none"/>
              </w:rPr>
            </w:pPr>
          </w:p>
        </w:tc>
        <w:tc>
          <w:tcPr>
            <w:tcW w:w="916" w:type="pct"/>
            <w:vAlign w:val="center"/>
          </w:tcPr>
          <w:p w14:paraId="72C1B6B3">
            <w:pPr>
              <w:spacing w:before="156" w:after="156" w:line="240" w:lineRule="exact"/>
              <w:jc w:val="center"/>
              <w:rPr>
                <w:rFonts w:hint="eastAsia" w:ascii="黑体" w:hAnsi="黑体" w:eastAsia="黑体" w:cs="黑体"/>
                <w:color w:val="auto"/>
                <w:szCs w:val="21"/>
                <w:highlight w:val="none"/>
              </w:rPr>
            </w:pPr>
          </w:p>
        </w:tc>
        <w:tc>
          <w:tcPr>
            <w:tcW w:w="913" w:type="pct"/>
            <w:vAlign w:val="center"/>
          </w:tcPr>
          <w:p w14:paraId="0C8AEF6F">
            <w:pPr>
              <w:spacing w:before="156" w:after="156" w:line="240" w:lineRule="exact"/>
              <w:jc w:val="center"/>
              <w:rPr>
                <w:rFonts w:hint="eastAsia" w:ascii="黑体" w:hAnsi="黑体" w:eastAsia="黑体" w:cs="黑体"/>
                <w:color w:val="auto"/>
                <w:szCs w:val="21"/>
                <w:highlight w:val="none"/>
              </w:rPr>
            </w:pPr>
          </w:p>
        </w:tc>
        <w:tc>
          <w:tcPr>
            <w:tcW w:w="830" w:type="pct"/>
            <w:vAlign w:val="center"/>
          </w:tcPr>
          <w:p w14:paraId="49103949">
            <w:pPr>
              <w:spacing w:before="156" w:after="156" w:line="240" w:lineRule="exact"/>
              <w:jc w:val="center"/>
              <w:rPr>
                <w:rFonts w:hint="eastAsia" w:ascii="黑体" w:hAnsi="黑体" w:eastAsia="黑体" w:cs="黑体"/>
                <w:color w:val="auto"/>
                <w:szCs w:val="21"/>
                <w:highlight w:val="none"/>
              </w:rPr>
            </w:pPr>
          </w:p>
        </w:tc>
        <w:tc>
          <w:tcPr>
            <w:tcW w:w="615" w:type="pct"/>
            <w:vAlign w:val="center"/>
          </w:tcPr>
          <w:p w14:paraId="0E7275B2">
            <w:pPr>
              <w:spacing w:before="156" w:after="156" w:line="240" w:lineRule="exact"/>
              <w:jc w:val="center"/>
              <w:rPr>
                <w:rFonts w:hint="eastAsia" w:ascii="黑体" w:hAnsi="黑体" w:eastAsia="黑体" w:cs="黑体"/>
                <w:color w:val="auto"/>
                <w:szCs w:val="21"/>
                <w:highlight w:val="none"/>
              </w:rPr>
            </w:pPr>
          </w:p>
        </w:tc>
      </w:tr>
      <w:tr w14:paraId="4A4F88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75EA1C36">
            <w:pPr>
              <w:spacing w:before="156" w:after="156" w:line="240" w:lineRule="exact"/>
              <w:jc w:val="center"/>
              <w:rPr>
                <w:rFonts w:hint="eastAsia" w:ascii="黑体" w:hAnsi="黑体" w:eastAsia="黑体" w:cs="黑体"/>
                <w:color w:val="auto"/>
                <w:szCs w:val="21"/>
                <w:highlight w:val="none"/>
              </w:rPr>
            </w:pPr>
          </w:p>
        </w:tc>
        <w:tc>
          <w:tcPr>
            <w:tcW w:w="1347" w:type="pct"/>
            <w:vAlign w:val="center"/>
          </w:tcPr>
          <w:p w14:paraId="31492E3E">
            <w:pPr>
              <w:spacing w:before="156" w:after="156" w:line="240" w:lineRule="exact"/>
              <w:jc w:val="center"/>
              <w:rPr>
                <w:rFonts w:hint="eastAsia" w:ascii="黑体" w:hAnsi="黑体" w:eastAsia="黑体" w:cs="黑体"/>
                <w:color w:val="auto"/>
                <w:szCs w:val="21"/>
                <w:highlight w:val="none"/>
              </w:rPr>
            </w:pPr>
          </w:p>
        </w:tc>
        <w:tc>
          <w:tcPr>
            <w:tcW w:w="916" w:type="pct"/>
            <w:vAlign w:val="center"/>
          </w:tcPr>
          <w:p w14:paraId="5F7FC648">
            <w:pPr>
              <w:spacing w:before="156" w:after="156" w:line="240" w:lineRule="exact"/>
              <w:jc w:val="center"/>
              <w:rPr>
                <w:rFonts w:hint="eastAsia" w:ascii="黑体" w:hAnsi="黑体" w:eastAsia="黑体" w:cs="黑体"/>
                <w:color w:val="auto"/>
                <w:szCs w:val="21"/>
                <w:highlight w:val="none"/>
              </w:rPr>
            </w:pPr>
          </w:p>
        </w:tc>
        <w:tc>
          <w:tcPr>
            <w:tcW w:w="913" w:type="pct"/>
            <w:vAlign w:val="center"/>
          </w:tcPr>
          <w:p w14:paraId="43E6961E">
            <w:pPr>
              <w:spacing w:before="156" w:after="156" w:line="240" w:lineRule="exact"/>
              <w:jc w:val="center"/>
              <w:rPr>
                <w:rFonts w:hint="eastAsia" w:ascii="黑体" w:hAnsi="黑体" w:eastAsia="黑体" w:cs="黑体"/>
                <w:color w:val="auto"/>
                <w:szCs w:val="21"/>
                <w:highlight w:val="none"/>
              </w:rPr>
            </w:pPr>
          </w:p>
        </w:tc>
        <w:tc>
          <w:tcPr>
            <w:tcW w:w="830" w:type="pct"/>
            <w:vAlign w:val="center"/>
          </w:tcPr>
          <w:p w14:paraId="0019CE33">
            <w:pPr>
              <w:spacing w:before="156" w:after="156" w:line="240" w:lineRule="exact"/>
              <w:jc w:val="center"/>
              <w:rPr>
                <w:rFonts w:hint="eastAsia" w:ascii="黑体" w:hAnsi="黑体" w:eastAsia="黑体" w:cs="黑体"/>
                <w:color w:val="auto"/>
                <w:szCs w:val="21"/>
                <w:highlight w:val="none"/>
              </w:rPr>
            </w:pPr>
          </w:p>
        </w:tc>
        <w:tc>
          <w:tcPr>
            <w:tcW w:w="615" w:type="pct"/>
            <w:vAlign w:val="center"/>
          </w:tcPr>
          <w:p w14:paraId="79083112">
            <w:pPr>
              <w:spacing w:before="156" w:after="156" w:line="240" w:lineRule="exact"/>
              <w:jc w:val="center"/>
              <w:rPr>
                <w:rFonts w:hint="eastAsia" w:ascii="黑体" w:hAnsi="黑体" w:eastAsia="黑体" w:cs="黑体"/>
                <w:color w:val="auto"/>
                <w:szCs w:val="21"/>
                <w:highlight w:val="none"/>
              </w:rPr>
            </w:pPr>
          </w:p>
        </w:tc>
      </w:tr>
      <w:tr w14:paraId="4F9C8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683D6BE3">
            <w:pPr>
              <w:spacing w:before="156" w:after="156" w:line="240" w:lineRule="exact"/>
              <w:jc w:val="center"/>
              <w:rPr>
                <w:rFonts w:hint="eastAsia" w:ascii="黑体" w:hAnsi="黑体" w:eastAsia="黑体" w:cs="黑体"/>
                <w:color w:val="auto"/>
                <w:szCs w:val="21"/>
                <w:highlight w:val="none"/>
              </w:rPr>
            </w:pPr>
          </w:p>
        </w:tc>
        <w:tc>
          <w:tcPr>
            <w:tcW w:w="1347" w:type="pct"/>
            <w:vAlign w:val="center"/>
          </w:tcPr>
          <w:p w14:paraId="1760CA45">
            <w:pPr>
              <w:spacing w:before="156" w:after="156" w:line="240" w:lineRule="exact"/>
              <w:jc w:val="center"/>
              <w:rPr>
                <w:rFonts w:hint="eastAsia" w:ascii="黑体" w:hAnsi="黑体" w:eastAsia="黑体" w:cs="黑体"/>
                <w:color w:val="auto"/>
                <w:szCs w:val="21"/>
                <w:highlight w:val="none"/>
              </w:rPr>
            </w:pPr>
          </w:p>
        </w:tc>
        <w:tc>
          <w:tcPr>
            <w:tcW w:w="916" w:type="pct"/>
            <w:vAlign w:val="center"/>
          </w:tcPr>
          <w:p w14:paraId="773C74A2">
            <w:pPr>
              <w:spacing w:before="156" w:after="156" w:line="240" w:lineRule="exact"/>
              <w:jc w:val="center"/>
              <w:rPr>
                <w:rFonts w:hint="eastAsia" w:ascii="黑体" w:hAnsi="黑体" w:eastAsia="黑体" w:cs="黑体"/>
                <w:color w:val="auto"/>
                <w:szCs w:val="21"/>
                <w:highlight w:val="none"/>
              </w:rPr>
            </w:pPr>
          </w:p>
        </w:tc>
        <w:tc>
          <w:tcPr>
            <w:tcW w:w="913" w:type="pct"/>
            <w:vAlign w:val="center"/>
          </w:tcPr>
          <w:p w14:paraId="65535433">
            <w:pPr>
              <w:spacing w:before="156" w:after="156" w:line="240" w:lineRule="exact"/>
              <w:jc w:val="center"/>
              <w:rPr>
                <w:rFonts w:hint="eastAsia" w:ascii="黑体" w:hAnsi="黑体" w:eastAsia="黑体" w:cs="黑体"/>
                <w:color w:val="auto"/>
                <w:szCs w:val="21"/>
                <w:highlight w:val="none"/>
              </w:rPr>
            </w:pPr>
          </w:p>
        </w:tc>
        <w:tc>
          <w:tcPr>
            <w:tcW w:w="830" w:type="pct"/>
            <w:vAlign w:val="center"/>
          </w:tcPr>
          <w:p w14:paraId="48D2115A">
            <w:pPr>
              <w:spacing w:before="156" w:after="156" w:line="240" w:lineRule="exact"/>
              <w:jc w:val="center"/>
              <w:rPr>
                <w:rFonts w:hint="eastAsia" w:ascii="黑体" w:hAnsi="黑体" w:eastAsia="黑体" w:cs="黑体"/>
                <w:color w:val="auto"/>
                <w:szCs w:val="21"/>
                <w:highlight w:val="none"/>
              </w:rPr>
            </w:pPr>
          </w:p>
        </w:tc>
        <w:tc>
          <w:tcPr>
            <w:tcW w:w="615" w:type="pct"/>
            <w:vAlign w:val="center"/>
          </w:tcPr>
          <w:p w14:paraId="3DF087F5">
            <w:pPr>
              <w:spacing w:before="156" w:after="156" w:line="240" w:lineRule="exact"/>
              <w:jc w:val="center"/>
              <w:rPr>
                <w:rFonts w:hint="eastAsia" w:ascii="黑体" w:hAnsi="黑体" w:eastAsia="黑体" w:cs="黑体"/>
                <w:color w:val="auto"/>
                <w:szCs w:val="21"/>
                <w:highlight w:val="none"/>
              </w:rPr>
            </w:pPr>
          </w:p>
        </w:tc>
      </w:tr>
      <w:tr w14:paraId="40530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43395FFD">
            <w:pPr>
              <w:spacing w:before="156" w:after="156" w:line="240" w:lineRule="exact"/>
              <w:jc w:val="center"/>
              <w:rPr>
                <w:rFonts w:hint="eastAsia" w:ascii="黑体" w:hAnsi="黑体" w:eastAsia="黑体" w:cs="黑体"/>
                <w:color w:val="auto"/>
                <w:szCs w:val="21"/>
                <w:highlight w:val="none"/>
              </w:rPr>
            </w:pPr>
          </w:p>
        </w:tc>
        <w:tc>
          <w:tcPr>
            <w:tcW w:w="1347" w:type="pct"/>
            <w:vAlign w:val="center"/>
          </w:tcPr>
          <w:p w14:paraId="0B24513E">
            <w:pPr>
              <w:spacing w:before="156" w:after="156" w:line="240" w:lineRule="exact"/>
              <w:jc w:val="center"/>
              <w:rPr>
                <w:rFonts w:hint="eastAsia" w:ascii="黑体" w:hAnsi="黑体" w:eastAsia="黑体" w:cs="黑体"/>
                <w:color w:val="auto"/>
                <w:szCs w:val="21"/>
                <w:highlight w:val="none"/>
              </w:rPr>
            </w:pPr>
          </w:p>
        </w:tc>
        <w:tc>
          <w:tcPr>
            <w:tcW w:w="916" w:type="pct"/>
            <w:vAlign w:val="center"/>
          </w:tcPr>
          <w:p w14:paraId="0B4D7352">
            <w:pPr>
              <w:spacing w:before="156" w:after="156" w:line="240" w:lineRule="exact"/>
              <w:jc w:val="center"/>
              <w:rPr>
                <w:rFonts w:hint="eastAsia" w:ascii="黑体" w:hAnsi="黑体" w:eastAsia="黑体" w:cs="黑体"/>
                <w:color w:val="auto"/>
                <w:szCs w:val="21"/>
                <w:highlight w:val="none"/>
              </w:rPr>
            </w:pPr>
          </w:p>
        </w:tc>
        <w:tc>
          <w:tcPr>
            <w:tcW w:w="913" w:type="pct"/>
            <w:vAlign w:val="center"/>
          </w:tcPr>
          <w:p w14:paraId="354DC251">
            <w:pPr>
              <w:spacing w:before="156" w:after="156" w:line="240" w:lineRule="exact"/>
              <w:jc w:val="center"/>
              <w:rPr>
                <w:rFonts w:hint="eastAsia" w:ascii="黑体" w:hAnsi="黑体" w:eastAsia="黑体" w:cs="黑体"/>
                <w:color w:val="auto"/>
                <w:szCs w:val="21"/>
                <w:highlight w:val="none"/>
              </w:rPr>
            </w:pPr>
          </w:p>
        </w:tc>
        <w:tc>
          <w:tcPr>
            <w:tcW w:w="830" w:type="pct"/>
            <w:vAlign w:val="center"/>
          </w:tcPr>
          <w:p w14:paraId="032479BE">
            <w:pPr>
              <w:spacing w:before="156" w:after="156" w:line="240" w:lineRule="exact"/>
              <w:jc w:val="center"/>
              <w:rPr>
                <w:rFonts w:hint="eastAsia" w:ascii="黑体" w:hAnsi="黑体" w:eastAsia="黑体" w:cs="黑体"/>
                <w:color w:val="auto"/>
                <w:szCs w:val="21"/>
                <w:highlight w:val="none"/>
              </w:rPr>
            </w:pPr>
          </w:p>
        </w:tc>
        <w:tc>
          <w:tcPr>
            <w:tcW w:w="615" w:type="pct"/>
            <w:vAlign w:val="center"/>
          </w:tcPr>
          <w:p w14:paraId="295F191C">
            <w:pPr>
              <w:spacing w:before="156" w:after="156" w:line="240" w:lineRule="exact"/>
              <w:jc w:val="center"/>
              <w:rPr>
                <w:rFonts w:hint="eastAsia" w:ascii="黑体" w:hAnsi="黑体" w:eastAsia="黑体" w:cs="黑体"/>
                <w:color w:val="auto"/>
                <w:szCs w:val="21"/>
                <w:highlight w:val="none"/>
              </w:rPr>
            </w:pPr>
          </w:p>
        </w:tc>
      </w:tr>
    </w:tbl>
    <w:p w14:paraId="4CF31D9F">
      <w:pPr>
        <w:spacing w:before="156" w:beforeLines="50"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注明：需提供证明资料内容详见</w:t>
      </w:r>
      <w:r>
        <w:rPr>
          <w:rFonts w:hint="eastAsia" w:ascii="黑体" w:hAnsi="黑体" w:eastAsia="黑体" w:cs="黑体"/>
          <w:color w:val="auto"/>
          <w:szCs w:val="21"/>
          <w:highlight w:val="none"/>
          <w:u w:val="single"/>
        </w:rPr>
        <w:t>（招标文件第五部分 评标方法、步骤、标准之</w:t>
      </w:r>
      <w:r>
        <w:rPr>
          <w:rFonts w:hint="eastAsia" w:ascii="黑体" w:hAnsi="黑体" w:eastAsia="黑体" w:cs="黑体"/>
          <w:color w:val="auto"/>
          <w:kern w:val="0"/>
          <w:szCs w:val="21"/>
          <w:highlight w:val="none"/>
          <w:u w:val="single"/>
        </w:rPr>
        <w:t>附表三</w:t>
      </w:r>
      <w:r>
        <w:rPr>
          <w:rFonts w:hint="eastAsia" w:ascii="黑体" w:hAnsi="黑体" w:eastAsia="黑体" w:cs="黑体"/>
          <w:color w:val="auto"/>
          <w:szCs w:val="21"/>
          <w:highlight w:val="none"/>
          <w:u w:val="single"/>
        </w:rPr>
        <w:t xml:space="preserve">详细评审表相对应条款） </w:t>
      </w:r>
      <w:r>
        <w:rPr>
          <w:rFonts w:hint="eastAsia" w:ascii="黑体" w:hAnsi="黑体" w:eastAsia="黑体" w:cs="黑体"/>
          <w:color w:val="auto"/>
          <w:szCs w:val="21"/>
          <w:highlight w:val="none"/>
        </w:rPr>
        <w:t>。</w:t>
      </w:r>
    </w:p>
    <w:p w14:paraId="25C444B0">
      <w:pPr>
        <w:spacing w:line="360" w:lineRule="auto"/>
        <w:rPr>
          <w:rFonts w:hint="eastAsia" w:ascii="黑体" w:hAnsi="黑体" w:eastAsia="黑体" w:cs="黑体"/>
          <w:color w:val="auto"/>
          <w:szCs w:val="21"/>
          <w:highlight w:val="none"/>
        </w:rPr>
      </w:pPr>
    </w:p>
    <w:p w14:paraId="758BEB4D">
      <w:pPr>
        <w:spacing w:line="360" w:lineRule="auto"/>
        <w:rPr>
          <w:rFonts w:hint="eastAsia" w:ascii="黑体" w:hAnsi="黑体" w:eastAsia="黑体" w:cs="黑体"/>
          <w:color w:val="auto"/>
          <w:szCs w:val="21"/>
          <w:highlight w:val="none"/>
        </w:rPr>
      </w:pPr>
    </w:p>
    <w:p w14:paraId="13CEE13C">
      <w:pPr>
        <w:spacing w:line="360" w:lineRule="auto"/>
        <w:rPr>
          <w:rFonts w:hint="eastAsia" w:ascii="黑体" w:hAnsi="黑体" w:eastAsia="黑体" w:cs="黑体"/>
          <w:color w:val="auto"/>
          <w:szCs w:val="21"/>
          <w:highlight w:val="none"/>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3C2725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02A382CF">
            <w:pPr>
              <w:overflowPunct w:val="0"/>
              <w:adjustRightIn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投标人名称（加盖公章）：</w:t>
            </w:r>
            <w:r>
              <w:rPr>
                <w:rFonts w:hint="eastAsia" w:ascii="黑体" w:hAnsi="黑体" w:eastAsia="黑体" w:cs="黑体"/>
                <w:color w:val="auto"/>
                <w:szCs w:val="21"/>
                <w:highlight w:val="none"/>
                <w:u w:val="single"/>
              </w:rPr>
              <w:t xml:space="preserve">                         </w:t>
            </w:r>
          </w:p>
        </w:tc>
        <w:tc>
          <w:tcPr>
            <w:tcW w:w="3175" w:type="dxa"/>
          </w:tcPr>
          <w:p w14:paraId="55DDE1AA">
            <w:pPr>
              <w:spacing w:line="360" w:lineRule="auto"/>
              <w:rPr>
                <w:rFonts w:hint="eastAsia" w:ascii="黑体" w:hAnsi="黑体" w:eastAsia="黑体" w:cs="黑体"/>
                <w:color w:val="auto"/>
                <w:szCs w:val="21"/>
                <w:highlight w:val="none"/>
              </w:rPr>
            </w:pPr>
          </w:p>
        </w:tc>
      </w:tr>
      <w:tr w14:paraId="491D0C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44E50187">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日期：</w:t>
            </w:r>
            <w:r>
              <w:rPr>
                <w:rFonts w:hint="eastAsia" w:ascii="黑体" w:hAnsi="黑体" w:eastAsia="黑体" w:cs="黑体"/>
                <w:color w:val="auto"/>
                <w:szCs w:val="21"/>
                <w:highlight w:val="none"/>
                <w:u w:val="single"/>
              </w:rPr>
              <w:t xml:space="preserve">             年           月            日</w:t>
            </w:r>
          </w:p>
        </w:tc>
        <w:tc>
          <w:tcPr>
            <w:tcW w:w="3175" w:type="dxa"/>
          </w:tcPr>
          <w:p w14:paraId="20787B40">
            <w:pPr>
              <w:spacing w:line="360" w:lineRule="auto"/>
              <w:rPr>
                <w:rFonts w:hint="eastAsia" w:ascii="黑体" w:hAnsi="黑体" w:eastAsia="黑体" w:cs="黑体"/>
                <w:color w:val="auto"/>
                <w:szCs w:val="21"/>
                <w:highlight w:val="none"/>
              </w:rPr>
            </w:pPr>
          </w:p>
        </w:tc>
      </w:tr>
    </w:tbl>
    <w:p w14:paraId="7A7985A6">
      <w:pPr>
        <w:spacing w:line="360" w:lineRule="auto"/>
        <w:rPr>
          <w:rFonts w:hint="eastAsia" w:ascii="黑体" w:hAnsi="黑体" w:eastAsia="黑体" w:cs="黑体"/>
          <w:color w:val="auto"/>
          <w:szCs w:val="21"/>
          <w:highlight w:val="none"/>
        </w:rPr>
      </w:pPr>
    </w:p>
    <w:p w14:paraId="2253C87C">
      <w:pPr>
        <w:spacing w:line="360" w:lineRule="auto"/>
        <w:rPr>
          <w:rFonts w:hint="eastAsia" w:ascii="黑体" w:hAnsi="黑体" w:eastAsia="黑体" w:cs="黑体"/>
          <w:color w:val="auto"/>
          <w:szCs w:val="21"/>
          <w:highlight w:val="none"/>
        </w:rPr>
      </w:pPr>
    </w:p>
    <w:p w14:paraId="033EF52C">
      <w:pPr>
        <w:spacing w:line="360" w:lineRule="auto"/>
        <w:rPr>
          <w:rFonts w:hint="eastAsia" w:ascii="黑体" w:hAnsi="黑体" w:eastAsia="黑体" w:cs="黑体"/>
          <w:color w:val="auto"/>
          <w:szCs w:val="21"/>
          <w:highlight w:val="none"/>
        </w:rPr>
      </w:pPr>
    </w:p>
    <w:p w14:paraId="21504E56">
      <w:pPr>
        <w:pStyle w:val="29"/>
        <w:pageBreakBefore/>
        <w:numPr>
          <w:ilvl w:val="0"/>
          <w:numId w:val="84"/>
        </w:numPr>
        <w:tabs>
          <w:tab w:val="left" w:pos="284"/>
          <w:tab w:val="left" w:pos="567"/>
          <w:tab w:val="left" w:pos="709"/>
        </w:tabs>
        <w:ind w:left="1679" w:hanging="1537" w:firstLineChars="0"/>
        <w:jc w:val="left"/>
        <w:rPr>
          <w:rFonts w:hint="eastAsia" w:ascii="黑体" w:hAnsi="黑体" w:eastAsia="黑体" w:cs="黑体"/>
          <w:b/>
          <w:bCs/>
          <w:color w:val="auto"/>
          <w:highlight w:val="none"/>
        </w:rPr>
      </w:pPr>
      <w:r>
        <w:rPr>
          <w:rFonts w:hint="eastAsia" w:ascii="黑体" w:hAnsi="黑体" w:eastAsia="黑体" w:cs="黑体"/>
          <w:b/>
          <w:bCs/>
          <w:color w:val="auto"/>
          <w:highlight w:val="none"/>
        </w:rPr>
        <w:t>商务要求偏离表</w:t>
      </w:r>
    </w:p>
    <w:p w14:paraId="20D9F94F">
      <w:pPr>
        <w:spacing w:before="468" w:beforeLines="150" w:after="468" w:afterLines="150" w:line="360" w:lineRule="auto"/>
        <w:jc w:val="center"/>
        <w:rPr>
          <w:rFonts w:hint="eastAsia" w:ascii="黑体" w:hAnsi="黑体" w:eastAsia="黑体" w:cs="黑体"/>
          <w:b/>
          <w:color w:val="auto"/>
          <w:spacing w:val="20"/>
          <w:sz w:val="30"/>
          <w:szCs w:val="30"/>
          <w:highlight w:val="none"/>
        </w:rPr>
      </w:pPr>
      <w:r>
        <w:rPr>
          <w:rFonts w:hint="eastAsia" w:ascii="黑体" w:hAnsi="黑体" w:eastAsia="黑体" w:cs="黑体"/>
          <w:b/>
          <w:color w:val="auto"/>
          <w:spacing w:val="20"/>
          <w:sz w:val="30"/>
          <w:szCs w:val="30"/>
          <w:highlight w:val="none"/>
        </w:rPr>
        <w:t>商务要求偏离表</w:t>
      </w:r>
    </w:p>
    <w:tbl>
      <w:tblPr>
        <w:tblStyle w:val="19"/>
        <w:tblW w:w="86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
        <w:gridCol w:w="2352"/>
        <w:gridCol w:w="2126"/>
        <w:gridCol w:w="1644"/>
        <w:gridCol w:w="1575"/>
      </w:tblGrid>
      <w:tr w14:paraId="0B8F1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920" w:type="dxa"/>
            <w:vAlign w:val="center"/>
          </w:tcPr>
          <w:p w14:paraId="5F8C39B1">
            <w:pPr>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序号</w:t>
            </w:r>
          </w:p>
        </w:tc>
        <w:tc>
          <w:tcPr>
            <w:tcW w:w="2352" w:type="dxa"/>
            <w:vAlign w:val="center"/>
          </w:tcPr>
          <w:p w14:paraId="218E1D29">
            <w:pPr>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招标文件要求</w:t>
            </w:r>
          </w:p>
        </w:tc>
        <w:tc>
          <w:tcPr>
            <w:tcW w:w="2126" w:type="dxa"/>
            <w:vAlign w:val="center"/>
          </w:tcPr>
          <w:p w14:paraId="640169E9">
            <w:pPr>
              <w:jc w:val="center"/>
              <w:rPr>
                <w:rFonts w:hint="eastAsia" w:ascii="黑体" w:hAnsi="黑体" w:eastAsia="黑体" w:cs="黑体"/>
                <w:b/>
                <w:color w:val="auto"/>
                <w:szCs w:val="21"/>
                <w:highlight w:val="none"/>
              </w:rPr>
            </w:pPr>
            <w:r>
              <w:rPr>
                <w:rFonts w:hint="eastAsia" w:ascii="黑体" w:hAnsi="黑体" w:eastAsia="黑体" w:cs="黑体"/>
                <w:b/>
                <w:bCs/>
                <w:color w:val="auto"/>
                <w:szCs w:val="21"/>
                <w:highlight w:val="none"/>
              </w:rPr>
              <w:t>投标文件响应内容</w:t>
            </w:r>
          </w:p>
        </w:tc>
        <w:tc>
          <w:tcPr>
            <w:tcW w:w="1644" w:type="dxa"/>
            <w:vAlign w:val="center"/>
          </w:tcPr>
          <w:p w14:paraId="2548FC71">
            <w:pPr>
              <w:ind w:left="293" w:hanging="293" w:hangingChars="139"/>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偏离情况</w:t>
            </w:r>
          </w:p>
        </w:tc>
        <w:tc>
          <w:tcPr>
            <w:tcW w:w="1575" w:type="dxa"/>
            <w:vAlign w:val="center"/>
          </w:tcPr>
          <w:p w14:paraId="7C094AFF">
            <w:pPr>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说明</w:t>
            </w:r>
          </w:p>
        </w:tc>
      </w:tr>
      <w:tr w14:paraId="3C56EA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920" w:type="dxa"/>
            <w:vAlign w:val="center"/>
          </w:tcPr>
          <w:p w14:paraId="0AA1EE7A">
            <w:pPr>
              <w:spacing w:line="360" w:lineRule="auto"/>
              <w:jc w:val="center"/>
              <w:rPr>
                <w:rFonts w:hint="eastAsia" w:ascii="黑体" w:hAnsi="黑体" w:eastAsia="黑体" w:cs="黑体"/>
                <w:color w:val="auto"/>
                <w:szCs w:val="21"/>
                <w:highlight w:val="none"/>
              </w:rPr>
            </w:pPr>
          </w:p>
        </w:tc>
        <w:tc>
          <w:tcPr>
            <w:tcW w:w="2352" w:type="dxa"/>
            <w:vAlign w:val="center"/>
          </w:tcPr>
          <w:p w14:paraId="01466909">
            <w:pPr>
              <w:spacing w:line="360" w:lineRule="auto"/>
              <w:jc w:val="center"/>
              <w:rPr>
                <w:rFonts w:hint="eastAsia" w:ascii="黑体" w:hAnsi="黑体" w:eastAsia="黑体" w:cs="黑体"/>
                <w:color w:val="auto"/>
                <w:szCs w:val="21"/>
                <w:highlight w:val="none"/>
              </w:rPr>
            </w:pPr>
          </w:p>
        </w:tc>
        <w:tc>
          <w:tcPr>
            <w:tcW w:w="2126" w:type="dxa"/>
            <w:vAlign w:val="center"/>
          </w:tcPr>
          <w:p w14:paraId="05381FEB">
            <w:pPr>
              <w:spacing w:line="360" w:lineRule="auto"/>
              <w:jc w:val="center"/>
              <w:rPr>
                <w:rFonts w:hint="eastAsia" w:ascii="黑体" w:hAnsi="黑体" w:eastAsia="黑体" w:cs="黑体"/>
                <w:color w:val="auto"/>
                <w:szCs w:val="21"/>
                <w:highlight w:val="none"/>
              </w:rPr>
            </w:pPr>
          </w:p>
        </w:tc>
        <w:tc>
          <w:tcPr>
            <w:tcW w:w="1644" w:type="dxa"/>
            <w:vAlign w:val="center"/>
          </w:tcPr>
          <w:p w14:paraId="552D1CD7">
            <w:pPr>
              <w:spacing w:line="360" w:lineRule="auto"/>
              <w:jc w:val="center"/>
              <w:rPr>
                <w:rFonts w:hint="eastAsia" w:ascii="黑体" w:hAnsi="黑体" w:eastAsia="黑体" w:cs="黑体"/>
                <w:color w:val="auto"/>
                <w:szCs w:val="21"/>
                <w:highlight w:val="none"/>
              </w:rPr>
            </w:pPr>
          </w:p>
        </w:tc>
        <w:tc>
          <w:tcPr>
            <w:tcW w:w="1575" w:type="dxa"/>
            <w:vAlign w:val="center"/>
          </w:tcPr>
          <w:p w14:paraId="3EB8385C">
            <w:pPr>
              <w:spacing w:line="360" w:lineRule="auto"/>
              <w:jc w:val="center"/>
              <w:rPr>
                <w:rFonts w:hint="eastAsia" w:ascii="黑体" w:hAnsi="黑体" w:eastAsia="黑体" w:cs="黑体"/>
                <w:color w:val="auto"/>
                <w:szCs w:val="21"/>
                <w:highlight w:val="none"/>
              </w:rPr>
            </w:pPr>
          </w:p>
        </w:tc>
      </w:tr>
      <w:tr w14:paraId="7BBFA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920" w:type="dxa"/>
            <w:vAlign w:val="center"/>
          </w:tcPr>
          <w:p w14:paraId="6D65885E">
            <w:pPr>
              <w:spacing w:line="360" w:lineRule="auto"/>
              <w:jc w:val="center"/>
              <w:rPr>
                <w:rFonts w:hint="eastAsia" w:ascii="黑体" w:hAnsi="黑体" w:eastAsia="黑体" w:cs="黑体"/>
                <w:color w:val="auto"/>
                <w:szCs w:val="21"/>
                <w:highlight w:val="none"/>
              </w:rPr>
            </w:pPr>
          </w:p>
        </w:tc>
        <w:tc>
          <w:tcPr>
            <w:tcW w:w="2352" w:type="dxa"/>
            <w:vAlign w:val="center"/>
          </w:tcPr>
          <w:p w14:paraId="6B2D664C">
            <w:pPr>
              <w:spacing w:line="360" w:lineRule="auto"/>
              <w:jc w:val="center"/>
              <w:rPr>
                <w:rFonts w:hint="eastAsia" w:ascii="黑体" w:hAnsi="黑体" w:eastAsia="黑体" w:cs="黑体"/>
                <w:color w:val="auto"/>
                <w:szCs w:val="21"/>
                <w:highlight w:val="none"/>
              </w:rPr>
            </w:pPr>
          </w:p>
        </w:tc>
        <w:tc>
          <w:tcPr>
            <w:tcW w:w="2126" w:type="dxa"/>
            <w:vAlign w:val="center"/>
          </w:tcPr>
          <w:p w14:paraId="47BA5E08">
            <w:pPr>
              <w:spacing w:line="360" w:lineRule="auto"/>
              <w:jc w:val="center"/>
              <w:rPr>
                <w:rFonts w:hint="eastAsia" w:ascii="黑体" w:hAnsi="黑体" w:eastAsia="黑体" w:cs="黑体"/>
                <w:color w:val="auto"/>
                <w:szCs w:val="21"/>
                <w:highlight w:val="none"/>
              </w:rPr>
            </w:pPr>
          </w:p>
        </w:tc>
        <w:tc>
          <w:tcPr>
            <w:tcW w:w="1644" w:type="dxa"/>
            <w:vAlign w:val="center"/>
          </w:tcPr>
          <w:p w14:paraId="53B62C73">
            <w:pPr>
              <w:spacing w:line="360" w:lineRule="auto"/>
              <w:jc w:val="center"/>
              <w:rPr>
                <w:rFonts w:hint="eastAsia" w:ascii="黑体" w:hAnsi="黑体" w:eastAsia="黑体" w:cs="黑体"/>
                <w:color w:val="auto"/>
                <w:szCs w:val="21"/>
                <w:highlight w:val="none"/>
              </w:rPr>
            </w:pPr>
          </w:p>
        </w:tc>
        <w:tc>
          <w:tcPr>
            <w:tcW w:w="1575" w:type="dxa"/>
            <w:vAlign w:val="center"/>
          </w:tcPr>
          <w:p w14:paraId="0ED425ED">
            <w:pPr>
              <w:spacing w:line="360" w:lineRule="auto"/>
              <w:jc w:val="center"/>
              <w:rPr>
                <w:rFonts w:hint="eastAsia" w:ascii="黑体" w:hAnsi="黑体" w:eastAsia="黑体" w:cs="黑体"/>
                <w:color w:val="auto"/>
                <w:szCs w:val="21"/>
                <w:highlight w:val="none"/>
              </w:rPr>
            </w:pPr>
          </w:p>
        </w:tc>
      </w:tr>
      <w:tr w14:paraId="53CE6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920" w:type="dxa"/>
            <w:vAlign w:val="center"/>
          </w:tcPr>
          <w:p w14:paraId="02C4204D">
            <w:pPr>
              <w:spacing w:line="360" w:lineRule="auto"/>
              <w:jc w:val="center"/>
              <w:rPr>
                <w:rFonts w:hint="eastAsia" w:ascii="黑体" w:hAnsi="黑体" w:eastAsia="黑体" w:cs="黑体"/>
                <w:color w:val="auto"/>
                <w:szCs w:val="21"/>
                <w:highlight w:val="none"/>
              </w:rPr>
            </w:pPr>
          </w:p>
        </w:tc>
        <w:tc>
          <w:tcPr>
            <w:tcW w:w="2352" w:type="dxa"/>
            <w:vAlign w:val="center"/>
          </w:tcPr>
          <w:p w14:paraId="3917EAA3">
            <w:pPr>
              <w:spacing w:line="360" w:lineRule="auto"/>
              <w:jc w:val="center"/>
              <w:rPr>
                <w:rFonts w:hint="eastAsia" w:ascii="黑体" w:hAnsi="黑体" w:eastAsia="黑体" w:cs="黑体"/>
                <w:color w:val="auto"/>
                <w:szCs w:val="21"/>
                <w:highlight w:val="none"/>
              </w:rPr>
            </w:pPr>
          </w:p>
        </w:tc>
        <w:tc>
          <w:tcPr>
            <w:tcW w:w="2126" w:type="dxa"/>
            <w:vAlign w:val="center"/>
          </w:tcPr>
          <w:p w14:paraId="65913FB0">
            <w:pPr>
              <w:spacing w:line="360" w:lineRule="auto"/>
              <w:jc w:val="center"/>
              <w:rPr>
                <w:rFonts w:hint="eastAsia" w:ascii="黑体" w:hAnsi="黑体" w:eastAsia="黑体" w:cs="黑体"/>
                <w:color w:val="auto"/>
                <w:szCs w:val="21"/>
                <w:highlight w:val="none"/>
              </w:rPr>
            </w:pPr>
          </w:p>
        </w:tc>
        <w:tc>
          <w:tcPr>
            <w:tcW w:w="1644" w:type="dxa"/>
            <w:vAlign w:val="center"/>
          </w:tcPr>
          <w:p w14:paraId="104536EE">
            <w:pPr>
              <w:spacing w:line="360" w:lineRule="auto"/>
              <w:jc w:val="center"/>
              <w:rPr>
                <w:rFonts w:hint="eastAsia" w:ascii="黑体" w:hAnsi="黑体" w:eastAsia="黑体" w:cs="黑体"/>
                <w:color w:val="auto"/>
                <w:szCs w:val="21"/>
                <w:highlight w:val="none"/>
              </w:rPr>
            </w:pPr>
          </w:p>
        </w:tc>
        <w:tc>
          <w:tcPr>
            <w:tcW w:w="1575" w:type="dxa"/>
            <w:vAlign w:val="center"/>
          </w:tcPr>
          <w:p w14:paraId="4A5902D4">
            <w:pPr>
              <w:spacing w:line="360" w:lineRule="auto"/>
              <w:jc w:val="center"/>
              <w:rPr>
                <w:rFonts w:hint="eastAsia" w:ascii="黑体" w:hAnsi="黑体" w:eastAsia="黑体" w:cs="黑体"/>
                <w:color w:val="auto"/>
                <w:szCs w:val="21"/>
                <w:highlight w:val="none"/>
              </w:rPr>
            </w:pPr>
          </w:p>
        </w:tc>
      </w:tr>
      <w:tr w14:paraId="4AA3C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920" w:type="dxa"/>
            <w:vAlign w:val="center"/>
          </w:tcPr>
          <w:p w14:paraId="31109A41">
            <w:pPr>
              <w:spacing w:line="360" w:lineRule="auto"/>
              <w:jc w:val="center"/>
              <w:rPr>
                <w:rFonts w:hint="eastAsia" w:ascii="黑体" w:hAnsi="黑体" w:eastAsia="黑体" w:cs="黑体"/>
                <w:color w:val="auto"/>
                <w:szCs w:val="21"/>
                <w:highlight w:val="none"/>
              </w:rPr>
            </w:pPr>
          </w:p>
        </w:tc>
        <w:tc>
          <w:tcPr>
            <w:tcW w:w="2352" w:type="dxa"/>
            <w:vAlign w:val="center"/>
          </w:tcPr>
          <w:p w14:paraId="64FA79F1">
            <w:pPr>
              <w:spacing w:line="360" w:lineRule="auto"/>
              <w:jc w:val="center"/>
              <w:rPr>
                <w:rFonts w:hint="eastAsia" w:ascii="黑体" w:hAnsi="黑体" w:eastAsia="黑体" w:cs="黑体"/>
                <w:color w:val="auto"/>
                <w:szCs w:val="21"/>
                <w:highlight w:val="none"/>
              </w:rPr>
            </w:pPr>
          </w:p>
        </w:tc>
        <w:tc>
          <w:tcPr>
            <w:tcW w:w="2126" w:type="dxa"/>
            <w:vAlign w:val="center"/>
          </w:tcPr>
          <w:p w14:paraId="7824F394">
            <w:pPr>
              <w:spacing w:line="360" w:lineRule="auto"/>
              <w:jc w:val="center"/>
              <w:rPr>
                <w:rFonts w:hint="eastAsia" w:ascii="黑体" w:hAnsi="黑体" w:eastAsia="黑体" w:cs="黑体"/>
                <w:color w:val="auto"/>
                <w:szCs w:val="21"/>
                <w:highlight w:val="none"/>
              </w:rPr>
            </w:pPr>
          </w:p>
        </w:tc>
        <w:tc>
          <w:tcPr>
            <w:tcW w:w="1644" w:type="dxa"/>
            <w:vAlign w:val="center"/>
          </w:tcPr>
          <w:p w14:paraId="3CA17D96">
            <w:pPr>
              <w:spacing w:line="360" w:lineRule="auto"/>
              <w:jc w:val="center"/>
              <w:rPr>
                <w:rFonts w:hint="eastAsia" w:ascii="黑体" w:hAnsi="黑体" w:eastAsia="黑体" w:cs="黑体"/>
                <w:color w:val="auto"/>
                <w:szCs w:val="21"/>
                <w:highlight w:val="none"/>
              </w:rPr>
            </w:pPr>
          </w:p>
        </w:tc>
        <w:tc>
          <w:tcPr>
            <w:tcW w:w="1575" w:type="dxa"/>
            <w:vAlign w:val="center"/>
          </w:tcPr>
          <w:p w14:paraId="1A5BB10C">
            <w:pPr>
              <w:spacing w:line="360" w:lineRule="auto"/>
              <w:jc w:val="center"/>
              <w:rPr>
                <w:rFonts w:hint="eastAsia" w:ascii="黑体" w:hAnsi="黑体" w:eastAsia="黑体" w:cs="黑体"/>
                <w:color w:val="auto"/>
                <w:szCs w:val="21"/>
                <w:highlight w:val="none"/>
              </w:rPr>
            </w:pPr>
          </w:p>
        </w:tc>
      </w:tr>
      <w:tr w14:paraId="729F92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920" w:type="dxa"/>
            <w:vAlign w:val="center"/>
          </w:tcPr>
          <w:p w14:paraId="08F31F8C">
            <w:pPr>
              <w:spacing w:line="360" w:lineRule="auto"/>
              <w:jc w:val="center"/>
              <w:rPr>
                <w:rFonts w:hint="eastAsia" w:ascii="黑体" w:hAnsi="黑体" w:eastAsia="黑体" w:cs="黑体"/>
                <w:color w:val="auto"/>
                <w:szCs w:val="21"/>
                <w:highlight w:val="none"/>
              </w:rPr>
            </w:pPr>
          </w:p>
        </w:tc>
        <w:tc>
          <w:tcPr>
            <w:tcW w:w="2352" w:type="dxa"/>
            <w:vAlign w:val="center"/>
          </w:tcPr>
          <w:p w14:paraId="720DF501">
            <w:pPr>
              <w:spacing w:line="360" w:lineRule="auto"/>
              <w:jc w:val="center"/>
              <w:rPr>
                <w:rFonts w:hint="eastAsia" w:ascii="黑体" w:hAnsi="黑体" w:eastAsia="黑体" w:cs="黑体"/>
                <w:color w:val="auto"/>
                <w:szCs w:val="21"/>
                <w:highlight w:val="none"/>
              </w:rPr>
            </w:pPr>
          </w:p>
        </w:tc>
        <w:tc>
          <w:tcPr>
            <w:tcW w:w="2126" w:type="dxa"/>
            <w:vAlign w:val="center"/>
          </w:tcPr>
          <w:p w14:paraId="1C7D1B94">
            <w:pPr>
              <w:spacing w:line="360" w:lineRule="auto"/>
              <w:jc w:val="center"/>
              <w:rPr>
                <w:rFonts w:hint="eastAsia" w:ascii="黑体" w:hAnsi="黑体" w:eastAsia="黑体" w:cs="黑体"/>
                <w:color w:val="auto"/>
                <w:szCs w:val="21"/>
                <w:highlight w:val="none"/>
              </w:rPr>
            </w:pPr>
          </w:p>
        </w:tc>
        <w:tc>
          <w:tcPr>
            <w:tcW w:w="1644" w:type="dxa"/>
            <w:vAlign w:val="center"/>
          </w:tcPr>
          <w:p w14:paraId="0697CC1E">
            <w:pPr>
              <w:spacing w:line="360" w:lineRule="auto"/>
              <w:jc w:val="center"/>
              <w:rPr>
                <w:rFonts w:hint="eastAsia" w:ascii="黑体" w:hAnsi="黑体" w:eastAsia="黑体" w:cs="黑体"/>
                <w:color w:val="auto"/>
                <w:szCs w:val="21"/>
                <w:highlight w:val="none"/>
              </w:rPr>
            </w:pPr>
          </w:p>
        </w:tc>
        <w:tc>
          <w:tcPr>
            <w:tcW w:w="1575" w:type="dxa"/>
            <w:vAlign w:val="center"/>
          </w:tcPr>
          <w:p w14:paraId="087E5C17">
            <w:pPr>
              <w:spacing w:line="360" w:lineRule="auto"/>
              <w:jc w:val="center"/>
              <w:rPr>
                <w:rFonts w:hint="eastAsia" w:ascii="黑体" w:hAnsi="黑体" w:eastAsia="黑体" w:cs="黑体"/>
                <w:color w:val="auto"/>
                <w:szCs w:val="21"/>
                <w:highlight w:val="none"/>
              </w:rPr>
            </w:pPr>
          </w:p>
        </w:tc>
      </w:tr>
    </w:tbl>
    <w:p w14:paraId="6ED2A83D">
      <w:pPr>
        <w:spacing w:before="156" w:beforeLines="50"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注明：</w:t>
      </w:r>
    </w:p>
    <w:p w14:paraId="228D1895">
      <w:pPr>
        <w:pStyle w:val="29"/>
        <w:numPr>
          <w:ilvl w:val="0"/>
          <w:numId w:val="93"/>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偏离情况项填写“正”、“负”或“无”，说明项中填写原因。</w:t>
      </w:r>
    </w:p>
    <w:p w14:paraId="19F4DFAD">
      <w:pPr>
        <w:pStyle w:val="29"/>
        <w:numPr>
          <w:ilvl w:val="0"/>
          <w:numId w:val="93"/>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投标人应按照招标文件要求，根据“采购需求”内容作出全面响应。对响应有偏离的，则说明偏离的内容。“采购需求”内容中若有要求提供相关证明资料的，须按要求提供，否则视为负偏离。</w:t>
      </w:r>
    </w:p>
    <w:p w14:paraId="6235B7A1">
      <w:pPr>
        <w:spacing w:line="360" w:lineRule="auto"/>
        <w:rPr>
          <w:rFonts w:hint="eastAsia" w:ascii="黑体" w:hAnsi="黑体" w:eastAsia="黑体" w:cs="黑体"/>
          <w:color w:val="auto"/>
          <w:szCs w:val="21"/>
          <w:highlight w:val="none"/>
        </w:rPr>
      </w:pPr>
    </w:p>
    <w:p w14:paraId="41D275C7">
      <w:pPr>
        <w:spacing w:line="360" w:lineRule="auto"/>
        <w:rPr>
          <w:rFonts w:hint="eastAsia" w:ascii="黑体" w:hAnsi="黑体" w:eastAsia="黑体" w:cs="黑体"/>
          <w:color w:val="auto"/>
          <w:szCs w:val="21"/>
          <w:highlight w:val="none"/>
        </w:rPr>
      </w:pPr>
    </w:p>
    <w:p w14:paraId="41FD2869">
      <w:pPr>
        <w:spacing w:line="360" w:lineRule="auto"/>
        <w:rPr>
          <w:rFonts w:hint="eastAsia" w:ascii="黑体" w:hAnsi="黑体" w:eastAsia="黑体" w:cs="黑体"/>
          <w:color w:val="auto"/>
          <w:szCs w:val="21"/>
          <w:highlight w:val="none"/>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669FF0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5353" w:type="dxa"/>
          </w:tcPr>
          <w:p w14:paraId="28042B2C">
            <w:pPr>
              <w:overflowPunct w:val="0"/>
              <w:adjustRightIn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投标人名称（加盖公章）：</w:t>
            </w:r>
            <w:r>
              <w:rPr>
                <w:rFonts w:hint="eastAsia" w:ascii="黑体" w:hAnsi="黑体" w:eastAsia="黑体" w:cs="黑体"/>
                <w:color w:val="auto"/>
                <w:szCs w:val="21"/>
                <w:highlight w:val="none"/>
                <w:u w:val="single"/>
              </w:rPr>
              <w:t xml:space="preserve">                         </w:t>
            </w:r>
          </w:p>
        </w:tc>
        <w:tc>
          <w:tcPr>
            <w:tcW w:w="3175" w:type="dxa"/>
          </w:tcPr>
          <w:p w14:paraId="42F90775">
            <w:pPr>
              <w:spacing w:line="360" w:lineRule="auto"/>
              <w:rPr>
                <w:rFonts w:hint="eastAsia" w:ascii="黑体" w:hAnsi="黑体" w:eastAsia="黑体" w:cs="黑体"/>
                <w:color w:val="auto"/>
                <w:szCs w:val="21"/>
                <w:highlight w:val="none"/>
              </w:rPr>
            </w:pPr>
          </w:p>
        </w:tc>
      </w:tr>
      <w:tr w14:paraId="12C6C6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20D9D536">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日期：</w:t>
            </w:r>
            <w:r>
              <w:rPr>
                <w:rFonts w:hint="eastAsia" w:ascii="黑体" w:hAnsi="黑体" w:eastAsia="黑体" w:cs="黑体"/>
                <w:color w:val="auto"/>
                <w:szCs w:val="21"/>
                <w:highlight w:val="none"/>
                <w:u w:val="single"/>
              </w:rPr>
              <w:t xml:space="preserve">             年           月            日</w:t>
            </w:r>
          </w:p>
        </w:tc>
        <w:tc>
          <w:tcPr>
            <w:tcW w:w="3175" w:type="dxa"/>
          </w:tcPr>
          <w:p w14:paraId="5FD53E60">
            <w:pPr>
              <w:spacing w:line="360" w:lineRule="auto"/>
              <w:rPr>
                <w:rFonts w:hint="eastAsia" w:ascii="黑体" w:hAnsi="黑体" w:eastAsia="黑体" w:cs="黑体"/>
                <w:color w:val="auto"/>
                <w:szCs w:val="21"/>
                <w:highlight w:val="none"/>
              </w:rPr>
            </w:pPr>
          </w:p>
        </w:tc>
      </w:tr>
    </w:tbl>
    <w:p w14:paraId="6EC6D109">
      <w:pPr>
        <w:spacing w:line="360" w:lineRule="auto"/>
        <w:rPr>
          <w:rFonts w:hint="eastAsia" w:ascii="黑体" w:hAnsi="黑体" w:eastAsia="黑体" w:cs="黑体"/>
          <w:color w:val="auto"/>
          <w:szCs w:val="21"/>
          <w:highlight w:val="none"/>
        </w:rPr>
      </w:pPr>
    </w:p>
    <w:p w14:paraId="5C4E498B">
      <w:pPr>
        <w:spacing w:line="360" w:lineRule="auto"/>
        <w:rPr>
          <w:rFonts w:hint="eastAsia" w:ascii="黑体" w:hAnsi="黑体" w:eastAsia="黑体" w:cs="黑体"/>
          <w:color w:val="auto"/>
          <w:szCs w:val="21"/>
          <w:highlight w:val="none"/>
        </w:rPr>
      </w:pPr>
    </w:p>
    <w:p w14:paraId="280E505D">
      <w:pPr>
        <w:pStyle w:val="29"/>
        <w:pageBreakBefore/>
        <w:numPr>
          <w:ilvl w:val="0"/>
          <w:numId w:val="84"/>
        </w:numPr>
        <w:tabs>
          <w:tab w:val="left" w:pos="284"/>
          <w:tab w:val="left" w:pos="567"/>
          <w:tab w:val="left" w:pos="709"/>
        </w:tabs>
        <w:ind w:left="1679" w:hanging="1537" w:firstLineChars="0"/>
        <w:jc w:val="left"/>
        <w:rPr>
          <w:rFonts w:hint="eastAsia" w:ascii="黑体" w:hAnsi="黑体" w:eastAsia="黑体" w:cs="黑体"/>
          <w:b/>
          <w:bCs/>
          <w:color w:val="auto"/>
          <w:highlight w:val="none"/>
        </w:rPr>
      </w:pPr>
      <w:bookmarkStart w:id="96" w:name="_Toc82414662"/>
      <w:bookmarkStart w:id="97" w:name="_Toc90980524"/>
      <w:bookmarkStart w:id="98" w:name="_Hlk82386912"/>
      <w:r>
        <w:rPr>
          <w:rFonts w:hint="eastAsia" w:ascii="黑体" w:hAnsi="黑体" w:eastAsia="黑体" w:cs="黑体"/>
          <w:b/>
          <w:bCs/>
          <w:color w:val="auto"/>
          <w:highlight w:val="none"/>
        </w:rPr>
        <w:t>投标货物详细说明</w:t>
      </w:r>
      <w:bookmarkEnd w:id="96"/>
      <w:bookmarkEnd w:id="97"/>
    </w:p>
    <w:p w14:paraId="1C907F86">
      <w:pPr>
        <w:spacing w:before="156" w:beforeLines="50" w:after="312" w:afterLines="100" w:line="360" w:lineRule="auto"/>
        <w:jc w:val="center"/>
        <w:rPr>
          <w:rFonts w:hint="eastAsia" w:ascii="黑体" w:hAnsi="黑体" w:eastAsia="黑体" w:cs="黑体"/>
          <w:b/>
          <w:color w:val="auto"/>
          <w:spacing w:val="20"/>
          <w:sz w:val="30"/>
          <w:szCs w:val="30"/>
          <w:highlight w:val="none"/>
        </w:rPr>
      </w:pPr>
      <w:r>
        <w:rPr>
          <w:rFonts w:hint="eastAsia" w:ascii="黑体" w:hAnsi="黑体" w:eastAsia="黑体" w:cs="黑体"/>
          <w:b/>
          <w:color w:val="auto"/>
          <w:spacing w:val="20"/>
          <w:sz w:val="30"/>
          <w:szCs w:val="30"/>
          <w:highlight w:val="none"/>
        </w:rPr>
        <w:t>投标货物详细说明</w:t>
      </w:r>
    </w:p>
    <w:tbl>
      <w:tblPr>
        <w:tblStyle w:val="19"/>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3"/>
        <w:gridCol w:w="1329"/>
        <w:gridCol w:w="800"/>
        <w:gridCol w:w="1077"/>
        <w:gridCol w:w="1604"/>
        <w:gridCol w:w="875"/>
        <w:gridCol w:w="1433"/>
        <w:gridCol w:w="956"/>
      </w:tblGrid>
      <w:tr w14:paraId="58133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396" w:type="pct"/>
            <w:vAlign w:val="center"/>
          </w:tcPr>
          <w:p w14:paraId="6E78EE86">
            <w:pPr>
              <w:jc w:val="center"/>
              <w:rPr>
                <w:rFonts w:hint="eastAsia" w:ascii="黑体" w:hAnsi="黑体" w:eastAsia="黑体" w:cs="黑体"/>
                <w:b/>
                <w:bCs/>
                <w:color w:val="auto"/>
                <w:highlight w:val="none"/>
              </w:rPr>
            </w:pPr>
            <w:r>
              <w:rPr>
                <w:rFonts w:hint="eastAsia" w:ascii="黑体" w:hAnsi="黑体" w:eastAsia="黑体" w:cs="黑体"/>
                <w:b/>
                <w:bCs/>
                <w:color w:val="auto"/>
                <w:highlight w:val="none"/>
              </w:rPr>
              <w:t>序号</w:t>
            </w:r>
          </w:p>
        </w:tc>
        <w:tc>
          <w:tcPr>
            <w:tcW w:w="758" w:type="pct"/>
            <w:vAlign w:val="center"/>
          </w:tcPr>
          <w:p w14:paraId="30638962">
            <w:pPr>
              <w:jc w:val="center"/>
              <w:rPr>
                <w:rFonts w:hint="eastAsia" w:ascii="黑体" w:hAnsi="黑体" w:eastAsia="黑体" w:cs="黑体"/>
                <w:b/>
                <w:bCs/>
                <w:color w:val="auto"/>
                <w:highlight w:val="none"/>
              </w:rPr>
            </w:pPr>
            <w:r>
              <w:rPr>
                <w:rFonts w:hint="eastAsia" w:ascii="黑体" w:hAnsi="黑体" w:eastAsia="黑体" w:cs="黑体"/>
                <w:b/>
                <w:bCs/>
                <w:color w:val="auto"/>
                <w:highlight w:val="none"/>
              </w:rPr>
              <w:t>货物名称</w:t>
            </w:r>
          </w:p>
        </w:tc>
        <w:tc>
          <w:tcPr>
            <w:tcW w:w="456" w:type="pct"/>
            <w:vAlign w:val="center"/>
          </w:tcPr>
          <w:p w14:paraId="759A546F">
            <w:pPr>
              <w:jc w:val="center"/>
              <w:rPr>
                <w:rFonts w:hint="eastAsia" w:ascii="黑体" w:hAnsi="黑体" w:eastAsia="黑体" w:cs="黑体"/>
                <w:b/>
                <w:bCs/>
                <w:color w:val="auto"/>
                <w:highlight w:val="none"/>
              </w:rPr>
            </w:pPr>
            <w:r>
              <w:rPr>
                <w:rFonts w:hint="eastAsia" w:ascii="黑体" w:hAnsi="黑体" w:eastAsia="黑体" w:cs="黑体"/>
                <w:b/>
                <w:bCs/>
                <w:color w:val="auto"/>
                <w:highlight w:val="none"/>
              </w:rPr>
              <w:t>数量</w:t>
            </w:r>
          </w:p>
        </w:tc>
        <w:tc>
          <w:tcPr>
            <w:tcW w:w="614" w:type="pct"/>
            <w:vAlign w:val="center"/>
          </w:tcPr>
          <w:p w14:paraId="3CA60C61">
            <w:pPr>
              <w:jc w:val="center"/>
              <w:rPr>
                <w:rFonts w:hint="eastAsia" w:ascii="黑体" w:hAnsi="黑体" w:eastAsia="黑体" w:cs="黑体"/>
                <w:b/>
                <w:bCs/>
                <w:color w:val="auto"/>
                <w:highlight w:val="none"/>
              </w:rPr>
            </w:pPr>
            <w:r>
              <w:rPr>
                <w:rFonts w:hint="eastAsia" w:ascii="黑体" w:hAnsi="黑体" w:eastAsia="黑体" w:cs="黑体"/>
                <w:b/>
                <w:bCs/>
                <w:color w:val="auto"/>
                <w:highlight w:val="none"/>
              </w:rPr>
              <w:t>品牌</w:t>
            </w:r>
          </w:p>
        </w:tc>
        <w:tc>
          <w:tcPr>
            <w:tcW w:w="915" w:type="pct"/>
            <w:vAlign w:val="center"/>
          </w:tcPr>
          <w:p w14:paraId="4935A800">
            <w:pPr>
              <w:jc w:val="center"/>
              <w:rPr>
                <w:rFonts w:hint="eastAsia" w:ascii="黑体" w:hAnsi="黑体" w:eastAsia="黑体" w:cs="黑体"/>
                <w:b/>
                <w:bCs/>
                <w:color w:val="auto"/>
                <w:highlight w:val="none"/>
              </w:rPr>
            </w:pPr>
            <w:r>
              <w:rPr>
                <w:rFonts w:hint="eastAsia" w:ascii="黑体" w:hAnsi="黑体" w:eastAsia="黑体" w:cs="黑体"/>
                <w:b/>
                <w:bCs/>
                <w:color w:val="auto"/>
                <w:highlight w:val="none"/>
              </w:rPr>
              <w:t>规格型号</w:t>
            </w:r>
          </w:p>
        </w:tc>
        <w:tc>
          <w:tcPr>
            <w:tcW w:w="499" w:type="pct"/>
            <w:vAlign w:val="center"/>
          </w:tcPr>
          <w:p w14:paraId="2A7ADBC5">
            <w:pPr>
              <w:jc w:val="center"/>
              <w:rPr>
                <w:rFonts w:hint="eastAsia" w:ascii="黑体" w:hAnsi="黑体" w:eastAsia="黑体" w:cs="黑体"/>
                <w:b/>
                <w:bCs/>
                <w:color w:val="auto"/>
                <w:highlight w:val="none"/>
              </w:rPr>
            </w:pPr>
            <w:r>
              <w:rPr>
                <w:rFonts w:hint="eastAsia" w:ascii="黑体" w:hAnsi="黑体" w:eastAsia="黑体" w:cs="黑体"/>
                <w:b/>
                <w:bCs/>
                <w:color w:val="auto"/>
                <w:highlight w:val="none"/>
              </w:rPr>
              <w:t>产地</w:t>
            </w:r>
          </w:p>
        </w:tc>
        <w:tc>
          <w:tcPr>
            <w:tcW w:w="817" w:type="pct"/>
            <w:vAlign w:val="center"/>
          </w:tcPr>
          <w:p w14:paraId="464DF141">
            <w:pPr>
              <w:jc w:val="center"/>
              <w:rPr>
                <w:rFonts w:hint="eastAsia" w:ascii="黑体" w:hAnsi="黑体" w:eastAsia="黑体" w:cs="黑体"/>
                <w:b/>
                <w:bCs/>
                <w:color w:val="auto"/>
                <w:highlight w:val="none"/>
              </w:rPr>
            </w:pPr>
            <w:r>
              <w:rPr>
                <w:rFonts w:hint="eastAsia" w:ascii="黑体" w:hAnsi="黑体" w:eastAsia="黑体" w:cs="黑体"/>
                <w:b/>
                <w:bCs/>
                <w:color w:val="auto"/>
                <w:highlight w:val="none"/>
              </w:rPr>
              <w:t>性能及技术参数</w:t>
            </w:r>
          </w:p>
        </w:tc>
        <w:tc>
          <w:tcPr>
            <w:tcW w:w="545" w:type="pct"/>
            <w:vAlign w:val="center"/>
          </w:tcPr>
          <w:p w14:paraId="372D188A">
            <w:pPr>
              <w:jc w:val="center"/>
              <w:rPr>
                <w:rFonts w:hint="eastAsia" w:ascii="黑体" w:hAnsi="黑体" w:eastAsia="黑体" w:cs="黑体"/>
                <w:b/>
                <w:bCs/>
                <w:color w:val="auto"/>
                <w:highlight w:val="none"/>
              </w:rPr>
            </w:pPr>
            <w:r>
              <w:rPr>
                <w:rFonts w:hint="eastAsia" w:ascii="黑体" w:hAnsi="黑体" w:eastAsia="黑体" w:cs="黑体"/>
                <w:b/>
                <w:bCs/>
                <w:color w:val="auto"/>
                <w:highlight w:val="none"/>
              </w:rPr>
              <w:t>备注</w:t>
            </w:r>
          </w:p>
        </w:tc>
      </w:tr>
      <w:tr w14:paraId="0AD1DE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96" w:type="pct"/>
            <w:vAlign w:val="center"/>
          </w:tcPr>
          <w:p w14:paraId="75000B55">
            <w:pPr>
              <w:spacing w:line="480" w:lineRule="auto"/>
              <w:jc w:val="center"/>
              <w:rPr>
                <w:rFonts w:hint="eastAsia" w:ascii="黑体" w:hAnsi="黑体" w:eastAsia="黑体" w:cs="黑体"/>
                <w:color w:val="auto"/>
                <w:szCs w:val="21"/>
                <w:highlight w:val="none"/>
              </w:rPr>
            </w:pPr>
          </w:p>
        </w:tc>
        <w:tc>
          <w:tcPr>
            <w:tcW w:w="758" w:type="pct"/>
            <w:vAlign w:val="center"/>
          </w:tcPr>
          <w:p w14:paraId="1DBFC1A1">
            <w:pPr>
              <w:spacing w:line="480" w:lineRule="auto"/>
              <w:jc w:val="center"/>
              <w:rPr>
                <w:rFonts w:hint="eastAsia" w:ascii="黑体" w:hAnsi="黑体" w:eastAsia="黑体" w:cs="黑体"/>
                <w:color w:val="auto"/>
                <w:szCs w:val="21"/>
                <w:highlight w:val="none"/>
              </w:rPr>
            </w:pPr>
          </w:p>
        </w:tc>
        <w:tc>
          <w:tcPr>
            <w:tcW w:w="456" w:type="pct"/>
            <w:vAlign w:val="center"/>
          </w:tcPr>
          <w:p w14:paraId="6073F9CE">
            <w:pPr>
              <w:spacing w:line="480" w:lineRule="auto"/>
              <w:jc w:val="center"/>
              <w:rPr>
                <w:rFonts w:hint="eastAsia" w:ascii="黑体" w:hAnsi="黑体" w:eastAsia="黑体" w:cs="黑体"/>
                <w:color w:val="auto"/>
                <w:szCs w:val="21"/>
                <w:highlight w:val="none"/>
              </w:rPr>
            </w:pPr>
          </w:p>
        </w:tc>
        <w:tc>
          <w:tcPr>
            <w:tcW w:w="614" w:type="pct"/>
            <w:vAlign w:val="center"/>
          </w:tcPr>
          <w:p w14:paraId="5C433624">
            <w:pPr>
              <w:spacing w:line="480" w:lineRule="auto"/>
              <w:jc w:val="center"/>
              <w:rPr>
                <w:rFonts w:hint="eastAsia" w:ascii="黑体" w:hAnsi="黑体" w:eastAsia="黑体" w:cs="黑体"/>
                <w:color w:val="auto"/>
                <w:szCs w:val="21"/>
                <w:highlight w:val="none"/>
              </w:rPr>
            </w:pPr>
          </w:p>
        </w:tc>
        <w:tc>
          <w:tcPr>
            <w:tcW w:w="915" w:type="pct"/>
            <w:vAlign w:val="center"/>
          </w:tcPr>
          <w:p w14:paraId="1980E8E9">
            <w:pPr>
              <w:spacing w:line="480" w:lineRule="auto"/>
              <w:jc w:val="center"/>
              <w:rPr>
                <w:rFonts w:hint="eastAsia" w:ascii="黑体" w:hAnsi="黑体" w:eastAsia="黑体" w:cs="黑体"/>
                <w:color w:val="auto"/>
                <w:szCs w:val="21"/>
                <w:highlight w:val="none"/>
              </w:rPr>
            </w:pPr>
          </w:p>
        </w:tc>
        <w:tc>
          <w:tcPr>
            <w:tcW w:w="499" w:type="pct"/>
            <w:vAlign w:val="center"/>
          </w:tcPr>
          <w:p w14:paraId="0173E05B">
            <w:pPr>
              <w:spacing w:line="480" w:lineRule="auto"/>
              <w:jc w:val="center"/>
              <w:rPr>
                <w:rFonts w:hint="eastAsia" w:ascii="黑体" w:hAnsi="黑体" w:eastAsia="黑体" w:cs="黑体"/>
                <w:color w:val="auto"/>
                <w:szCs w:val="21"/>
                <w:highlight w:val="none"/>
              </w:rPr>
            </w:pPr>
          </w:p>
        </w:tc>
        <w:tc>
          <w:tcPr>
            <w:tcW w:w="817" w:type="pct"/>
          </w:tcPr>
          <w:p w14:paraId="5572AEE4">
            <w:pPr>
              <w:spacing w:line="480" w:lineRule="auto"/>
              <w:jc w:val="center"/>
              <w:rPr>
                <w:rFonts w:hint="eastAsia" w:ascii="黑体" w:hAnsi="黑体" w:eastAsia="黑体" w:cs="黑体"/>
                <w:color w:val="auto"/>
                <w:szCs w:val="21"/>
                <w:highlight w:val="none"/>
              </w:rPr>
            </w:pPr>
          </w:p>
        </w:tc>
        <w:tc>
          <w:tcPr>
            <w:tcW w:w="545" w:type="pct"/>
          </w:tcPr>
          <w:p w14:paraId="2BAC44A3">
            <w:pPr>
              <w:spacing w:line="480" w:lineRule="auto"/>
              <w:jc w:val="center"/>
              <w:rPr>
                <w:rFonts w:hint="eastAsia" w:ascii="黑体" w:hAnsi="黑体" w:eastAsia="黑体" w:cs="黑体"/>
                <w:color w:val="auto"/>
                <w:szCs w:val="21"/>
                <w:highlight w:val="none"/>
              </w:rPr>
            </w:pPr>
          </w:p>
        </w:tc>
      </w:tr>
      <w:tr w14:paraId="208A1E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96" w:type="pct"/>
            <w:vAlign w:val="center"/>
          </w:tcPr>
          <w:p w14:paraId="3040ABCF">
            <w:pPr>
              <w:spacing w:line="480" w:lineRule="auto"/>
              <w:jc w:val="center"/>
              <w:rPr>
                <w:rFonts w:hint="eastAsia" w:ascii="黑体" w:hAnsi="黑体" w:eastAsia="黑体" w:cs="黑体"/>
                <w:color w:val="auto"/>
                <w:szCs w:val="21"/>
                <w:highlight w:val="none"/>
              </w:rPr>
            </w:pPr>
          </w:p>
        </w:tc>
        <w:tc>
          <w:tcPr>
            <w:tcW w:w="758" w:type="pct"/>
            <w:vAlign w:val="center"/>
          </w:tcPr>
          <w:p w14:paraId="3C0BED2E">
            <w:pPr>
              <w:spacing w:line="480" w:lineRule="auto"/>
              <w:jc w:val="center"/>
              <w:rPr>
                <w:rFonts w:hint="eastAsia" w:ascii="黑体" w:hAnsi="黑体" w:eastAsia="黑体" w:cs="黑体"/>
                <w:color w:val="auto"/>
                <w:szCs w:val="21"/>
                <w:highlight w:val="none"/>
              </w:rPr>
            </w:pPr>
          </w:p>
        </w:tc>
        <w:tc>
          <w:tcPr>
            <w:tcW w:w="456" w:type="pct"/>
            <w:vAlign w:val="center"/>
          </w:tcPr>
          <w:p w14:paraId="3096D467">
            <w:pPr>
              <w:spacing w:line="480" w:lineRule="auto"/>
              <w:jc w:val="center"/>
              <w:rPr>
                <w:rFonts w:hint="eastAsia" w:ascii="黑体" w:hAnsi="黑体" w:eastAsia="黑体" w:cs="黑体"/>
                <w:color w:val="auto"/>
                <w:szCs w:val="21"/>
                <w:highlight w:val="none"/>
              </w:rPr>
            </w:pPr>
          </w:p>
        </w:tc>
        <w:tc>
          <w:tcPr>
            <w:tcW w:w="614" w:type="pct"/>
            <w:vAlign w:val="center"/>
          </w:tcPr>
          <w:p w14:paraId="255F5354">
            <w:pPr>
              <w:spacing w:line="480" w:lineRule="auto"/>
              <w:jc w:val="center"/>
              <w:rPr>
                <w:rFonts w:hint="eastAsia" w:ascii="黑体" w:hAnsi="黑体" w:eastAsia="黑体" w:cs="黑体"/>
                <w:color w:val="auto"/>
                <w:szCs w:val="21"/>
                <w:highlight w:val="none"/>
              </w:rPr>
            </w:pPr>
          </w:p>
        </w:tc>
        <w:tc>
          <w:tcPr>
            <w:tcW w:w="915" w:type="pct"/>
            <w:vAlign w:val="center"/>
          </w:tcPr>
          <w:p w14:paraId="550C842C">
            <w:pPr>
              <w:spacing w:line="480" w:lineRule="auto"/>
              <w:jc w:val="center"/>
              <w:rPr>
                <w:rFonts w:hint="eastAsia" w:ascii="黑体" w:hAnsi="黑体" w:eastAsia="黑体" w:cs="黑体"/>
                <w:color w:val="auto"/>
                <w:szCs w:val="21"/>
                <w:highlight w:val="none"/>
              </w:rPr>
            </w:pPr>
          </w:p>
        </w:tc>
        <w:tc>
          <w:tcPr>
            <w:tcW w:w="499" w:type="pct"/>
            <w:vAlign w:val="center"/>
          </w:tcPr>
          <w:p w14:paraId="5C3770D6">
            <w:pPr>
              <w:spacing w:line="480" w:lineRule="auto"/>
              <w:jc w:val="center"/>
              <w:rPr>
                <w:rFonts w:hint="eastAsia" w:ascii="黑体" w:hAnsi="黑体" w:eastAsia="黑体" w:cs="黑体"/>
                <w:color w:val="auto"/>
                <w:szCs w:val="21"/>
                <w:highlight w:val="none"/>
              </w:rPr>
            </w:pPr>
          </w:p>
        </w:tc>
        <w:tc>
          <w:tcPr>
            <w:tcW w:w="817" w:type="pct"/>
          </w:tcPr>
          <w:p w14:paraId="55F0AE50">
            <w:pPr>
              <w:spacing w:line="480" w:lineRule="auto"/>
              <w:jc w:val="center"/>
              <w:rPr>
                <w:rFonts w:hint="eastAsia" w:ascii="黑体" w:hAnsi="黑体" w:eastAsia="黑体" w:cs="黑体"/>
                <w:color w:val="auto"/>
                <w:szCs w:val="21"/>
                <w:highlight w:val="none"/>
              </w:rPr>
            </w:pPr>
          </w:p>
        </w:tc>
        <w:tc>
          <w:tcPr>
            <w:tcW w:w="545" w:type="pct"/>
          </w:tcPr>
          <w:p w14:paraId="0D5C1479">
            <w:pPr>
              <w:spacing w:line="480" w:lineRule="auto"/>
              <w:jc w:val="center"/>
              <w:rPr>
                <w:rFonts w:hint="eastAsia" w:ascii="黑体" w:hAnsi="黑体" w:eastAsia="黑体" w:cs="黑体"/>
                <w:color w:val="auto"/>
                <w:szCs w:val="21"/>
                <w:highlight w:val="none"/>
              </w:rPr>
            </w:pPr>
          </w:p>
        </w:tc>
      </w:tr>
      <w:tr w14:paraId="742598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96" w:type="pct"/>
            <w:vAlign w:val="center"/>
          </w:tcPr>
          <w:p w14:paraId="6DC20033">
            <w:pPr>
              <w:spacing w:line="480" w:lineRule="auto"/>
              <w:jc w:val="center"/>
              <w:rPr>
                <w:rFonts w:hint="eastAsia" w:ascii="黑体" w:hAnsi="黑体" w:eastAsia="黑体" w:cs="黑体"/>
                <w:color w:val="auto"/>
                <w:szCs w:val="21"/>
                <w:highlight w:val="none"/>
              </w:rPr>
            </w:pPr>
          </w:p>
        </w:tc>
        <w:tc>
          <w:tcPr>
            <w:tcW w:w="758" w:type="pct"/>
            <w:vAlign w:val="center"/>
          </w:tcPr>
          <w:p w14:paraId="468E9897">
            <w:pPr>
              <w:spacing w:line="480" w:lineRule="auto"/>
              <w:jc w:val="center"/>
              <w:rPr>
                <w:rFonts w:hint="eastAsia" w:ascii="黑体" w:hAnsi="黑体" w:eastAsia="黑体" w:cs="黑体"/>
                <w:color w:val="auto"/>
                <w:szCs w:val="21"/>
                <w:highlight w:val="none"/>
              </w:rPr>
            </w:pPr>
          </w:p>
        </w:tc>
        <w:tc>
          <w:tcPr>
            <w:tcW w:w="456" w:type="pct"/>
            <w:vAlign w:val="center"/>
          </w:tcPr>
          <w:p w14:paraId="6780C0A1">
            <w:pPr>
              <w:spacing w:line="480" w:lineRule="auto"/>
              <w:jc w:val="center"/>
              <w:rPr>
                <w:rFonts w:hint="eastAsia" w:ascii="黑体" w:hAnsi="黑体" w:eastAsia="黑体" w:cs="黑体"/>
                <w:color w:val="auto"/>
                <w:szCs w:val="21"/>
                <w:highlight w:val="none"/>
              </w:rPr>
            </w:pPr>
          </w:p>
        </w:tc>
        <w:tc>
          <w:tcPr>
            <w:tcW w:w="614" w:type="pct"/>
            <w:vAlign w:val="center"/>
          </w:tcPr>
          <w:p w14:paraId="516AD048">
            <w:pPr>
              <w:spacing w:line="480" w:lineRule="auto"/>
              <w:jc w:val="center"/>
              <w:rPr>
                <w:rFonts w:hint="eastAsia" w:ascii="黑体" w:hAnsi="黑体" w:eastAsia="黑体" w:cs="黑体"/>
                <w:color w:val="auto"/>
                <w:szCs w:val="21"/>
                <w:highlight w:val="none"/>
              </w:rPr>
            </w:pPr>
          </w:p>
        </w:tc>
        <w:tc>
          <w:tcPr>
            <w:tcW w:w="915" w:type="pct"/>
            <w:vAlign w:val="center"/>
          </w:tcPr>
          <w:p w14:paraId="09C5344C">
            <w:pPr>
              <w:spacing w:line="480" w:lineRule="auto"/>
              <w:jc w:val="center"/>
              <w:rPr>
                <w:rFonts w:hint="eastAsia" w:ascii="黑体" w:hAnsi="黑体" w:eastAsia="黑体" w:cs="黑体"/>
                <w:color w:val="auto"/>
                <w:szCs w:val="21"/>
                <w:highlight w:val="none"/>
              </w:rPr>
            </w:pPr>
          </w:p>
        </w:tc>
        <w:tc>
          <w:tcPr>
            <w:tcW w:w="499" w:type="pct"/>
            <w:vAlign w:val="center"/>
          </w:tcPr>
          <w:p w14:paraId="6D740ECA">
            <w:pPr>
              <w:spacing w:line="480" w:lineRule="auto"/>
              <w:jc w:val="center"/>
              <w:rPr>
                <w:rFonts w:hint="eastAsia" w:ascii="黑体" w:hAnsi="黑体" w:eastAsia="黑体" w:cs="黑体"/>
                <w:color w:val="auto"/>
                <w:szCs w:val="21"/>
                <w:highlight w:val="none"/>
              </w:rPr>
            </w:pPr>
          </w:p>
        </w:tc>
        <w:tc>
          <w:tcPr>
            <w:tcW w:w="817" w:type="pct"/>
          </w:tcPr>
          <w:p w14:paraId="18684AA7">
            <w:pPr>
              <w:spacing w:line="480" w:lineRule="auto"/>
              <w:jc w:val="center"/>
              <w:rPr>
                <w:rFonts w:hint="eastAsia" w:ascii="黑体" w:hAnsi="黑体" w:eastAsia="黑体" w:cs="黑体"/>
                <w:color w:val="auto"/>
                <w:szCs w:val="21"/>
                <w:highlight w:val="none"/>
              </w:rPr>
            </w:pPr>
          </w:p>
        </w:tc>
        <w:tc>
          <w:tcPr>
            <w:tcW w:w="545" w:type="pct"/>
          </w:tcPr>
          <w:p w14:paraId="7404B877">
            <w:pPr>
              <w:spacing w:line="480" w:lineRule="auto"/>
              <w:jc w:val="center"/>
              <w:rPr>
                <w:rFonts w:hint="eastAsia" w:ascii="黑体" w:hAnsi="黑体" w:eastAsia="黑体" w:cs="黑体"/>
                <w:color w:val="auto"/>
                <w:szCs w:val="21"/>
                <w:highlight w:val="none"/>
              </w:rPr>
            </w:pPr>
          </w:p>
        </w:tc>
      </w:tr>
      <w:tr w14:paraId="2208B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96" w:type="pct"/>
            <w:vAlign w:val="center"/>
          </w:tcPr>
          <w:p w14:paraId="614DD198">
            <w:pPr>
              <w:spacing w:line="480" w:lineRule="auto"/>
              <w:jc w:val="center"/>
              <w:rPr>
                <w:rFonts w:hint="eastAsia" w:ascii="黑体" w:hAnsi="黑体" w:eastAsia="黑体" w:cs="黑体"/>
                <w:color w:val="auto"/>
                <w:szCs w:val="21"/>
                <w:highlight w:val="none"/>
              </w:rPr>
            </w:pPr>
          </w:p>
        </w:tc>
        <w:tc>
          <w:tcPr>
            <w:tcW w:w="758" w:type="pct"/>
            <w:vAlign w:val="center"/>
          </w:tcPr>
          <w:p w14:paraId="016E9D0C">
            <w:pPr>
              <w:spacing w:line="480" w:lineRule="auto"/>
              <w:jc w:val="center"/>
              <w:rPr>
                <w:rFonts w:hint="eastAsia" w:ascii="黑体" w:hAnsi="黑体" w:eastAsia="黑体" w:cs="黑体"/>
                <w:color w:val="auto"/>
                <w:szCs w:val="21"/>
                <w:highlight w:val="none"/>
              </w:rPr>
            </w:pPr>
          </w:p>
        </w:tc>
        <w:tc>
          <w:tcPr>
            <w:tcW w:w="456" w:type="pct"/>
            <w:vAlign w:val="center"/>
          </w:tcPr>
          <w:p w14:paraId="0B8B8D42">
            <w:pPr>
              <w:spacing w:line="480" w:lineRule="auto"/>
              <w:jc w:val="center"/>
              <w:rPr>
                <w:rFonts w:hint="eastAsia" w:ascii="黑体" w:hAnsi="黑体" w:eastAsia="黑体" w:cs="黑体"/>
                <w:color w:val="auto"/>
                <w:szCs w:val="21"/>
                <w:highlight w:val="none"/>
              </w:rPr>
            </w:pPr>
          </w:p>
        </w:tc>
        <w:tc>
          <w:tcPr>
            <w:tcW w:w="614" w:type="pct"/>
            <w:vAlign w:val="center"/>
          </w:tcPr>
          <w:p w14:paraId="03B6E3CA">
            <w:pPr>
              <w:spacing w:line="480" w:lineRule="auto"/>
              <w:jc w:val="center"/>
              <w:rPr>
                <w:rFonts w:hint="eastAsia" w:ascii="黑体" w:hAnsi="黑体" w:eastAsia="黑体" w:cs="黑体"/>
                <w:color w:val="auto"/>
                <w:szCs w:val="21"/>
                <w:highlight w:val="none"/>
              </w:rPr>
            </w:pPr>
          </w:p>
        </w:tc>
        <w:tc>
          <w:tcPr>
            <w:tcW w:w="915" w:type="pct"/>
            <w:vAlign w:val="center"/>
          </w:tcPr>
          <w:p w14:paraId="1A4D6DF3">
            <w:pPr>
              <w:spacing w:line="480" w:lineRule="auto"/>
              <w:jc w:val="center"/>
              <w:rPr>
                <w:rFonts w:hint="eastAsia" w:ascii="黑体" w:hAnsi="黑体" w:eastAsia="黑体" w:cs="黑体"/>
                <w:color w:val="auto"/>
                <w:szCs w:val="21"/>
                <w:highlight w:val="none"/>
              </w:rPr>
            </w:pPr>
          </w:p>
        </w:tc>
        <w:tc>
          <w:tcPr>
            <w:tcW w:w="499" w:type="pct"/>
            <w:vAlign w:val="center"/>
          </w:tcPr>
          <w:p w14:paraId="277FCFE5">
            <w:pPr>
              <w:spacing w:line="480" w:lineRule="auto"/>
              <w:jc w:val="center"/>
              <w:rPr>
                <w:rFonts w:hint="eastAsia" w:ascii="黑体" w:hAnsi="黑体" w:eastAsia="黑体" w:cs="黑体"/>
                <w:color w:val="auto"/>
                <w:szCs w:val="21"/>
                <w:highlight w:val="none"/>
              </w:rPr>
            </w:pPr>
          </w:p>
        </w:tc>
        <w:tc>
          <w:tcPr>
            <w:tcW w:w="817" w:type="pct"/>
          </w:tcPr>
          <w:p w14:paraId="6D574065">
            <w:pPr>
              <w:spacing w:line="480" w:lineRule="auto"/>
              <w:jc w:val="center"/>
              <w:rPr>
                <w:rFonts w:hint="eastAsia" w:ascii="黑体" w:hAnsi="黑体" w:eastAsia="黑体" w:cs="黑体"/>
                <w:color w:val="auto"/>
                <w:szCs w:val="21"/>
                <w:highlight w:val="none"/>
              </w:rPr>
            </w:pPr>
          </w:p>
        </w:tc>
        <w:tc>
          <w:tcPr>
            <w:tcW w:w="545" w:type="pct"/>
          </w:tcPr>
          <w:p w14:paraId="474E4DBA">
            <w:pPr>
              <w:spacing w:line="480" w:lineRule="auto"/>
              <w:jc w:val="center"/>
              <w:rPr>
                <w:rFonts w:hint="eastAsia" w:ascii="黑体" w:hAnsi="黑体" w:eastAsia="黑体" w:cs="黑体"/>
                <w:color w:val="auto"/>
                <w:szCs w:val="21"/>
                <w:highlight w:val="none"/>
              </w:rPr>
            </w:pPr>
          </w:p>
        </w:tc>
      </w:tr>
      <w:tr w14:paraId="28D9D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96" w:type="pct"/>
            <w:vAlign w:val="center"/>
          </w:tcPr>
          <w:p w14:paraId="428EB95E">
            <w:pPr>
              <w:spacing w:line="480" w:lineRule="auto"/>
              <w:jc w:val="center"/>
              <w:rPr>
                <w:rFonts w:hint="eastAsia" w:ascii="黑体" w:hAnsi="黑体" w:eastAsia="黑体" w:cs="黑体"/>
                <w:color w:val="auto"/>
                <w:szCs w:val="21"/>
                <w:highlight w:val="none"/>
              </w:rPr>
            </w:pPr>
          </w:p>
        </w:tc>
        <w:tc>
          <w:tcPr>
            <w:tcW w:w="758" w:type="pct"/>
            <w:vAlign w:val="center"/>
          </w:tcPr>
          <w:p w14:paraId="786A2FA0">
            <w:pPr>
              <w:spacing w:line="480" w:lineRule="auto"/>
              <w:jc w:val="center"/>
              <w:rPr>
                <w:rFonts w:hint="eastAsia" w:ascii="黑体" w:hAnsi="黑体" w:eastAsia="黑体" w:cs="黑体"/>
                <w:color w:val="auto"/>
                <w:szCs w:val="21"/>
                <w:highlight w:val="none"/>
              </w:rPr>
            </w:pPr>
          </w:p>
        </w:tc>
        <w:tc>
          <w:tcPr>
            <w:tcW w:w="456" w:type="pct"/>
            <w:vAlign w:val="center"/>
          </w:tcPr>
          <w:p w14:paraId="1CB1FD38">
            <w:pPr>
              <w:spacing w:line="480" w:lineRule="auto"/>
              <w:jc w:val="center"/>
              <w:rPr>
                <w:rFonts w:hint="eastAsia" w:ascii="黑体" w:hAnsi="黑体" w:eastAsia="黑体" w:cs="黑体"/>
                <w:color w:val="auto"/>
                <w:szCs w:val="21"/>
                <w:highlight w:val="none"/>
              </w:rPr>
            </w:pPr>
          </w:p>
        </w:tc>
        <w:tc>
          <w:tcPr>
            <w:tcW w:w="614" w:type="pct"/>
            <w:vAlign w:val="center"/>
          </w:tcPr>
          <w:p w14:paraId="734C1CFD">
            <w:pPr>
              <w:spacing w:line="480" w:lineRule="auto"/>
              <w:jc w:val="center"/>
              <w:rPr>
                <w:rFonts w:hint="eastAsia" w:ascii="黑体" w:hAnsi="黑体" w:eastAsia="黑体" w:cs="黑体"/>
                <w:color w:val="auto"/>
                <w:szCs w:val="21"/>
                <w:highlight w:val="none"/>
              </w:rPr>
            </w:pPr>
          </w:p>
        </w:tc>
        <w:tc>
          <w:tcPr>
            <w:tcW w:w="915" w:type="pct"/>
            <w:vAlign w:val="center"/>
          </w:tcPr>
          <w:p w14:paraId="4A011956">
            <w:pPr>
              <w:spacing w:line="480" w:lineRule="auto"/>
              <w:jc w:val="center"/>
              <w:rPr>
                <w:rFonts w:hint="eastAsia" w:ascii="黑体" w:hAnsi="黑体" w:eastAsia="黑体" w:cs="黑体"/>
                <w:color w:val="auto"/>
                <w:szCs w:val="21"/>
                <w:highlight w:val="none"/>
              </w:rPr>
            </w:pPr>
          </w:p>
        </w:tc>
        <w:tc>
          <w:tcPr>
            <w:tcW w:w="499" w:type="pct"/>
            <w:vAlign w:val="center"/>
          </w:tcPr>
          <w:p w14:paraId="2735C2CC">
            <w:pPr>
              <w:spacing w:line="480" w:lineRule="auto"/>
              <w:jc w:val="center"/>
              <w:rPr>
                <w:rFonts w:hint="eastAsia" w:ascii="黑体" w:hAnsi="黑体" w:eastAsia="黑体" w:cs="黑体"/>
                <w:color w:val="auto"/>
                <w:szCs w:val="21"/>
                <w:highlight w:val="none"/>
              </w:rPr>
            </w:pPr>
          </w:p>
        </w:tc>
        <w:tc>
          <w:tcPr>
            <w:tcW w:w="817" w:type="pct"/>
          </w:tcPr>
          <w:p w14:paraId="547EDBAF">
            <w:pPr>
              <w:spacing w:line="480" w:lineRule="auto"/>
              <w:jc w:val="center"/>
              <w:rPr>
                <w:rFonts w:hint="eastAsia" w:ascii="黑体" w:hAnsi="黑体" w:eastAsia="黑体" w:cs="黑体"/>
                <w:color w:val="auto"/>
                <w:szCs w:val="21"/>
                <w:highlight w:val="none"/>
              </w:rPr>
            </w:pPr>
          </w:p>
        </w:tc>
        <w:tc>
          <w:tcPr>
            <w:tcW w:w="545" w:type="pct"/>
          </w:tcPr>
          <w:p w14:paraId="21BE9EAB">
            <w:pPr>
              <w:spacing w:line="480" w:lineRule="auto"/>
              <w:jc w:val="center"/>
              <w:rPr>
                <w:rFonts w:hint="eastAsia" w:ascii="黑体" w:hAnsi="黑体" w:eastAsia="黑体" w:cs="黑体"/>
                <w:color w:val="auto"/>
                <w:szCs w:val="21"/>
                <w:highlight w:val="none"/>
              </w:rPr>
            </w:pPr>
          </w:p>
        </w:tc>
      </w:tr>
      <w:tr w14:paraId="34EA0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96" w:type="pct"/>
            <w:vAlign w:val="center"/>
          </w:tcPr>
          <w:p w14:paraId="47BFA591">
            <w:pPr>
              <w:spacing w:line="480" w:lineRule="auto"/>
              <w:jc w:val="center"/>
              <w:rPr>
                <w:rFonts w:hint="eastAsia" w:ascii="黑体" w:hAnsi="黑体" w:eastAsia="黑体" w:cs="黑体"/>
                <w:color w:val="auto"/>
                <w:szCs w:val="21"/>
                <w:highlight w:val="none"/>
              </w:rPr>
            </w:pPr>
          </w:p>
        </w:tc>
        <w:tc>
          <w:tcPr>
            <w:tcW w:w="758" w:type="pct"/>
            <w:vAlign w:val="center"/>
          </w:tcPr>
          <w:p w14:paraId="1E3F8D89">
            <w:pPr>
              <w:spacing w:line="480" w:lineRule="auto"/>
              <w:jc w:val="center"/>
              <w:rPr>
                <w:rFonts w:hint="eastAsia" w:ascii="黑体" w:hAnsi="黑体" w:eastAsia="黑体" w:cs="黑体"/>
                <w:color w:val="auto"/>
                <w:szCs w:val="21"/>
                <w:highlight w:val="none"/>
              </w:rPr>
            </w:pPr>
          </w:p>
        </w:tc>
        <w:tc>
          <w:tcPr>
            <w:tcW w:w="456" w:type="pct"/>
            <w:vAlign w:val="center"/>
          </w:tcPr>
          <w:p w14:paraId="07257CCA">
            <w:pPr>
              <w:spacing w:line="480" w:lineRule="auto"/>
              <w:jc w:val="center"/>
              <w:rPr>
                <w:rFonts w:hint="eastAsia" w:ascii="黑体" w:hAnsi="黑体" w:eastAsia="黑体" w:cs="黑体"/>
                <w:color w:val="auto"/>
                <w:szCs w:val="21"/>
                <w:highlight w:val="none"/>
              </w:rPr>
            </w:pPr>
          </w:p>
        </w:tc>
        <w:tc>
          <w:tcPr>
            <w:tcW w:w="614" w:type="pct"/>
            <w:vAlign w:val="center"/>
          </w:tcPr>
          <w:p w14:paraId="443117D1">
            <w:pPr>
              <w:spacing w:line="480" w:lineRule="auto"/>
              <w:jc w:val="center"/>
              <w:rPr>
                <w:rFonts w:hint="eastAsia" w:ascii="黑体" w:hAnsi="黑体" w:eastAsia="黑体" w:cs="黑体"/>
                <w:color w:val="auto"/>
                <w:szCs w:val="21"/>
                <w:highlight w:val="none"/>
              </w:rPr>
            </w:pPr>
          </w:p>
        </w:tc>
        <w:tc>
          <w:tcPr>
            <w:tcW w:w="915" w:type="pct"/>
            <w:vAlign w:val="center"/>
          </w:tcPr>
          <w:p w14:paraId="2A6B7CE0">
            <w:pPr>
              <w:spacing w:line="480" w:lineRule="auto"/>
              <w:jc w:val="center"/>
              <w:rPr>
                <w:rFonts w:hint="eastAsia" w:ascii="黑体" w:hAnsi="黑体" w:eastAsia="黑体" w:cs="黑体"/>
                <w:color w:val="auto"/>
                <w:szCs w:val="21"/>
                <w:highlight w:val="none"/>
              </w:rPr>
            </w:pPr>
          </w:p>
        </w:tc>
        <w:tc>
          <w:tcPr>
            <w:tcW w:w="499" w:type="pct"/>
            <w:vAlign w:val="center"/>
          </w:tcPr>
          <w:p w14:paraId="78A26FF1">
            <w:pPr>
              <w:spacing w:line="480" w:lineRule="auto"/>
              <w:jc w:val="center"/>
              <w:rPr>
                <w:rFonts w:hint="eastAsia" w:ascii="黑体" w:hAnsi="黑体" w:eastAsia="黑体" w:cs="黑体"/>
                <w:color w:val="auto"/>
                <w:szCs w:val="21"/>
                <w:highlight w:val="none"/>
              </w:rPr>
            </w:pPr>
          </w:p>
        </w:tc>
        <w:tc>
          <w:tcPr>
            <w:tcW w:w="817" w:type="pct"/>
          </w:tcPr>
          <w:p w14:paraId="0AAD7733">
            <w:pPr>
              <w:spacing w:line="480" w:lineRule="auto"/>
              <w:jc w:val="center"/>
              <w:rPr>
                <w:rFonts w:hint="eastAsia" w:ascii="黑体" w:hAnsi="黑体" w:eastAsia="黑体" w:cs="黑体"/>
                <w:color w:val="auto"/>
                <w:szCs w:val="21"/>
                <w:highlight w:val="none"/>
              </w:rPr>
            </w:pPr>
          </w:p>
        </w:tc>
        <w:tc>
          <w:tcPr>
            <w:tcW w:w="545" w:type="pct"/>
          </w:tcPr>
          <w:p w14:paraId="3BC2A2BD">
            <w:pPr>
              <w:spacing w:line="480" w:lineRule="auto"/>
              <w:jc w:val="center"/>
              <w:rPr>
                <w:rFonts w:hint="eastAsia" w:ascii="黑体" w:hAnsi="黑体" w:eastAsia="黑体" w:cs="黑体"/>
                <w:color w:val="auto"/>
                <w:szCs w:val="21"/>
                <w:highlight w:val="none"/>
              </w:rPr>
            </w:pPr>
          </w:p>
        </w:tc>
      </w:tr>
      <w:tr w14:paraId="011E8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96" w:type="pct"/>
            <w:vAlign w:val="center"/>
          </w:tcPr>
          <w:p w14:paraId="10A392B4">
            <w:pPr>
              <w:spacing w:line="480" w:lineRule="auto"/>
              <w:jc w:val="center"/>
              <w:rPr>
                <w:rFonts w:hint="eastAsia" w:ascii="黑体" w:hAnsi="黑体" w:eastAsia="黑体" w:cs="黑体"/>
                <w:color w:val="auto"/>
                <w:szCs w:val="21"/>
                <w:highlight w:val="none"/>
              </w:rPr>
            </w:pPr>
          </w:p>
        </w:tc>
        <w:tc>
          <w:tcPr>
            <w:tcW w:w="758" w:type="pct"/>
            <w:vAlign w:val="center"/>
          </w:tcPr>
          <w:p w14:paraId="6E3FAD33">
            <w:pPr>
              <w:spacing w:line="480" w:lineRule="auto"/>
              <w:jc w:val="center"/>
              <w:rPr>
                <w:rFonts w:hint="eastAsia" w:ascii="黑体" w:hAnsi="黑体" w:eastAsia="黑体" w:cs="黑体"/>
                <w:color w:val="auto"/>
                <w:szCs w:val="21"/>
                <w:highlight w:val="none"/>
              </w:rPr>
            </w:pPr>
          </w:p>
        </w:tc>
        <w:tc>
          <w:tcPr>
            <w:tcW w:w="456" w:type="pct"/>
            <w:vAlign w:val="center"/>
          </w:tcPr>
          <w:p w14:paraId="1BE46501">
            <w:pPr>
              <w:spacing w:line="480" w:lineRule="auto"/>
              <w:jc w:val="center"/>
              <w:rPr>
                <w:rFonts w:hint="eastAsia" w:ascii="黑体" w:hAnsi="黑体" w:eastAsia="黑体" w:cs="黑体"/>
                <w:color w:val="auto"/>
                <w:szCs w:val="21"/>
                <w:highlight w:val="none"/>
              </w:rPr>
            </w:pPr>
          </w:p>
        </w:tc>
        <w:tc>
          <w:tcPr>
            <w:tcW w:w="614" w:type="pct"/>
            <w:vAlign w:val="center"/>
          </w:tcPr>
          <w:p w14:paraId="2403AB5C">
            <w:pPr>
              <w:spacing w:line="480" w:lineRule="auto"/>
              <w:jc w:val="center"/>
              <w:rPr>
                <w:rFonts w:hint="eastAsia" w:ascii="黑体" w:hAnsi="黑体" w:eastAsia="黑体" w:cs="黑体"/>
                <w:color w:val="auto"/>
                <w:szCs w:val="21"/>
                <w:highlight w:val="none"/>
              </w:rPr>
            </w:pPr>
          </w:p>
        </w:tc>
        <w:tc>
          <w:tcPr>
            <w:tcW w:w="915" w:type="pct"/>
            <w:vAlign w:val="center"/>
          </w:tcPr>
          <w:p w14:paraId="3BD1B3A7">
            <w:pPr>
              <w:spacing w:line="480" w:lineRule="auto"/>
              <w:jc w:val="center"/>
              <w:rPr>
                <w:rFonts w:hint="eastAsia" w:ascii="黑体" w:hAnsi="黑体" w:eastAsia="黑体" w:cs="黑体"/>
                <w:color w:val="auto"/>
                <w:szCs w:val="21"/>
                <w:highlight w:val="none"/>
              </w:rPr>
            </w:pPr>
          </w:p>
        </w:tc>
        <w:tc>
          <w:tcPr>
            <w:tcW w:w="499" w:type="pct"/>
            <w:vAlign w:val="center"/>
          </w:tcPr>
          <w:p w14:paraId="76E5CF3A">
            <w:pPr>
              <w:spacing w:line="480" w:lineRule="auto"/>
              <w:jc w:val="center"/>
              <w:rPr>
                <w:rFonts w:hint="eastAsia" w:ascii="黑体" w:hAnsi="黑体" w:eastAsia="黑体" w:cs="黑体"/>
                <w:color w:val="auto"/>
                <w:szCs w:val="21"/>
                <w:highlight w:val="none"/>
              </w:rPr>
            </w:pPr>
          </w:p>
        </w:tc>
        <w:tc>
          <w:tcPr>
            <w:tcW w:w="817" w:type="pct"/>
          </w:tcPr>
          <w:p w14:paraId="694BE1CC">
            <w:pPr>
              <w:spacing w:line="480" w:lineRule="auto"/>
              <w:jc w:val="center"/>
              <w:rPr>
                <w:rFonts w:hint="eastAsia" w:ascii="黑体" w:hAnsi="黑体" w:eastAsia="黑体" w:cs="黑体"/>
                <w:color w:val="auto"/>
                <w:szCs w:val="21"/>
                <w:highlight w:val="none"/>
              </w:rPr>
            </w:pPr>
          </w:p>
        </w:tc>
        <w:tc>
          <w:tcPr>
            <w:tcW w:w="545" w:type="pct"/>
          </w:tcPr>
          <w:p w14:paraId="1F224785">
            <w:pPr>
              <w:spacing w:line="480" w:lineRule="auto"/>
              <w:jc w:val="center"/>
              <w:rPr>
                <w:rFonts w:hint="eastAsia" w:ascii="黑体" w:hAnsi="黑体" w:eastAsia="黑体" w:cs="黑体"/>
                <w:color w:val="auto"/>
                <w:szCs w:val="21"/>
                <w:highlight w:val="none"/>
              </w:rPr>
            </w:pPr>
          </w:p>
        </w:tc>
      </w:tr>
      <w:tr w14:paraId="57436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96" w:type="pct"/>
            <w:vAlign w:val="center"/>
          </w:tcPr>
          <w:p w14:paraId="0C67DE10">
            <w:pPr>
              <w:spacing w:line="480" w:lineRule="auto"/>
              <w:jc w:val="center"/>
              <w:rPr>
                <w:rFonts w:hint="eastAsia" w:ascii="黑体" w:hAnsi="黑体" w:eastAsia="黑体" w:cs="黑体"/>
                <w:color w:val="auto"/>
                <w:szCs w:val="21"/>
                <w:highlight w:val="none"/>
              </w:rPr>
            </w:pPr>
          </w:p>
        </w:tc>
        <w:tc>
          <w:tcPr>
            <w:tcW w:w="758" w:type="pct"/>
            <w:vAlign w:val="center"/>
          </w:tcPr>
          <w:p w14:paraId="07BEB314">
            <w:pPr>
              <w:spacing w:line="480" w:lineRule="auto"/>
              <w:jc w:val="center"/>
              <w:rPr>
                <w:rFonts w:hint="eastAsia" w:ascii="黑体" w:hAnsi="黑体" w:eastAsia="黑体" w:cs="黑体"/>
                <w:color w:val="auto"/>
                <w:szCs w:val="21"/>
                <w:highlight w:val="none"/>
              </w:rPr>
            </w:pPr>
          </w:p>
        </w:tc>
        <w:tc>
          <w:tcPr>
            <w:tcW w:w="456" w:type="pct"/>
            <w:vAlign w:val="center"/>
          </w:tcPr>
          <w:p w14:paraId="39E8CC23">
            <w:pPr>
              <w:spacing w:line="480" w:lineRule="auto"/>
              <w:jc w:val="center"/>
              <w:rPr>
                <w:rFonts w:hint="eastAsia" w:ascii="黑体" w:hAnsi="黑体" w:eastAsia="黑体" w:cs="黑体"/>
                <w:color w:val="auto"/>
                <w:szCs w:val="21"/>
                <w:highlight w:val="none"/>
              </w:rPr>
            </w:pPr>
          </w:p>
        </w:tc>
        <w:tc>
          <w:tcPr>
            <w:tcW w:w="614" w:type="pct"/>
            <w:vAlign w:val="center"/>
          </w:tcPr>
          <w:p w14:paraId="32EC2FF2">
            <w:pPr>
              <w:spacing w:line="480" w:lineRule="auto"/>
              <w:jc w:val="center"/>
              <w:rPr>
                <w:rFonts w:hint="eastAsia" w:ascii="黑体" w:hAnsi="黑体" w:eastAsia="黑体" w:cs="黑体"/>
                <w:color w:val="auto"/>
                <w:szCs w:val="21"/>
                <w:highlight w:val="none"/>
              </w:rPr>
            </w:pPr>
          </w:p>
        </w:tc>
        <w:tc>
          <w:tcPr>
            <w:tcW w:w="915" w:type="pct"/>
            <w:vAlign w:val="center"/>
          </w:tcPr>
          <w:p w14:paraId="29F8352D">
            <w:pPr>
              <w:spacing w:line="480" w:lineRule="auto"/>
              <w:jc w:val="center"/>
              <w:rPr>
                <w:rFonts w:hint="eastAsia" w:ascii="黑体" w:hAnsi="黑体" w:eastAsia="黑体" w:cs="黑体"/>
                <w:color w:val="auto"/>
                <w:szCs w:val="21"/>
                <w:highlight w:val="none"/>
              </w:rPr>
            </w:pPr>
          </w:p>
        </w:tc>
        <w:tc>
          <w:tcPr>
            <w:tcW w:w="499" w:type="pct"/>
            <w:vAlign w:val="center"/>
          </w:tcPr>
          <w:p w14:paraId="321CC628">
            <w:pPr>
              <w:spacing w:line="480" w:lineRule="auto"/>
              <w:jc w:val="center"/>
              <w:rPr>
                <w:rFonts w:hint="eastAsia" w:ascii="黑体" w:hAnsi="黑体" w:eastAsia="黑体" w:cs="黑体"/>
                <w:color w:val="auto"/>
                <w:szCs w:val="21"/>
                <w:highlight w:val="none"/>
              </w:rPr>
            </w:pPr>
          </w:p>
        </w:tc>
        <w:tc>
          <w:tcPr>
            <w:tcW w:w="817" w:type="pct"/>
          </w:tcPr>
          <w:p w14:paraId="14EAB8F6">
            <w:pPr>
              <w:spacing w:line="480" w:lineRule="auto"/>
              <w:jc w:val="center"/>
              <w:rPr>
                <w:rFonts w:hint="eastAsia" w:ascii="黑体" w:hAnsi="黑体" w:eastAsia="黑体" w:cs="黑体"/>
                <w:color w:val="auto"/>
                <w:szCs w:val="21"/>
                <w:highlight w:val="none"/>
              </w:rPr>
            </w:pPr>
          </w:p>
        </w:tc>
        <w:tc>
          <w:tcPr>
            <w:tcW w:w="545" w:type="pct"/>
          </w:tcPr>
          <w:p w14:paraId="0BC67356">
            <w:pPr>
              <w:spacing w:line="480" w:lineRule="auto"/>
              <w:jc w:val="center"/>
              <w:rPr>
                <w:rFonts w:hint="eastAsia" w:ascii="黑体" w:hAnsi="黑体" w:eastAsia="黑体" w:cs="黑体"/>
                <w:color w:val="auto"/>
                <w:szCs w:val="21"/>
                <w:highlight w:val="none"/>
              </w:rPr>
            </w:pPr>
          </w:p>
        </w:tc>
      </w:tr>
    </w:tbl>
    <w:p w14:paraId="4FAE3F29">
      <w:pPr>
        <w:spacing w:line="360" w:lineRule="auto"/>
        <w:rPr>
          <w:rFonts w:hint="eastAsia" w:ascii="黑体" w:hAnsi="黑体" w:eastAsia="黑体" w:cs="黑体"/>
          <w:color w:val="auto"/>
          <w:szCs w:val="21"/>
          <w:highlight w:val="none"/>
        </w:rPr>
      </w:pPr>
    </w:p>
    <w:p w14:paraId="6AB9E434">
      <w:pPr>
        <w:spacing w:line="360" w:lineRule="auto"/>
        <w:rPr>
          <w:rFonts w:hint="eastAsia" w:ascii="黑体" w:hAnsi="黑体" w:eastAsia="黑体" w:cs="黑体"/>
          <w:color w:val="auto"/>
          <w:szCs w:val="21"/>
          <w:highlight w:val="none"/>
        </w:rPr>
      </w:pPr>
    </w:p>
    <w:p w14:paraId="6EF3DB1C">
      <w:pPr>
        <w:spacing w:line="360" w:lineRule="auto"/>
        <w:rPr>
          <w:rFonts w:hint="eastAsia" w:ascii="黑体" w:hAnsi="黑体" w:eastAsia="黑体" w:cs="黑体"/>
          <w:color w:val="auto"/>
          <w:szCs w:val="21"/>
          <w:highlight w:val="none"/>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1A59F8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1C29C01A">
            <w:pPr>
              <w:overflowPunct w:val="0"/>
              <w:adjustRightIn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投标人名称（加盖公章）：</w:t>
            </w:r>
            <w:r>
              <w:rPr>
                <w:rFonts w:hint="eastAsia" w:ascii="黑体" w:hAnsi="黑体" w:eastAsia="黑体" w:cs="黑体"/>
                <w:color w:val="auto"/>
                <w:szCs w:val="21"/>
                <w:highlight w:val="none"/>
                <w:u w:val="single"/>
              </w:rPr>
              <w:t xml:space="preserve">                         </w:t>
            </w:r>
          </w:p>
        </w:tc>
        <w:tc>
          <w:tcPr>
            <w:tcW w:w="3175" w:type="dxa"/>
          </w:tcPr>
          <w:p w14:paraId="08BB73E6">
            <w:pPr>
              <w:spacing w:line="360" w:lineRule="auto"/>
              <w:rPr>
                <w:rFonts w:hint="eastAsia" w:ascii="黑体" w:hAnsi="黑体" w:eastAsia="黑体" w:cs="黑体"/>
                <w:color w:val="auto"/>
                <w:szCs w:val="21"/>
                <w:highlight w:val="none"/>
              </w:rPr>
            </w:pPr>
          </w:p>
        </w:tc>
      </w:tr>
      <w:tr w14:paraId="27BDB8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08AC82D0">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日期：</w:t>
            </w:r>
            <w:r>
              <w:rPr>
                <w:rFonts w:hint="eastAsia" w:ascii="黑体" w:hAnsi="黑体" w:eastAsia="黑体" w:cs="黑体"/>
                <w:color w:val="auto"/>
                <w:szCs w:val="21"/>
                <w:highlight w:val="none"/>
                <w:u w:val="single"/>
              </w:rPr>
              <w:t xml:space="preserve">             年           月            日</w:t>
            </w:r>
          </w:p>
        </w:tc>
        <w:tc>
          <w:tcPr>
            <w:tcW w:w="3175" w:type="dxa"/>
          </w:tcPr>
          <w:p w14:paraId="5D232134">
            <w:pPr>
              <w:spacing w:line="360" w:lineRule="auto"/>
              <w:rPr>
                <w:rFonts w:hint="eastAsia" w:ascii="黑体" w:hAnsi="黑体" w:eastAsia="黑体" w:cs="黑体"/>
                <w:color w:val="auto"/>
                <w:szCs w:val="21"/>
                <w:highlight w:val="none"/>
              </w:rPr>
            </w:pPr>
          </w:p>
        </w:tc>
      </w:tr>
    </w:tbl>
    <w:p w14:paraId="3450ADCF">
      <w:pPr>
        <w:rPr>
          <w:rFonts w:hint="eastAsia" w:ascii="黑体" w:hAnsi="黑体" w:eastAsia="黑体" w:cs="黑体"/>
          <w:color w:val="auto"/>
          <w:highlight w:val="none"/>
        </w:rPr>
      </w:pPr>
    </w:p>
    <w:bookmarkEnd w:id="98"/>
    <w:p w14:paraId="569998C9">
      <w:pPr>
        <w:spacing w:line="360" w:lineRule="auto"/>
        <w:rPr>
          <w:rFonts w:hint="eastAsia" w:ascii="黑体" w:hAnsi="黑体" w:eastAsia="黑体" w:cs="黑体"/>
          <w:color w:val="auto"/>
          <w:szCs w:val="21"/>
          <w:highlight w:val="none"/>
        </w:rPr>
      </w:pPr>
    </w:p>
    <w:p w14:paraId="42683C54">
      <w:pPr>
        <w:pStyle w:val="29"/>
        <w:pageBreakBefore/>
        <w:numPr>
          <w:ilvl w:val="0"/>
          <w:numId w:val="84"/>
        </w:numPr>
        <w:tabs>
          <w:tab w:val="left" w:pos="284"/>
          <w:tab w:val="left" w:pos="567"/>
          <w:tab w:val="left" w:pos="709"/>
        </w:tabs>
        <w:ind w:left="1679" w:hanging="1537" w:firstLineChars="0"/>
        <w:jc w:val="left"/>
        <w:rPr>
          <w:rFonts w:hint="eastAsia" w:ascii="黑体" w:hAnsi="黑体" w:eastAsia="黑体" w:cs="黑体"/>
          <w:b/>
          <w:bCs/>
          <w:color w:val="auto"/>
          <w:highlight w:val="none"/>
        </w:rPr>
      </w:pPr>
      <w:bookmarkStart w:id="99" w:name="_Toc494567328"/>
      <w:bookmarkStart w:id="100" w:name="_Toc391627770"/>
      <w:bookmarkStart w:id="101" w:name="_Toc405313974"/>
      <w:r>
        <w:rPr>
          <w:rFonts w:hint="eastAsia" w:ascii="黑体" w:hAnsi="黑体" w:eastAsia="黑体" w:cs="黑体"/>
          <w:b/>
          <w:bCs/>
          <w:color w:val="auto"/>
          <w:highlight w:val="none"/>
        </w:rPr>
        <w:t>拟投入本项目</w:t>
      </w:r>
      <w:bookmarkEnd w:id="99"/>
      <w:r>
        <w:rPr>
          <w:rFonts w:hint="eastAsia" w:ascii="黑体" w:hAnsi="黑体" w:eastAsia="黑体" w:cs="黑体"/>
          <w:b/>
          <w:bCs/>
          <w:color w:val="auto"/>
          <w:highlight w:val="none"/>
        </w:rPr>
        <w:t>设备情况表</w:t>
      </w:r>
    </w:p>
    <w:p w14:paraId="33DF2C65">
      <w:pPr>
        <w:spacing w:before="624" w:beforeLines="200" w:after="312" w:afterLines="100" w:line="360" w:lineRule="auto"/>
        <w:jc w:val="center"/>
        <w:rPr>
          <w:rFonts w:hint="eastAsia" w:ascii="黑体" w:hAnsi="黑体" w:eastAsia="黑体" w:cs="黑体"/>
          <w:b/>
          <w:color w:val="auto"/>
          <w:spacing w:val="10"/>
          <w:sz w:val="30"/>
          <w:szCs w:val="30"/>
          <w:highlight w:val="none"/>
        </w:rPr>
      </w:pPr>
      <w:r>
        <w:rPr>
          <w:rFonts w:hint="eastAsia" w:ascii="黑体" w:hAnsi="黑体" w:eastAsia="黑体" w:cs="黑体"/>
          <w:b/>
          <w:color w:val="auto"/>
          <w:spacing w:val="10"/>
          <w:sz w:val="30"/>
          <w:szCs w:val="30"/>
          <w:highlight w:val="none"/>
        </w:rPr>
        <w:t>拟投入本项目设备情况表</w:t>
      </w:r>
    </w:p>
    <w:tbl>
      <w:tblPr>
        <w:tblStyle w:val="1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3"/>
        <w:gridCol w:w="2741"/>
        <w:gridCol w:w="2041"/>
        <w:gridCol w:w="1283"/>
        <w:gridCol w:w="1769"/>
      </w:tblGrid>
      <w:tr w14:paraId="1FA30D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0532C631">
            <w:pPr>
              <w:spacing w:line="360" w:lineRule="auto"/>
              <w:jc w:val="center"/>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序号</w:t>
            </w:r>
          </w:p>
        </w:tc>
        <w:tc>
          <w:tcPr>
            <w:tcW w:w="1563" w:type="pct"/>
            <w:vAlign w:val="center"/>
          </w:tcPr>
          <w:p w14:paraId="07EA0079">
            <w:pPr>
              <w:spacing w:line="360" w:lineRule="auto"/>
              <w:jc w:val="center"/>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名称</w:t>
            </w:r>
          </w:p>
        </w:tc>
        <w:tc>
          <w:tcPr>
            <w:tcW w:w="1164" w:type="pct"/>
            <w:vAlign w:val="center"/>
          </w:tcPr>
          <w:p w14:paraId="3720DE0D">
            <w:pPr>
              <w:spacing w:line="360" w:lineRule="auto"/>
              <w:jc w:val="center"/>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规格型号</w:t>
            </w:r>
          </w:p>
        </w:tc>
        <w:tc>
          <w:tcPr>
            <w:tcW w:w="732" w:type="pct"/>
            <w:vAlign w:val="center"/>
          </w:tcPr>
          <w:p w14:paraId="02F36621">
            <w:pPr>
              <w:spacing w:line="360" w:lineRule="auto"/>
              <w:jc w:val="center"/>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数量</w:t>
            </w:r>
          </w:p>
        </w:tc>
        <w:tc>
          <w:tcPr>
            <w:tcW w:w="1009" w:type="pct"/>
            <w:vAlign w:val="center"/>
          </w:tcPr>
          <w:p w14:paraId="2A552617">
            <w:pPr>
              <w:spacing w:line="360" w:lineRule="auto"/>
              <w:jc w:val="center"/>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备注</w:t>
            </w:r>
          </w:p>
        </w:tc>
      </w:tr>
      <w:tr w14:paraId="363CA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4D53974E">
            <w:pPr>
              <w:spacing w:line="360" w:lineRule="auto"/>
              <w:jc w:val="center"/>
              <w:rPr>
                <w:rFonts w:hint="eastAsia" w:ascii="黑体" w:hAnsi="黑体" w:eastAsia="黑体" w:cs="黑体"/>
                <w:color w:val="auto"/>
                <w:szCs w:val="21"/>
                <w:highlight w:val="none"/>
              </w:rPr>
            </w:pPr>
          </w:p>
        </w:tc>
        <w:tc>
          <w:tcPr>
            <w:tcW w:w="1563" w:type="pct"/>
            <w:vAlign w:val="center"/>
          </w:tcPr>
          <w:p w14:paraId="1AE05E49">
            <w:pPr>
              <w:spacing w:line="360" w:lineRule="auto"/>
              <w:jc w:val="center"/>
              <w:rPr>
                <w:rFonts w:hint="eastAsia" w:ascii="黑体" w:hAnsi="黑体" w:eastAsia="黑体" w:cs="黑体"/>
                <w:color w:val="auto"/>
                <w:szCs w:val="21"/>
                <w:highlight w:val="none"/>
              </w:rPr>
            </w:pPr>
          </w:p>
        </w:tc>
        <w:tc>
          <w:tcPr>
            <w:tcW w:w="1164" w:type="pct"/>
            <w:vAlign w:val="center"/>
          </w:tcPr>
          <w:p w14:paraId="2C8DCCEB">
            <w:pPr>
              <w:spacing w:line="360" w:lineRule="auto"/>
              <w:jc w:val="center"/>
              <w:rPr>
                <w:rFonts w:hint="eastAsia" w:ascii="黑体" w:hAnsi="黑体" w:eastAsia="黑体" w:cs="黑体"/>
                <w:color w:val="auto"/>
                <w:szCs w:val="21"/>
                <w:highlight w:val="none"/>
              </w:rPr>
            </w:pPr>
          </w:p>
        </w:tc>
        <w:tc>
          <w:tcPr>
            <w:tcW w:w="732" w:type="pct"/>
            <w:vAlign w:val="center"/>
          </w:tcPr>
          <w:p w14:paraId="56FB2844">
            <w:pPr>
              <w:spacing w:line="360" w:lineRule="auto"/>
              <w:jc w:val="center"/>
              <w:rPr>
                <w:rFonts w:hint="eastAsia" w:ascii="黑体" w:hAnsi="黑体" w:eastAsia="黑体" w:cs="黑体"/>
                <w:color w:val="auto"/>
                <w:szCs w:val="21"/>
                <w:highlight w:val="none"/>
              </w:rPr>
            </w:pPr>
          </w:p>
        </w:tc>
        <w:tc>
          <w:tcPr>
            <w:tcW w:w="1009" w:type="pct"/>
            <w:vAlign w:val="center"/>
          </w:tcPr>
          <w:p w14:paraId="6C8E9D7C">
            <w:pPr>
              <w:spacing w:line="360" w:lineRule="auto"/>
              <w:jc w:val="center"/>
              <w:rPr>
                <w:rFonts w:hint="eastAsia" w:ascii="黑体" w:hAnsi="黑体" w:eastAsia="黑体" w:cs="黑体"/>
                <w:color w:val="auto"/>
                <w:szCs w:val="21"/>
                <w:highlight w:val="none"/>
              </w:rPr>
            </w:pPr>
          </w:p>
        </w:tc>
      </w:tr>
      <w:tr w14:paraId="128D7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4EE04B60">
            <w:pPr>
              <w:spacing w:line="360" w:lineRule="auto"/>
              <w:jc w:val="center"/>
              <w:rPr>
                <w:rFonts w:hint="eastAsia" w:ascii="黑体" w:hAnsi="黑体" w:eastAsia="黑体" w:cs="黑体"/>
                <w:color w:val="auto"/>
                <w:szCs w:val="21"/>
                <w:highlight w:val="none"/>
              </w:rPr>
            </w:pPr>
          </w:p>
        </w:tc>
        <w:tc>
          <w:tcPr>
            <w:tcW w:w="1563" w:type="pct"/>
            <w:vAlign w:val="center"/>
          </w:tcPr>
          <w:p w14:paraId="0DB881F0">
            <w:pPr>
              <w:spacing w:line="360" w:lineRule="auto"/>
              <w:jc w:val="center"/>
              <w:rPr>
                <w:rFonts w:hint="eastAsia" w:ascii="黑体" w:hAnsi="黑体" w:eastAsia="黑体" w:cs="黑体"/>
                <w:color w:val="auto"/>
                <w:szCs w:val="21"/>
                <w:highlight w:val="none"/>
              </w:rPr>
            </w:pPr>
          </w:p>
        </w:tc>
        <w:tc>
          <w:tcPr>
            <w:tcW w:w="1164" w:type="pct"/>
            <w:vAlign w:val="center"/>
          </w:tcPr>
          <w:p w14:paraId="7A5D826A">
            <w:pPr>
              <w:spacing w:line="360" w:lineRule="auto"/>
              <w:jc w:val="center"/>
              <w:rPr>
                <w:rFonts w:hint="eastAsia" w:ascii="黑体" w:hAnsi="黑体" w:eastAsia="黑体" w:cs="黑体"/>
                <w:color w:val="auto"/>
                <w:szCs w:val="21"/>
                <w:highlight w:val="none"/>
              </w:rPr>
            </w:pPr>
          </w:p>
        </w:tc>
        <w:tc>
          <w:tcPr>
            <w:tcW w:w="732" w:type="pct"/>
            <w:vAlign w:val="center"/>
          </w:tcPr>
          <w:p w14:paraId="70611F7B">
            <w:pPr>
              <w:spacing w:line="360" w:lineRule="auto"/>
              <w:jc w:val="center"/>
              <w:rPr>
                <w:rFonts w:hint="eastAsia" w:ascii="黑体" w:hAnsi="黑体" w:eastAsia="黑体" w:cs="黑体"/>
                <w:color w:val="auto"/>
                <w:szCs w:val="21"/>
                <w:highlight w:val="none"/>
              </w:rPr>
            </w:pPr>
          </w:p>
        </w:tc>
        <w:tc>
          <w:tcPr>
            <w:tcW w:w="1009" w:type="pct"/>
            <w:vAlign w:val="center"/>
          </w:tcPr>
          <w:p w14:paraId="2E3DC3CE">
            <w:pPr>
              <w:spacing w:line="360" w:lineRule="auto"/>
              <w:jc w:val="center"/>
              <w:rPr>
                <w:rFonts w:hint="eastAsia" w:ascii="黑体" w:hAnsi="黑体" w:eastAsia="黑体" w:cs="黑体"/>
                <w:color w:val="auto"/>
                <w:szCs w:val="21"/>
                <w:highlight w:val="none"/>
              </w:rPr>
            </w:pPr>
          </w:p>
        </w:tc>
      </w:tr>
      <w:tr w14:paraId="0EDDE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576F83D3">
            <w:pPr>
              <w:spacing w:line="360" w:lineRule="auto"/>
              <w:jc w:val="center"/>
              <w:rPr>
                <w:rFonts w:hint="eastAsia" w:ascii="黑体" w:hAnsi="黑体" w:eastAsia="黑体" w:cs="黑体"/>
                <w:color w:val="auto"/>
                <w:szCs w:val="21"/>
                <w:highlight w:val="none"/>
              </w:rPr>
            </w:pPr>
          </w:p>
        </w:tc>
        <w:tc>
          <w:tcPr>
            <w:tcW w:w="1563" w:type="pct"/>
            <w:vAlign w:val="center"/>
          </w:tcPr>
          <w:p w14:paraId="6C212D3C">
            <w:pPr>
              <w:spacing w:line="360" w:lineRule="auto"/>
              <w:jc w:val="center"/>
              <w:rPr>
                <w:rFonts w:hint="eastAsia" w:ascii="黑体" w:hAnsi="黑体" w:eastAsia="黑体" w:cs="黑体"/>
                <w:color w:val="auto"/>
                <w:szCs w:val="21"/>
                <w:highlight w:val="none"/>
              </w:rPr>
            </w:pPr>
          </w:p>
        </w:tc>
        <w:tc>
          <w:tcPr>
            <w:tcW w:w="1164" w:type="pct"/>
            <w:vAlign w:val="center"/>
          </w:tcPr>
          <w:p w14:paraId="4FD1531A">
            <w:pPr>
              <w:spacing w:line="360" w:lineRule="auto"/>
              <w:jc w:val="center"/>
              <w:rPr>
                <w:rFonts w:hint="eastAsia" w:ascii="黑体" w:hAnsi="黑体" w:eastAsia="黑体" w:cs="黑体"/>
                <w:color w:val="auto"/>
                <w:szCs w:val="21"/>
                <w:highlight w:val="none"/>
              </w:rPr>
            </w:pPr>
          </w:p>
        </w:tc>
        <w:tc>
          <w:tcPr>
            <w:tcW w:w="732" w:type="pct"/>
            <w:vAlign w:val="center"/>
          </w:tcPr>
          <w:p w14:paraId="2C6DF379">
            <w:pPr>
              <w:spacing w:line="360" w:lineRule="auto"/>
              <w:jc w:val="center"/>
              <w:rPr>
                <w:rFonts w:hint="eastAsia" w:ascii="黑体" w:hAnsi="黑体" w:eastAsia="黑体" w:cs="黑体"/>
                <w:color w:val="auto"/>
                <w:szCs w:val="21"/>
                <w:highlight w:val="none"/>
              </w:rPr>
            </w:pPr>
          </w:p>
        </w:tc>
        <w:tc>
          <w:tcPr>
            <w:tcW w:w="1009" w:type="pct"/>
            <w:vAlign w:val="center"/>
          </w:tcPr>
          <w:p w14:paraId="69020DF2">
            <w:pPr>
              <w:spacing w:line="360" w:lineRule="auto"/>
              <w:jc w:val="center"/>
              <w:rPr>
                <w:rFonts w:hint="eastAsia" w:ascii="黑体" w:hAnsi="黑体" w:eastAsia="黑体" w:cs="黑体"/>
                <w:color w:val="auto"/>
                <w:szCs w:val="21"/>
                <w:highlight w:val="none"/>
              </w:rPr>
            </w:pPr>
          </w:p>
        </w:tc>
      </w:tr>
      <w:tr w14:paraId="5234E9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1E8C03C">
            <w:pPr>
              <w:spacing w:line="360" w:lineRule="auto"/>
              <w:jc w:val="center"/>
              <w:rPr>
                <w:rFonts w:hint="eastAsia" w:ascii="黑体" w:hAnsi="黑体" w:eastAsia="黑体" w:cs="黑体"/>
                <w:color w:val="auto"/>
                <w:szCs w:val="21"/>
                <w:highlight w:val="none"/>
              </w:rPr>
            </w:pPr>
          </w:p>
        </w:tc>
        <w:tc>
          <w:tcPr>
            <w:tcW w:w="1563" w:type="pct"/>
            <w:vAlign w:val="center"/>
          </w:tcPr>
          <w:p w14:paraId="0923C220">
            <w:pPr>
              <w:spacing w:line="360" w:lineRule="auto"/>
              <w:jc w:val="center"/>
              <w:rPr>
                <w:rFonts w:hint="eastAsia" w:ascii="黑体" w:hAnsi="黑体" w:eastAsia="黑体" w:cs="黑体"/>
                <w:color w:val="auto"/>
                <w:szCs w:val="21"/>
                <w:highlight w:val="none"/>
              </w:rPr>
            </w:pPr>
          </w:p>
        </w:tc>
        <w:tc>
          <w:tcPr>
            <w:tcW w:w="1164" w:type="pct"/>
            <w:vAlign w:val="center"/>
          </w:tcPr>
          <w:p w14:paraId="3BDAF0B6">
            <w:pPr>
              <w:spacing w:line="360" w:lineRule="auto"/>
              <w:jc w:val="center"/>
              <w:rPr>
                <w:rFonts w:hint="eastAsia" w:ascii="黑体" w:hAnsi="黑体" w:eastAsia="黑体" w:cs="黑体"/>
                <w:color w:val="auto"/>
                <w:szCs w:val="21"/>
                <w:highlight w:val="none"/>
              </w:rPr>
            </w:pPr>
          </w:p>
        </w:tc>
        <w:tc>
          <w:tcPr>
            <w:tcW w:w="732" w:type="pct"/>
            <w:vAlign w:val="center"/>
          </w:tcPr>
          <w:p w14:paraId="59513A9A">
            <w:pPr>
              <w:spacing w:line="360" w:lineRule="auto"/>
              <w:jc w:val="center"/>
              <w:rPr>
                <w:rFonts w:hint="eastAsia" w:ascii="黑体" w:hAnsi="黑体" w:eastAsia="黑体" w:cs="黑体"/>
                <w:color w:val="auto"/>
                <w:szCs w:val="21"/>
                <w:highlight w:val="none"/>
              </w:rPr>
            </w:pPr>
          </w:p>
        </w:tc>
        <w:tc>
          <w:tcPr>
            <w:tcW w:w="1009" w:type="pct"/>
            <w:vAlign w:val="center"/>
          </w:tcPr>
          <w:p w14:paraId="2B1B5266">
            <w:pPr>
              <w:spacing w:line="360" w:lineRule="auto"/>
              <w:jc w:val="center"/>
              <w:rPr>
                <w:rFonts w:hint="eastAsia" w:ascii="黑体" w:hAnsi="黑体" w:eastAsia="黑体" w:cs="黑体"/>
                <w:color w:val="auto"/>
                <w:szCs w:val="21"/>
                <w:highlight w:val="none"/>
              </w:rPr>
            </w:pPr>
          </w:p>
        </w:tc>
      </w:tr>
      <w:tr w14:paraId="26364E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52F2648E">
            <w:pPr>
              <w:spacing w:line="360" w:lineRule="auto"/>
              <w:jc w:val="center"/>
              <w:rPr>
                <w:rFonts w:hint="eastAsia" w:ascii="黑体" w:hAnsi="黑体" w:eastAsia="黑体" w:cs="黑体"/>
                <w:color w:val="auto"/>
                <w:szCs w:val="21"/>
                <w:highlight w:val="none"/>
              </w:rPr>
            </w:pPr>
          </w:p>
        </w:tc>
        <w:tc>
          <w:tcPr>
            <w:tcW w:w="1563" w:type="pct"/>
            <w:vAlign w:val="center"/>
          </w:tcPr>
          <w:p w14:paraId="38086A7C">
            <w:pPr>
              <w:spacing w:line="360" w:lineRule="auto"/>
              <w:jc w:val="center"/>
              <w:rPr>
                <w:rFonts w:hint="eastAsia" w:ascii="黑体" w:hAnsi="黑体" w:eastAsia="黑体" w:cs="黑体"/>
                <w:color w:val="auto"/>
                <w:szCs w:val="21"/>
                <w:highlight w:val="none"/>
              </w:rPr>
            </w:pPr>
          </w:p>
        </w:tc>
        <w:tc>
          <w:tcPr>
            <w:tcW w:w="1164" w:type="pct"/>
            <w:vAlign w:val="center"/>
          </w:tcPr>
          <w:p w14:paraId="35E9FB27">
            <w:pPr>
              <w:spacing w:line="360" w:lineRule="auto"/>
              <w:jc w:val="center"/>
              <w:rPr>
                <w:rFonts w:hint="eastAsia" w:ascii="黑体" w:hAnsi="黑体" w:eastAsia="黑体" w:cs="黑体"/>
                <w:color w:val="auto"/>
                <w:szCs w:val="21"/>
                <w:highlight w:val="none"/>
              </w:rPr>
            </w:pPr>
          </w:p>
        </w:tc>
        <w:tc>
          <w:tcPr>
            <w:tcW w:w="732" w:type="pct"/>
            <w:vAlign w:val="center"/>
          </w:tcPr>
          <w:p w14:paraId="6C54D46B">
            <w:pPr>
              <w:spacing w:line="360" w:lineRule="auto"/>
              <w:jc w:val="center"/>
              <w:rPr>
                <w:rFonts w:hint="eastAsia" w:ascii="黑体" w:hAnsi="黑体" w:eastAsia="黑体" w:cs="黑体"/>
                <w:color w:val="auto"/>
                <w:szCs w:val="21"/>
                <w:highlight w:val="none"/>
              </w:rPr>
            </w:pPr>
          </w:p>
        </w:tc>
        <w:tc>
          <w:tcPr>
            <w:tcW w:w="1009" w:type="pct"/>
            <w:vAlign w:val="center"/>
          </w:tcPr>
          <w:p w14:paraId="1AE033F7">
            <w:pPr>
              <w:spacing w:line="360" w:lineRule="auto"/>
              <w:jc w:val="center"/>
              <w:rPr>
                <w:rFonts w:hint="eastAsia" w:ascii="黑体" w:hAnsi="黑体" w:eastAsia="黑体" w:cs="黑体"/>
                <w:color w:val="auto"/>
                <w:szCs w:val="21"/>
                <w:highlight w:val="none"/>
              </w:rPr>
            </w:pPr>
          </w:p>
        </w:tc>
      </w:tr>
      <w:tr w14:paraId="4CD29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0C674D20">
            <w:pPr>
              <w:spacing w:line="360" w:lineRule="auto"/>
              <w:jc w:val="center"/>
              <w:rPr>
                <w:rFonts w:hint="eastAsia" w:ascii="黑体" w:hAnsi="黑体" w:eastAsia="黑体" w:cs="黑体"/>
                <w:color w:val="auto"/>
                <w:szCs w:val="21"/>
                <w:highlight w:val="none"/>
              </w:rPr>
            </w:pPr>
          </w:p>
        </w:tc>
        <w:tc>
          <w:tcPr>
            <w:tcW w:w="1563" w:type="pct"/>
            <w:vAlign w:val="center"/>
          </w:tcPr>
          <w:p w14:paraId="720673FA">
            <w:pPr>
              <w:spacing w:line="360" w:lineRule="auto"/>
              <w:jc w:val="center"/>
              <w:rPr>
                <w:rFonts w:hint="eastAsia" w:ascii="黑体" w:hAnsi="黑体" w:eastAsia="黑体" w:cs="黑体"/>
                <w:color w:val="auto"/>
                <w:szCs w:val="21"/>
                <w:highlight w:val="none"/>
              </w:rPr>
            </w:pPr>
          </w:p>
        </w:tc>
        <w:tc>
          <w:tcPr>
            <w:tcW w:w="1164" w:type="pct"/>
            <w:vAlign w:val="center"/>
          </w:tcPr>
          <w:p w14:paraId="7C9C363A">
            <w:pPr>
              <w:spacing w:line="360" w:lineRule="auto"/>
              <w:jc w:val="center"/>
              <w:rPr>
                <w:rFonts w:hint="eastAsia" w:ascii="黑体" w:hAnsi="黑体" w:eastAsia="黑体" w:cs="黑体"/>
                <w:color w:val="auto"/>
                <w:szCs w:val="21"/>
                <w:highlight w:val="none"/>
              </w:rPr>
            </w:pPr>
          </w:p>
        </w:tc>
        <w:tc>
          <w:tcPr>
            <w:tcW w:w="732" w:type="pct"/>
            <w:vAlign w:val="center"/>
          </w:tcPr>
          <w:p w14:paraId="0FD94B61">
            <w:pPr>
              <w:spacing w:line="360" w:lineRule="auto"/>
              <w:jc w:val="center"/>
              <w:rPr>
                <w:rFonts w:hint="eastAsia" w:ascii="黑体" w:hAnsi="黑体" w:eastAsia="黑体" w:cs="黑体"/>
                <w:color w:val="auto"/>
                <w:szCs w:val="21"/>
                <w:highlight w:val="none"/>
              </w:rPr>
            </w:pPr>
          </w:p>
        </w:tc>
        <w:tc>
          <w:tcPr>
            <w:tcW w:w="1009" w:type="pct"/>
            <w:vAlign w:val="center"/>
          </w:tcPr>
          <w:p w14:paraId="53E9D664">
            <w:pPr>
              <w:spacing w:line="360" w:lineRule="auto"/>
              <w:jc w:val="center"/>
              <w:rPr>
                <w:rFonts w:hint="eastAsia" w:ascii="黑体" w:hAnsi="黑体" w:eastAsia="黑体" w:cs="黑体"/>
                <w:color w:val="auto"/>
                <w:szCs w:val="21"/>
                <w:highlight w:val="none"/>
              </w:rPr>
            </w:pPr>
          </w:p>
        </w:tc>
      </w:tr>
      <w:tr w14:paraId="6C01F8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4603C1DC">
            <w:pPr>
              <w:spacing w:line="360" w:lineRule="auto"/>
              <w:jc w:val="center"/>
              <w:rPr>
                <w:rFonts w:hint="eastAsia" w:ascii="黑体" w:hAnsi="黑体" w:eastAsia="黑体" w:cs="黑体"/>
                <w:color w:val="auto"/>
                <w:szCs w:val="21"/>
                <w:highlight w:val="none"/>
              </w:rPr>
            </w:pPr>
          </w:p>
        </w:tc>
        <w:tc>
          <w:tcPr>
            <w:tcW w:w="1563" w:type="pct"/>
            <w:vAlign w:val="center"/>
          </w:tcPr>
          <w:p w14:paraId="1931010C">
            <w:pPr>
              <w:spacing w:line="360" w:lineRule="auto"/>
              <w:jc w:val="center"/>
              <w:rPr>
                <w:rFonts w:hint="eastAsia" w:ascii="黑体" w:hAnsi="黑体" w:eastAsia="黑体" w:cs="黑体"/>
                <w:color w:val="auto"/>
                <w:szCs w:val="21"/>
                <w:highlight w:val="none"/>
              </w:rPr>
            </w:pPr>
          </w:p>
        </w:tc>
        <w:tc>
          <w:tcPr>
            <w:tcW w:w="1164" w:type="pct"/>
            <w:vAlign w:val="center"/>
          </w:tcPr>
          <w:p w14:paraId="0801E0F6">
            <w:pPr>
              <w:spacing w:line="360" w:lineRule="auto"/>
              <w:jc w:val="center"/>
              <w:rPr>
                <w:rFonts w:hint="eastAsia" w:ascii="黑体" w:hAnsi="黑体" w:eastAsia="黑体" w:cs="黑体"/>
                <w:color w:val="auto"/>
                <w:szCs w:val="21"/>
                <w:highlight w:val="none"/>
              </w:rPr>
            </w:pPr>
          </w:p>
        </w:tc>
        <w:tc>
          <w:tcPr>
            <w:tcW w:w="732" w:type="pct"/>
            <w:vAlign w:val="center"/>
          </w:tcPr>
          <w:p w14:paraId="4B1FE84D">
            <w:pPr>
              <w:spacing w:line="360" w:lineRule="auto"/>
              <w:jc w:val="center"/>
              <w:rPr>
                <w:rFonts w:hint="eastAsia" w:ascii="黑体" w:hAnsi="黑体" w:eastAsia="黑体" w:cs="黑体"/>
                <w:color w:val="auto"/>
                <w:szCs w:val="21"/>
                <w:highlight w:val="none"/>
              </w:rPr>
            </w:pPr>
          </w:p>
        </w:tc>
        <w:tc>
          <w:tcPr>
            <w:tcW w:w="1009" w:type="pct"/>
            <w:vAlign w:val="center"/>
          </w:tcPr>
          <w:p w14:paraId="3484F6EF">
            <w:pPr>
              <w:spacing w:line="360" w:lineRule="auto"/>
              <w:jc w:val="center"/>
              <w:rPr>
                <w:rFonts w:hint="eastAsia" w:ascii="黑体" w:hAnsi="黑体" w:eastAsia="黑体" w:cs="黑体"/>
                <w:color w:val="auto"/>
                <w:szCs w:val="21"/>
                <w:highlight w:val="none"/>
              </w:rPr>
            </w:pPr>
          </w:p>
        </w:tc>
      </w:tr>
      <w:tr w14:paraId="3A22B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22AEEEFA">
            <w:pPr>
              <w:spacing w:line="360" w:lineRule="auto"/>
              <w:jc w:val="center"/>
              <w:rPr>
                <w:rFonts w:hint="eastAsia" w:ascii="黑体" w:hAnsi="黑体" w:eastAsia="黑体" w:cs="黑体"/>
                <w:color w:val="auto"/>
                <w:szCs w:val="21"/>
                <w:highlight w:val="none"/>
              </w:rPr>
            </w:pPr>
          </w:p>
        </w:tc>
        <w:tc>
          <w:tcPr>
            <w:tcW w:w="1563" w:type="pct"/>
            <w:vAlign w:val="center"/>
          </w:tcPr>
          <w:p w14:paraId="2C12C1B7">
            <w:pPr>
              <w:spacing w:line="360" w:lineRule="auto"/>
              <w:jc w:val="center"/>
              <w:rPr>
                <w:rFonts w:hint="eastAsia" w:ascii="黑体" w:hAnsi="黑体" w:eastAsia="黑体" w:cs="黑体"/>
                <w:color w:val="auto"/>
                <w:szCs w:val="21"/>
                <w:highlight w:val="none"/>
              </w:rPr>
            </w:pPr>
          </w:p>
        </w:tc>
        <w:tc>
          <w:tcPr>
            <w:tcW w:w="1164" w:type="pct"/>
            <w:vAlign w:val="center"/>
          </w:tcPr>
          <w:p w14:paraId="669E5B9A">
            <w:pPr>
              <w:spacing w:line="360" w:lineRule="auto"/>
              <w:jc w:val="center"/>
              <w:rPr>
                <w:rFonts w:hint="eastAsia" w:ascii="黑体" w:hAnsi="黑体" w:eastAsia="黑体" w:cs="黑体"/>
                <w:color w:val="auto"/>
                <w:szCs w:val="21"/>
                <w:highlight w:val="none"/>
              </w:rPr>
            </w:pPr>
          </w:p>
        </w:tc>
        <w:tc>
          <w:tcPr>
            <w:tcW w:w="732" w:type="pct"/>
            <w:vAlign w:val="center"/>
          </w:tcPr>
          <w:p w14:paraId="642CFFC8">
            <w:pPr>
              <w:spacing w:line="360" w:lineRule="auto"/>
              <w:jc w:val="center"/>
              <w:rPr>
                <w:rFonts w:hint="eastAsia" w:ascii="黑体" w:hAnsi="黑体" w:eastAsia="黑体" w:cs="黑体"/>
                <w:color w:val="auto"/>
                <w:szCs w:val="21"/>
                <w:highlight w:val="none"/>
              </w:rPr>
            </w:pPr>
          </w:p>
        </w:tc>
        <w:tc>
          <w:tcPr>
            <w:tcW w:w="1009" w:type="pct"/>
            <w:vAlign w:val="center"/>
          </w:tcPr>
          <w:p w14:paraId="75BEF750">
            <w:pPr>
              <w:spacing w:line="360" w:lineRule="auto"/>
              <w:jc w:val="center"/>
              <w:rPr>
                <w:rFonts w:hint="eastAsia" w:ascii="黑体" w:hAnsi="黑体" w:eastAsia="黑体" w:cs="黑体"/>
                <w:color w:val="auto"/>
                <w:szCs w:val="21"/>
                <w:highlight w:val="none"/>
              </w:rPr>
            </w:pPr>
          </w:p>
        </w:tc>
      </w:tr>
    </w:tbl>
    <w:p w14:paraId="6185348E">
      <w:pPr>
        <w:spacing w:before="156" w:beforeLines="50"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注明：需提供证明资料内容详见</w:t>
      </w:r>
      <w:r>
        <w:rPr>
          <w:rFonts w:hint="eastAsia" w:ascii="黑体" w:hAnsi="黑体" w:eastAsia="黑体" w:cs="黑体"/>
          <w:color w:val="auto"/>
          <w:szCs w:val="21"/>
          <w:highlight w:val="none"/>
          <w:u w:val="single"/>
        </w:rPr>
        <w:t xml:space="preserve">（招标文件第五部分 评标方法、步骤、标准之附表三详细评审表相对应条款） </w:t>
      </w:r>
      <w:r>
        <w:rPr>
          <w:rFonts w:hint="eastAsia" w:ascii="黑体" w:hAnsi="黑体" w:eastAsia="黑体" w:cs="黑体"/>
          <w:color w:val="auto"/>
          <w:szCs w:val="21"/>
          <w:highlight w:val="none"/>
        </w:rPr>
        <w:t>。</w:t>
      </w:r>
    </w:p>
    <w:p w14:paraId="4E3E0B58">
      <w:pPr>
        <w:spacing w:line="360" w:lineRule="auto"/>
        <w:rPr>
          <w:rFonts w:hint="eastAsia" w:ascii="黑体" w:hAnsi="黑体" w:eastAsia="黑体" w:cs="黑体"/>
          <w:color w:val="auto"/>
          <w:szCs w:val="21"/>
          <w:highlight w:val="none"/>
        </w:rPr>
      </w:pPr>
    </w:p>
    <w:p w14:paraId="3D460E0E">
      <w:pPr>
        <w:spacing w:line="360" w:lineRule="auto"/>
        <w:rPr>
          <w:rFonts w:hint="eastAsia" w:ascii="黑体" w:hAnsi="黑体" w:eastAsia="黑体" w:cs="黑体"/>
          <w:color w:val="auto"/>
          <w:szCs w:val="21"/>
          <w:highlight w:val="none"/>
        </w:rPr>
      </w:pPr>
    </w:p>
    <w:p w14:paraId="4395F5D1">
      <w:pPr>
        <w:spacing w:line="360" w:lineRule="auto"/>
        <w:rPr>
          <w:rFonts w:hint="eastAsia" w:ascii="黑体" w:hAnsi="黑体" w:eastAsia="黑体" w:cs="黑体"/>
          <w:color w:val="auto"/>
          <w:szCs w:val="21"/>
          <w:highlight w:val="none"/>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0D67AC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6B043EBF">
            <w:pPr>
              <w:overflowPunct w:val="0"/>
              <w:adjustRightIn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投标人名称（加盖公章）：</w:t>
            </w:r>
            <w:r>
              <w:rPr>
                <w:rFonts w:hint="eastAsia" w:ascii="黑体" w:hAnsi="黑体" w:eastAsia="黑体" w:cs="黑体"/>
                <w:color w:val="auto"/>
                <w:szCs w:val="21"/>
                <w:highlight w:val="none"/>
                <w:u w:val="single"/>
              </w:rPr>
              <w:t xml:space="preserve">                         </w:t>
            </w:r>
          </w:p>
        </w:tc>
        <w:tc>
          <w:tcPr>
            <w:tcW w:w="3175" w:type="dxa"/>
          </w:tcPr>
          <w:p w14:paraId="1CE80DD7">
            <w:pPr>
              <w:spacing w:line="360" w:lineRule="auto"/>
              <w:rPr>
                <w:rFonts w:hint="eastAsia" w:ascii="黑体" w:hAnsi="黑体" w:eastAsia="黑体" w:cs="黑体"/>
                <w:color w:val="auto"/>
                <w:szCs w:val="21"/>
                <w:highlight w:val="none"/>
              </w:rPr>
            </w:pPr>
          </w:p>
        </w:tc>
      </w:tr>
      <w:tr w14:paraId="18C8B0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5D582BD5">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日期：</w:t>
            </w:r>
            <w:r>
              <w:rPr>
                <w:rFonts w:hint="eastAsia" w:ascii="黑体" w:hAnsi="黑体" w:eastAsia="黑体" w:cs="黑体"/>
                <w:color w:val="auto"/>
                <w:szCs w:val="21"/>
                <w:highlight w:val="none"/>
                <w:u w:val="single"/>
              </w:rPr>
              <w:t xml:space="preserve">             年           月            日</w:t>
            </w:r>
          </w:p>
        </w:tc>
        <w:tc>
          <w:tcPr>
            <w:tcW w:w="3175" w:type="dxa"/>
          </w:tcPr>
          <w:p w14:paraId="1A96730E">
            <w:pPr>
              <w:spacing w:line="360" w:lineRule="auto"/>
              <w:rPr>
                <w:rFonts w:hint="eastAsia" w:ascii="黑体" w:hAnsi="黑体" w:eastAsia="黑体" w:cs="黑体"/>
                <w:color w:val="auto"/>
                <w:szCs w:val="21"/>
                <w:highlight w:val="none"/>
              </w:rPr>
            </w:pPr>
          </w:p>
        </w:tc>
      </w:tr>
    </w:tbl>
    <w:p w14:paraId="66247B31">
      <w:pPr>
        <w:spacing w:line="360" w:lineRule="auto"/>
        <w:rPr>
          <w:rFonts w:hint="eastAsia" w:ascii="黑体" w:hAnsi="黑体" w:eastAsia="黑体" w:cs="黑体"/>
          <w:color w:val="auto"/>
          <w:szCs w:val="21"/>
          <w:highlight w:val="none"/>
        </w:rPr>
      </w:pPr>
    </w:p>
    <w:bookmarkEnd w:id="100"/>
    <w:bookmarkEnd w:id="101"/>
    <w:p w14:paraId="2096F8D8">
      <w:pPr>
        <w:pStyle w:val="29"/>
        <w:pageBreakBefore/>
        <w:numPr>
          <w:ilvl w:val="0"/>
          <w:numId w:val="84"/>
        </w:numPr>
        <w:tabs>
          <w:tab w:val="left" w:pos="284"/>
          <w:tab w:val="left" w:pos="567"/>
          <w:tab w:val="left" w:pos="709"/>
        </w:tabs>
        <w:ind w:left="1679" w:hanging="1537" w:firstLineChars="0"/>
        <w:jc w:val="left"/>
        <w:rPr>
          <w:rFonts w:hint="eastAsia" w:ascii="黑体" w:hAnsi="黑体" w:eastAsia="黑体" w:cs="黑体"/>
          <w:b/>
          <w:bCs/>
          <w:color w:val="auto"/>
          <w:highlight w:val="none"/>
        </w:rPr>
      </w:pPr>
      <w:r>
        <w:rPr>
          <w:rFonts w:hint="eastAsia" w:ascii="黑体" w:hAnsi="黑体" w:eastAsia="黑体" w:cs="黑体"/>
          <w:b/>
          <w:bCs/>
          <w:color w:val="auto"/>
          <w:highlight w:val="none"/>
        </w:rPr>
        <w:t>项目技术服务人员情况表</w:t>
      </w:r>
    </w:p>
    <w:p w14:paraId="5AD53B7A">
      <w:pPr>
        <w:spacing w:before="624" w:beforeLines="200" w:after="312" w:afterLines="100" w:line="360" w:lineRule="auto"/>
        <w:jc w:val="center"/>
        <w:rPr>
          <w:rFonts w:hint="eastAsia" w:ascii="黑体" w:hAnsi="黑体" w:eastAsia="黑体" w:cs="黑体"/>
          <w:b/>
          <w:color w:val="auto"/>
          <w:spacing w:val="20"/>
          <w:sz w:val="30"/>
          <w:szCs w:val="30"/>
          <w:highlight w:val="none"/>
        </w:rPr>
      </w:pPr>
      <w:r>
        <w:rPr>
          <w:rFonts w:hint="eastAsia" w:ascii="黑体" w:hAnsi="黑体" w:eastAsia="黑体" w:cs="黑体"/>
          <w:b/>
          <w:color w:val="auto"/>
          <w:spacing w:val="20"/>
          <w:sz w:val="30"/>
          <w:szCs w:val="30"/>
          <w:highlight w:val="none"/>
        </w:rPr>
        <w:t>项目技术服务人员情况表</w:t>
      </w:r>
    </w:p>
    <w:tbl>
      <w:tblPr>
        <w:tblStyle w:val="19"/>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9"/>
        <w:gridCol w:w="1145"/>
        <w:gridCol w:w="1296"/>
        <w:gridCol w:w="1895"/>
        <w:gridCol w:w="1455"/>
        <w:gridCol w:w="1020"/>
        <w:gridCol w:w="1227"/>
      </w:tblGrid>
      <w:tr w14:paraId="2405B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13536CC7">
            <w:pPr>
              <w:jc w:val="center"/>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序号</w:t>
            </w:r>
          </w:p>
        </w:tc>
        <w:tc>
          <w:tcPr>
            <w:tcW w:w="653" w:type="pct"/>
            <w:vAlign w:val="center"/>
          </w:tcPr>
          <w:p w14:paraId="0280C79E">
            <w:pPr>
              <w:jc w:val="center"/>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姓名</w:t>
            </w:r>
          </w:p>
        </w:tc>
        <w:tc>
          <w:tcPr>
            <w:tcW w:w="739" w:type="pct"/>
            <w:vAlign w:val="center"/>
          </w:tcPr>
          <w:p w14:paraId="2176AA27">
            <w:pPr>
              <w:jc w:val="center"/>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职位</w:t>
            </w:r>
          </w:p>
        </w:tc>
        <w:tc>
          <w:tcPr>
            <w:tcW w:w="1081" w:type="pct"/>
            <w:vAlign w:val="center"/>
          </w:tcPr>
          <w:p w14:paraId="606A6506">
            <w:pPr>
              <w:jc w:val="center"/>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持何种资格证件</w:t>
            </w:r>
          </w:p>
        </w:tc>
        <w:tc>
          <w:tcPr>
            <w:tcW w:w="830" w:type="pct"/>
            <w:vAlign w:val="center"/>
          </w:tcPr>
          <w:p w14:paraId="6CB27344">
            <w:pPr>
              <w:jc w:val="center"/>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发证时间</w:t>
            </w:r>
          </w:p>
        </w:tc>
        <w:tc>
          <w:tcPr>
            <w:tcW w:w="582" w:type="pct"/>
            <w:vAlign w:val="center"/>
          </w:tcPr>
          <w:p w14:paraId="14FCDA9D">
            <w:pPr>
              <w:jc w:val="center"/>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学历</w:t>
            </w:r>
          </w:p>
        </w:tc>
        <w:tc>
          <w:tcPr>
            <w:tcW w:w="699" w:type="pct"/>
            <w:vAlign w:val="center"/>
          </w:tcPr>
          <w:p w14:paraId="435B6385">
            <w:pPr>
              <w:jc w:val="center"/>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经验年限</w:t>
            </w:r>
          </w:p>
        </w:tc>
      </w:tr>
      <w:tr w14:paraId="304FA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B74D3DA">
            <w:pPr>
              <w:spacing w:line="480" w:lineRule="auto"/>
              <w:jc w:val="center"/>
              <w:rPr>
                <w:rFonts w:hint="eastAsia" w:ascii="黑体" w:hAnsi="黑体" w:eastAsia="黑体" w:cs="黑体"/>
                <w:color w:val="auto"/>
                <w:szCs w:val="21"/>
                <w:highlight w:val="none"/>
              </w:rPr>
            </w:pPr>
          </w:p>
        </w:tc>
        <w:tc>
          <w:tcPr>
            <w:tcW w:w="653" w:type="pct"/>
            <w:vAlign w:val="center"/>
          </w:tcPr>
          <w:p w14:paraId="1BF019D4">
            <w:pPr>
              <w:spacing w:line="480" w:lineRule="auto"/>
              <w:jc w:val="center"/>
              <w:rPr>
                <w:rFonts w:hint="eastAsia" w:ascii="黑体" w:hAnsi="黑体" w:eastAsia="黑体" w:cs="黑体"/>
                <w:color w:val="auto"/>
                <w:szCs w:val="21"/>
                <w:highlight w:val="none"/>
              </w:rPr>
            </w:pPr>
          </w:p>
        </w:tc>
        <w:tc>
          <w:tcPr>
            <w:tcW w:w="739" w:type="pct"/>
            <w:vAlign w:val="center"/>
          </w:tcPr>
          <w:p w14:paraId="651BA65E">
            <w:pPr>
              <w:spacing w:line="480" w:lineRule="auto"/>
              <w:jc w:val="center"/>
              <w:rPr>
                <w:rFonts w:hint="eastAsia" w:ascii="黑体" w:hAnsi="黑体" w:eastAsia="黑体" w:cs="黑体"/>
                <w:color w:val="auto"/>
                <w:szCs w:val="21"/>
                <w:highlight w:val="none"/>
              </w:rPr>
            </w:pPr>
          </w:p>
        </w:tc>
        <w:tc>
          <w:tcPr>
            <w:tcW w:w="1081" w:type="pct"/>
            <w:vAlign w:val="center"/>
          </w:tcPr>
          <w:p w14:paraId="70CA4182">
            <w:pPr>
              <w:spacing w:line="480" w:lineRule="auto"/>
              <w:jc w:val="center"/>
              <w:rPr>
                <w:rFonts w:hint="eastAsia" w:ascii="黑体" w:hAnsi="黑体" w:eastAsia="黑体" w:cs="黑体"/>
                <w:color w:val="auto"/>
                <w:szCs w:val="21"/>
                <w:highlight w:val="none"/>
              </w:rPr>
            </w:pPr>
          </w:p>
        </w:tc>
        <w:tc>
          <w:tcPr>
            <w:tcW w:w="830" w:type="pct"/>
          </w:tcPr>
          <w:p w14:paraId="1A3FFE82">
            <w:pPr>
              <w:spacing w:line="480" w:lineRule="auto"/>
              <w:jc w:val="center"/>
              <w:rPr>
                <w:rFonts w:hint="eastAsia" w:ascii="黑体" w:hAnsi="黑体" w:eastAsia="黑体" w:cs="黑体"/>
                <w:color w:val="auto"/>
                <w:szCs w:val="21"/>
                <w:highlight w:val="none"/>
              </w:rPr>
            </w:pPr>
          </w:p>
        </w:tc>
        <w:tc>
          <w:tcPr>
            <w:tcW w:w="582" w:type="pct"/>
            <w:vAlign w:val="center"/>
          </w:tcPr>
          <w:p w14:paraId="24137275">
            <w:pPr>
              <w:spacing w:line="480" w:lineRule="auto"/>
              <w:jc w:val="center"/>
              <w:rPr>
                <w:rFonts w:hint="eastAsia" w:ascii="黑体" w:hAnsi="黑体" w:eastAsia="黑体" w:cs="黑体"/>
                <w:color w:val="auto"/>
                <w:szCs w:val="21"/>
                <w:highlight w:val="none"/>
              </w:rPr>
            </w:pPr>
          </w:p>
        </w:tc>
        <w:tc>
          <w:tcPr>
            <w:tcW w:w="699" w:type="pct"/>
          </w:tcPr>
          <w:p w14:paraId="191AB2F2">
            <w:pPr>
              <w:spacing w:line="480" w:lineRule="auto"/>
              <w:jc w:val="center"/>
              <w:rPr>
                <w:rFonts w:hint="eastAsia" w:ascii="黑体" w:hAnsi="黑体" w:eastAsia="黑体" w:cs="黑体"/>
                <w:color w:val="auto"/>
                <w:szCs w:val="21"/>
                <w:highlight w:val="none"/>
              </w:rPr>
            </w:pPr>
          </w:p>
        </w:tc>
      </w:tr>
      <w:tr w14:paraId="4E47B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B25BD08">
            <w:pPr>
              <w:spacing w:line="480" w:lineRule="auto"/>
              <w:jc w:val="center"/>
              <w:rPr>
                <w:rFonts w:hint="eastAsia" w:ascii="黑体" w:hAnsi="黑体" w:eastAsia="黑体" w:cs="黑体"/>
                <w:color w:val="auto"/>
                <w:szCs w:val="21"/>
                <w:highlight w:val="none"/>
              </w:rPr>
            </w:pPr>
          </w:p>
        </w:tc>
        <w:tc>
          <w:tcPr>
            <w:tcW w:w="653" w:type="pct"/>
            <w:vAlign w:val="center"/>
          </w:tcPr>
          <w:p w14:paraId="71D1C494">
            <w:pPr>
              <w:spacing w:line="480" w:lineRule="auto"/>
              <w:jc w:val="center"/>
              <w:rPr>
                <w:rFonts w:hint="eastAsia" w:ascii="黑体" w:hAnsi="黑体" w:eastAsia="黑体" w:cs="黑体"/>
                <w:color w:val="auto"/>
                <w:szCs w:val="21"/>
                <w:highlight w:val="none"/>
              </w:rPr>
            </w:pPr>
          </w:p>
        </w:tc>
        <w:tc>
          <w:tcPr>
            <w:tcW w:w="739" w:type="pct"/>
            <w:vAlign w:val="center"/>
          </w:tcPr>
          <w:p w14:paraId="176F5888">
            <w:pPr>
              <w:spacing w:line="480" w:lineRule="auto"/>
              <w:jc w:val="center"/>
              <w:rPr>
                <w:rFonts w:hint="eastAsia" w:ascii="黑体" w:hAnsi="黑体" w:eastAsia="黑体" w:cs="黑体"/>
                <w:color w:val="auto"/>
                <w:szCs w:val="21"/>
                <w:highlight w:val="none"/>
              </w:rPr>
            </w:pPr>
          </w:p>
        </w:tc>
        <w:tc>
          <w:tcPr>
            <w:tcW w:w="1081" w:type="pct"/>
            <w:vAlign w:val="center"/>
          </w:tcPr>
          <w:p w14:paraId="25A40923">
            <w:pPr>
              <w:spacing w:line="480" w:lineRule="auto"/>
              <w:jc w:val="center"/>
              <w:rPr>
                <w:rFonts w:hint="eastAsia" w:ascii="黑体" w:hAnsi="黑体" w:eastAsia="黑体" w:cs="黑体"/>
                <w:color w:val="auto"/>
                <w:szCs w:val="21"/>
                <w:highlight w:val="none"/>
              </w:rPr>
            </w:pPr>
          </w:p>
        </w:tc>
        <w:tc>
          <w:tcPr>
            <w:tcW w:w="830" w:type="pct"/>
          </w:tcPr>
          <w:p w14:paraId="20FF523E">
            <w:pPr>
              <w:spacing w:line="480" w:lineRule="auto"/>
              <w:jc w:val="center"/>
              <w:rPr>
                <w:rFonts w:hint="eastAsia" w:ascii="黑体" w:hAnsi="黑体" w:eastAsia="黑体" w:cs="黑体"/>
                <w:color w:val="auto"/>
                <w:szCs w:val="21"/>
                <w:highlight w:val="none"/>
              </w:rPr>
            </w:pPr>
          </w:p>
        </w:tc>
        <w:tc>
          <w:tcPr>
            <w:tcW w:w="582" w:type="pct"/>
            <w:vAlign w:val="center"/>
          </w:tcPr>
          <w:p w14:paraId="7E02D5C8">
            <w:pPr>
              <w:spacing w:line="480" w:lineRule="auto"/>
              <w:jc w:val="center"/>
              <w:rPr>
                <w:rFonts w:hint="eastAsia" w:ascii="黑体" w:hAnsi="黑体" w:eastAsia="黑体" w:cs="黑体"/>
                <w:color w:val="auto"/>
                <w:szCs w:val="21"/>
                <w:highlight w:val="none"/>
              </w:rPr>
            </w:pPr>
          </w:p>
        </w:tc>
        <w:tc>
          <w:tcPr>
            <w:tcW w:w="699" w:type="pct"/>
          </w:tcPr>
          <w:p w14:paraId="4DD061E0">
            <w:pPr>
              <w:spacing w:line="480" w:lineRule="auto"/>
              <w:jc w:val="center"/>
              <w:rPr>
                <w:rFonts w:hint="eastAsia" w:ascii="黑体" w:hAnsi="黑体" w:eastAsia="黑体" w:cs="黑体"/>
                <w:color w:val="auto"/>
                <w:szCs w:val="21"/>
                <w:highlight w:val="none"/>
              </w:rPr>
            </w:pPr>
          </w:p>
        </w:tc>
      </w:tr>
      <w:tr w14:paraId="4D411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2F5A88A7">
            <w:pPr>
              <w:spacing w:line="480" w:lineRule="auto"/>
              <w:jc w:val="center"/>
              <w:rPr>
                <w:rFonts w:hint="eastAsia" w:ascii="黑体" w:hAnsi="黑体" w:eastAsia="黑体" w:cs="黑体"/>
                <w:color w:val="auto"/>
                <w:szCs w:val="21"/>
                <w:highlight w:val="none"/>
              </w:rPr>
            </w:pPr>
          </w:p>
        </w:tc>
        <w:tc>
          <w:tcPr>
            <w:tcW w:w="653" w:type="pct"/>
            <w:vAlign w:val="center"/>
          </w:tcPr>
          <w:p w14:paraId="3F393660">
            <w:pPr>
              <w:spacing w:line="480" w:lineRule="auto"/>
              <w:jc w:val="center"/>
              <w:rPr>
                <w:rFonts w:hint="eastAsia" w:ascii="黑体" w:hAnsi="黑体" w:eastAsia="黑体" w:cs="黑体"/>
                <w:color w:val="auto"/>
                <w:szCs w:val="21"/>
                <w:highlight w:val="none"/>
              </w:rPr>
            </w:pPr>
          </w:p>
        </w:tc>
        <w:tc>
          <w:tcPr>
            <w:tcW w:w="739" w:type="pct"/>
            <w:vAlign w:val="center"/>
          </w:tcPr>
          <w:p w14:paraId="10E7D433">
            <w:pPr>
              <w:spacing w:line="480" w:lineRule="auto"/>
              <w:jc w:val="center"/>
              <w:rPr>
                <w:rFonts w:hint="eastAsia" w:ascii="黑体" w:hAnsi="黑体" w:eastAsia="黑体" w:cs="黑体"/>
                <w:color w:val="auto"/>
                <w:szCs w:val="21"/>
                <w:highlight w:val="none"/>
              </w:rPr>
            </w:pPr>
          </w:p>
        </w:tc>
        <w:tc>
          <w:tcPr>
            <w:tcW w:w="1081" w:type="pct"/>
            <w:vAlign w:val="center"/>
          </w:tcPr>
          <w:p w14:paraId="28C45B68">
            <w:pPr>
              <w:spacing w:line="480" w:lineRule="auto"/>
              <w:jc w:val="center"/>
              <w:rPr>
                <w:rFonts w:hint="eastAsia" w:ascii="黑体" w:hAnsi="黑体" w:eastAsia="黑体" w:cs="黑体"/>
                <w:color w:val="auto"/>
                <w:szCs w:val="21"/>
                <w:highlight w:val="none"/>
              </w:rPr>
            </w:pPr>
          </w:p>
        </w:tc>
        <w:tc>
          <w:tcPr>
            <w:tcW w:w="830" w:type="pct"/>
          </w:tcPr>
          <w:p w14:paraId="0FF36513">
            <w:pPr>
              <w:spacing w:line="480" w:lineRule="auto"/>
              <w:jc w:val="center"/>
              <w:rPr>
                <w:rFonts w:hint="eastAsia" w:ascii="黑体" w:hAnsi="黑体" w:eastAsia="黑体" w:cs="黑体"/>
                <w:color w:val="auto"/>
                <w:szCs w:val="21"/>
                <w:highlight w:val="none"/>
              </w:rPr>
            </w:pPr>
          </w:p>
        </w:tc>
        <w:tc>
          <w:tcPr>
            <w:tcW w:w="582" w:type="pct"/>
            <w:vAlign w:val="center"/>
          </w:tcPr>
          <w:p w14:paraId="0779378A">
            <w:pPr>
              <w:spacing w:line="480" w:lineRule="auto"/>
              <w:jc w:val="center"/>
              <w:rPr>
                <w:rFonts w:hint="eastAsia" w:ascii="黑体" w:hAnsi="黑体" w:eastAsia="黑体" w:cs="黑体"/>
                <w:color w:val="auto"/>
                <w:szCs w:val="21"/>
                <w:highlight w:val="none"/>
              </w:rPr>
            </w:pPr>
          </w:p>
        </w:tc>
        <w:tc>
          <w:tcPr>
            <w:tcW w:w="699" w:type="pct"/>
          </w:tcPr>
          <w:p w14:paraId="50544DFF">
            <w:pPr>
              <w:spacing w:line="480" w:lineRule="auto"/>
              <w:jc w:val="center"/>
              <w:rPr>
                <w:rFonts w:hint="eastAsia" w:ascii="黑体" w:hAnsi="黑体" w:eastAsia="黑体" w:cs="黑体"/>
                <w:color w:val="auto"/>
                <w:szCs w:val="21"/>
                <w:highlight w:val="none"/>
              </w:rPr>
            </w:pPr>
          </w:p>
        </w:tc>
      </w:tr>
      <w:tr w14:paraId="59936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531C6AE">
            <w:pPr>
              <w:spacing w:line="480" w:lineRule="auto"/>
              <w:jc w:val="center"/>
              <w:rPr>
                <w:rFonts w:hint="eastAsia" w:ascii="黑体" w:hAnsi="黑体" w:eastAsia="黑体" w:cs="黑体"/>
                <w:color w:val="auto"/>
                <w:szCs w:val="21"/>
                <w:highlight w:val="none"/>
              </w:rPr>
            </w:pPr>
          </w:p>
        </w:tc>
        <w:tc>
          <w:tcPr>
            <w:tcW w:w="653" w:type="pct"/>
            <w:vAlign w:val="center"/>
          </w:tcPr>
          <w:p w14:paraId="719FD31B">
            <w:pPr>
              <w:spacing w:line="480" w:lineRule="auto"/>
              <w:jc w:val="center"/>
              <w:rPr>
                <w:rFonts w:hint="eastAsia" w:ascii="黑体" w:hAnsi="黑体" w:eastAsia="黑体" w:cs="黑体"/>
                <w:color w:val="auto"/>
                <w:szCs w:val="21"/>
                <w:highlight w:val="none"/>
              </w:rPr>
            </w:pPr>
          </w:p>
        </w:tc>
        <w:tc>
          <w:tcPr>
            <w:tcW w:w="739" w:type="pct"/>
            <w:vAlign w:val="center"/>
          </w:tcPr>
          <w:p w14:paraId="1B72A11B">
            <w:pPr>
              <w:spacing w:line="480" w:lineRule="auto"/>
              <w:jc w:val="center"/>
              <w:rPr>
                <w:rFonts w:hint="eastAsia" w:ascii="黑体" w:hAnsi="黑体" w:eastAsia="黑体" w:cs="黑体"/>
                <w:color w:val="auto"/>
                <w:szCs w:val="21"/>
                <w:highlight w:val="none"/>
              </w:rPr>
            </w:pPr>
          </w:p>
        </w:tc>
        <w:tc>
          <w:tcPr>
            <w:tcW w:w="1081" w:type="pct"/>
            <w:vAlign w:val="center"/>
          </w:tcPr>
          <w:p w14:paraId="179B4AAC">
            <w:pPr>
              <w:spacing w:line="480" w:lineRule="auto"/>
              <w:jc w:val="center"/>
              <w:rPr>
                <w:rFonts w:hint="eastAsia" w:ascii="黑体" w:hAnsi="黑体" w:eastAsia="黑体" w:cs="黑体"/>
                <w:color w:val="auto"/>
                <w:szCs w:val="21"/>
                <w:highlight w:val="none"/>
              </w:rPr>
            </w:pPr>
          </w:p>
        </w:tc>
        <w:tc>
          <w:tcPr>
            <w:tcW w:w="830" w:type="pct"/>
          </w:tcPr>
          <w:p w14:paraId="3B8C755D">
            <w:pPr>
              <w:spacing w:line="480" w:lineRule="auto"/>
              <w:jc w:val="center"/>
              <w:rPr>
                <w:rFonts w:hint="eastAsia" w:ascii="黑体" w:hAnsi="黑体" w:eastAsia="黑体" w:cs="黑体"/>
                <w:color w:val="auto"/>
                <w:szCs w:val="21"/>
                <w:highlight w:val="none"/>
              </w:rPr>
            </w:pPr>
          </w:p>
        </w:tc>
        <w:tc>
          <w:tcPr>
            <w:tcW w:w="582" w:type="pct"/>
            <w:vAlign w:val="center"/>
          </w:tcPr>
          <w:p w14:paraId="167F3233">
            <w:pPr>
              <w:spacing w:line="480" w:lineRule="auto"/>
              <w:jc w:val="center"/>
              <w:rPr>
                <w:rFonts w:hint="eastAsia" w:ascii="黑体" w:hAnsi="黑体" w:eastAsia="黑体" w:cs="黑体"/>
                <w:color w:val="auto"/>
                <w:szCs w:val="21"/>
                <w:highlight w:val="none"/>
              </w:rPr>
            </w:pPr>
          </w:p>
        </w:tc>
        <w:tc>
          <w:tcPr>
            <w:tcW w:w="699" w:type="pct"/>
          </w:tcPr>
          <w:p w14:paraId="28B597F5">
            <w:pPr>
              <w:spacing w:line="480" w:lineRule="auto"/>
              <w:jc w:val="center"/>
              <w:rPr>
                <w:rFonts w:hint="eastAsia" w:ascii="黑体" w:hAnsi="黑体" w:eastAsia="黑体" w:cs="黑体"/>
                <w:color w:val="auto"/>
                <w:szCs w:val="21"/>
                <w:highlight w:val="none"/>
              </w:rPr>
            </w:pPr>
          </w:p>
        </w:tc>
      </w:tr>
      <w:tr w14:paraId="2E4B6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7A88EA1">
            <w:pPr>
              <w:spacing w:line="480" w:lineRule="auto"/>
              <w:jc w:val="center"/>
              <w:rPr>
                <w:rFonts w:hint="eastAsia" w:ascii="黑体" w:hAnsi="黑体" w:eastAsia="黑体" w:cs="黑体"/>
                <w:color w:val="auto"/>
                <w:szCs w:val="21"/>
                <w:highlight w:val="none"/>
              </w:rPr>
            </w:pPr>
          </w:p>
        </w:tc>
        <w:tc>
          <w:tcPr>
            <w:tcW w:w="653" w:type="pct"/>
            <w:vAlign w:val="center"/>
          </w:tcPr>
          <w:p w14:paraId="68745907">
            <w:pPr>
              <w:spacing w:line="480" w:lineRule="auto"/>
              <w:jc w:val="center"/>
              <w:rPr>
                <w:rFonts w:hint="eastAsia" w:ascii="黑体" w:hAnsi="黑体" w:eastAsia="黑体" w:cs="黑体"/>
                <w:color w:val="auto"/>
                <w:szCs w:val="21"/>
                <w:highlight w:val="none"/>
              </w:rPr>
            </w:pPr>
          </w:p>
        </w:tc>
        <w:tc>
          <w:tcPr>
            <w:tcW w:w="739" w:type="pct"/>
            <w:vAlign w:val="center"/>
          </w:tcPr>
          <w:p w14:paraId="528857A1">
            <w:pPr>
              <w:spacing w:line="480" w:lineRule="auto"/>
              <w:jc w:val="center"/>
              <w:rPr>
                <w:rFonts w:hint="eastAsia" w:ascii="黑体" w:hAnsi="黑体" w:eastAsia="黑体" w:cs="黑体"/>
                <w:color w:val="auto"/>
                <w:szCs w:val="21"/>
                <w:highlight w:val="none"/>
              </w:rPr>
            </w:pPr>
          </w:p>
        </w:tc>
        <w:tc>
          <w:tcPr>
            <w:tcW w:w="1081" w:type="pct"/>
            <w:vAlign w:val="center"/>
          </w:tcPr>
          <w:p w14:paraId="53969F84">
            <w:pPr>
              <w:widowControl/>
              <w:tabs>
                <w:tab w:val="right" w:leader="dot" w:pos="8302"/>
              </w:tabs>
              <w:spacing w:line="480" w:lineRule="auto"/>
              <w:jc w:val="center"/>
              <w:rPr>
                <w:rFonts w:hint="eastAsia" w:ascii="黑体" w:hAnsi="黑体" w:eastAsia="黑体" w:cs="黑体"/>
                <w:color w:val="auto"/>
                <w:kern w:val="0"/>
                <w:szCs w:val="21"/>
                <w:highlight w:val="none"/>
              </w:rPr>
            </w:pPr>
          </w:p>
        </w:tc>
        <w:tc>
          <w:tcPr>
            <w:tcW w:w="830" w:type="pct"/>
          </w:tcPr>
          <w:p w14:paraId="54727799">
            <w:pPr>
              <w:spacing w:line="480" w:lineRule="auto"/>
              <w:jc w:val="center"/>
              <w:rPr>
                <w:rFonts w:hint="eastAsia" w:ascii="黑体" w:hAnsi="黑体" w:eastAsia="黑体" w:cs="黑体"/>
                <w:color w:val="auto"/>
                <w:szCs w:val="21"/>
                <w:highlight w:val="none"/>
              </w:rPr>
            </w:pPr>
          </w:p>
        </w:tc>
        <w:tc>
          <w:tcPr>
            <w:tcW w:w="582" w:type="pct"/>
            <w:vAlign w:val="center"/>
          </w:tcPr>
          <w:p w14:paraId="466310F5">
            <w:pPr>
              <w:spacing w:line="480" w:lineRule="auto"/>
              <w:jc w:val="center"/>
              <w:rPr>
                <w:rFonts w:hint="eastAsia" w:ascii="黑体" w:hAnsi="黑体" w:eastAsia="黑体" w:cs="黑体"/>
                <w:color w:val="auto"/>
                <w:szCs w:val="21"/>
                <w:highlight w:val="none"/>
              </w:rPr>
            </w:pPr>
          </w:p>
        </w:tc>
        <w:tc>
          <w:tcPr>
            <w:tcW w:w="699" w:type="pct"/>
          </w:tcPr>
          <w:p w14:paraId="618E61D1">
            <w:pPr>
              <w:spacing w:line="480" w:lineRule="auto"/>
              <w:jc w:val="center"/>
              <w:rPr>
                <w:rFonts w:hint="eastAsia" w:ascii="黑体" w:hAnsi="黑体" w:eastAsia="黑体" w:cs="黑体"/>
                <w:color w:val="auto"/>
                <w:szCs w:val="21"/>
                <w:highlight w:val="none"/>
              </w:rPr>
            </w:pPr>
          </w:p>
        </w:tc>
      </w:tr>
      <w:tr w14:paraId="0F9540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ED96F0C">
            <w:pPr>
              <w:spacing w:line="480" w:lineRule="auto"/>
              <w:jc w:val="center"/>
              <w:rPr>
                <w:rFonts w:hint="eastAsia" w:ascii="黑体" w:hAnsi="黑体" w:eastAsia="黑体" w:cs="黑体"/>
                <w:color w:val="auto"/>
                <w:szCs w:val="21"/>
                <w:highlight w:val="none"/>
              </w:rPr>
            </w:pPr>
          </w:p>
        </w:tc>
        <w:tc>
          <w:tcPr>
            <w:tcW w:w="653" w:type="pct"/>
            <w:vAlign w:val="center"/>
          </w:tcPr>
          <w:p w14:paraId="1685F275">
            <w:pPr>
              <w:spacing w:line="480" w:lineRule="auto"/>
              <w:jc w:val="center"/>
              <w:rPr>
                <w:rFonts w:hint="eastAsia" w:ascii="黑体" w:hAnsi="黑体" w:eastAsia="黑体" w:cs="黑体"/>
                <w:color w:val="auto"/>
                <w:szCs w:val="21"/>
                <w:highlight w:val="none"/>
              </w:rPr>
            </w:pPr>
          </w:p>
        </w:tc>
        <w:tc>
          <w:tcPr>
            <w:tcW w:w="739" w:type="pct"/>
            <w:vAlign w:val="center"/>
          </w:tcPr>
          <w:p w14:paraId="2BB336D7">
            <w:pPr>
              <w:spacing w:line="480" w:lineRule="auto"/>
              <w:jc w:val="center"/>
              <w:rPr>
                <w:rFonts w:hint="eastAsia" w:ascii="黑体" w:hAnsi="黑体" w:eastAsia="黑体" w:cs="黑体"/>
                <w:color w:val="auto"/>
                <w:szCs w:val="21"/>
                <w:highlight w:val="none"/>
              </w:rPr>
            </w:pPr>
          </w:p>
        </w:tc>
        <w:tc>
          <w:tcPr>
            <w:tcW w:w="1081" w:type="pct"/>
            <w:vAlign w:val="center"/>
          </w:tcPr>
          <w:p w14:paraId="154BA2C3">
            <w:pPr>
              <w:widowControl/>
              <w:tabs>
                <w:tab w:val="right" w:leader="dot" w:pos="8302"/>
              </w:tabs>
              <w:spacing w:line="480" w:lineRule="auto"/>
              <w:jc w:val="center"/>
              <w:rPr>
                <w:rFonts w:hint="eastAsia" w:ascii="黑体" w:hAnsi="黑体" w:eastAsia="黑体" w:cs="黑体"/>
                <w:color w:val="auto"/>
                <w:kern w:val="0"/>
                <w:szCs w:val="21"/>
                <w:highlight w:val="none"/>
              </w:rPr>
            </w:pPr>
          </w:p>
        </w:tc>
        <w:tc>
          <w:tcPr>
            <w:tcW w:w="830" w:type="pct"/>
          </w:tcPr>
          <w:p w14:paraId="11AFBF5A">
            <w:pPr>
              <w:spacing w:line="480" w:lineRule="auto"/>
              <w:jc w:val="center"/>
              <w:rPr>
                <w:rFonts w:hint="eastAsia" w:ascii="黑体" w:hAnsi="黑体" w:eastAsia="黑体" w:cs="黑体"/>
                <w:color w:val="auto"/>
                <w:szCs w:val="21"/>
                <w:highlight w:val="none"/>
              </w:rPr>
            </w:pPr>
          </w:p>
        </w:tc>
        <w:tc>
          <w:tcPr>
            <w:tcW w:w="582" w:type="pct"/>
            <w:vAlign w:val="center"/>
          </w:tcPr>
          <w:p w14:paraId="1E4C8F21">
            <w:pPr>
              <w:spacing w:line="480" w:lineRule="auto"/>
              <w:jc w:val="center"/>
              <w:rPr>
                <w:rFonts w:hint="eastAsia" w:ascii="黑体" w:hAnsi="黑体" w:eastAsia="黑体" w:cs="黑体"/>
                <w:color w:val="auto"/>
                <w:szCs w:val="21"/>
                <w:highlight w:val="none"/>
              </w:rPr>
            </w:pPr>
          </w:p>
        </w:tc>
        <w:tc>
          <w:tcPr>
            <w:tcW w:w="699" w:type="pct"/>
          </w:tcPr>
          <w:p w14:paraId="7A1B97A3">
            <w:pPr>
              <w:spacing w:line="480" w:lineRule="auto"/>
              <w:jc w:val="center"/>
              <w:rPr>
                <w:rFonts w:hint="eastAsia" w:ascii="黑体" w:hAnsi="黑体" w:eastAsia="黑体" w:cs="黑体"/>
                <w:color w:val="auto"/>
                <w:szCs w:val="21"/>
                <w:highlight w:val="none"/>
              </w:rPr>
            </w:pPr>
          </w:p>
        </w:tc>
      </w:tr>
      <w:tr w14:paraId="2556D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6BD19095">
            <w:pPr>
              <w:spacing w:line="480" w:lineRule="auto"/>
              <w:jc w:val="center"/>
              <w:rPr>
                <w:rFonts w:hint="eastAsia" w:ascii="黑体" w:hAnsi="黑体" w:eastAsia="黑体" w:cs="黑体"/>
                <w:color w:val="auto"/>
                <w:szCs w:val="21"/>
                <w:highlight w:val="none"/>
              </w:rPr>
            </w:pPr>
          </w:p>
        </w:tc>
        <w:tc>
          <w:tcPr>
            <w:tcW w:w="653" w:type="pct"/>
            <w:vAlign w:val="center"/>
          </w:tcPr>
          <w:p w14:paraId="61A49B90">
            <w:pPr>
              <w:spacing w:line="480" w:lineRule="auto"/>
              <w:jc w:val="center"/>
              <w:rPr>
                <w:rFonts w:hint="eastAsia" w:ascii="黑体" w:hAnsi="黑体" w:eastAsia="黑体" w:cs="黑体"/>
                <w:color w:val="auto"/>
                <w:szCs w:val="21"/>
                <w:highlight w:val="none"/>
              </w:rPr>
            </w:pPr>
          </w:p>
        </w:tc>
        <w:tc>
          <w:tcPr>
            <w:tcW w:w="739" w:type="pct"/>
            <w:vAlign w:val="center"/>
          </w:tcPr>
          <w:p w14:paraId="02F0D1D6">
            <w:pPr>
              <w:spacing w:line="480" w:lineRule="auto"/>
              <w:jc w:val="center"/>
              <w:rPr>
                <w:rFonts w:hint="eastAsia" w:ascii="黑体" w:hAnsi="黑体" w:eastAsia="黑体" w:cs="黑体"/>
                <w:color w:val="auto"/>
                <w:szCs w:val="21"/>
                <w:highlight w:val="none"/>
              </w:rPr>
            </w:pPr>
          </w:p>
        </w:tc>
        <w:tc>
          <w:tcPr>
            <w:tcW w:w="1081" w:type="pct"/>
            <w:vAlign w:val="center"/>
          </w:tcPr>
          <w:p w14:paraId="6BAEAF25">
            <w:pPr>
              <w:spacing w:line="480" w:lineRule="auto"/>
              <w:jc w:val="center"/>
              <w:rPr>
                <w:rFonts w:hint="eastAsia" w:ascii="黑体" w:hAnsi="黑体" w:eastAsia="黑体" w:cs="黑体"/>
                <w:color w:val="auto"/>
                <w:szCs w:val="21"/>
                <w:highlight w:val="none"/>
              </w:rPr>
            </w:pPr>
          </w:p>
        </w:tc>
        <w:tc>
          <w:tcPr>
            <w:tcW w:w="830" w:type="pct"/>
          </w:tcPr>
          <w:p w14:paraId="27820552">
            <w:pPr>
              <w:spacing w:line="480" w:lineRule="auto"/>
              <w:jc w:val="center"/>
              <w:rPr>
                <w:rFonts w:hint="eastAsia" w:ascii="黑体" w:hAnsi="黑体" w:eastAsia="黑体" w:cs="黑体"/>
                <w:color w:val="auto"/>
                <w:szCs w:val="21"/>
                <w:highlight w:val="none"/>
              </w:rPr>
            </w:pPr>
          </w:p>
        </w:tc>
        <w:tc>
          <w:tcPr>
            <w:tcW w:w="582" w:type="pct"/>
            <w:vAlign w:val="center"/>
          </w:tcPr>
          <w:p w14:paraId="4212F454">
            <w:pPr>
              <w:spacing w:line="480" w:lineRule="auto"/>
              <w:jc w:val="center"/>
              <w:rPr>
                <w:rFonts w:hint="eastAsia" w:ascii="黑体" w:hAnsi="黑体" w:eastAsia="黑体" w:cs="黑体"/>
                <w:color w:val="auto"/>
                <w:szCs w:val="21"/>
                <w:highlight w:val="none"/>
              </w:rPr>
            </w:pPr>
          </w:p>
        </w:tc>
        <w:tc>
          <w:tcPr>
            <w:tcW w:w="699" w:type="pct"/>
          </w:tcPr>
          <w:p w14:paraId="6C3416AD">
            <w:pPr>
              <w:spacing w:line="480" w:lineRule="auto"/>
              <w:jc w:val="center"/>
              <w:rPr>
                <w:rFonts w:hint="eastAsia" w:ascii="黑体" w:hAnsi="黑体" w:eastAsia="黑体" w:cs="黑体"/>
                <w:color w:val="auto"/>
                <w:szCs w:val="21"/>
                <w:highlight w:val="none"/>
              </w:rPr>
            </w:pPr>
          </w:p>
        </w:tc>
      </w:tr>
      <w:tr w14:paraId="7B31F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F2B8A03">
            <w:pPr>
              <w:spacing w:line="480" w:lineRule="auto"/>
              <w:jc w:val="center"/>
              <w:rPr>
                <w:rFonts w:hint="eastAsia" w:ascii="黑体" w:hAnsi="黑体" w:eastAsia="黑体" w:cs="黑体"/>
                <w:color w:val="auto"/>
                <w:szCs w:val="21"/>
                <w:highlight w:val="none"/>
              </w:rPr>
            </w:pPr>
          </w:p>
        </w:tc>
        <w:tc>
          <w:tcPr>
            <w:tcW w:w="653" w:type="pct"/>
            <w:vAlign w:val="center"/>
          </w:tcPr>
          <w:p w14:paraId="145A4F89">
            <w:pPr>
              <w:spacing w:line="480" w:lineRule="auto"/>
              <w:jc w:val="center"/>
              <w:rPr>
                <w:rFonts w:hint="eastAsia" w:ascii="黑体" w:hAnsi="黑体" w:eastAsia="黑体" w:cs="黑体"/>
                <w:color w:val="auto"/>
                <w:szCs w:val="21"/>
                <w:highlight w:val="none"/>
              </w:rPr>
            </w:pPr>
          </w:p>
        </w:tc>
        <w:tc>
          <w:tcPr>
            <w:tcW w:w="739" w:type="pct"/>
            <w:vAlign w:val="center"/>
          </w:tcPr>
          <w:p w14:paraId="67AA0851">
            <w:pPr>
              <w:spacing w:line="480" w:lineRule="auto"/>
              <w:jc w:val="center"/>
              <w:rPr>
                <w:rFonts w:hint="eastAsia" w:ascii="黑体" w:hAnsi="黑体" w:eastAsia="黑体" w:cs="黑体"/>
                <w:color w:val="auto"/>
                <w:szCs w:val="21"/>
                <w:highlight w:val="none"/>
              </w:rPr>
            </w:pPr>
          </w:p>
        </w:tc>
        <w:tc>
          <w:tcPr>
            <w:tcW w:w="1081" w:type="pct"/>
            <w:vAlign w:val="center"/>
          </w:tcPr>
          <w:p w14:paraId="010E0B8F">
            <w:pPr>
              <w:spacing w:line="480" w:lineRule="auto"/>
              <w:jc w:val="center"/>
              <w:rPr>
                <w:rFonts w:hint="eastAsia" w:ascii="黑体" w:hAnsi="黑体" w:eastAsia="黑体" w:cs="黑体"/>
                <w:color w:val="auto"/>
                <w:szCs w:val="21"/>
                <w:highlight w:val="none"/>
              </w:rPr>
            </w:pPr>
          </w:p>
        </w:tc>
        <w:tc>
          <w:tcPr>
            <w:tcW w:w="830" w:type="pct"/>
          </w:tcPr>
          <w:p w14:paraId="12DE114B">
            <w:pPr>
              <w:spacing w:line="480" w:lineRule="auto"/>
              <w:jc w:val="center"/>
              <w:rPr>
                <w:rFonts w:hint="eastAsia" w:ascii="黑体" w:hAnsi="黑体" w:eastAsia="黑体" w:cs="黑体"/>
                <w:color w:val="auto"/>
                <w:szCs w:val="21"/>
                <w:highlight w:val="none"/>
              </w:rPr>
            </w:pPr>
          </w:p>
        </w:tc>
        <w:tc>
          <w:tcPr>
            <w:tcW w:w="582" w:type="pct"/>
            <w:vAlign w:val="center"/>
          </w:tcPr>
          <w:p w14:paraId="6C4A2164">
            <w:pPr>
              <w:spacing w:line="480" w:lineRule="auto"/>
              <w:jc w:val="center"/>
              <w:rPr>
                <w:rFonts w:hint="eastAsia" w:ascii="黑体" w:hAnsi="黑体" w:eastAsia="黑体" w:cs="黑体"/>
                <w:color w:val="auto"/>
                <w:szCs w:val="21"/>
                <w:highlight w:val="none"/>
              </w:rPr>
            </w:pPr>
          </w:p>
        </w:tc>
        <w:tc>
          <w:tcPr>
            <w:tcW w:w="699" w:type="pct"/>
          </w:tcPr>
          <w:p w14:paraId="72EFF90A">
            <w:pPr>
              <w:spacing w:line="480" w:lineRule="auto"/>
              <w:jc w:val="center"/>
              <w:rPr>
                <w:rFonts w:hint="eastAsia" w:ascii="黑体" w:hAnsi="黑体" w:eastAsia="黑体" w:cs="黑体"/>
                <w:color w:val="auto"/>
                <w:szCs w:val="21"/>
                <w:highlight w:val="none"/>
              </w:rPr>
            </w:pPr>
          </w:p>
        </w:tc>
      </w:tr>
    </w:tbl>
    <w:p w14:paraId="472B803F">
      <w:pPr>
        <w:pStyle w:val="8"/>
        <w:overflowPunct w:val="0"/>
        <w:spacing w:before="156" w:beforeLines="50" w:after="0" w:line="360" w:lineRule="auto"/>
        <w:rPr>
          <w:rFonts w:hint="eastAsia" w:ascii="黑体" w:hAnsi="黑体" w:eastAsia="黑体" w:cs="黑体"/>
          <w:color w:val="auto"/>
          <w:szCs w:val="21"/>
          <w:highlight w:val="none"/>
        </w:rPr>
      </w:pPr>
    </w:p>
    <w:p w14:paraId="6AE3D0B8">
      <w:pPr>
        <w:pStyle w:val="8"/>
        <w:overflowPunct w:val="0"/>
        <w:spacing w:before="156" w:beforeLines="50" w:after="0"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注明：需提供证明资料内容详见</w:t>
      </w:r>
      <w:r>
        <w:rPr>
          <w:rFonts w:hint="eastAsia" w:ascii="黑体" w:hAnsi="黑体" w:eastAsia="黑体" w:cs="黑体"/>
          <w:color w:val="auto"/>
          <w:szCs w:val="21"/>
          <w:highlight w:val="none"/>
          <w:u w:val="single"/>
        </w:rPr>
        <w:t>（招标文件第五部分 评标方法、步骤、标准之</w:t>
      </w:r>
      <w:r>
        <w:rPr>
          <w:rFonts w:hint="eastAsia" w:ascii="黑体" w:hAnsi="黑体" w:eastAsia="黑体" w:cs="黑体"/>
          <w:color w:val="auto"/>
          <w:kern w:val="0"/>
          <w:szCs w:val="21"/>
          <w:highlight w:val="none"/>
          <w:u w:val="single"/>
        </w:rPr>
        <w:t>附表三</w:t>
      </w:r>
      <w:r>
        <w:rPr>
          <w:rFonts w:hint="eastAsia" w:ascii="黑体" w:hAnsi="黑体" w:eastAsia="黑体" w:cs="黑体"/>
          <w:color w:val="auto"/>
          <w:szCs w:val="21"/>
          <w:highlight w:val="none"/>
          <w:u w:val="single"/>
        </w:rPr>
        <w:t xml:space="preserve">详细评审表相对应条款） </w:t>
      </w:r>
      <w:r>
        <w:rPr>
          <w:rFonts w:hint="eastAsia" w:ascii="黑体" w:hAnsi="黑体" w:eastAsia="黑体" w:cs="黑体"/>
          <w:color w:val="auto"/>
          <w:szCs w:val="21"/>
          <w:highlight w:val="none"/>
        </w:rPr>
        <w:t>。</w:t>
      </w:r>
    </w:p>
    <w:p w14:paraId="40CB08E5">
      <w:pPr>
        <w:spacing w:line="360" w:lineRule="auto"/>
        <w:rPr>
          <w:rFonts w:hint="eastAsia" w:ascii="黑体" w:hAnsi="黑体" w:eastAsia="黑体" w:cs="黑体"/>
          <w:color w:val="auto"/>
          <w:highlight w:val="none"/>
        </w:rPr>
      </w:pPr>
    </w:p>
    <w:p w14:paraId="48212251">
      <w:pPr>
        <w:spacing w:line="360" w:lineRule="auto"/>
        <w:rPr>
          <w:rFonts w:hint="eastAsia" w:ascii="黑体" w:hAnsi="黑体" w:eastAsia="黑体" w:cs="黑体"/>
          <w:color w:val="auto"/>
          <w:highlight w:val="none"/>
        </w:rPr>
      </w:pPr>
    </w:p>
    <w:p w14:paraId="3A2E5132">
      <w:pPr>
        <w:spacing w:line="360" w:lineRule="auto"/>
        <w:rPr>
          <w:rFonts w:hint="eastAsia" w:ascii="黑体" w:hAnsi="黑体" w:eastAsia="黑体" w:cs="黑体"/>
          <w:color w:val="auto"/>
          <w:highlight w:val="none"/>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3F28AF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1DEDC7DA">
            <w:pPr>
              <w:overflowPunct w:val="0"/>
              <w:adjustRightIn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投标人名称（加盖公章）：</w:t>
            </w:r>
            <w:r>
              <w:rPr>
                <w:rFonts w:hint="eastAsia" w:ascii="黑体" w:hAnsi="黑体" w:eastAsia="黑体" w:cs="黑体"/>
                <w:color w:val="auto"/>
                <w:szCs w:val="21"/>
                <w:highlight w:val="none"/>
                <w:u w:val="single"/>
              </w:rPr>
              <w:t xml:space="preserve">                         </w:t>
            </w:r>
          </w:p>
        </w:tc>
        <w:tc>
          <w:tcPr>
            <w:tcW w:w="3175" w:type="dxa"/>
          </w:tcPr>
          <w:p w14:paraId="4618C41F">
            <w:pPr>
              <w:spacing w:line="360" w:lineRule="auto"/>
              <w:rPr>
                <w:rFonts w:hint="eastAsia" w:ascii="黑体" w:hAnsi="黑体" w:eastAsia="黑体" w:cs="黑体"/>
                <w:color w:val="auto"/>
                <w:szCs w:val="21"/>
                <w:highlight w:val="none"/>
              </w:rPr>
            </w:pPr>
          </w:p>
        </w:tc>
      </w:tr>
      <w:tr w14:paraId="160401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16E1C454">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日期：</w:t>
            </w:r>
            <w:r>
              <w:rPr>
                <w:rFonts w:hint="eastAsia" w:ascii="黑体" w:hAnsi="黑体" w:eastAsia="黑体" w:cs="黑体"/>
                <w:color w:val="auto"/>
                <w:szCs w:val="21"/>
                <w:highlight w:val="none"/>
                <w:u w:val="single"/>
              </w:rPr>
              <w:t xml:space="preserve">             年           月            日</w:t>
            </w:r>
          </w:p>
        </w:tc>
        <w:tc>
          <w:tcPr>
            <w:tcW w:w="3175" w:type="dxa"/>
          </w:tcPr>
          <w:p w14:paraId="6E358389">
            <w:pPr>
              <w:spacing w:line="360" w:lineRule="auto"/>
              <w:rPr>
                <w:rFonts w:hint="eastAsia" w:ascii="黑体" w:hAnsi="黑体" w:eastAsia="黑体" w:cs="黑体"/>
                <w:color w:val="auto"/>
                <w:szCs w:val="21"/>
                <w:highlight w:val="none"/>
              </w:rPr>
            </w:pPr>
          </w:p>
        </w:tc>
      </w:tr>
    </w:tbl>
    <w:p w14:paraId="32B59B37">
      <w:pPr>
        <w:pStyle w:val="29"/>
        <w:pageBreakBefore/>
        <w:numPr>
          <w:ilvl w:val="0"/>
          <w:numId w:val="84"/>
        </w:numPr>
        <w:tabs>
          <w:tab w:val="left" w:pos="284"/>
          <w:tab w:val="left" w:pos="567"/>
          <w:tab w:val="left" w:pos="709"/>
        </w:tabs>
        <w:ind w:left="1679" w:hanging="1537" w:firstLineChars="0"/>
        <w:jc w:val="left"/>
        <w:rPr>
          <w:rFonts w:hint="eastAsia" w:ascii="黑体" w:hAnsi="黑体" w:eastAsia="黑体" w:cs="黑体"/>
          <w:b/>
          <w:bCs/>
          <w:color w:val="auto"/>
          <w:highlight w:val="none"/>
        </w:rPr>
      </w:pPr>
      <w:bookmarkStart w:id="102" w:name="_Toc391627771"/>
      <w:bookmarkStart w:id="103" w:name="_Toc405313975"/>
      <w:r>
        <w:rPr>
          <w:rFonts w:hint="eastAsia" w:ascii="黑体" w:hAnsi="黑体" w:eastAsia="黑体" w:cs="黑体"/>
          <w:b/>
          <w:bCs/>
          <w:color w:val="auto"/>
          <w:highlight w:val="none"/>
        </w:rPr>
        <w:t>项目负责人简历表</w:t>
      </w:r>
      <w:bookmarkEnd w:id="102"/>
      <w:bookmarkEnd w:id="103"/>
    </w:p>
    <w:p w14:paraId="7C105090">
      <w:pPr>
        <w:spacing w:before="468" w:beforeLines="150" w:after="312" w:afterLines="100" w:line="360" w:lineRule="auto"/>
        <w:jc w:val="center"/>
        <w:rPr>
          <w:rFonts w:hint="eastAsia" w:ascii="黑体" w:hAnsi="黑体" w:eastAsia="黑体" w:cs="黑体"/>
          <w:b/>
          <w:color w:val="auto"/>
          <w:spacing w:val="20"/>
          <w:sz w:val="30"/>
          <w:szCs w:val="30"/>
          <w:highlight w:val="none"/>
        </w:rPr>
      </w:pPr>
      <w:r>
        <w:rPr>
          <w:rFonts w:hint="eastAsia" w:ascii="黑体" w:hAnsi="黑体" w:eastAsia="黑体" w:cs="黑体"/>
          <w:b/>
          <w:color w:val="auto"/>
          <w:spacing w:val="20"/>
          <w:sz w:val="30"/>
          <w:szCs w:val="30"/>
          <w:highlight w:val="none"/>
        </w:rPr>
        <w:t>项目负责人简历表</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4"/>
        <w:gridCol w:w="746"/>
        <w:gridCol w:w="1361"/>
        <w:gridCol w:w="326"/>
        <w:gridCol w:w="184"/>
        <w:gridCol w:w="842"/>
        <w:gridCol w:w="544"/>
        <w:gridCol w:w="14"/>
        <w:gridCol w:w="1129"/>
        <w:gridCol w:w="435"/>
        <w:gridCol w:w="647"/>
        <w:gridCol w:w="409"/>
        <w:gridCol w:w="1396"/>
      </w:tblGrid>
      <w:tr w14:paraId="553A0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18EF9E60">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姓名</w:t>
            </w:r>
          </w:p>
        </w:tc>
        <w:tc>
          <w:tcPr>
            <w:tcW w:w="1493" w:type="pct"/>
            <w:gridSpan w:val="4"/>
            <w:vAlign w:val="center"/>
          </w:tcPr>
          <w:p w14:paraId="3B9B784E">
            <w:pPr>
              <w:jc w:val="center"/>
              <w:rPr>
                <w:rFonts w:hint="eastAsia" w:ascii="黑体" w:hAnsi="黑体" w:eastAsia="黑体" w:cs="黑体"/>
                <w:color w:val="auto"/>
                <w:szCs w:val="21"/>
                <w:highlight w:val="none"/>
              </w:rPr>
            </w:pPr>
          </w:p>
        </w:tc>
        <w:tc>
          <w:tcPr>
            <w:tcW w:w="480" w:type="pct"/>
            <w:vAlign w:val="center"/>
          </w:tcPr>
          <w:p w14:paraId="5663215A">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性别</w:t>
            </w:r>
          </w:p>
        </w:tc>
        <w:tc>
          <w:tcPr>
            <w:tcW w:w="962" w:type="pct"/>
            <w:gridSpan w:val="3"/>
            <w:vAlign w:val="center"/>
          </w:tcPr>
          <w:p w14:paraId="34034B71">
            <w:pPr>
              <w:jc w:val="center"/>
              <w:rPr>
                <w:rFonts w:hint="eastAsia" w:ascii="黑体" w:hAnsi="黑体" w:eastAsia="黑体" w:cs="黑体"/>
                <w:color w:val="auto"/>
                <w:szCs w:val="21"/>
                <w:highlight w:val="none"/>
              </w:rPr>
            </w:pPr>
          </w:p>
        </w:tc>
        <w:tc>
          <w:tcPr>
            <w:tcW w:w="617" w:type="pct"/>
            <w:gridSpan w:val="2"/>
            <w:vAlign w:val="center"/>
          </w:tcPr>
          <w:p w14:paraId="7D720E68">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年龄</w:t>
            </w:r>
          </w:p>
        </w:tc>
        <w:tc>
          <w:tcPr>
            <w:tcW w:w="1030" w:type="pct"/>
            <w:gridSpan w:val="2"/>
            <w:vAlign w:val="center"/>
          </w:tcPr>
          <w:p w14:paraId="1B9F9C40">
            <w:pPr>
              <w:jc w:val="center"/>
              <w:rPr>
                <w:rFonts w:hint="eastAsia" w:ascii="黑体" w:hAnsi="黑体" w:eastAsia="黑体" w:cs="黑体"/>
                <w:color w:val="auto"/>
                <w:szCs w:val="21"/>
                <w:highlight w:val="none"/>
              </w:rPr>
            </w:pPr>
          </w:p>
        </w:tc>
      </w:tr>
      <w:tr w14:paraId="2409B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2F6FA491">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职务</w:t>
            </w:r>
          </w:p>
        </w:tc>
        <w:tc>
          <w:tcPr>
            <w:tcW w:w="1493" w:type="pct"/>
            <w:gridSpan w:val="4"/>
            <w:vAlign w:val="center"/>
          </w:tcPr>
          <w:p w14:paraId="690916D4">
            <w:pPr>
              <w:jc w:val="center"/>
              <w:rPr>
                <w:rFonts w:hint="eastAsia" w:ascii="黑体" w:hAnsi="黑体" w:eastAsia="黑体" w:cs="黑体"/>
                <w:color w:val="auto"/>
                <w:szCs w:val="21"/>
                <w:highlight w:val="none"/>
              </w:rPr>
            </w:pPr>
          </w:p>
        </w:tc>
        <w:tc>
          <w:tcPr>
            <w:tcW w:w="480" w:type="pct"/>
            <w:vAlign w:val="center"/>
          </w:tcPr>
          <w:p w14:paraId="1CBDC026">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职称</w:t>
            </w:r>
          </w:p>
        </w:tc>
        <w:tc>
          <w:tcPr>
            <w:tcW w:w="962" w:type="pct"/>
            <w:gridSpan w:val="3"/>
            <w:vAlign w:val="center"/>
          </w:tcPr>
          <w:p w14:paraId="36813252">
            <w:pPr>
              <w:jc w:val="center"/>
              <w:rPr>
                <w:rFonts w:hint="eastAsia" w:ascii="黑体" w:hAnsi="黑体" w:eastAsia="黑体" w:cs="黑体"/>
                <w:color w:val="auto"/>
                <w:szCs w:val="21"/>
                <w:highlight w:val="none"/>
              </w:rPr>
            </w:pPr>
          </w:p>
        </w:tc>
        <w:tc>
          <w:tcPr>
            <w:tcW w:w="617" w:type="pct"/>
            <w:gridSpan w:val="2"/>
            <w:vAlign w:val="center"/>
          </w:tcPr>
          <w:p w14:paraId="15743654">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学历</w:t>
            </w:r>
          </w:p>
        </w:tc>
        <w:tc>
          <w:tcPr>
            <w:tcW w:w="1030" w:type="pct"/>
            <w:gridSpan w:val="2"/>
            <w:vAlign w:val="center"/>
          </w:tcPr>
          <w:p w14:paraId="2654F362">
            <w:pPr>
              <w:jc w:val="center"/>
              <w:rPr>
                <w:rFonts w:hint="eastAsia" w:ascii="黑体" w:hAnsi="黑体" w:eastAsia="黑体" w:cs="黑体"/>
                <w:color w:val="auto"/>
                <w:szCs w:val="21"/>
                <w:highlight w:val="none"/>
              </w:rPr>
            </w:pPr>
          </w:p>
        </w:tc>
      </w:tr>
      <w:tr w14:paraId="69E70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241618B0">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参加工作时间</w:t>
            </w:r>
          </w:p>
        </w:tc>
        <w:tc>
          <w:tcPr>
            <w:tcW w:w="1081" w:type="pct"/>
            <w:gridSpan w:val="4"/>
            <w:vAlign w:val="center"/>
          </w:tcPr>
          <w:p w14:paraId="7EBDD261">
            <w:pPr>
              <w:jc w:val="center"/>
              <w:rPr>
                <w:rFonts w:hint="eastAsia" w:ascii="黑体" w:hAnsi="黑体" w:eastAsia="黑体" w:cs="黑体"/>
                <w:color w:val="auto"/>
                <w:szCs w:val="21"/>
                <w:highlight w:val="none"/>
              </w:rPr>
            </w:pPr>
          </w:p>
        </w:tc>
        <w:tc>
          <w:tcPr>
            <w:tcW w:w="1502" w:type="pct"/>
            <w:gridSpan w:val="5"/>
            <w:vAlign w:val="center"/>
          </w:tcPr>
          <w:p w14:paraId="533CC727">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相关经验年限</w:t>
            </w:r>
          </w:p>
        </w:tc>
        <w:tc>
          <w:tcPr>
            <w:tcW w:w="796" w:type="pct"/>
            <w:vAlign w:val="center"/>
          </w:tcPr>
          <w:p w14:paraId="5DB0FD01">
            <w:pPr>
              <w:jc w:val="center"/>
              <w:rPr>
                <w:rFonts w:hint="eastAsia" w:ascii="黑体" w:hAnsi="黑体" w:eastAsia="黑体" w:cs="黑体"/>
                <w:color w:val="auto"/>
                <w:szCs w:val="21"/>
                <w:highlight w:val="none"/>
              </w:rPr>
            </w:pPr>
          </w:p>
        </w:tc>
      </w:tr>
      <w:tr w14:paraId="24DEA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5F13AD71">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资格证书名称、编号</w:t>
            </w:r>
          </w:p>
        </w:tc>
        <w:tc>
          <w:tcPr>
            <w:tcW w:w="3379" w:type="pct"/>
            <w:gridSpan w:val="10"/>
            <w:vAlign w:val="center"/>
          </w:tcPr>
          <w:p w14:paraId="10F1BCA4">
            <w:pPr>
              <w:jc w:val="center"/>
              <w:rPr>
                <w:rFonts w:hint="eastAsia" w:ascii="黑体" w:hAnsi="黑体" w:eastAsia="黑体" w:cs="黑体"/>
                <w:color w:val="auto"/>
                <w:szCs w:val="21"/>
                <w:highlight w:val="none"/>
              </w:rPr>
            </w:pPr>
          </w:p>
        </w:tc>
      </w:tr>
      <w:tr w14:paraId="29B75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0D5FA7DC">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目前在任及以往服务项目情况</w:t>
            </w:r>
          </w:p>
        </w:tc>
      </w:tr>
      <w:tr w14:paraId="14D63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7A888C91">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采购人</w:t>
            </w:r>
          </w:p>
        </w:tc>
        <w:tc>
          <w:tcPr>
            <w:tcW w:w="962" w:type="pct"/>
            <w:gridSpan w:val="2"/>
            <w:vAlign w:val="center"/>
          </w:tcPr>
          <w:p w14:paraId="638592AE">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项目名称</w:t>
            </w:r>
          </w:p>
        </w:tc>
        <w:tc>
          <w:tcPr>
            <w:tcW w:w="903" w:type="pct"/>
            <w:gridSpan w:val="4"/>
            <w:vAlign w:val="center"/>
          </w:tcPr>
          <w:p w14:paraId="16590EBB">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项目规模</w:t>
            </w:r>
          </w:p>
        </w:tc>
        <w:tc>
          <w:tcPr>
            <w:tcW w:w="892" w:type="pct"/>
            <w:gridSpan w:val="2"/>
            <w:vAlign w:val="center"/>
          </w:tcPr>
          <w:p w14:paraId="7196D686">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所任职务</w:t>
            </w:r>
          </w:p>
        </w:tc>
        <w:tc>
          <w:tcPr>
            <w:tcW w:w="1399" w:type="pct"/>
            <w:gridSpan w:val="3"/>
            <w:vAlign w:val="center"/>
          </w:tcPr>
          <w:p w14:paraId="42B0D488">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起止时间</w:t>
            </w:r>
          </w:p>
        </w:tc>
      </w:tr>
      <w:tr w14:paraId="783F2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7908F3C8">
            <w:pPr>
              <w:jc w:val="center"/>
              <w:rPr>
                <w:rFonts w:hint="eastAsia" w:ascii="黑体" w:hAnsi="黑体" w:eastAsia="黑体" w:cs="黑体"/>
                <w:color w:val="auto"/>
                <w:szCs w:val="21"/>
                <w:highlight w:val="none"/>
              </w:rPr>
            </w:pPr>
          </w:p>
        </w:tc>
        <w:tc>
          <w:tcPr>
            <w:tcW w:w="962" w:type="pct"/>
            <w:gridSpan w:val="2"/>
            <w:vAlign w:val="center"/>
          </w:tcPr>
          <w:p w14:paraId="677D385D">
            <w:pPr>
              <w:jc w:val="center"/>
              <w:rPr>
                <w:rFonts w:hint="eastAsia" w:ascii="黑体" w:hAnsi="黑体" w:eastAsia="黑体" w:cs="黑体"/>
                <w:color w:val="auto"/>
                <w:szCs w:val="21"/>
                <w:highlight w:val="none"/>
              </w:rPr>
            </w:pPr>
          </w:p>
        </w:tc>
        <w:tc>
          <w:tcPr>
            <w:tcW w:w="903" w:type="pct"/>
            <w:gridSpan w:val="4"/>
            <w:vAlign w:val="center"/>
          </w:tcPr>
          <w:p w14:paraId="49E8399A">
            <w:pPr>
              <w:jc w:val="center"/>
              <w:rPr>
                <w:rFonts w:hint="eastAsia" w:ascii="黑体" w:hAnsi="黑体" w:eastAsia="黑体" w:cs="黑体"/>
                <w:color w:val="auto"/>
                <w:szCs w:val="21"/>
                <w:highlight w:val="none"/>
              </w:rPr>
            </w:pPr>
          </w:p>
        </w:tc>
        <w:tc>
          <w:tcPr>
            <w:tcW w:w="892" w:type="pct"/>
            <w:gridSpan w:val="2"/>
            <w:vAlign w:val="center"/>
          </w:tcPr>
          <w:p w14:paraId="6CF69F69">
            <w:pPr>
              <w:jc w:val="center"/>
              <w:rPr>
                <w:rFonts w:hint="eastAsia" w:ascii="黑体" w:hAnsi="黑体" w:eastAsia="黑体" w:cs="黑体"/>
                <w:color w:val="auto"/>
                <w:szCs w:val="21"/>
                <w:highlight w:val="none"/>
              </w:rPr>
            </w:pPr>
          </w:p>
        </w:tc>
        <w:tc>
          <w:tcPr>
            <w:tcW w:w="1399" w:type="pct"/>
            <w:gridSpan w:val="3"/>
            <w:vAlign w:val="center"/>
          </w:tcPr>
          <w:p w14:paraId="4C4E7083">
            <w:pPr>
              <w:jc w:val="center"/>
              <w:rPr>
                <w:rFonts w:hint="eastAsia" w:ascii="黑体" w:hAnsi="黑体" w:eastAsia="黑体" w:cs="黑体"/>
                <w:color w:val="auto"/>
                <w:szCs w:val="21"/>
                <w:highlight w:val="none"/>
              </w:rPr>
            </w:pPr>
          </w:p>
        </w:tc>
      </w:tr>
      <w:tr w14:paraId="30221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296F3846">
            <w:pPr>
              <w:jc w:val="center"/>
              <w:rPr>
                <w:rFonts w:hint="eastAsia" w:ascii="黑体" w:hAnsi="黑体" w:eastAsia="黑体" w:cs="黑体"/>
                <w:color w:val="auto"/>
                <w:szCs w:val="21"/>
                <w:highlight w:val="none"/>
              </w:rPr>
            </w:pPr>
          </w:p>
        </w:tc>
        <w:tc>
          <w:tcPr>
            <w:tcW w:w="962" w:type="pct"/>
            <w:gridSpan w:val="2"/>
            <w:vAlign w:val="center"/>
          </w:tcPr>
          <w:p w14:paraId="2ACEA215">
            <w:pPr>
              <w:jc w:val="center"/>
              <w:rPr>
                <w:rFonts w:hint="eastAsia" w:ascii="黑体" w:hAnsi="黑体" w:eastAsia="黑体" w:cs="黑体"/>
                <w:color w:val="auto"/>
                <w:szCs w:val="21"/>
                <w:highlight w:val="none"/>
              </w:rPr>
            </w:pPr>
          </w:p>
        </w:tc>
        <w:tc>
          <w:tcPr>
            <w:tcW w:w="903" w:type="pct"/>
            <w:gridSpan w:val="4"/>
            <w:vAlign w:val="center"/>
          </w:tcPr>
          <w:p w14:paraId="542CD280">
            <w:pPr>
              <w:jc w:val="center"/>
              <w:rPr>
                <w:rFonts w:hint="eastAsia" w:ascii="黑体" w:hAnsi="黑体" w:eastAsia="黑体" w:cs="黑体"/>
                <w:color w:val="auto"/>
                <w:szCs w:val="21"/>
                <w:highlight w:val="none"/>
              </w:rPr>
            </w:pPr>
          </w:p>
        </w:tc>
        <w:tc>
          <w:tcPr>
            <w:tcW w:w="892" w:type="pct"/>
            <w:gridSpan w:val="2"/>
            <w:vAlign w:val="center"/>
          </w:tcPr>
          <w:p w14:paraId="56944E4B">
            <w:pPr>
              <w:jc w:val="center"/>
              <w:rPr>
                <w:rFonts w:hint="eastAsia" w:ascii="黑体" w:hAnsi="黑体" w:eastAsia="黑体" w:cs="黑体"/>
                <w:color w:val="auto"/>
                <w:szCs w:val="21"/>
                <w:highlight w:val="none"/>
              </w:rPr>
            </w:pPr>
          </w:p>
        </w:tc>
        <w:tc>
          <w:tcPr>
            <w:tcW w:w="1399" w:type="pct"/>
            <w:gridSpan w:val="3"/>
            <w:vAlign w:val="center"/>
          </w:tcPr>
          <w:p w14:paraId="128C6C44">
            <w:pPr>
              <w:jc w:val="center"/>
              <w:rPr>
                <w:rFonts w:hint="eastAsia" w:ascii="黑体" w:hAnsi="黑体" w:eastAsia="黑体" w:cs="黑体"/>
                <w:color w:val="auto"/>
                <w:szCs w:val="21"/>
                <w:highlight w:val="none"/>
              </w:rPr>
            </w:pPr>
          </w:p>
        </w:tc>
      </w:tr>
      <w:tr w14:paraId="0C727C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2702E45A">
            <w:pPr>
              <w:jc w:val="center"/>
              <w:rPr>
                <w:rFonts w:hint="eastAsia" w:ascii="黑体" w:hAnsi="黑体" w:eastAsia="黑体" w:cs="黑体"/>
                <w:color w:val="auto"/>
                <w:szCs w:val="21"/>
                <w:highlight w:val="none"/>
              </w:rPr>
            </w:pPr>
          </w:p>
        </w:tc>
        <w:tc>
          <w:tcPr>
            <w:tcW w:w="962" w:type="pct"/>
            <w:gridSpan w:val="2"/>
            <w:vAlign w:val="center"/>
          </w:tcPr>
          <w:p w14:paraId="34FF1ACD">
            <w:pPr>
              <w:jc w:val="center"/>
              <w:rPr>
                <w:rFonts w:hint="eastAsia" w:ascii="黑体" w:hAnsi="黑体" w:eastAsia="黑体" w:cs="黑体"/>
                <w:color w:val="auto"/>
                <w:szCs w:val="21"/>
                <w:highlight w:val="none"/>
              </w:rPr>
            </w:pPr>
          </w:p>
        </w:tc>
        <w:tc>
          <w:tcPr>
            <w:tcW w:w="903" w:type="pct"/>
            <w:gridSpan w:val="4"/>
            <w:vAlign w:val="center"/>
          </w:tcPr>
          <w:p w14:paraId="39B3F69A">
            <w:pPr>
              <w:jc w:val="center"/>
              <w:rPr>
                <w:rFonts w:hint="eastAsia" w:ascii="黑体" w:hAnsi="黑体" w:eastAsia="黑体" w:cs="黑体"/>
                <w:color w:val="auto"/>
                <w:szCs w:val="21"/>
                <w:highlight w:val="none"/>
              </w:rPr>
            </w:pPr>
          </w:p>
        </w:tc>
        <w:tc>
          <w:tcPr>
            <w:tcW w:w="892" w:type="pct"/>
            <w:gridSpan w:val="2"/>
            <w:vAlign w:val="center"/>
          </w:tcPr>
          <w:p w14:paraId="48083A67">
            <w:pPr>
              <w:jc w:val="center"/>
              <w:rPr>
                <w:rFonts w:hint="eastAsia" w:ascii="黑体" w:hAnsi="黑体" w:eastAsia="黑体" w:cs="黑体"/>
                <w:color w:val="auto"/>
                <w:szCs w:val="21"/>
                <w:highlight w:val="none"/>
              </w:rPr>
            </w:pPr>
          </w:p>
        </w:tc>
        <w:tc>
          <w:tcPr>
            <w:tcW w:w="1399" w:type="pct"/>
            <w:gridSpan w:val="3"/>
            <w:vAlign w:val="center"/>
          </w:tcPr>
          <w:p w14:paraId="7EB54DB1">
            <w:pPr>
              <w:jc w:val="center"/>
              <w:rPr>
                <w:rFonts w:hint="eastAsia" w:ascii="黑体" w:hAnsi="黑体" w:eastAsia="黑体" w:cs="黑体"/>
                <w:color w:val="auto"/>
                <w:szCs w:val="21"/>
                <w:highlight w:val="none"/>
              </w:rPr>
            </w:pPr>
          </w:p>
        </w:tc>
      </w:tr>
      <w:tr w14:paraId="0D918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1F0E0F90">
            <w:pPr>
              <w:jc w:val="center"/>
              <w:rPr>
                <w:rFonts w:hint="eastAsia" w:ascii="黑体" w:hAnsi="黑体" w:eastAsia="黑体" w:cs="黑体"/>
                <w:color w:val="auto"/>
                <w:szCs w:val="21"/>
                <w:highlight w:val="none"/>
              </w:rPr>
            </w:pPr>
          </w:p>
        </w:tc>
        <w:tc>
          <w:tcPr>
            <w:tcW w:w="962" w:type="pct"/>
            <w:gridSpan w:val="2"/>
            <w:vAlign w:val="center"/>
          </w:tcPr>
          <w:p w14:paraId="7977BF0E">
            <w:pPr>
              <w:jc w:val="center"/>
              <w:rPr>
                <w:rFonts w:hint="eastAsia" w:ascii="黑体" w:hAnsi="黑体" w:eastAsia="黑体" w:cs="黑体"/>
                <w:color w:val="auto"/>
                <w:szCs w:val="21"/>
                <w:highlight w:val="none"/>
              </w:rPr>
            </w:pPr>
          </w:p>
        </w:tc>
        <w:tc>
          <w:tcPr>
            <w:tcW w:w="903" w:type="pct"/>
            <w:gridSpan w:val="4"/>
            <w:vAlign w:val="center"/>
          </w:tcPr>
          <w:p w14:paraId="01E981B0">
            <w:pPr>
              <w:jc w:val="center"/>
              <w:rPr>
                <w:rFonts w:hint="eastAsia" w:ascii="黑体" w:hAnsi="黑体" w:eastAsia="黑体" w:cs="黑体"/>
                <w:color w:val="auto"/>
                <w:szCs w:val="21"/>
                <w:highlight w:val="none"/>
              </w:rPr>
            </w:pPr>
          </w:p>
        </w:tc>
        <w:tc>
          <w:tcPr>
            <w:tcW w:w="892" w:type="pct"/>
            <w:gridSpan w:val="2"/>
            <w:vAlign w:val="center"/>
          </w:tcPr>
          <w:p w14:paraId="7620EB51">
            <w:pPr>
              <w:jc w:val="center"/>
              <w:rPr>
                <w:rFonts w:hint="eastAsia" w:ascii="黑体" w:hAnsi="黑体" w:eastAsia="黑体" w:cs="黑体"/>
                <w:color w:val="auto"/>
                <w:szCs w:val="21"/>
                <w:highlight w:val="none"/>
              </w:rPr>
            </w:pPr>
          </w:p>
        </w:tc>
        <w:tc>
          <w:tcPr>
            <w:tcW w:w="1399" w:type="pct"/>
            <w:gridSpan w:val="3"/>
            <w:vAlign w:val="center"/>
          </w:tcPr>
          <w:p w14:paraId="67F06CF9">
            <w:pPr>
              <w:jc w:val="center"/>
              <w:rPr>
                <w:rFonts w:hint="eastAsia" w:ascii="黑体" w:hAnsi="黑体" w:eastAsia="黑体" w:cs="黑体"/>
                <w:color w:val="auto"/>
                <w:szCs w:val="21"/>
                <w:highlight w:val="none"/>
              </w:rPr>
            </w:pPr>
          </w:p>
        </w:tc>
      </w:tr>
      <w:tr w14:paraId="674F4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2332C80D">
            <w:pPr>
              <w:jc w:val="center"/>
              <w:rPr>
                <w:rFonts w:hint="eastAsia" w:ascii="黑体" w:hAnsi="黑体" w:eastAsia="黑体" w:cs="黑体"/>
                <w:color w:val="auto"/>
                <w:szCs w:val="21"/>
                <w:highlight w:val="none"/>
              </w:rPr>
            </w:pPr>
          </w:p>
        </w:tc>
        <w:tc>
          <w:tcPr>
            <w:tcW w:w="962" w:type="pct"/>
            <w:gridSpan w:val="2"/>
            <w:vAlign w:val="center"/>
          </w:tcPr>
          <w:p w14:paraId="6E316C78">
            <w:pPr>
              <w:jc w:val="center"/>
              <w:rPr>
                <w:rFonts w:hint="eastAsia" w:ascii="黑体" w:hAnsi="黑体" w:eastAsia="黑体" w:cs="黑体"/>
                <w:color w:val="auto"/>
                <w:szCs w:val="21"/>
                <w:highlight w:val="none"/>
              </w:rPr>
            </w:pPr>
          </w:p>
        </w:tc>
        <w:tc>
          <w:tcPr>
            <w:tcW w:w="903" w:type="pct"/>
            <w:gridSpan w:val="4"/>
            <w:vAlign w:val="center"/>
          </w:tcPr>
          <w:p w14:paraId="791B17F3">
            <w:pPr>
              <w:jc w:val="center"/>
              <w:rPr>
                <w:rFonts w:hint="eastAsia" w:ascii="黑体" w:hAnsi="黑体" w:eastAsia="黑体" w:cs="黑体"/>
                <w:color w:val="auto"/>
                <w:szCs w:val="21"/>
                <w:highlight w:val="none"/>
              </w:rPr>
            </w:pPr>
          </w:p>
        </w:tc>
        <w:tc>
          <w:tcPr>
            <w:tcW w:w="892" w:type="pct"/>
            <w:gridSpan w:val="2"/>
            <w:vAlign w:val="center"/>
          </w:tcPr>
          <w:p w14:paraId="1F72B5E6">
            <w:pPr>
              <w:jc w:val="center"/>
              <w:rPr>
                <w:rFonts w:hint="eastAsia" w:ascii="黑体" w:hAnsi="黑体" w:eastAsia="黑体" w:cs="黑体"/>
                <w:color w:val="auto"/>
                <w:szCs w:val="21"/>
                <w:highlight w:val="none"/>
              </w:rPr>
            </w:pPr>
          </w:p>
        </w:tc>
        <w:tc>
          <w:tcPr>
            <w:tcW w:w="1399" w:type="pct"/>
            <w:gridSpan w:val="3"/>
            <w:vAlign w:val="center"/>
          </w:tcPr>
          <w:p w14:paraId="0EB8EC55">
            <w:pPr>
              <w:jc w:val="center"/>
              <w:rPr>
                <w:rFonts w:hint="eastAsia" w:ascii="黑体" w:hAnsi="黑体" w:eastAsia="黑体" w:cs="黑体"/>
                <w:color w:val="auto"/>
                <w:szCs w:val="21"/>
                <w:highlight w:val="none"/>
              </w:rPr>
            </w:pPr>
          </w:p>
        </w:tc>
      </w:tr>
    </w:tbl>
    <w:p w14:paraId="66596EB7">
      <w:pPr>
        <w:pStyle w:val="8"/>
        <w:overflowPunct w:val="0"/>
        <w:spacing w:before="156" w:beforeLines="50" w:after="0"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注明：需提供证明资料内容详见</w:t>
      </w:r>
      <w:r>
        <w:rPr>
          <w:rFonts w:hint="eastAsia" w:ascii="黑体" w:hAnsi="黑体" w:eastAsia="黑体" w:cs="黑体"/>
          <w:color w:val="auto"/>
          <w:szCs w:val="21"/>
          <w:highlight w:val="none"/>
          <w:u w:val="single"/>
        </w:rPr>
        <w:t>（招标文件第五部分 评标方法、步骤、标准之</w:t>
      </w:r>
      <w:r>
        <w:rPr>
          <w:rFonts w:hint="eastAsia" w:ascii="黑体" w:hAnsi="黑体" w:eastAsia="黑体" w:cs="黑体"/>
          <w:color w:val="auto"/>
          <w:kern w:val="0"/>
          <w:szCs w:val="21"/>
          <w:highlight w:val="none"/>
          <w:u w:val="single"/>
        </w:rPr>
        <w:t>附表三</w:t>
      </w:r>
      <w:r>
        <w:rPr>
          <w:rFonts w:hint="eastAsia" w:ascii="黑体" w:hAnsi="黑体" w:eastAsia="黑体" w:cs="黑体"/>
          <w:color w:val="auto"/>
          <w:szCs w:val="21"/>
          <w:highlight w:val="none"/>
          <w:u w:val="single"/>
        </w:rPr>
        <w:t xml:space="preserve">详细评审表相对应条款） </w:t>
      </w:r>
      <w:r>
        <w:rPr>
          <w:rFonts w:hint="eastAsia" w:ascii="黑体" w:hAnsi="黑体" w:eastAsia="黑体" w:cs="黑体"/>
          <w:color w:val="auto"/>
          <w:szCs w:val="21"/>
          <w:highlight w:val="none"/>
        </w:rPr>
        <w:t>。</w:t>
      </w:r>
    </w:p>
    <w:p w14:paraId="0FF95892">
      <w:pPr>
        <w:spacing w:line="360" w:lineRule="auto"/>
        <w:rPr>
          <w:rFonts w:hint="eastAsia" w:ascii="黑体" w:hAnsi="黑体" w:eastAsia="黑体" w:cs="黑体"/>
          <w:color w:val="auto"/>
          <w:szCs w:val="21"/>
          <w:highlight w:val="none"/>
        </w:rPr>
      </w:pPr>
    </w:p>
    <w:p w14:paraId="6BC796B4">
      <w:pPr>
        <w:spacing w:line="360" w:lineRule="auto"/>
        <w:rPr>
          <w:rFonts w:hint="eastAsia" w:ascii="黑体" w:hAnsi="黑体" w:eastAsia="黑体" w:cs="黑体"/>
          <w:color w:val="auto"/>
          <w:szCs w:val="21"/>
          <w:highlight w:val="none"/>
        </w:rPr>
      </w:pPr>
    </w:p>
    <w:p w14:paraId="62ED6409">
      <w:pPr>
        <w:spacing w:line="360" w:lineRule="auto"/>
        <w:rPr>
          <w:rFonts w:hint="eastAsia" w:ascii="黑体" w:hAnsi="黑体" w:eastAsia="黑体" w:cs="黑体"/>
          <w:color w:val="auto"/>
          <w:szCs w:val="21"/>
          <w:highlight w:val="none"/>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7C4660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482395CB">
            <w:pPr>
              <w:overflowPunct w:val="0"/>
              <w:adjustRightIn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投标人名称（加盖公章）：</w:t>
            </w:r>
            <w:r>
              <w:rPr>
                <w:rFonts w:hint="eastAsia" w:ascii="黑体" w:hAnsi="黑体" w:eastAsia="黑体" w:cs="黑体"/>
                <w:color w:val="auto"/>
                <w:szCs w:val="21"/>
                <w:highlight w:val="none"/>
                <w:u w:val="single"/>
              </w:rPr>
              <w:t xml:space="preserve">                         </w:t>
            </w:r>
          </w:p>
        </w:tc>
        <w:tc>
          <w:tcPr>
            <w:tcW w:w="3175" w:type="dxa"/>
          </w:tcPr>
          <w:p w14:paraId="18367580">
            <w:pPr>
              <w:spacing w:line="360" w:lineRule="auto"/>
              <w:rPr>
                <w:rFonts w:hint="eastAsia" w:ascii="黑体" w:hAnsi="黑体" w:eastAsia="黑体" w:cs="黑体"/>
                <w:color w:val="auto"/>
                <w:szCs w:val="21"/>
                <w:highlight w:val="none"/>
              </w:rPr>
            </w:pPr>
          </w:p>
        </w:tc>
      </w:tr>
      <w:tr w14:paraId="1CCBD3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32EE26E4">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日期：</w:t>
            </w:r>
            <w:r>
              <w:rPr>
                <w:rFonts w:hint="eastAsia" w:ascii="黑体" w:hAnsi="黑体" w:eastAsia="黑体" w:cs="黑体"/>
                <w:color w:val="auto"/>
                <w:szCs w:val="21"/>
                <w:highlight w:val="none"/>
                <w:u w:val="single"/>
              </w:rPr>
              <w:t xml:space="preserve">             年           月            日</w:t>
            </w:r>
          </w:p>
        </w:tc>
        <w:tc>
          <w:tcPr>
            <w:tcW w:w="3175" w:type="dxa"/>
          </w:tcPr>
          <w:p w14:paraId="7556C4E1">
            <w:pPr>
              <w:spacing w:line="360" w:lineRule="auto"/>
              <w:rPr>
                <w:rFonts w:hint="eastAsia" w:ascii="黑体" w:hAnsi="黑体" w:eastAsia="黑体" w:cs="黑体"/>
                <w:color w:val="auto"/>
                <w:szCs w:val="21"/>
                <w:highlight w:val="none"/>
              </w:rPr>
            </w:pPr>
          </w:p>
        </w:tc>
      </w:tr>
    </w:tbl>
    <w:p w14:paraId="52811867">
      <w:pPr>
        <w:spacing w:line="360" w:lineRule="auto"/>
        <w:rPr>
          <w:rFonts w:hint="eastAsia" w:ascii="黑体" w:hAnsi="黑体" w:eastAsia="黑体" w:cs="黑体"/>
          <w:color w:val="auto"/>
          <w:szCs w:val="21"/>
          <w:highlight w:val="none"/>
        </w:rPr>
      </w:pPr>
    </w:p>
    <w:p w14:paraId="3D920B5F">
      <w:pPr>
        <w:spacing w:line="360" w:lineRule="auto"/>
        <w:rPr>
          <w:rFonts w:hint="eastAsia" w:ascii="黑体" w:hAnsi="黑体" w:eastAsia="黑体" w:cs="黑体"/>
          <w:color w:val="auto"/>
          <w:szCs w:val="21"/>
          <w:highlight w:val="none"/>
        </w:rPr>
      </w:pPr>
    </w:p>
    <w:p w14:paraId="26CB2131">
      <w:pPr>
        <w:spacing w:line="360" w:lineRule="auto"/>
        <w:rPr>
          <w:rFonts w:hint="eastAsia" w:ascii="黑体" w:hAnsi="黑体" w:eastAsia="黑体" w:cs="黑体"/>
          <w:color w:val="auto"/>
          <w:szCs w:val="21"/>
          <w:highlight w:val="none"/>
        </w:rPr>
      </w:pPr>
    </w:p>
    <w:p w14:paraId="721B9A26">
      <w:pPr>
        <w:pStyle w:val="29"/>
        <w:pageBreakBefore/>
        <w:numPr>
          <w:ilvl w:val="0"/>
          <w:numId w:val="84"/>
        </w:numPr>
        <w:tabs>
          <w:tab w:val="left" w:pos="284"/>
          <w:tab w:val="left" w:pos="567"/>
          <w:tab w:val="left" w:pos="709"/>
        </w:tabs>
        <w:ind w:left="1679" w:hanging="1537" w:firstLineChars="0"/>
        <w:jc w:val="left"/>
        <w:rPr>
          <w:rFonts w:hint="eastAsia" w:ascii="黑体" w:hAnsi="黑体" w:eastAsia="黑体" w:cs="黑体"/>
          <w:b/>
          <w:bCs/>
          <w:color w:val="auto"/>
          <w:highlight w:val="none"/>
        </w:rPr>
      </w:pPr>
      <w:r>
        <w:rPr>
          <w:rFonts w:hint="eastAsia" w:ascii="黑体" w:hAnsi="黑体" w:eastAsia="黑体" w:cs="黑体"/>
          <w:b/>
          <w:bCs/>
          <w:color w:val="auto"/>
          <w:highlight w:val="none"/>
        </w:rPr>
        <w:t>技术要求偏离表</w:t>
      </w:r>
    </w:p>
    <w:p w14:paraId="27F5A342">
      <w:pPr>
        <w:spacing w:before="312" w:beforeLines="100" w:after="468" w:afterLines="150" w:line="360" w:lineRule="auto"/>
        <w:jc w:val="center"/>
        <w:rPr>
          <w:rFonts w:hint="eastAsia" w:ascii="黑体" w:hAnsi="黑体" w:eastAsia="黑体" w:cs="黑体"/>
          <w:b/>
          <w:color w:val="auto"/>
          <w:spacing w:val="20"/>
          <w:sz w:val="30"/>
          <w:szCs w:val="30"/>
          <w:highlight w:val="none"/>
        </w:rPr>
      </w:pPr>
      <w:r>
        <w:rPr>
          <w:rFonts w:hint="eastAsia" w:ascii="黑体" w:hAnsi="黑体" w:eastAsia="黑体" w:cs="黑体"/>
          <w:b/>
          <w:color w:val="auto"/>
          <w:spacing w:val="20"/>
          <w:sz w:val="30"/>
          <w:szCs w:val="30"/>
          <w:highlight w:val="none"/>
        </w:rPr>
        <w:t>技术要求偏离表</w:t>
      </w:r>
    </w:p>
    <w:tbl>
      <w:tblPr>
        <w:tblStyle w:val="19"/>
        <w:tblW w:w="86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
        <w:gridCol w:w="2352"/>
        <w:gridCol w:w="2126"/>
        <w:gridCol w:w="1644"/>
        <w:gridCol w:w="1575"/>
      </w:tblGrid>
      <w:tr w14:paraId="6C094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920" w:type="dxa"/>
            <w:vAlign w:val="center"/>
          </w:tcPr>
          <w:p w14:paraId="190C4781">
            <w:pPr>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序号</w:t>
            </w:r>
          </w:p>
        </w:tc>
        <w:tc>
          <w:tcPr>
            <w:tcW w:w="2352" w:type="dxa"/>
            <w:vAlign w:val="center"/>
          </w:tcPr>
          <w:p w14:paraId="071FE8D9">
            <w:pPr>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招标文件要求</w:t>
            </w:r>
          </w:p>
        </w:tc>
        <w:tc>
          <w:tcPr>
            <w:tcW w:w="2126" w:type="dxa"/>
            <w:vAlign w:val="center"/>
          </w:tcPr>
          <w:p w14:paraId="6E347D29">
            <w:pPr>
              <w:jc w:val="center"/>
              <w:rPr>
                <w:rFonts w:hint="eastAsia" w:ascii="黑体" w:hAnsi="黑体" w:eastAsia="黑体" w:cs="黑体"/>
                <w:b/>
                <w:color w:val="auto"/>
                <w:szCs w:val="21"/>
                <w:highlight w:val="none"/>
              </w:rPr>
            </w:pPr>
            <w:r>
              <w:rPr>
                <w:rFonts w:hint="eastAsia" w:ascii="黑体" w:hAnsi="黑体" w:eastAsia="黑体" w:cs="黑体"/>
                <w:b/>
                <w:bCs/>
                <w:color w:val="auto"/>
                <w:szCs w:val="21"/>
                <w:highlight w:val="none"/>
              </w:rPr>
              <w:t>投标文件响应内容</w:t>
            </w:r>
          </w:p>
        </w:tc>
        <w:tc>
          <w:tcPr>
            <w:tcW w:w="1644" w:type="dxa"/>
            <w:vAlign w:val="center"/>
          </w:tcPr>
          <w:p w14:paraId="6EB26DCD">
            <w:pPr>
              <w:ind w:left="293" w:hanging="293" w:hangingChars="139"/>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偏离情况</w:t>
            </w:r>
          </w:p>
        </w:tc>
        <w:tc>
          <w:tcPr>
            <w:tcW w:w="1575" w:type="dxa"/>
            <w:vAlign w:val="center"/>
          </w:tcPr>
          <w:p w14:paraId="4E2B3E7E">
            <w:pPr>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说明</w:t>
            </w:r>
          </w:p>
        </w:tc>
      </w:tr>
      <w:tr w14:paraId="25DBC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920" w:type="dxa"/>
            <w:vAlign w:val="center"/>
          </w:tcPr>
          <w:p w14:paraId="3BD06291">
            <w:pPr>
              <w:spacing w:line="360" w:lineRule="auto"/>
              <w:jc w:val="center"/>
              <w:rPr>
                <w:rFonts w:hint="eastAsia" w:ascii="黑体" w:hAnsi="黑体" w:eastAsia="黑体" w:cs="黑体"/>
                <w:color w:val="auto"/>
                <w:szCs w:val="21"/>
                <w:highlight w:val="none"/>
              </w:rPr>
            </w:pPr>
          </w:p>
        </w:tc>
        <w:tc>
          <w:tcPr>
            <w:tcW w:w="2352" w:type="dxa"/>
            <w:vAlign w:val="center"/>
          </w:tcPr>
          <w:p w14:paraId="4462321D">
            <w:pPr>
              <w:spacing w:line="360" w:lineRule="auto"/>
              <w:jc w:val="center"/>
              <w:rPr>
                <w:rFonts w:hint="eastAsia" w:ascii="黑体" w:hAnsi="黑体" w:eastAsia="黑体" w:cs="黑体"/>
                <w:color w:val="auto"/>
                <w:szCs w:val="21"/>
                <w:highlight w:val="none"/>
              </w:rPr>
            </w:pPr>
          </w:p>
        </w:tc>
        <w:tc>
          <w:tcPr>
            <w:tcW w:w="2126" w:type="dxa"/>
            <w:vAlign w:val="center"/>
          </w:tcPr>
          <w:p w14:paraId="0629496C">
            <w:pPr>
              <w:spacing w:line="360" w:lineRule="auto"/>
              <w:jc w:val="center"/>
              <w:rPr>
                <w:rFonts w:hint="eastAsia" w:ascii="黑体" w:hAnsi="黑体" w:eastAsia="黑体" w:cs="黑体"/>
                <w:color w:val="auto"/>
                <w:szCs w:val="21"/>
                <w:highlight w:val="none"/>
              </w:rPr>
            </w:pPr>
          </w:p>
        </w:tc>
        <w:tc>
          <w:tcPr>
            <w:tcW w:w="1644" w:type="dxa"/>
            <w:vAlign w:val="center"/>
          </w:tcPr>
          <w:p w14:paraId="78F26143">
            <w:pPr>
              <w:spacing w:line="360" w:lineRule="auto"/>
              <w:jc w:val="center"/>
              <w:rPr>
                <w:rFonts w:hint="eastAsia" w:ascii="黑体" w:hAnsi="黑体" w:eastAsia="黑体" w:cs="黑体"/>
                <w:color w:val="auto"/>
                <w:szCs w:val="21"/>
                <w:highlight w:val="none"/>
              </w:rPr>
            </w:pPr>
          </w:p>
        </w:tc>
        <w:tc>
          <w:tcPr>
            <w:tcW w:w="1575" w:type="dxa"/>
            <w:vAlign w:val="center"/>
          </w:tcPr>
          <w:p w14:paraId="058A4DEA">
            <w:pPr>
              <w:spacing w:line="360" w:lineRule="auto"/>
              <w:jc w:val="center"/>
              <w:rPr>
                <w:rFonts w:hint="eastAsia" w:ascii="黑体" w:hAnsi="黑体" w:eastAsia="黑体" w:cs="黑体"/>
                <w:color w:val="auto"/>
                <w:szCs w:val="21"/>
                <w:highlight w:val="none"/>
              </w:rPr>
            </w:pPr>
          </w:p>
        </w:tc>
      </w:tr>
      <w:tr w14:paraId="725CA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920" w:type="dxa"/>
            <w:vAlign w:val="center"/>
          </w:tcPr>
          <w:p w14:paraId="7B4E80B7">
            <w:pPr>
              <w:spacing w:line="360" w:lineRule="auto"/>
              <w:jc w:val="center"/>
              <w:rPr>
                <w:rFonts w:hint="eastAsia" w:ascii="黑体" w:hAnsi="黑体" w:eastAsia="黑体" w:cs="黑体"/>
                <w:color w:val="auto"/>
                <w:szCs w:val="21"/>
                <w:highlight w:val="none"/>
              </w:rPr>
            </w:pPr>
          </w:p>
        </w:tc>
        <w:tc>
          <w:tcPr>
            <w:tcW w:w="2352" w:type="dxa"/>
            <w:vAlign w:val="center"/>
          </w:tcPr>
          <w:p w14:paraId="0DACDA8E">
            <w:pPr>
              <w:spacing w:line="360" w:lineRule="auto"/>
              <w:jc w:val="center"/>
              <w:rPr>
                <w:rFonts w:hint="eastAsia" w:ascii="黑体" w:hAnsi="黑体" w:eastAsia="黑体" w:cs="黑体"/>
                <w:color w:val="auto"/>
                <w:szCs w:val="21"/>
                <w:highlight w:val="none"/>
              </w:rPr>
            </w:pPr>
          </w:p>
        </w:tc>
        <w:tc>
          <w:tcPr>
            <w:tcW w:w="2126" w:type="dxa"/>
            <w:vAlign w:val="center"/>
          </w:tcPr>
          <w:p w14:paraId="3B49269E">
            <w:pPr>
              <w:spacing w:line="360" w:lineRule="auto"/>
              <w:jc w:val="center"/>
              <w:rPr>
                <w:rFonts w:hint="eastAsia" w:ascii="黑体" w:hAnsi="黑体" w:eastAsia="黑体" w:cs="黑体"/>
                <w:color w:val="auto"/>
                <w:szCs w:val="21"/>
                <w:highlight w:val="none"/>
              </w:rPr>
            </w:pPr>
          </w:p>
        </w:tc>
        <w:tc>
          <w:tcPr>
            <w:tcW w:w="1644" w:type="dxa"/>
            <w:vAlign w:val="center"/>
          </w:tcPr>
          <w:p w14:paraId="005B5B9C">
            <w:pPr>
              <w:spacing w:line="360" w:lineRule="auto"/>
              <w:jc w:val="center"/>
              <w:rPr>
                <w:rFonts w:hint="eastAsia" w:ascii="黑体" w:hAnsi="黑体" w:eastAsia="黑体" w:cs="黑体"/>
                <w:color w:val="auto"/>
                <w:szCs w:val="21"/>
                <w:highlight w:val="none"/>
              </w:rPr>
            </w:pPr>
          </w:p>
        </w:tc>
        <w:tc>
          <w:tcPr>
            <w:tcW w:w="1575" w:type="dxa"/>
            <w:vAlign w:val="center"/>
          </w:tcPr>
          <w:p w14:paraId="4BD62BD7">
            <w:pPr>
              <w:spacing w:line="360" w:lineRule="auto"/>
              <w:jc w:val="center"/>
              <w:rPr>
                <w:rFonts w:hint="eastAsia" w:ascii="黑体" w:hAnsi="黑体" w:eastAsia="黑体" w:cs="黑体"/>
                <w:color w:val="auto"/>
                <w:szCs w:val="21"/>
                <w:highlight w:val="none"/>
              </w:rPr>
            </w:pPr>
          </w:p>
        </w:tc>
      </w:tr>
      <w:tr w14:paraId="26CA0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920" w:type="dxa"/>
            <w:vAlign w:val="center"/>
          </w:tcPr>
          <w:p w14:paraId="682B3D69">
            <w:pPr>
              <w:spacing w:line="360" w:lineRule="auto"/>
              <w:jc w:val="center"/>
              <w:rPr>
                <w:rFonts w:hint="eastAsia" w:ascii="黑体" w:hAnsi="黑体" w:eastAsia="黑体" w:cs="黑体"/>
                <w:color w:val="auto"/>
                <w:szCs w:val="21"/>
                <w:highlight w:val="none"/>
              </w:rPr>
            </w:pPr>
          </w:p>
        </w:tc>
        <w:tc>
          <w:tcPr>
            <w:tcW w:w="2352" w:type="dxa"/>
            <w:vAlign w:val="center"/>
          </w:tcPr>
          <w:p w14:paraId="5DDFDA1B">
            <w:pPr>
              <w:spacing w:line="360" w:lineRule="auto"/>
              <w:jc w:val="center"/>
              <w:rPr>
                <w:rFonts w:hint="eastAsia" w:ascii="黑体" w:hAnsi="黑体" w:eastAsia="黑体" w:cs="黑体"/>
                <w:color w:val="auto"/>
                <w:szCs w:val="21"/>
                <w:highlight w:val="none"/>
              </w:rPr>
            </w:pPr>
          </w:p>
        </w:tc>
        <w:tc>
          <w:tcPr>
            <w:tcW w:w="2126" w:type="dxa"/>
            <w:vAlign w:val="center"/>
          </w:tcPr>
          <w:p w14:paraId="6FBF2C66">
            <w:pPr>
              <w:spacing w:line="360" w:lineRule="auto"/>
              <w:jc w:val="center"/>
              <w:rPr>
                <w:rFonts w:hint="eastAsia" w:ascii="黑体" w:hAnsi="黑体" w:eastAsia="黑体" w:cs="黑体"/>
                <w:color w:val="auto"/>
                <w:szCs w:val="21"/>
                <w:highlight w:val="none"/>
              </w:rPr>
            </w:pPr>
          </w:p>
        </w:tc>
        <w:tc>
          <w:tcPr>
            <w:tcW w:w="1644" w:type="dxa"/>
            <w:vAlign w:val="center"/>
          </w:tcPr>
          <w:p w14:paraId="14174928">
            <w:pPr>
              <w:spacing w:line="360" w:lineRule="auto"/>
              <w:jc w:val="center"/>
              <w:rPr>
                <w:rFonts w:hint="eastAsia" w:ascii="黑体" w:hAnsi="黑体" w:eastAsia="黑体" w:cs="黑体"/>
                <w:color w:val="auto"/>
                <w:szCs w:val="21"/>
                <w:highlight w:val="none"/>
              </w:rPr>
            </w:pPr>
          </w:p>
        </w:tc>
        <w:tc>
          <w:tcPr>
            <w:tcW w:w="1575" w:type="dxa"/>
            <w:vAlign w:val="center"/>
          </w:tcPr>
          <w:p w14:paraId="5C5E3FFF">
            <w:pPr>
              <w:spacing w:line="360" w:lineRule="auto"/>
              <w:jc w:val="center"/>
              <w:rPr>
                <w:rFonts w:hint="eastAsia" w:ascii="黑体" w:hAnsi="黑体" w:eastAsia="黑体" w:cs="黑体"/>
                <w:color w:val="auto"/>
                <w:szCs w:val="21"/>
                <w:highlight w:val="none"/>
              </w:rPr>
            </w:pPr>
          </w:p>
        </w:tc>
      </w:tr>
      <w:tr w14:paraId="02FD5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920" w:type="dxa"/>
            <w:vAlign w:val="center"/>
          </w:tcPr>
          <w:p w14:paraId="2FE9DA53">
            <w:pPr>
              <w:spacing w:line="360" w:lineRule="auto"/>
              <w:jc w:val="center"/>
              <w:rPr>
                <w:rFonts w:hint="eastAsia" w:ascii="黑体" w:hAnsi="黑体" w:eastAsia="黑体" w:cs="黑体"/>
                <w:color w:val="auto"/>
                <w:szCs w:val="21"/>
                <w:highlight w:val="none"/>
              </w:rPr>
            </w:pPr>
          </w:p>
        </w:tc>
        <w:tc>
          <w:tcPr>
            <w:tcW w:w="2352" w:type="dxa"/>
            <w:vAlign w:val="center"/>
          </w:tcPr>
          <w:p w14:paraId="396976F9">
            <w:pPr>
              <w:spacing w:line="360" w:lineRule="auto"/>
              <w:jc w:val="center"/>
              <w:rPr>
                <w:rFonts w:hint="eastAsia" w:ascii="黑体" w:hAnsi="黑体" w:eastAsia="黑体" w:cs="黑体"/>
                <w:color w:val="auto"/>
                <w:szCs w:val="21"/>
                <w:highlight w:val="none"/>
              </w:rPr>
            </w:pPr>
          </w:p>
        </w:tc>
        <w:tc>
          <w:tcPr>
            <w:tcW w:w="2126" w:type="dxa"/>
            <w:vAlign w:val="center"/>
          </w:tcPr>
          <w:p w14:paraId="1E05F99D">
            <w:pPr>
              <w:spacing w:line="360" w:lineRule="auto"/>
              <w:jc w:val="center"/>
              <w:rPr>
                <w:rFonts w:hint="eastAsia" w:ascii="黑体" w:hAnsi="黑体" w:eastAsia="黑体" w:cs="黑体"/>
                <w:color w:val="auto"/>
                <w:szCs w:val="21"/>
                <w:highlight w:val="none"/>
              </w:rPr>
            </w:pPr>
          </w:p>
        </w:tc>
        <w:tc>
          <w:tcPr>
            <w:tcW w:w="1644" w:type="dxa"/>
            <w:vAlign w:val="center"/>
          </w:tcPr>
          <w:p w14:paraId="6645B6A1">
            <w:pPr>
              <w:spacing w:line="360" w:lineRule="auto"/>
              <w:jc w:val="center"/>
              <w:rPr>
                <w:rFonts w:hint="eastAsia" w:ascii="黑体" w:hAnsi="黑体" w:eastAsia="黑体" w:cs="黑体"/>
                <w:color w:val="auto"/>
                <w:szCs w:val="21"/>
                <w:highlight w:val="none"/>
              </w:rPr>
            </w:pPr>
          </w:p>
        </w:tc>
        <w:tc>
          <w:tcPr>
            <w:tcW w:w="1575" w:type="dxa"/>
            <w:vAlign w:val="center"/>
          </w:tcPr>
          <w:p w14:paraId="1B7C19FA">
            <w:pPr>
              <w:spacing w:line="360" w:lineRule="auto"/>
              <w:jc w:val="center"/>
              <w:rPr>
                <w:rFonts w:hint="eastAsia" w:ascii="黑体" w:hAnsi="黑体" w:eastAsia="黑体" w:cs="黑体"/>
                <w:color w:val="auto"/>
                <w:szCs w:val="21"/>
                <w:highlight w:val="none"/>
              </w:rPr>
            </w:pPr>
          </w:p>
        </w:tc>
      </w:tr>
      <w:tr w14:paraId="6C7D2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920" w:type="dxa"/>
            <w:vAlign w:val="center"/>
          </w:tcPr>
          <w:p w14:paraId="4CF2C46C">
            <w:pPr>
              <w:spacing w:line="360" w:lineRule="auto"/>
              <w:jc w:val="center"/>
              <w:rPr>
                <w:rFonts w:hint="eastAsia" w:ascii="黑体" w:hAnsi="黑体" w:eastAsia="黑体" w:cs="黑体"/>
                <w:color w:val="auto"/>
                <w:szCs w:val="21"/>
                <w:highlight w:val="none"/>
              </w:rPr>
            </w:pPr>
          </w:p>
        </w:tc>
        <w:tc>
          <w:tcPr>
            <w:tcW w:w="2352" w:type="dxa"/>
            <w:vAlign w:val="center"/>
          </w:tcPr>
          <w:p w14:paraId="186639B5">
            <w:pPr>
              <w:spacing w:line="360" w:lineRule="auto"/>
              <w:jc w:val="center"/>
              <w:rPr>
                <w:rFonts w:hint="eastAsia" w:ascii="黑体" w:hAnsi="黑体" w:eastAsia="黑体" w:cs="黑体"/>
                <w:color w:val="auto"/>
                <w:szCs w:val="21"/>
                <w:highlight w:val="none"/>
              </w:rPr>
            </w:pPr>
          </w:p>
        </w:tc>
        <w:tc>
          <w:tcPr>
            <w:tcW w:w="2126" w:type="dxa"/>
            <w:vAlign w:val="center"/>
          </w:tcPr>
          <w:p w14:paraId="24C09066">
            <w:pPr>
              <w:spacing w:line="360" w:lineRule="auto"/>
              <w:jc w:val="center"/>
              <w:rPr>
                <w:rFonts w:hint="eastAsia" w:ascii="黑体" w:hAnsi="黑体" w:eastAsia="黑体" w:cs="黑体"/>
                <w:color w:val="auto"/>
                <w:szCs w:val="21"/>
                <w:highlight w:val="none"/>
              </w:rPr>
            </w:pPr>
          </w:p>
        </w:tc>
        <w:tc>
          <w:tcPr>
            <w:tcW w:w="1644" w:type="dxa"/>
            <w:vAlign w:val="center"/>
          </w:tcPr>
          <w:p w14:paraId="0A706303">
            <w:pPr>
              <w:spacing w:line="360" w:lineRule="auto"/>
              <w:jc w:val="center"/>
              <w:rPr>
                <w:rFonts w:hint="eastAsia" w:ascii="黑体" w:hAnsi="黑体" w:eastAsia="黑体" w:cs="黑体"/>
                <w:color w:val="auto"/>
                <w:szCs w:val="21"/>
                <w:highlight w:val="none"/>
              </w:rPr>
            </w:pPr>
          </w:p>
        </w:tc>
        <w:tc>
          <w:tcPr>
            <w:tcW w:w="1575" w:type="dxa"/>
            <w:vAlign w:val="center"/>
          </w:tcPr>
          <w:p w14:paraId="14932849">
            <w:pPr>
              <w:spacing w:line="360" w:lineRule="auto"/>
              <w:jc w:val="center"/>
              <w:rPr>
                <w:rFonts w:hint="eastAsia" w:ascii="黑体" w:hAnsi="黑体" w:eastAsia="黑体" w:cs="黑体"/>
                <w:color w:val="auto"/>
                <w:szCs w:val="21"/>
                <w:highlight w:val="none"/>
              </w:rPr>
            </w:pPr>
          </w:p>
        </w:tc>
      </w:tr>
    </w:tbl>
    <w:p w14:paraId="17AEF717">
      <w:pPr>
        <w:spacing w:before="156" w:beforeLines="50"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注明：</w:t>
      </w:r>
    </w:p>
    <w:p w14:paraId="2E49E46E">
      <w:pPr>
        <w:pStyle w:val="29"/>
        <w:numPr>
          <w:ilvl w:val="0"/>
          <w:numId w:val="93"/>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偏离情况项填写“正”、“负”或“无”，说明项中填写原因。</w:t>
      </w:r>
    </w:p>
    <w:p w14:paraId="63CD16D7">
      <w:pPr>
        <w:pStyle w:val="29"/>
        <w:numPr>
          <w:ilvl w:val="0"/>
          <w:numId w:val="93"/>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投标人应按照招标文件要求，根据“采购需求”内容作出全面响应。对响应有偏离的，则说明偏离的内容。“采购需求”内容中若有要求提供相关证明资料的，须按要求提供，否则视为负偏离。</w:t>
      </w:r>
    </w:p>
    <w:p w14:paraId="4DF22FDD">
      <w:pPr>
        <w:spacing w:line="360" w:lineRule="auto"/>
        <w:rPr>
          <w:rFonts w:hint="eastAsia" w:ascii="黑体" w:hAnsi="黑体" w:eastAsia="黑体" w:cs="黑体"/>
          <w:color w:val="auto"/>
          <w:szCs w:val="21"/>
          <w:highlight w:val="none"/>
        </w:rPr>
      </w:pPr>
    </w:p>
    <w:p w14:paraId="5F23117E">
      <w:pPr>
        <w:spacing w:line="360" w:lineRule="auto"/>
        <w:rPr>
          <w:rFonts w:hint="eastAsia" w:ascii="黑体" w:hAnsi="黑体" w:eastAsia="黑体" w:cs="黑体"/>
          <w:color w:val="auto"/>
          <w:szCs w:val="21"/>
          <w:highlight w:val="none"/>
        </w:rPr>
      </w:pPr>
    </w:p>
    <w:p w14:paraId="5F62F14D">
      <w:pPr>
        <w:spacing w:line="360" w:lineRule="auto"/>
        <w:rPr>
          <w:rFonts w:hint="eastAsia" w:ascii="黑体" w:hAnsi="黑体" w:eastAsia="黑体" w:cs="黑体"/>
          <w:color w:val="auto"/>
          <w:szCs w:val="21"/>
          <w:highlight w:val="none"/>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0CD1C6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71D011B4">
            <w:pPr>
              <w:overflowPunct w:val="0"/>
              <w:adjustRightIn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投标人名称（加盖公章）：</w:t>
            </w:r>
            <w:r>
              <w:rPr>
                <w:rFonts w:hint="eastAsia" w:ascii="黑体" w:hAnsi="黑体" w:eastAsia="黑体" w:cs="黑体"/>
                <w:color w:val="auto"/>
                <w:szCs w:val="21"/>
                <w:highlight w:val="none"/>
                <w:u w:val="single"/>
              </w:rPr>
              <w:t xml:space="preserve">                         </w:t>
            </w:r>
          </w:p>
        </w:tc>
        <w:tc>
          <w:tcPr>
            <w:tcW w:w="3175" w:type="dxa"/>
          </w:tcPr>
          <w:p w14:paraId="56441476">
            <w:pPr>
              <w:spacing w:line="360" w:lineRule="auto"/>
              <w:rPr>
                <w:rFonts w:hint="eastAsia" w:ascii="黑体" w:hAnsi="黑体" w:eastAsia="黑体" w:cs="黑体"/>
                <w:color w:val="auto"/>
                <w:szCs w:val="21"/>
                <w:highlight w:val="none"/>
              </w:rPr>
            </w:pPr>
          </w:p>
        </w:tc>
      </w:tr>
      <w:tr w14:paraId="17BFB1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66AFD88C">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日期：</w:t>
            </w:r>
            <w:r>
              <w:rPr>
                <w:rFonts w:hint="eastAsia" w:ascii="黑体" w:hAnsi="黑体" w:eastAsia="黑体" w:cs="黑体"/>
                <w:color w:val="auto"/>
                <w:szCs w:val="21"/>
                <w:highlight w:val="none"/>
                <w:u w:val="single"/>
              </w:rPr>
              <w:t xml:space="preserve">             年           月            日</w:t>
            </w:r>
          </w:p>
        </w:tc>
        <w:tc>
          <w:tcPr>
            <w:tcW w:w="3175" w:type="dxa"/>
          </w:tcPr>
          <w:p w14:paraId="03135565">
            <w:pPr>
              <w:spacing w:line="360" w:lineRule="auto"/>
              <w:rPr>
                <w:rFonts w:hint="eastAsia" w:ascii="黑体" w:hAnsi="黑体" w:eastAsia="黑体" w:cs="黑体"/>
                <w:color w:val="auto"/>
                <w:szCs w:val="21"/>
                <w:highlight w:val="none"/>
              </w:rPr>
            </w:pPr>
          </w:p>
        </w:tc>
      </w:tr>
    </w:tbl>
    <w:p w14:paraId="3010E7BD">
      <w:pPr>
        <w:spacing w:line="360" w:lineRule="auto"/>
        <w:rPr>
          <w:rFonts w:hint="eastAsia" w:ascii="黑体" w:hAnsi="黑体" w:eastAsia="黑体" w:cs="黑体"/>
          <w:color w:val="auto"/>
          <w:szCs w:val="21"/>
          <w:highlight w:val="none"/>
        </w:rPr>
      </w:pPr>
    </w:p>
    <w:p w14:paraId="407233B4">
      <w:pPr>
        <w:pStyle w:val="29"/>
        <w:pageBreakBefore/>
        <w:numPr>
          <w:ilvl w:val="0"/>
          <w:numId w:val="84"/>
        </w:numPr>
        <w:tabs>
          <w:tab w:val="left" w:pos="284"/>
          <w:tab w:val="left" w:pos="567"/>
          <w:tab w:val="left" w:pos="709"/>
        </w:tabs>
        <w:ind w:left="1679" w:hanging="1537" w:firstLineChars="0"/>
        <w:jc w:val="left"/>
        <w:rPr>
          <w:rFonts w:hint="eastAsia" w:ascii="黑体" w:hAnsi="黑体" w:eastAsia="黑体" w:cs="黑体"/>
          <w:b/>
          <w:bCs/>
          <w:color w:val="auto"/>
          <w:highlight w:val="none"/>
        </w:rPr>
      </w:pPr>
      <w:bookmarkStart w:id="104" w:name="_Toc82388833"/>
      <w:r>
        <w:rPr>
          <w:rFonts w:hint="eastAsia" w:ascii="黑体" w:hAnsi="黑体" w:eastAsia="黑体" w:cs="黑体"/>
          <w:b/>
          <w:bCs/>
          <w:color w:val="auto"/>
          <w:highlight w:val="none"/>
        </w:rPr>
        <w:t>★号条款要求响应一览表（可选）</w:t>
      </w:r>
      <w:bookmarkEnd w:id="104"/>
    </w:p>
    <w:p w14:paraId="78364A91">
      <w:pPr>
        <w:spacing w:before="312" w:beforeLines="100" w:after="312" w:afterLines="100"/>
        <w:jc w:val="center"/>
        <w:rPr>
          <w:rFonts w:hint="eastAsia" w:ascii="黑体" w:hAnsi="黑体" w:eastAsia="黑体" w:cs="黑体"/>
          <w:b/>
          <w:color w:val="auto"/>
          <w:spacing w:val="20"/>
          <w:sz w:val="30"/>
          <w:szCs w:val="30"/>
          <w:highlight w:val="none"/>
        </w:rPr>
      </w:pPr>
      <w:bookmarkStart w:id="105" w:name="_Hlk82385743"/>
      <w:r>
        <w:rPr>
          <w:rFonts w:hint="eastAsia" w:ascii="黑体" w:hAnsi="黑体" w:eastAsia="黑体" w:cs="黑体"/>
          <w:b/>
          <w:color w:val="auto"/>
          <w:spacing w:val="20"/>
          <w:sz w:val="30"/>
          <w:szCs w:val="30"/>
          <w:highlight w:val="none"/>
        </w:rPr>
        <w:t>★号条款</w:t>
      </w:r>
      <w:bookmarkEnd w:id="105"/>
      <w:r>
        <w:rPr>
          <w:rFonts w:hint="eastAsia" w:ascii="黑体" w:hAnsi="黑体" w:eastAsia="黑体" w:cs="黑体"/>
          <w:b/>
          <w:color w:val="auto"/>
          <w:spacing w:val="20"/>
          <w:sz w:val="30"/>
          <w:szCs w:val="30"/>
          <w:highlight w:val="none"/>
        </w:rPr>
        <w:t>响应一览表</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6"/>
        <w:gridCol w:w="3190"/>
        <w:gridCol w:w="1843"/>
        <w:gridCol w:w="1843"/>
        <w:gridCol w:w="1190"/>
      </w:tblGrid>
      <w:tr w14:paraId="0D57D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0" w:type="auto"/>
            <w:shd w:val="clear" w:color="auto" w:fill="auto"/>
            <w:vAlign w:val="center"/>
          </w:tcPr>
          <w:p w14:paraId="55D79622">
            <w:pPr>
              <w:spacing w:line="360" w:lineRule="auto"/>
              <w:jc w:val="center"/>
              <w:rPr>
                <w:rFonts w:hint="eastAsia" w:ascii="黑体" w:hAnsi="黑体" w:eastAsia="黑体" w:cs="黑体"/>
                <w:color w:val="auto"/>
                <w:highlight w:val="none"/>
              </w:rPr>
            </w:pPr>
            <w:r>
              <w:rPr>
                <w:rFonts w:hint="eastAsia" w:ascii="黑体" w:hAnsi="黑体" w:eastAsia="黑体" w:cs="黑体"/>
                <w:color w:val="auto"/>
                <w:highlight w:val="none"/>
              </w:rPr>
              <w:t>序号</w:t>
            </w:r>
          </w:p>
        </w:tc>
        <w:tc>
          <w:tcPr>
            <w:tcW w:w="3190" w:type="dxa"/>
            <w:shd w:val="clear" w:color="auto" w:fill="auto"/>
            <w:vAlign w:val="center"/>
          </w:tcPr>
          <w:p w14:paraId="4AA78120">
            <w:pPr>
              <w:spacing w:line="360" w:lineRule="auto"/>
              <w:jc w:val="center"/>
              <w:rPr>
                <w:rFonts w:hint="eastAsia" w:ascii="黑体" w:hAnsi="黑体" w:eastAsia="黑体" w:cs="黑体"/>
                <w:color w:val="auto"/>
                <w:highlight w:val="none"/>
              </w:rPr>
            </w:pPr>
            <w:r>
              <w:rPr>
                <w:rFonts w:hint="eastAsia" w:ascii="黑体" w:hAnsi="黑体" w:eastAsia="黑体" w:cs="黑体"/>
                <w:color w:val="auto"/>
                <w:highlight w:val="none"/>
              </w:rPr>
              <w:t>采购需求★号条款要求</w:t>
            </w:r>
          </w:p>
        </w:tc>
        <w:tc>
          <w:tcPr>
            <w:tcW w:w="1843" w:type="dxa"/>
            <w:shd w:val="clear" w:color="auto" w:fill="auto"/>
            <w:vAlign w:val="center"/>
          </w:tcPr>
          <w:p w14:paraId="17117C3F">
            <w:pPr>
              <w:spacing w:line="360" w:lineRule="auto"/>
              <w:jc w:val="center"/>
              <w:rPr>
                <w:rFonts w:hint="eastAsia" w:ascii="黑体" w:hAnsi="黑体" w:eastAsia="黑体" w:cs="黑体"/>
                <w:color w:val="auto"/>
                <w:highlight w:val="none"/>
              </w:rPr>
            </w:pPr>
            <w:r>
              <w:rPr>
                <w:rFonts w:hint="eastAsia" w:ascii="黑体" w:hAnsi="黑体" w:eastAsia="黑体" w:cs="黑体"/>
                <w:color w:val="auto"/>
                <w:highlight w:val="none"/>
              </w:rPr>
              <w:t>投标人响应内容</w:t>
            </w:r>
          </w:p>
        </w:tc>
        <w:tc>
          <w:tcPr>
            <w:tcW w:w="1843" w:type="dxa"/>
            <w:shd w:val="clear" w:color="auto" w:fill="auto"/>
            <w:vAlign w:val="center"/>
          </w:tcPr>
          <w:p w14:paraId="14D84BA4">
            <w:pPr>
              <w:spacing w:line="360" w:lineRule="auto"/>
              <w:jc w:val="center"/>
              <w:rPr>
                <w:rFonts w:hint="eastAsia" w:ascii="黑体" w:hAnsi="黑体" w:eastAsia="黑体" w:cs="黑体"/>
                <w:color w:val="auto"/>
                <w:highlight w:val="none"/>
              </w:rPr>
            </w:pPr>
            <w:r>
              <w:rPr>
                <w:rFonts w:hint="eastAsia" w:ascii="黑体" w:hAnsi="黑体" w:eastAsia="黑体" w:cs="黑体"/>
                <w:color w:val="auto"/>
                <w:highlight w:val="none"/>
              </w:rPr>
              <w:t>偏离情况及说明</w:t>
            </w:r>
          </w:p>
          <w:p w14:paraId="48DA8262">
            <w:pPr>
              <w:spacing w:line="360" w:lineRule="auto"/>
              <w:jc w:val="center"/>
              <w:rPr>
                <w:rFonts w:hint="eastAsia" w:ascii="黑体" w:hAnsi="黑体" w:eastAsia="黑体" w:cs="黑体"/>
                <w:color w:val="auto"/>
                <w:highlight w:val="none"/>
              </w:rPr>
            </w:pPr>
            <w:r>
              <w:rPr>
                <w:rFonts w:hint="eastAsia" w:ascii="黑体" w:hAnsi="黑体" w:eastAsia="黑体" w:cs="黑体"/>
                <w:color w:val="auto"/>
                <w:highlight w:val="none"/>
              </w:rPr>
              <w:t>(正偏离/无偏离/负偏离)</w:t>
            </w:r>
          </w:p>
        </w:tc>
        <w:tc>
          <w:tcPr>
            <w:tcW w:w="1190" w:type="dxa"/>
            <w:shd w:val="clear" w:color="auto" w:fill="auto"/>
            <w:vAlign w:val="center"/>
          </w:tcPr>
          <w:p w14:paraId="01C8BF19">
            <w:pPr>
              <w:spacing w:line="360" w:lineRule="auto"/>
              <w:jc w:val="center"/>
              <w:rPr>
                <w:rFonts w:hint="eastAsia" w:ascii="黑体" w:hAnsi="黑体" w:eastAsia="黑体" w:cs="黑体"/>
                <w:color w:val="auto"/>
                <w:highlight w:val="none"/>
              </w:rPr>
            </w:pPr>
            <w:r>
              <w:rPr>
                <w:rFonts w:hint="eastAsia" w:ascii="黑体" w:hAnsi="黑体" w:eastAsia="黑体" w:cs="黑体"/>
                <w:color w:val="auto"/>
                <w:highlight w:val="none"/>
              </w:rPr>
              <w:t>查阅/证明文件索引页码</w:t>
            </w:r>
          </w:p>
        </w:tc>
      </w:tr>
      <w:tr w14:paraId="67C8C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0" w:type="auto"/>
            <w:shd w:val="clear" w:color="auto" w:fill="auto"/>
            <w:vAlign w:val="center"/>
          </w:tcPr>
          <w:p w14:paraId="7F1B6FF0">
            <w:pPr>
              <w:spacing w:line="360" w:lineRule="auto"/>
              <w:jc w:val="center"/>
              <w:rPr>
                <w:rFonts w:hint="eastAsia" w:ascii="黑体" w:hAnsi="黑体" w:eastAsia="黑体" w:cs="黑体"/>
                <w:color w:val="auto"/>
                <w:highlight w:val="none"/>
              </w:rPr>
            </w:pPr>
            <w:r>
              <w:rPr>
                <w:rFonts w:hint="eastAsia" w:ascii="黑体" w:hAnsi="黑体" w:eastAsia="黑体" w:cs="黑体"/>
                <w:color w:val="auto"/>
                <w:highlight w:val="none"/>
              </w:rPr>
              <w:t>1</w:t>
            </w:r>
          </w:p>
        </w:tc>
        <w:tc>
          <w:tcPr>
            <w:tcW w:w="3190" w:type="dxa"/>
            <w:shd w:val="clear" w:color="auto" w:fill="auto"/>
          </w:tcPr>
          <w:p w14:paraId="5AA2400A">
            <w:pPr>
              <w:spacing w:line="360" w:lineRule="auto"/>
              <w:rPr>
                <w:rFonts w:hint="eastAsia" w:ascii="黑体" w:hAnsi="黑体" w:eastAsia="黑体" w:cs="黑体"/>
                <w:color w:val="auto"/>
                <w:highlight w:val="none"/>
              </w:rPr>
            </w:pPr>
          </w:p>
        </w:tc>
        <w:tc>
          <w:tcPr>
            <w:tcW w:w="1843" w:type="dxa"/>
            <w:shd w:val="clear" w:color="auto" w:fill="auto"/>
          </w:tcPr>
          <w:p w14:paraId="1D7FA5EA">
            <w:pPr>
              <w:spacing w:line="360" w:lineRule="auto"/>
              <w:rPr>
                <w:rFonts w:hint="eastAsia" w:ascii="黑体" w:hAnsi="黑体" w:eastAsia="黑体" w:cs="黑体"/>
                <w:color w:val="auto"/>
                <w:highlight w:val="none"/>
              </w:rPr>
            </w:pPr>
          </w:p>
        </w:tc>
        <w:tc>
          <w:tcPr>
            <w:tcW w:w="1843" w:type="dxa"/>
            <w:shd w:val="clear" w:color="auto" w:fill="auto"/>
          </w:tcPr>
          <w:p w14:paraId="450CB329">
            <w:pPr>
              <w:spacing w:line="360" w:lineRule="auto"/>
              <w:rPr>
                <w:rFonts w:hint="eastAsia" w:ascii="黑体" w:hAnsi="黑体" w:eastAsia="黑体" w:cs="黑体"/>
                <w:color w:val="auto"/>
                <w:highlight w:val="none"/>
              </w:rPr>
            </w:pPr>
          </w:p>
        </w:tc>
        <w:tc>
          <w:tcPr>
            <w:tcW w:w="1190" w:type="dxa"/>
            <w:shd w:val="clear" w:color="auto" w:fill="auto"/>
          </w:tcPr>
          <w:p w14:paraId="13420BBB">
            <w:pPr>
              <w:spacing w:line="360" w:lineRule="auto"/>
              <w:rPr>
                <w:rFonts w:hint="eastAsia" w:ascii="黑体" w:hAnsi="黑体" w:eastAsia="黑体" w:cs="黑体"/>
                <w:color w:val="auto"/>
                <w:highlight w:val="none"/>
              </w:rPr>
            </w:pPr>
          </w:p>
        </w:tc>
      </w:tr>
      <w:tr w14:paraId="3D05B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0" w:type="auto"/>
            <w:shd w:val="clear" w:color="auto" w:fill="auto"/>
            <w:vAlign w:val="center"/>
          </w:tcPr>
          <w:p w14:paraId="1C2BF0BD">
            <w:pPr>
              <w:spacing w:line="360" w:lineRule="auto"/>
              <w:jc w:val="center"/>
              <w:rPr>
                <w:rFonts w:hint="eastAsia" w:ascii="黑体" w:hAnsi="黑体" w:eastAsia="黑体" w:cs="黑体"/>
                <w:color w:val="auto"/>
                <w:highlight w:val="none"/>
              </w:rPr>
            </w:pPr>
            <w:r>
              <w:rPr>
                <w:rFonts w:hint="eastAsia" w:ascii="黑体" w:hAnsi="黑体" w:eastAsia="黑体" w:cs="黑体"/>
                <w:color w:val="auto"/>
                <w:highlight w:val="none"/>
              </w:rPr>
              <w:t>2</w:t>
            </w:r>
          </w:p>
        </w:tc>
        <w:tc>
          <w:tcPr>
            <w:tcW w:w="3190" w:type="dxa"/>
            <w:shd w:val="clear" w:color="auto" w:fill="auto"/>
          </w:tcPr>
          <w:p w14:paraId="5CBF487E">
            <w:pPr>
              <w:spacing w:line="360" w:lineRule="auto"/>
              <w:rPr>
                <w:rFonts w:hint="eastAsia" w:ascii="黑体" w:hAnsi="黑体" w:eastAsia="黑体" w:cs="黑体"/>
                <w:color w:val="auto"/>
                <w:highlight w:val="none"/>
              </w:rPr>
            </w:pPr>
          </w:p>
        </w:tc>
        <w:tc>
          <w:tcPr>
            <w:tcW w:w="1843" w:type="dxa"/>
            <w:shd w:val="clear" w:color="auto" w:fill="auto"/>
          </w:tcPr>
          <w:p w14:paraId="314CEEB4">
            <w:pPr>
              <w:spacing w:line="360" w:lineRule="auto"/>
              <w:rPr>
                <w:rFonts w:hint="eastAsia" w:ascii="黑体" w:hAnsi="黑体" w:eastAsia="黑体" w:cs="黑体"/>
                <w:color w:val="auto"/>
                <w:highlight w:val="none"/>
              </w:rPr>
            </w:pPr>
          </w:p>
        </w:tc>
        <w:tc>
          <w:tcPr>
            <w:tcW w:w="1843" w:type="dxa"/>
            <w:shd w:val="clear" w:color="auto" w:fill="auto"/>
          </w:tcPr>
          <w:p w14:paraId="6F6E3C90">
            <w:pPr>
              <w:spacing w:line="360" w:lineRule="auto"/>
              <w:rPr>
                <w:rFonts w:hint="eastAsia" w:ascii="黑体" w:hAnsi="黑体" w:eastAsia="黑体" w:cs="黑体"/>
                <w:color w:val="auto"/>
                <w:highlight w:val="none"/>
              </w:rPr>
            </w:pPr>
          </w:p>
        </w:tc>
        <w:tc>
          <w:tcPr>
            <w:tcW w:w="1190" w:type="dxa"/>
            <w:shd w:val="clear" w:color="auto" w:fill="auto"/>
          </w:tcPr>
          <w:p w14:paraId="731663F5">
            <w:pPr>
              <w:spacing w:line="360" w:lineRule="auto"/>
              <w:rPr>
                <w:rFonts w:hint="eastAsia" w:ascii="黑体" w:hAnsi="黑体" w:eastAsia="黑体" w:cs="黑体"/>
                <w:color w:val="auto"/>
                <w:highlight w:val="none"/>
              </w:rPr>
            </w:pPr>
          </w:p>
        </w:tc>
      </w:tr>
      <w:tr w14:paraId="58E0A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0" w:type="auto"/>
            <w:shd w:val="clear" w:color="auto" w:fill="auto"/>
            <w:vAlign w:val="center"/>
          </w:tcPr>
          <w:p w14:paraId="1ECDAF6F">
            <w:pPr>
              <w:spacing w:line="360" w:lineRule="auto"/>
              <w:jc w:val="center"/>
              <w:rPr>
                <w:rFonts w:hint="eastAsia" w:ascii="黑体" w:hAnsi="黑体" w:eastAsia="黑体" w:cs="黑体"/>
                <w:color w:val="auto"/>
                <w:highlight w:val="none"/>
              </w:rPr>
            </w:pPr>
            <w:r>
              <w:rPr>
                <w:rFonts w:hint="eastAsia" w:ascii="黑体" w:hAnsi="黑体" w:eastAsia="黑体" w:cs="黑体"/>
                <w:color w:val="auto"/>
                <w:highlight w:val="none"/>
              </w:rPr>
              <w:t>3</w:t>
            </w:r>
          </w:p>
        </w:tc>
        <w:tc>
          <w:tcPr>
            <w:tcW w:w="3190" w:type="dxa"/>
            <w:shd w:val="clear" w:color="auto" w:fill="auto"/>
          </w:tcPr>
          <w:p w14:paraId="53CFF144">
            <w:pPr>
              <w:spacing w:line="360" w:lineRule="auto"/>
              <w:rPr>
                <w:rFonts w:hint="eastAsia" w:ascii="黑体" w:hAnsi="黑体" w:eastAsia="黑体" w:cs="黑体"/>
                <w:color w:val="auto"/>
                <w:highlight w:val="none"/>
              </w:rPr>
            </w:pPr>
          </w:p>
        </w:tc>
        <w:tc>
          <w:tcPr>
            <w:tcW w:w="1843" w:type="dxa"/>
            <w:shd w:val="clear" w:color="auto" w:fill="auto"/>
          </w:tcPr>
          <w:p w14:paraId="6B67A387">
            <w:pPr>
              <w:spacing w:line="360" w:lineRule="auto"/>
              <w:rPr>
                <w:rFonts w:hint="eastAsia" w:ascii="黑体" w:hAnsi="黑体" w:eastAsia="黑体" w:cs="黑体"/>
                <w:color w:val="auto"/>
                <w:highlight w:val="none"/>
              </w:rPr>
            </w:pPr>
          </w:p>
        </w:tc>
        <w:tc>
          <w:tcPr>
            <w:tcW w:w="1843" w:type="dxa"/>
            <w:shd w:val="clear" w:color="auto" w:fill="auto"/>
          </w:tcPr>
          <w:p w14:paraId="01F96C7B">
            <w:pPr>
              <w:spacing w:line="360" w:lineRule="auto"/>
              <w:rPr>
                <w:rFonts w:hint="eastAsia" w:ascii="黑体" w:hAnsi="黑体" w:eastAsia="黑体" w:cs="黑体"/>
                <w:color w:val="auto"/>
                <w:highlight w:val="none"/>
              </w:rPr>
            </w:pPr>
          </w:p>
        </w:tc>
        <w:tc>
          <w:tcPr>
            <w:tcW w:w="1190" w:type="dxa"/>
            <w:shd w:val="clear" w:color="auto" w:fill="auto"/>
          </w:tcPr>
          <w:p w14:paraId="58C356AA">
            <w:pPr>
              <w:spacing w:line="360" w:lineRule="auto"/>
              <w:rPr>
                <w:rFonts w:hint="eastAsia" w:ascii="黑体" w:hAnsi="黑体" w:eastAsia="黑体" w:cs="黑体"/>
                <w:color w:val="auto"/>
                <w:highlight w:val="none"/>
              </w:rPr>
            </w:pPr>
          </w:p>
        </w:tc>
      </w:tr>
      <w:tr w14:paraId="6E951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0" w:type="auto"/>
            <w:shd w:val="clear" w:color="auto" w:fill="auto"/>
            <w:vAlign w:val="center"/>
          </w:tcPr>
          <w:p w14:paraId="3DD37A01">
            <w:pPr>
              <w:spacing w:line="360" w:lineRule="auto"/>
              <w:jc w:val="center"/>
              <w:rPr>
                <w:rFonts w:hint="eastAsia" w:ascii="黑体" w:hAnsi="黑体" w:eastAsia="黑体" w:cs="黑体"/>
                <w:color w:val="auto"/>
                <w:highlight w:val="none"/>
              </w:rPr>
            </w:pPr>
            <w:r>
              <w:rPr>
                <w:rFonts w:hint="eastAsia" w:ascii="黑体" w:hAnsi="黑体" w:eastAsia="黑体" w:cs="黑体"/>
                <w:color w:val="auto"/>
                <w:highlight w:val="none"/>
              </w:rPr>
              <w:t>4</w:t>
            </w:r>
          </w:p>
        </w:tc>
        <w:tc>
          <w:tcPr>
            <w:tcW w:w="3190" w:type="dxa"/>
            <w:shd w:val="clear" w:color="auto" w:fill="auto"/>
          </w:tcPr>
          <w:p w14:paraId="74FC3E6B">
            <w:pPr>
              <w:spacing w:line="360" w:lineRule="auto"/>
              <w:rPr>
                <w:rFonts w:hint="eastAsia" w:ascii="黑体" w:hAnsi="黑体" w:eastAsia="黑体" w:cs="黑体"/>
                <w:color w:val="auto"/>
                <w:highlight w:val="none"/>
              </w:rPr>
            </w:pPr>
          </w:p>
        </w:tc>
        <w:tc>
          <w:tcPr>
            <w:tcW w:w="1843" w:type="dxa"/>
            <w:shd w:val="clear" w:color="auto" w:fill="auto"/>
          </w:tcPr>
          <w:p w14:paraId="0BF388B5">
            <w:pPr>
              <w:spacing w:line="360" w:lineRule="auto"/>
              <w:rPr>
                <w:rFonts w:hint="eastAsia" w:ascii="黑体" w:hAnsi="黑体" w:eastAsia="黑体" w:cs="黑体"/>
                <w:color w:val="auto"/>
                <w:highlight w:val="none"/>
              </w:rPr>
            </w:pPr>
          </w:p>
        </w:tc>
        <w:tc>
          <w:tcPr>
            <w:tcW w:w="1843" w:type="dxa"/>
            <w:shd w:val="clear" w:color="auto" w:fill="auto"/>
          </w:tcPr>
          <w:p w14:paraId="18D048B8">
            <w:pPr>
              <w:spacing w:line="360" w:lineRule="auto"/>
              <w:rPr>
                <w:rFonts w:hint="eastAsia" w:ascii="黑体" w:hAnsi="黑体" w:eastAsia="黑体" w:cs="黑体"/>
                <w:color w:val="auto"/>
                <w:highlight w:val="none"/>
              </w:rPr>
            </w:pPr>
          </w:p>
        </w:tc>
        <w:tc>
          <w:tcPr>
            <w:tcW w:w="1190" w:type="dxa"/>
            <w:shd w:val="clear" w:color="auto" w:fill="auto"/>
          </w:tcPr>
          <w:p w14:paraId="098280D5">
            <w:pPr>
              <w:spacing w:line="360" w:lineRule="auto"/>
              <w:rPr>
                <w:rFonts w:hint="eastAsia" w:ascii="黑体" w:hAnsi="黑体" w:eastAsia="黑体" w:cs="黑体"/>
                <w:color w:val="auto"/>
                <w:highlight w:val="none"/>
              </w:rPr>
            </w:pPr>
          </w:p>
        </w:tc>
      </w:tr>
      <w:tr w14:paraId="18CE6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0" w:type="auto"/>
            <w:shd w:val="clear" w:color="auto" w:fill="auto"/>
            <w:vAlign w:val="center"/>
          </w:tcPr>
          <w:p w14:paraId="67CDE040">
            <w:pPr>
              <w:spacing w:line="360" w:lineRule="auto"/>
              <w:jc w:val="center"/>
              <w:rPr>
                <w:rFonts w:hint="eastAsia" w:ascii="黑体" w:hAnsi="黑体" w:eastAsia="黑体" w:cs="黑体"/>
                <w:color w:val="auto"/>
                <w:highlight w:val="none"/>
              </w:rPr>
            </w:pPr>
            <w:r>
              <w:rPr>
                <w:rFonts w:hint="eastAsia" w:ascii="黑体" w:hAnsi="黑体" w:eastAsia="黑体" w:cs="黑体"/>
                <w:color w:val="auto"/>
                <w:highlight w:val="none"/>
              </w:rPr>
              <w:t>…</w:t>
            </w:r>
          </w:p>
        </w:tc>
        <w:tc>
          <w:tcPr>
            <w:tcW w:w="3190" w:type="dxa"/>
            <w:shd w:val="clear" w:color="auto" w:fill="auto"/>
          </w:tcPr>
          <w:p w14:paraId="6020D549">
            <w:pPr>
              <w:spacing w:line="360" w:lineRule="auto"/>
              <w:rPr>
                <w:rFonts w:hint="eastAsia" w:ascii="黑体" w:hAnsi="黑体" w:eastAsia="黑体" w:cs="黑体"/>
                <w:color w:val="auto"/>
                <w:highlight w:val="none"/>
              </w:rPr>
            </w:pPr>
          </w:p>
        </w:tc>
        <w:tc>
          <w:tcPr>
            <w:tcW w:w="1843" w:type="dxa"/>
            <w:shd w:val="clear" w:color="auto" w:fill="auto"/>
          </w:tcPr>
          <w:p w14:paraId="66A329C8">
            <w:pPr>
              <w:spacing w:line="360" w:lineRule="auto"/>
              <w:rPr>
                <w:rFonts w:hint="eastAsia" w:ascii="黑体" w:hAnsi="黑体" w:eastAsia="黑体" w:cs="黑体"/>
                <w:color w:val="auto"/>
                <w:highlight w:val="none"/>
              </w:rPr>
            </w:pPr>
          </w:p>
        </w:tc>
        <w:tc>
          <w:tcPr>
            <w:tcW w:w="1843" w:type="dxa"/>
            <w:shd w:val="clear" w:color="auto" w:fill="auto"/>
          </w:tcPr>
          <w:p w14:paraId="1C86DCD0">
            <w:pPr>
              <w:spacing w:line="360" w:lineRule="auto"/>
              <w:rPr>
                <w:rFonts w:hint="eastAsia" w:ascii="黑体" w:hAnsi="黑体" w:eastAsia="黑体" w:cs="黑体"/>
                <w:color w:val="auto"/>
                <w:highlight w:val="none"/>
              </w:rPr>
            </w:pPr>
          </w:p>
        </w:tc>
        <w:tc>
          <w:tcPr>
            <w:tcW w:w="1190" w:type="dxa"/>
            <w:shd w:val="clear" w:color="auto" w:fill="auto"/>
          </w:tcPr>
          <w:p w14:paraId="7CD1D467">
            <w:pPr>
              <w:spacing w:line="360" w:lineRule="auto"/>
              <w:rPr>
                <w:rFonts w:hint="eastAsia" w:ascii="黑体" w:hAnsi="黑体" w:eastAsia="黑体" w:cs="黑体"/>
                <w:color w:val="auto"/>
                <w:highlight w:val="none"/>
              </w:rPr>
            </w:pPr>
          </w:p>
        </w:tc>
      </w:tr>
    </w:tbl>
    <w:p w14:paraId="404B0E22">
      <w:pPr>
        <w:spacing w:before="156" w:beforeLines="50" w:line="360" w:lineRule="auto"/>
        <w:rPr>
          <w:rFonts w:hint="eastAsia" w:ascii="黑体" w:hAnsi="黑体" w:eastAsia="黑体" w:cs="黑体"/>
          <w:color w:val="auto"/>
          <w:highlight w:val="none"/>
        </w:rPr>
      </w:pPr>
      <w:r>
        <w:rPr>
          <w:rFonts w:hint="eastAsia" w:ascii="黑体" w:hAnsi="黑体" w:eastAsia="黑体" w:cs="黑体"/>
          <w:color w:val="auto"/>
          <w:highlight w:val="none"/>
        </w:rPr>
        <w:t>注明：</w:t>
      </w:r>
    </w:p>
    <w:p w14:paraId="1A6A0C04">
      <w:pPr>
        <w:pStyle w:val="29"/>
        <w:numPr>
          <w:ilvl w:val="0"/>
          <w:numId w:val="94"/>
        </w:numPr>
        <w:spacing w:line="360" w:lineRule="auto"/>
        <w:ind w:firstLineChars="0"/>
        <w:rPr>
          <w:rFonts w:hint="eastAsia" w:ascii="黑体" w:hAnsi="黑体" w:eastAsia="黑体" w:cs="黑体"/>
          <w:color w:val="auto"/>
          <w:highlight w:val="none"/>
        </w:rPr>
      </w:pPr>
      <w:r>
        <w:rPr>
          <w:rFonts w:hint="eastAsia" w:ascii="黑体" w:hAnsi="黑体" w:eastAsia="黑体" w:cs="黑体"/>
          <w:color w:val="auto"/>
          <w:highlight w:val="none"/>
        </w:rPr>
        <w:t>投标人必须对应招标文件“采购需求”要求的</w:t>
      </w:r>
      <w:bookmarkStart w:id="106" w:name="_Hlk82385673"/>
      <w:r>
        <w:rPr>
          <w:rFonts w:hint="eastAsia" w:ascii="黑体" w:hAnsi="黑体" w:eastAsia="黑体" w:cs="黑体"/>
          <w:color w:val="auto"/>
          <w:highlight w:val="none"/>
        </w:rPr>
        <w:t>★号条款</w:t>
      </w:r>
      <w:bookmarkEnd w:id="106"/>
      <w:r>
        <w:rPr>
          <w:rFonts w:hint="eastAsia" w:ascii="黑体" w:hAnsi="黑体" w:eastAsia="黑体" w:cs="黑体"/>
          <w:color w:val="auto"/>
          <w:highlight w:val="none"/>
        </w:rPr>
        <w:t>逐条应答并按要求填写表格；</w:t>
      </w:r>
    </w:p>
    <w:p w14:paraId="715BAAE0">
      <w:pPr>
        <w:pStyle w:val="29"/>
        <w:numPr>
          <w:ilvl w:val="0"/>
          <w:numId w:val="94"/>
        </w:numPr>
        <w:spacing w:line="360" w:lineRule="auto"/>
        <w:ind w:firstLineChars="0"/>
        <w:rPr>
          <w:rFonts w:hint="eastAsia" w:ascii="黑体" w:hAnsi="黑体" w:eastAsia="黑体" w:cs="黑体"/>
          <w:color w:val="auto"/>
          <w:highlight w:val="none"/>
        </w:rPr>
      </w:pPr>
      <w:r>
        <w:rPr>
          <w:rFonts w:hint="eastAsia" w:ascii="黑体" w:hAnsi="黑体" w:eastAsia="黑体" w:cs="黑体"/>
          <w:color w:val="auto"/>
          <w:highlight w:val="none"/>
        </w:rPr>
        <w:t>若招标文件“采购需求”中的★号条款中规定须提交相关证明文件的，须按要求提供，并作为附件附于表格后。未按要求提供或未提供完整的，视为负偏离处理。</w:t>
      </w:r>
    </w:p>
    <w:p w14:paraId="64B740C5">
      <w:pPr>
        <w:spacing w:line="360" w:lineRule="auto"/>
        <w:rPr>
          <w:rFonts w:hint="eastAsia" w:ascii="黑体" w:hAnsi="黑体" w:eastAsia="黑体" w:cs="黑体"/>
          <w:color w:val="auto"/>
          <w:szCs w:val="21"/>
          <w:highlight w:val="none"/>
        </w:rPr>
      </w:pPr>
    </w:p>
    <w:p w14:paraId="653CA6E5">
      <w:pPr>
        <w:spacing w:line="360" w:lineRule="auto"/>
        <w:rPr>
          <w:rFonts w:hint="eastAsia" w:ascii="黑体" w:hAnsi="黑体" w:eastAsia="黑体" w:cs="黑体"/>
          <w:color w:val="auto"/>
          <w:szCs w:val="21"/>
          <w:highlight w:val="none"/>
        </w:rPr>
      </w:pPr>
    </w:p>
    <w:p w14:paraId="62DB9D85">
      <w:pPr>
        <w:spacing w:line="360" w:lineRule="auto"/>
        <w:rPr>
          <w:rFonts w:hint="eastAsia" w:ascii="黑体" w:hAnsi="黑体" w:eastAsia="黑体" w:cs="黑体"/>
          <w:color w:val="auto"/>
          <w:szCs w:val="21"/>
          <w:highlight w:val="none"/>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22C96B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5353" w:type="dxa"/>
          </w:tcPr>
          <w:p w14:paraId="1E36DA99">
            <w:pPr>
              <w:overflowPunct w:val="0"/>
              <w:adjustRightIn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投标人名称（加盖公章）：</w:t>
            </w:r>
            <w:r>
              <w:rPr>
                <w:rFonts w:hint="eastAsia" w:ascii="黑体" w:hAnsi="黑体" w:eastAsia="黑体" w:cs="黑体"/>
                <w:color w:val="auto"/>
                <w:szCs w:val="21"/>
                <w:highlight w:val="none"/>
                <w:u w:val="single"/>
              </w:rPr>
              <w:t xml:space="preserve">                         </w:t>
            </w:r>
          </w:p>
        </w:tc>
        <w:tc>
          <w:tcPr>
            <w:tcW w:w="3175" w:type="dxa"/>
          </w:tcPr>
          <w:p w14:paraId="396CECE9">
            <w:pPr>
              <w:spacing w:line="360" w:lineRule="auto"/>
              <w:rPr>
                <w:rFonts w:hint="eastAsia" w:ascii="黑体" w:hAnsi="黑体" w:eastAsia="黑体" w:cs="黑体"/>
                <w:color w:val="auto"/>
                <w:szCs w:val="21"/>
                <w:highlight w:val="none"/>
              </w:rPr>
            </w:pPr>
          </w:p>
        </w:tc>
      </w:tr>
      <w:tr w14:paraId="0B39E5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242E0AEF">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日期：</w:t>
            </w:r>
            <w:r>
              <w:rPr>
                <w:rFonts w:hint="eastAsia" w:ascii="黑体" w:hAnsi="黑体" w:eastAsia="黑体" w:cs="黑体"/>
                <w:color w:val="auto"/>
                <w:szCs w:val="21"/>
                <w:highlight w:val="none"/>
                <w:u w:val="single"/>
              </w:rPr>
              <w:t xml:space="preserve">             年           月            日</w:t>
            </w:r>
          </w:p>
        </w:tc>
        <w:tc>
          <w:tcPr>
            <w:tcW w:w="3175" w:type="dxa"/>
          </w:tcPr>
          <w:p w14:paraId="156628DA">
            <w:pPr>
              <w:spacing w:line="360" w:lineRule="auto"/>
              <w:rPr>
                <w:rFonts w:hint="eastAsia" w:ascii="黑体" w:hAnsi="黑体" w:eastAsia="黑体" w:cs="黑体"/>
                <w:color w:val="auto"/>
                <w:szCs w:val="21"/>
                <w:highlight w:val="none"/>
              </w:rPr>
            </w:pPr>
          </w:p>
        </w:tc>
      </w:tr>
    </w:tbl>
    <w:p w14:paraId="471C889D">
      <w:pPr>
        <w:spacing w:line="360" w:lineRule="auto"/>
        <w:rPr>
          <w:rFonts w:hint="eastAsia" w:ascii="黑体" w:hAnsi="黑体" w:eastAsia="黑体" w:cs="黑体"/>
          <w:color w:val="auto"/>
          <w:szCs w:val="21"/>
          <w:highlight w:val="none"/>
        </w:rPr>
      </w:pPr>
    </w:p>
    <w:p w14:paraId="2CB1CA00">
      <w:pPr>
        <w:pStyle w:val="29"/>
        <w:pageBreakBefore/>
        <w:numPr>
          <w:ilvl w:val="0"/>
          <w:numId w:val="84"/>
        </w:numPr>
        <w:tabs>
          <w:tab w:val="left" w:pos="284"/>
          <w:tab w:val="left" w:pos="567"/>
          <w:tab w:val="left" w:pos="709"/>
        </w:tabs>
        <w:ind w:left="1679" w:hanging="1537" w:firstLineChars="0"/>
        <w:jc w:val="left"/>
        <w:rPr>
          <w:rFonts w:hint="eastAsia" w:ascii="黑体" w:hAnsi="黑体" w:eastAsia="黑体" w:cs="黑体"/>
          <w:b/>
          <w:bCs/>
          <w:color w:val="auto"/>
          <w:highlight w:val="none"/>
        </w:rPr>
      </w:pPr>
      <w:bookmarkStart w:id="107" w:name="_Toc82388834"/>
      <w:r>
        <w:rPr>
          <w:rFonts w:hint="eastAsia" w:ascii="黑体" w:hAnsi="黑体" w:eastAsia="黑体" w:cs="黑体"/>
          <w:b/>
          <w:bCs/>
          <w:color w:val="auto"/>
          <w:highlight w:val="none"/>
        </w:rPr>
        <w:t>▲号条款要求扣分明细响应表（可选）</w:t>
      </w:r>
      <w:bookmarkEnd w:id="107"/>
    </w:p>
    <w:p w14:paraId="3B9F291C">
      <w:pPr>
        <w:spacing w:before="312" w:beforeLines="100" w:after="312" w:afterLines="100"/>
        <w:jc w:val="center"/>
        <w:rPr>
          <w:rFonts w:hint="eastAsia" w:ascii="黑体" w:hAnsi="黑体" w:eastAsia="黑体" w:cs="黑体"/>
          <w:b/>
          <w:color w:val="auto"/>
          <w:spacing w:val="20"/>
          <w:sz w:val="30"/>
          <w:szCs w:val="30"/>
          <w:highlight w:val="none"/>
        </w:rPr>
      </w:pPr>
      <w:bookmarkStart w:id="108" w:name="_Hlk82385592"/>
      <w:r>
        <w:rPr>
          <w:rFonts w:hint="eastAsia" w:ascii="黑体" w:hAnsi="黑体" w:eastAsia="黑体" w:cs="黑体"/>
          <w:b/>
          <w:color w:val="auto"/>
          <w:spacing w:val="20"/>
          <w:sz w:val="30"/>
          <w:szCs w:val="30"/>
          <w:highlight w:val="none"/>
        </w:rPr>
        <w:t>▲号条款</w:t>
      </w:r>
      <w:bookmarkEnd w:id="108"/>
      <w:r>
        <w:rPr>
          <w:rFonts w:hint="eastAsia" w:ascii="黑体" w:hAnsi="黑体" w:eastAsia="黑体" w:cs="黑体"/>
          <w:b/>
          <w:color w:val="auto"/>
          <w:spacing w:val="20"/>
          <w:sz w:val="30"/>
          <w:szCs w:val="30"/>
          <w:highlight w:val="none"/>
        </w:rPr>
        <w:t>要求扣分明细响应表</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9"/>
        <w:gridCol w:w="2410"/>
        <w:gridCol w:w="2745"/>
        <w:gridCol w:w="1932"/>
        <w:gridCol w:w="1115"/>
      </w:tblGrid>
      <w:tr w14:paraId="6EA89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6" w:hRule="atLeast"/>
          <w:jc w:val="center"/>
        </w:trPr>
        <w:tc>
          <w:tcPr>
            <w:tcW w:w="459" w:type="dxa"/>
            <w:vAlign w:val="center"/>
          </w:tcPr>
          <w:p w14:paraId="63F8D91B">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序号</w:t>
            </w:r>
          </w:p>
        </w:tc>
        <w:tc>
          <w:tcPr>
            <w:tcW w:w="2410" w:type="dxa"/>
            <w:vAlign w:val="center"/>
          </w:tcPr>
          <w:p w14:paraId="5CADDB04">
            <w:pPr>
              <w:jc w:val="center"/>
              <w:rPr>
                <w:rFonts w:hint="eastAsia" w:ascii="黑体" w:hAnsi="黑体" w:eastAsia="黑体" w:cs="黑体"/>
                <w:color w:val="auto"/>
                <w:szCs w:val="21"/>
                <w:highlight w:val="none"/>
              </w:rPr>
            </w:pPr>
            <w:r>
              <w:rPr>
                <w:rFonts w:hint="eastAsia" w:ascii="黑体" w:hAnsi="黑体" w:eastAsia="黑体" w:cs="黑体"/>
                <w:color w:val="auto"/>
                <w:highlight w:val="none"/>
              </w:rPr>
              <w:t>采购需求▲号条款</w:t>
            </w:r>
          </w:p>
        </w:tc>
        <w:tc>
          <w:tcPr>
            <w:tcW w:w="2745" w:type="dxa"/>
            <w:vAlign w:val="center"/>
          </w:tcPr>
          <w:p w14:paraId="14B80C1C">
            <w:pPr>
              <w:spacing w:line="360" w:lineRule="auto"/>
              <w:jc w:val="center"/>
              <w:rPr>
                <w:rFonts w:hint="eastAsia" w:ascii="黑体" w:hAnsi="黑体" w:eastAsia="黑体" w:cs="黑体"/>
                <w:color w:val="auto"/>
                <w:highlight w:val="none"/>
              </w:rPr>
            </w:pPr>
            <w:r>
              <w:rPr>
                <w:rFonts w:hint="eastAsia" w:ascii="黑体" w:hAnsi="黑体" w:eastAsia="黑体" w:cs="黑体"/>
                <w:color w:val="auto"/>
                <w:highlight w:val="none"/>
              </w:rPr>
              <w:t>投标人响应内容</w:t>
            </w:r>
          </w:p>
          <w:p w14:paraId="73B557F9">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highlight w:val="none"/>
              </w:rPr>
              <w:t>(投标人应按投标时响应的服务实际数据填写)</w:t>
            </w:r>
          </w:p>
        </w:tc>
        <w:tc>
          <w:tcPr>
            <w:tcW w:w="1932" w:type="dxa"/>
            <w:vAlign w:val="center"/>
          </w:tcPr>
          <w:p w14:paraId="0EFCE871">
            <w:pPr>
              <w:spacing w:line="360" w:lineRule="auto"/>
              <w:jc w:val="center"/>
              <w:rPr>
                <w:rFonts w:hint="eastAsia" w:ascii="黑体" w:hAnsi="黑体" w:eastAsia="黑体" w:cs="黑体"/>
                <w:color w:val="auto"/>
                <w:highlight w:val="none"/>
              </w:rPr>
            </w:pPr>
            <w:r>
              <w:rPr>
                <w:rFonts w:hint="eastAsia" w:ascii="黑体" w:hAnsi="黑体" w:eastAsia="黑体" w:cs="黑体"/>
                <w:color w:val="auto"/>
                <w:highlight w:val="none"/>
              </w:rPr>
              <w:t>响应情况及说明(正偏离/无偏离/负偏离)</w:t>
            </w:r>
          </w:p>
        </w:tc>
        <w:tc>
          <w:tcPr>
            <w:tcW w:w="1115" w:type="dxa"/>
            <w:vAlign w:val="center"/>
          </w:tcPr>
          <w:p w14:paraId="176DE9A1">
            <w:pPr>
              <w:spacing w:line="360" w:lineRule="auto"/>
              <w:jc w:val="center"/>
              <w:rPr>
                <w:rFonts w:hint="eastAsia" w:ascii="黑体" w:hAnsi="黑体" w:eastAsia="黑体" w:cs="黑体"/>
                <w:color w:val="auto"/>
                <w:highlight w:val="none"/>
              </w:rPr>
            </w:pPr>
            <w:r>
              <w:rPr>
                <w:rFonts w:hint="eastAsia" w:ascii="黑体" w:hAnsi="黑体" w:eastAsia="黑体" w:cs="黑体"/>
                <w:color w:val="auto"/>
                <w:highlight w:val="none"/>
              </w:rPr>
              <w:t>查阅/证明文件索引页码</w:t>
            </w:r>
          </w:p>
        </w:tc>
      </w:tr>
      <w:tr w14:paraId="15B8C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459" w:type="dxa"/>
            <w:vAlign w:val="center"/>
          </w:tcPr>
          <w:p w14:paraId="53B3652E">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1</w:t>
            </w:r>
          </w:p>
        </w:tc>
        <w:tc>
          <w:tcPr>
            <w:tcW w:w="2410" w:type="dxa"/>
            <w:vAlign w:val="center"/>
          </w:tcPr>
          <w:p w14:paraId="243D85E1">
            <w:pPr>
              <w:jc w:val="center"/>
              <w:rPr>
                <w:rFonts w:hint="eastAsia" w:ascii="黑体" w:hAnsi="黑体" w:eastAsia="黑体" w:cs="黑体"/>
                <w:color w:val="auto"/>
                <w:szCs w:val="21"/>
                <w:highlight w:val="none"/>
              </w:rPr>
            </w:pPr>
          </w:p>
        </w:tc>
        <w:tc>
          <w:tcPr>
            <w:tcW w:w="2745" w:type="dxa"/>
            <w:vAlign w:val="center"/>
          </w:tcPr>
          <w:p w14:paraId="6745DF5A">
            <w:pPr>
              <w:jc w:val="center"/>
              <w:rPr>
                <w:rFonts w:hint="eastAsia" w:ascii="黑体" w:hAnsi="黑体" w:eastAsia="黑体" w:cs="黑体"/>
                <w:color w:val="auto"/>
                <w:szCs w:val="21"/>
                <w:highlight w:val="none"/>
              </w:rPr>
            </w:pPr>
          </w:p>
        </w:tc>
        <w:tc>
          <w:tcPr>
            <w:tcW w:w="1932" w:type="dxa"/>
            <w:vAlign w:val="center"/>
          </w:tcPr>
          <w:p w14:paraId="7E967EFF">
            <w:pPr>
              <w:jc w:val="center"/>
              <w:rPr>
                <w:rFonts w:hint="eastAsia" w:ascii="黑体" w:hAnsi="黑体" w:eastAsia="黑体" w:cs="黑体"/>
                <w:color w:val="auto"/>
                <w:szCs w:val="21"/>
                <w:highlight w:val="none"/>
              </w:rPr>
            </w:pPr>
          </w:p>
        </w:tc>
        <w:tc>
          <w:tcPr>
            <w:tcW w:w="1115" w:type="dxa"/>
            <w:vAlign w:val="center"/>
          </w:tcPr>
          <w:p w14:paraId="6E92EDC7">
            <w:pPr>
              <w:jc w:val="center"/>
              <w:rPr>
                <w:rFonts w:hint="eastAsia" w:ascii="黑体" w:hAnsi="黑体" w:eastAsia="黑体" w:cs="黑体"/>
                <w:color w:val="auto"/>
                <w:szCs w:val="21"/>
                <w:highlight w:val="none"/>
              </w:rPr>
            </w:pPr>
          </w:p>
        </w:tc>
      </w:tr>
      <w:tr w14:paraId="7864A1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459" w:type="dxa"/>
            <w:vAlign w:val="center"/>
          </w:tcPr>
          <w:p w14:paraId="6E0D6879">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2</w:t>
            </w:r>
          </w:p>
        </w:tc>
        <w:tc>
          <w:tcPr>
            <w:tcW w:w="2410" w:type="dxa"/>
            <w:vAlign w:val="center"/>
          </w:tcPr>
          <w:p w14:paraId="136DDEB3">
            <w:pPr>
              <w:jc w:val="center"/>
              <w:rPr>
                <w:rFonts w:hint="eastAsia" w:ascii="黑体" w:hAnsi="黑体" w:eastAsia="黑体" w:cs="黑体"/>
                <w:color w:val="auto"/>
                <w:szCs w:val="21"/>
                <w:highlight w:val="none"/>
              </w:rPr>
            </w:pPr>
          </w:p>
        </w:tc>
        <w:tc>
          <w:tcPr>
            <w:tcW w:w="2745" w:type="dxa"/>
            <w:vAlign w:val="center"/>
          </w:tcPr>
          <w:p w14:paraId="79052C80">
            <w:pPr>
              <w:jc w:val="center"/>
              <w:rPr>
                <w:rFonts w:hint="eastAsia" w:ascii="黑体" w:hAnsi="黑体" w:eastAsia="黑体" w:cs="黑体"/>
                <w:color w:val="auto"/>
                <w:szCs w:val="21"/>
                <w:highlight w:val="none"/>
              </w:rPr>
            </w:pPr>
          </w:p>
        </w:tc>
        <w:tc>
          <w:tcPr>
            <w:tcW w:w="1932" w:type="dxa"/>
            <w:vAlign w:val="center"/>
          </w:tcPr>
          <w:p w14:paraId="56892289">
            <w:pPr>
              <w:jc w:val="center"/>
              <w:rPr>
                <w:rFonts w:hint="eastAsia" w:ascii="黑体" w:hAnsi="黑体" w:eastAsia="黑体" w:cs="黑体"/>
                <w:color w:val="auto"/>
                <w:szCs w:val="21"/>
                <w:highlight w:val="none"/>
              </w:rPr>
            </w:pPr>
          </w:p>
        </w:tc>
        <w:tc>
          <w:tcPr>
            <w:tcW w:w="1115" w:type="dxa"/>
            <w:vAlign w:val="center"/>
          </w:tcPr>
          <w:p w14:paraId="65FEBB4F">
            <w:pPr>
              <w:jc w:val="center"/>
              <w:rPr>
                <w:rFonts w:hint="eastAsia" w:ascii="黑体" w:hAnsi="黑体" w:eastAsia="黑体" w:cs="黑体"/>
                <w:color w:val="auto"/>
                <w:szCs w:val="21"/>
                <w:highlight w:val="none"/>
              </w:rPr>
            </w:pPr>
          </w:p>
        </w:tc>
      </w:tr>
      <w:tr w14:paraId="781CD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459" w:type="dxa"/>
            <w:vAlign w:val="center"/>
          </w:tcPr>
          <w:p w14:paraId="47A25ECC">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3</w:t>
            </w:r>
          </w:p>
        </w:tc>
        <w:tc>
          <w:tcPr>
            <w:tcW w:w="2410" w:type="dxa"/>
            <w:vAlign w:val="center"/>
          </w:tcPr>
          <w:p w14:paraId="3B1B84E9">
            <w:pPr>
              <w:jc w:val="center"/>
              <w:rPr>
                <w:rFonts w:hint="eastAsia" w:ascii="黑体" w:hAnsi="黑体" w:eastAsia="黑体" w:cs="黑体"/>
                <w:color w:val="auto"/>
                <w:szCs w:val="21"/>
                <w:highlight w:val="none"/>
              </w:rPr>
            </w:pPr>
          </w:p>
        </w:tc>
        <w:tc>
          <w:tcPr>
            <w:tcW w:w="2745" w:type="dxa"/>
            <w:vAlign w:val="center"/>
          </w:tcPr>
          <w:p w14:paraId="29C6BF74">
            <w:pPr>
              <w:jc w:val="center"/>
              <w:rPr>
                <w:rFonts w:hint="eastAsia" w:ascii="黑体" w:hAnsi="黑体" w:eastAsia="黑体" w:cs="黑体"/>
                <w:color w:val="auto"/>
                <w:szCs w:val="21"/>
                <w:highlight w:val="none"/>
              </w:rPr>
            </w:pPr>
          </w:p>
        </w:tc>
        <w:tc>
          <w:tcPr>
            <w:tcW w:w="1932" w:type="dxa"/>
            <w:vAlign w:val="center"/>
          </w:tcPr>
          <w:p w14:paraId="48AB92B1">
            <w:pPr>
              <w:jc w:val="center"/>
              <w:rPr>
                <w:rFonts w:hint="eastAsia" w:ascii="黑体" w:hAnsi="黑体" w:eastAsia="黑体" w:cs="黑体"/>
                <w:color w:val="auto"/>
                <w:szCs w:val="21"/>
                <w:highlight w:val="none"/>
              </w:rPr>
            </w:pPr>
          </w:p>
        </w:tc>
        <w:tc>
          <w:tcPr>
            <w:tcW w:w="1115" w:type="dxa"/>
            <w:vAlign w:val="center"/>
          </w:tcPr>
          <w:p w14:paraId="79276A10">
            <w:pPr>
              <w:jc w:val="center"/>
              <w:rPr>
                <w:rFonts w:hint="eastAsia" w:ascii="黑体" w:hAnsi="黑体" w:eastAsia="黑体" w:cs="黑体"/>
                <w:color w:val="auto"/>
                <w:szCs w:val="21"/>
                <w:highlight w:val="none"/>
              </w:rPr>
            </w:pPr>
          </w:p>
        </w:tc>
      </w:tr>
      <w:tr w14:paraId="4DE46B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459" w:type="dxa"/>
            <w:vAlign w:val="center"/>
          </w:tcPr>
          <w:p w14:paraId="05B90D54">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w:t>
            </w:r>
          </w:p>
        </w:tc>
        <w:tc>
          <w:tcPr>
            <w:tcW w:w="2410" w:type="dxa"/>
            <w:vAlign w:val="center"/>
          </w:tcPr>
          <w:p w14:paraId="2740FE0C">
            <w:pPr>
              <w:jc w:val="center"/>
              <w:rPr>
                <w:rFonts w:hint="eastAsia" w:ascii="黑体" w:hAnsi="黑体" w:eastAsia="黑体" w:cs="黑体"/>
                <w:color w:val="auto"/>
                <w:szCs w:val="21"/>
                <w:highlight w:val="none"/>
              </w:rPr>
            </w:pPr>
          </w:p>
        </w:tc>
        <w:tc>
          <w:tcPr>
            <w:tcW w:w="2745" w:type="dxa"/>
            <w:vAlign w:val="center"/>
          </w:tcPr>
          <w:p w14:paraId="035EE47C">
            <w:pPr>
              <w:jc w:val="center"/>
              <w:rPr>
                <w:rFonts w:hint="eastAsia" w:ascii="黑体" w:hAnsi="黑体" w:eastAsia="黑体" w:cs="黑体"/>
                <w:color w:val="auto"/>
                <w:szCs w:val="21"/>
                <w:highlight w:val="none"/>
              </w:rPr>
            </w:pPr>
          </w:p>
        </w:tc>
        <w:tc>
          <w:tcPr>
            <w:tcW w:w="1932" w:type="dxa"/>
            <w:vAlign w:val="center"/>
          </w:tcPr>
          <w:p w14:paraId="6A701F84">
            <w:pPr>
              <w:jc w:val="center"/>
              <w:rPr>
                <w:rFonts w:hint="eastAsia" w:ascii="黑体" w:hAnsi="黑体" w:eastAsia="黑体" w:cs="黑体"/>
                <w:color w:val="auto"/>
                <w:szCs w:val="21"/>
                <w:highlight w:val="none"/>
              </w:rPr>
            </w:pPr>
          </w:p>
        </w:tc>
        <w:tc>
          <w:tcPr>
            <w:tcW w:w="1115" w:type="dxa"/>
            <w:vAlign w:val="center"/>
          </w:tcPr>
          <w:p w14:paraId="6A760D2D">
            <w:pPr>
              <w:jc w:val="center"/>
              <w:rPr>
                <w:rFonts w:hint="eastAsia" w:ascii="黑体" w:hAnsi="黑体" w:eastAsia="黑体" w:cs="黑体"/>
                <w:color w:val="auto"/>
                <w:szCs w:val="21"/>
                <w:highlight w:val="none"/>
              </w:rPr>
            </w:pPr>
          </w:p>
        </w:tc>
      </w:tr>
    </w:tbl>
    <w:p w14:paraId="4F050254">
      <w:pPr>
        <w:spacing w:before="156" w:beforeLines="50" w:line="360" w:lineRule="auto"/>
        <w:rPr>
          <w:rFonts w:hint="eastAsia" w:ascii="黑体" w:hAnsi="黑体" w:eastAsia="黑体" w:cs="黑体"/>
          <w:color w:val="auto"/>
          <w:highlight w:val="none"/>
        </w:rPr>
      </w:pPr>
      <w:r>
        <w:rPr>
          <w:rFonts w:hint="eastAsia" w:ascii="黑体" w:hAnsi="黑体" w:eastAsia="黑体" w:cs="黑体"/>
          <w:color w:val="auto"/>
          <w:highlight w:val="none"/>
        </w:rPr>
        <w:t>注明：</w:t>
      </w:r>
    </w:p>
    <w:p w14:paraId="0E3728DC">
      <w:pPr>
        <w:pStyle w:val="29"/>
        <w:numPr>
          <w:ilvl w:val="0"/>
          <w:numId w:val="95"/>
        </w:numPr>
        <w:spacing w:line="360" w:lineRule="auto"/>
        <w:ind w:firstLineChars="0"/>
        <w:rPr>
          <w:rFonts w:hint="eastAsia" w:ascii="黑体" w:hAnsi="黑体" w:eastAsia="黑体" w:cs="黑体"/>
          <w:color w:val="auto"/>
          <w:spacing w:val="4"/>
          <w:highlight w:val="none"/>
        </w:rPr>
      </w:pPr>
      <w:r>
        <w:rPr>
          <w:rFonts w:hint="eastAsia" w:ascii="黑体" w:hAnsi="黑体" w:eastAsia="黑体" w:cs="黑体"/>
          <w:color w:val="auto"/>
          <w:spacing w:val="4"/>
          <w:highlight w:val="none"/>
        </w:rPr>
        <w:t>投标人必须对应招标文件</w:t>
      </w:r>
      <w:r>
        <w:rPr>
          <w:rFonts w:hint="eastAsia" w:ascii="黑体" w:hAnsi="黑体" w:eastAsia="黑体" w:cs="黑体"/>
          <w:bCs/>
          <w:color w:val="auto"/>
          <w:spacing w:val="4"/>
          <w:szCs w:val="21"/>
          <w:highlight w:val="none"/>
        </w:rPr>
        <w:t>“采购需求”要求的</w:t>
      </w:r>
      <w:bookmarkStart w:id="109" w:name="_Hlk82385546"/>
      <w:r>
        <w:rPr>
          <w:rFonts w:hint="eastAsia" w:ascii="黑体" w:hAnsi="黑体" w:eastAsia="黑体" w:cs="黑体"/>
          <w:color w:val="auto"/>
          <w:highlight w:val="none"/>
        </w:rPr>
        <w:t>▲号条款</w:t>
      </w:r>
      <w:bookmarkEnd w:id="109"/>
      <w:r>
        <w:rPr>
          <w:rFonts w:hint="eastAsia" w:ascii="黑体" w:hAnsi="黑体" w:eastAsia="黑体" w:cs="黑体"/>
          <w:color w:val="auto"/>
          <w:spacing w:val="4"/>
          <w:highlight w:val="none"/>
        </w:rPr>
        <w:t>逐条应答并按要求填写表格。</w:t>
      </w:r>
    </w:p>
    <w:p w14:paraId="75273950">
      <w:pPr>
        <w:pStyle w:val="29"/>
        <w:numPr>
          <w:ilvl w:val="0"/>
          <w:numId w:val="95"/>
        </w:numPr>
        <w:spacing w:line="360" w:lineRule="auto"/>
        <w:ind w:firstLineChars="0"/>
        <w:rPr>
          <w:rFonts w:hint="eastAsia" w:ascii="黑体" w:hAnsi="黑体" w:eastAsia="黑体" w:cs="黑体"/>
          <w:color w:val="auto"/>
          <w:highlight w:val="none"/>
        </w:rPr>
      </w:pPr>
      <w:r>
        <w:rPr>
          <w:rFonts w:hint="eastAsia" w:ascii="黑体" w:hAnsi="黑体" w:eastAsia="黑体" w:cs="黑体"/>
          <w:color w:val="auto"/>
          <w:szCs w:val="21"/>
          <w:highlight w:val="none"/>
        </w:rPr>
        <w:t>需提供证明资料内容详见</w:t>
      </w:r>
      <w:r>
        <w:rPr>
          <w:rFonts w:hint="eastAsia" w:ascii="黑体" w:hAnsi="黑体" w:eastAsia="黑体" w:cs="黑体"/>
          <w:color w:val="auto"/>
          <w:szCs w:val="21"/>
          <w:highlight w:val="none"/>
          <w:u w:val="single"/>
        </w:rPr>
        <w:t>（招标文件第五部分 评标方法、步骤、标准之</w:t>
      </w:r>
      <w:r>
        <w:rPr>
          <w:rFonts w:hint="eastAsia" w:ascii="黑体" w:hAnsi="黑体" w:eastAsia="黑体" w:cs="黑体"/>
          <w:color w:val="auto"/>
          <w:kern w:val="0"/>
          <w:szCs w:val="21"/>
          <w:highlight w:val="none"/>
          <w:u w:val="single"/>
        </w:rPr>
        <w:t>附表三</w:t>
      </w:r>
      <w:r>
        <w:rPr>
          <w:rFonts w:hint="eastAsia" w:ascii="黑体" w:hAnsi="黑体" w:eastAsia="黑体" w:cs="黑体"/>
          <w:color w:val="auto"/>
          <w:szCs w:val="21"/>
          <w:highlight w:val="none"/>
          <w:u w:val="single"/>
        </w:rPr>
        <w:t>详细评审表相对应条款）</w:t>
      </w:r>
      <w:r>
        <w:rPr>
          <w:rFonts w:hint="eastAsia" w:ascii="黑体" w:hAnsi="黑体" w:eastAsia="黑体" w:cs="黑体"/>
          <w:color w:val="auto"/>
          <w:szCs w:val="21"/>
          <w:highlight w:val="none"/>
        </w:rPr>
        <w:t>，提供的证明资料</w:t>
      </w:r>
      <w:r>
        <w:rPr>
          <w:rFonts w:hint="eastAsia" w:ascii="黑体" w:hAnsi="黑体" w:eastAsia="黑体" w:cs="黑体"/>
          <w:color w:val="auto"/>
          <w:highlight w:val="none"/>
        </w:rPr>
        <w:t>作为附件附于表格后。未按要求提供或未提供完整的，视为负偏离处理。</w:t>
      </w:r>
    </w:p>
    <w:p w14:paraId="7CCEB782">
      <w:pPr>
        <w:spacing w:line="360" w:lineRule="auto"/>
        <w:rPr>
          <w:rFonts w:hint="eastAsia" w:ascii="黑体" w:hAnsi="黑体" w:eastAsia="黑体" w:cs="黑体"/>
          <w:color w:val="auto"/>
          <w:szCs w:val="21"/>
          <w:highlight w:val="none"/>
        </w:rPr>
      </w:pPr>
    </w:p>
    <w:p w14:paraId="2162E366">
      <w:pPr>
        <w:spacing w:line="360" w:lineRule="auto"/>
        <w:rPr>
          <w:rFonts w:hint="eastAsia" w:ascii="黑体" w:hAnsi="黑体" w:eastAsia="黑体" w:cs="黑体"/>
          <w:color w:val="auto"/>
          <w:szCs w:val="21"/>
          <w:highlight w:val="none"/>
        </w:rPr>
      </w:pPr>
    </w:p>
    <w:p w14:paraId="69BA8C8E">
      <w:pPr>
        <w:spacing w:line="360" w:lineRule="auto"/>
        <w:rPr>
          <w:rFonts w:hint="eastAsia" w:ascii="黑体" w:hAnsi="黑体" w:eastAsia="黑体" w:cs="黑体"/>
          <w:color w:val="auto"/>
          <w:szCs w:val="21"/>
          <w:highlight w:val="none"/>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77BC60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34AF0EE2">
            <w:pPr>
              <w:overflowPunct w:val="0"/>
              <w:adjustRightIn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投标人名称（加盖公章）：</w:t>
            </w:r>
            <w:r>
              <w:rPr>
                <w:rFonts w:hint="eastAsia" w:ascii="黑体" w:hAnsi="黑体" w:eastAsia="黑体" w:cs="黑体"/>
                <w:color w:val="auto"/>
                <w:szCs w:val="21"/>
                <w:highlight w:val="none"/>
                <w:u w:val="single"/>
              </w:rPr>
              <w:t xml:space="preserve">                         </w:t>
            </w:r>
          </w:p>
        </w:tc>
        <w:tc>
          <w:tcPr>
            <w:tcW w:w="3175" w:type="dxa"/>
          </w:tcPr>
          <w:p w14:paraId="3ADAD223">
            <w:pPr>
              <w:spacing w:line="360" w:lineRule="auto"/>
              <w:rPr>
                <w:rFonts w:hint="eastAsia" w:ascii="黑体" w:hAnsi="黑体" w:eastAsia="黑体" w:cs="黑体"/>
                <w:color w:val="auto"/>
                <w:szCs w:val="21"/>
                <w:highlight w:val="none"/>
              </w:rPr>
            </w:pPr>
          </w:p>
        </w:tc>
      </w:tr>
      <w:tr w14:paraId="77A463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10E155FA">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日期：</w:t>
            </w:r>
            <w:r>
              <w:rPr>
                <w:rFonts w:hint="eastAsia" w:ascii="黑体" w:hAnsi="黑体" w:eastAsia="黑体" w:cs="黑体"/>
                <w:color w:val="auto"/>
                <w:szCs w:val="21"/>
                <w:highlight w:val="none"/>
                <w:u w:val="single"/>
              </w:rPr>
              <w:t xml:space="preserve">             年           月            日</w:t>
            </w:r>
          </w:p>
        </w:tc>
        <w:tc>
          <w:tcPr>
            <w:tcW w:w="3175" w:type="dxa"/>
          </w:tcPr>
          <w:p w14:paraId="2FAC14BD">
            <w:pPr>
              <w:spacing w:line="360" w:lineRule="auto"/>
              <w:rPr>
                <w:rFonts w:hint="eastAsia" w:ascii="黑体" w:hAnsi="黑体" w:eastAsia="黑体" w:cs="黑体"/>
                <w:color w:val="auto"/>
                <w:szCs w:val="21"/>
                <w:highlight w:val="none"/>
              </w:rPr>
            </w:pPr>
          </w:p>
        </w:tc>
      </w:tr>
    </w:tbl>
    <w:p w14:paraId="7118BDD9">
      <w:pPr>
        <w:pStyle w:val="29"/>
        <w:pageBreakBefore/>
        <w:numPr>
          <w:ilvl w:val="0"/>
          <w:numId w:val="84"/>
        </w:numPr>
        <w:tabs>
          <w:tab w:val="left" w:pos="284"/>
          <w:tab w:val="left" w:pos="567"/>
          <w:tab w:val="left" w:pos="709"/>
        </w:tabs>
        <w:ind w:left="1679" w:hanging="1537" w:firstLineChars="0"/>
        <w:jc w:val="left"/>
        <w:rPr>
          <w:rFonts w:hint="eastAsia" w:ascii="黑体" w:hAnsi="黑体" w:eastAsia="黑体" w:cs="黑体"/>
          <w:b/>
          <w:bCs/>
          <w:color w:val="auto"/>
          <w:highlight w:val="none"/>
        </w:rPr>
      </w:pPr>
      <w:r>
        <w:rPr>
          <w:rFonts w:hint="eastAsia" w:ascii="黑体" w:hAnsi="黑体" w:eastAsia="黑体" w:cs="黑体"/>
          <w:b/>
          <w:bCs/>
          <w:color w:val="auto"/>
          <w:highlight w:val="none"/>
        </w:rPr>
        <w:t>投标保证金汇入情况说明</w:t>
      </w:r>
      <w:r>
        <w:rPr>
          <w:rFonts w:hint="eastAsia" w:ascii="黑体" w:hAnsi="黑体" w:eastAsia="黑体" w:cs="黑体"/>
          <w:b/>
          <w:bCs/>
          <w:color w:val="auto"/>
          <w:highlight w:val="none"/>
          <w:lang w:eastAsia="zh-CN"/>
        </w:rPr>
        <w:t>（</w:t>
      </w:r>
      <w:r>
        <w:rPr>
          <w:rFonts w:hint="eastAsia" w:ascii="黑体" w:hAnsi="黑体" w:eastAsia="黑体" w:cs="黑体"/>
          <w:b/>
          <w:bCs/>
          <w:color w:val="auto"/>
          <w:highlight w:val="none"/>
          <w:lang w:val="en-US" w:eastAsia="zh-CN"/>
        </w:rPr>
        <w:t>本项目不适用</w:t>
      </w:r>
      <w:r>
        <w:rPr>
          <w:rFonts w:hint="eastAsia" w:ascii="黑体" w:hAnsi="黑体" w:eastAsia="黑体" w:cs="黑体"/>
          <w:b/>
          <w:bCs/>
          <w:color w:val="auto"/>
          <w:highlight w:val="none"/>
          <w:lang w:eastAsia="zh-CN"/>
        </w:rPr>
        <w:t>）</w:t>
      </w:r>
    </w:p>
    <w:p w14:paraId="5D383440">
      <w:pPr>
        <w:spacing w:before="312" w:beforeLines="100" w:after="312" w:afterLines="100"/>
        <w:jc w:val="center"/>
        <w:rPr>
          <w:rFonts w:hint="eastAsia" w:ascii="黑体" w:hAnsi="黑体" w:eastAsia="黑体" w:cs="黑体"/>
          <w:b/>
          <w:color w:val="auto"/>
          <w:spacing w:val="20"/>
          <w:sz w:val="30"/>
          <w:szCs w:val="30"/>
          <w:highlight w:val="none"/>
        </w:rPr>
      </w:pPr>
      <w:r>
        <w:rPr>
          <w:rFonts w:hint="eastAsia" w:ascii="黑体" w:hAnsi="黑体" w:eastAsia="黑体" w:cs="黑体"/>
          <w:b/>
          <w:color w:val="auto"/>
          <w:spacing w:val="20"/>
          <w:sz w:val="30"/>
          <w:szCs w:val="30"/>
          <w:highlight w:val="none"/>
        </w:rPr>
        <w:t>投标保证金汇入情况说明</w:t>
      </w:r>
    </w:p>
    <w:p w14:paraId="5039765B">
      <w:pPr>
        <w:spacing w:before="468" w:beforeLines="150" w:after="312" w:afterLines="100" w:line="360" w:lineRule="auto"/>
        <w:rPr>
          <w:rFonts w:hint="eastAsia" w:ascii="黑体" w:hAnsi="黑体" w:eastAsia="黑体" w:cs="黑体"/>
          <w:b/>
          <w:color w:val="auto"/>
          <w:highlight w:val="none"/>
        </w:rPr>
      </w:pPr>
      <w:r>
        <w:rPr>
          <w:rFonts w:hint="eastAsia" w:ascii="黑体" w:hAnsi="黑体" w:eastAsia="黑体" w:cs="黑体"/>
          <w:b/>
          <w:color w:val="auto"/>
          <w:highlight w:val="none"/>
        </w:rPr>
        <w:t>致：广东有德招标采购有限公司</w:t>
      </w:r>
    </w:p>
    <w:p w14:paraId="477E6B9B">
      <w:pPr>
        <w:spacing w:line="360" w:lineRule="auto"/>
        <w:ind w:firstLine="422" w:firstLineChars="200"/>
        <w:rPr>
          <w:rFonts w:hint="eastAsia" w:ascii="黑体" w:hAnsi="黑体" w:eastAsia="黑体" w:cs="黑体"/>
          <w:color w:val="auto"/>
          <w:szCs w:val="21"/>
          <w:highlight w:val="none"/>
        </w:rPr>
      </w:pPr>
      <w:r>
        <w:rPr>
          <w:rFonts w:hint="eastAsia" w:ascii="黑体" w:hAnsi="黑体" w:eastAsia="黑体" w:cs="黑体"/>
          <w:b/>
          <w:bCs/>
          <w:color w:val="auto"/>
          <w:szCs w:val="21"/>
          <w:highlight w:val="none"/>
        </w:rPr>
        <w:t>本单位已按</w:t>
      </w:r>
      <w:r>
        <w:rPr>
          <w:rFonts w:hint="eastAsia" w:ascii="黑体" w:hAnsi="黑体" w:eastAsia="黑体" w:cs="黑体"/>
          <w:b/>
          <w:bCs/>
          <w:color w:val="auto"/>
          <w:szCs w:val="21"/>
          <w:highlight w:val="none"/>
          <w:u w:val="single"/>
        </w:rPr>
        <w:t xml:space="preserve">     （项目名称）     </w:t>
      </w:r>
      <w:r>
        <w:rPr>
          <w:rFonts w:hint="eastAsia" w:ascii="黑体" w:hAnsi="黑体" w:eastAsia="黑体" w:cs="黑体"/>
          <w:b/>
          <w:bCs/>
          <w:color w:val="auto"/>
          <w:szCs w:val="21"/>
          <w:highlight w:val="none"/>
        </w:rPr>
        <w:t>项目（项目编号：</w:t>
      </w:r>
      <w:r>
        <w:rPr>
          <w:rFonts w:hint="eastAsia" w:ascii="黑体" w:hAnsi="黑体" w:eastAsia="黑体" w:cs="黑体"/>
          <w:b/>
          <w:bCs/>
          <w:color w:val="auto"/>
          <w:szCs w:val="21"/>
          <w:highlight w:val="none"/>
          <w:u w:val="single"/>
        </w:rPr>
        <w:t xml:space="preserve">             </w:t>
      </w:r>
      <w:r>
        <w:rPr>
          <w:rFonts w:hint="eastAsia" w:ascii="黑体" w:hAnsi="黑体" w:eastAsia="黑体" w:cs="黑体"/>
          <w:b/>
          <w:bCs/>
          <w:color w:val="auto"/>
          <w:szCs w:val="21"/>
          <w:highlight w:val="none"/>
        </w:rPr>
        <w:t>）的招标文件要求，于</w:t>
      </w:r>
      <w:r>
        <w:rPr>
          <w:rFonts w:hint="eastAsia" w:ascii="黑体" w:hAnsi="黑体" w:eastAsia="黑体" w:cs="黑体"/>
          <w:b/>
          <w:bCs/>
          <w:color w:val="auto"/>
          <w:szCs w:val="21"/>
          <w:highlight w:val="none"/>
          <w:u w:val="single"/>
        </w:rPr>
        <w:t xml:space="preserve">   </w:t>
      </w:r>
      <w:r>
        <w:rPr>
          <w:rFonts w:hint="eastAsia" w:ascii="黑体" w:hAnsi="黑体" w:eastAsia="黑体" w:cs="黑体"/>
          <w:b/>
          <w:bCs/>
          <w:color w:val="auto"/>
          <w:szCs w:val="21"/>
          <w:highlight w:val="none"/>
        </w:rPr>
        <w:t>年</w:t>
      </w:r>
      <w:r>
        <w:rPr>
          <w:rFonts w:hint="eastAsia" w:ascii="黑体" w:hAnsi="黑体" w:eastAsia="黑体" w:cs="黑体"/>
          <w:b/>
          <w:bCs/>
          <w:color w:val="auto"/>
          <w:szCs w:val="21"/>
          <w:highlight w:val="none"/>
          <w:u w:val="single"/>
        </w:rPr>
        <w:t xml:space="preserve">   </w:t>
      </w:r>
      <w:r>
        <w:rPr>
          <w:rFonts w:hint="eastAsia" w:ascii="黑体" w:hAnsi="黑体" w:eastAsia="黑体" w:cs="黑体"/>
          <w:b/>
          <w:bCs/>
          <w:color w:val="auto"/>
          <w:szCs w:val="21"/>
          <w:highlight w:val="none"/>
        </w:rPr>
        <w:t>月</w:t>
      </w:r>
      <w:r>
        <w:rPr>
          <w:rFonts w:hint="eastAsia" w:ascii="黑体" w:hAnsi="黑体" w:eastAsia="黑体" w:cs="黑体"/>
          <w:b/>
          <w:bCs/>
          <w:color w:val="auto"/>
          <w:szCs w:val="21"/>
          <w:highlight w:val="none"/>
          <w:u w:val="single"/>
        </w:rPr>
        <w:t xml:space="preserve">   </w:t>
      </w:r>
      <w:r>
        <w:rPr>
          <w:rFonts w:hint="eastAsia" w:ascii="黑体" w:hAnsi="黑体" w:eastAsia="黑体" w:cs="黑体"/>
          <w:b/>
          <w:bCs/>
          <w:color w:val="auto"/>
          <w:szCs w:val="21"/>
          <w:highlight w:val="none"/>
        </w:rPr>
        <w:t>日前以</w:t>
      </w:r>
      <w:r>
        <w:rPr>
          <w:rFonts w:hint="eastAsia" w:ascii="黑体" w:hAnsi="黑体" w:eastAsia="黑体" w:cs="黑体"/>
          <w:b/>
          <w:bCs/>
          <w:color w:val="auto"/>
          <w:szCs w:val="21"/>
          <w:highlight w:val="none"/>
          <w:u w:val="single"/>
        </w:rPr>
        <w:t xml:space="preserve">       </w:t>
      </w:r>
      <w:r>
        <w:rPr>
          <w:rFonts w:hint="eastAsia" w:ascii="黑体" w:hAnsi="黑体" w:eastAsia="黑体" w:cs="黑体"/>
          <w:b/>
          <w:bCs/>
          <w:color w:val="auto"/>
          <w:szCs w:val="21"/>
          <w:highlight w:val="none"/>
        </w:rPr>
        <w:t>（付款形式）方式汇入指定账户（账户名称：</w:t>
      </w:r>
      <w:r>
        <w:rPr>
          <w:rFonts w:hint="eastAsia" w:ascii="黑体" w:hAnsi="黑体" w:eastAsia="黑体" w:cs="黑体"/>
          <w:b/>
          <w:bCs/>
          <w:color w:val="auto"/>
          <w:szCs w:val="21"/>
          <w:highlight w:val="none"/>
          <w:u w:val="single"/>
        </w:rPr>
        <w:t xml:space="preserve">                  </w:t>
      </w:r>
      <w:r>
        <w:rPr>
          <w:rFonts w:hint="eastAsia" w:ascii="黑体" w:hAnsi="黑体" w:eastAsia="黑体" w:cs="黑体"/>
          <w:b/>
          <w:bCs/>
          <w:color w:val="auto"/>
          <w:szCs w:val="21"/>
          <w:highlight w:val="none"/>
        </w:rPr>
        <w:t>，账号：</w:t>
      </w:r>
      <w:r>
        <w:rPr>
          <w:rFonts w:hint="eastAsia" w:ascii="黑体" w:hAnsi="黑体" w:eastAsia="黑体" w:cs="黑体"/>
          <w:b/>
          <w:bCs/>
          <w:color w:val="auto"/>
          <w:szCs w:val="21"/>
          <w:highlight w:val="none"/>
          <w:u w:val="single"/>
        </w:rPr>
        <w:t xml:space="preserve">                  </w:t>
      </w:r>
      <w:r>
        <w:rPr>
          <w:rFonts w:hint="eastAsia" w:ascii="黑体" w:hAnsi="黑体" w:eastAsia="黑体" w:cs="黑体"/>
          <w:b/>
          <w:bCs/>
          <w:color w:val="auto"/>
          <w:szCs w:val="21"/>
          <w:highlight w:val="none"/>
        </w:rPr>
        <w:t>，开户银行：</w:t>
      </w:r>
      <w:r>
        <w:rPr>
          <w:rFonts w:hint="eastAsia" w:ascii="黑体" w:hAnsi="黑体" w:eastAsia="黑体" w:cs="黑体"/>
          <w:b/>
          <w:bCs/>
          <w:color w:val="auto"/>
          <w:szCs w:val="21"/>
          <w:highlight w:val="none"/>
          <w:u w:val="single"/>
        </w:rPr>
        <w:t xml:space="preserve">                 </w:t>
      </w:r>
      <w:r>
        <w:rPr>
          <w:rFonts w:hint="eastAsia" w:ascii="黑体" w:hAnsi="黑体" w:eastAsia="黑体" w:cs="黑体"/>
          <w:b/>
          <w:bCs/>
          <w:color w:val="auto"/>
          <w:szCs w:val="21"/>
          <w:highlight w:val="none"/>
        </w:rPr>
        <w:t>）。</w:t>
      </w:r>
    </w:p>
    <w:p w14:paraId="57F2FE63">
      <w:pPr>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本单位投标保证金的汇款情况：（详见附件－投标保证金汇款凭证）</w:t>
      </w:r>
    </w:p>
    <w:p w14:paraId="2015F714">
      <w:pPr>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汇出时间：</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年</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月</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日；</w:t>
      </w:r>
    </w:p>
    <w:p w14:paraId="05B48F50">
      <w:pPr>
        <w:spacing w:line="360" w:lineRule="auto"/>
        <w:ind w:firstLine="420" w:firstLineChars="200"/>
        <w:rPr>
          <w:rFonts w:hint="eastAsia" w:ascii="黑体" w:hAnsi="黑体" w:eastAsia="黑体" w:cs="黑体"/>
          <w:color w:val="auto"/>
          <w:szCs w:val="21"/>
          <w:highlight w:val="none"/>
          <w:u w:val="single"/>
        </w:rPr>
      </w:pPr>
      <w:r>
        <w:rPr>
          <w:rFonts w:hint="eastAsia" w:ascii="黑体" w:hAnsi="黑体" w:eastAsia="黑体" w:cs="黑体"/>
          <w:color w:val="auto"/>
          <w:szCs w:val="21"/>
          <w:highlight w:val="none"/>
        </w:rPr>
        <w:t>汇款金额：（大写）人民币</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元（小写：￥</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元），</w:t>
      </w:r>
    </w:p>
    <w:p w14:paraId="7AEAA9C1">
      <w:pPr>
        <w:spacing w:line="360" w:lineRule="auto"/>
        <w:ind w:firstLine="420" w:firstLineChars="200"/>
        <w:rPr>
          <w:rFonts w:hint="eastAsia" w:ascii="黑体" w:hAnsi="黑体" w:eastAsia="黑体" w:cs="黑体"/>
          <w:color w:val="auto"/>
          <w:szCs w:val="21"/>
          <w:highlight w:val="none"/>
          <w:u w:val="single"/>
        </w:rPr>
      </w:pPr>
      <w:r>
        <w:rPr>
          <w:rFonts w:hint="eastAsia" w:ascii="黑体" w:hAnsi="黑体" w:eastAsia="黑体" w:cs="黑体"/>
          <w:color w:val="auto"/>
          <w:szCs w:val="21"/>
          <w:highlight w:val="none"/>
        </w:rPr>
        <w:t>汇款账户名称：</w:t>
      </w:r>
      <w:r>
        <w:rPr>
          <w:rFonts w:hint="eastAsia" w:ascii="黑体" w:hAnsi="黑体" w:eastAsia="黑体" w:cs="黑体"/>
          <w:color w:val="auto"/>
          <w:szCs w:val="21"/>
          <w:highlight w:val="none"/>
          <w:u w:val="single"/>
        </w:rPr>
        <w:t xml:space="preserve">         （必须是投标时使用的账户名）                        </w:t>
      </w:r>
    </w:p>
    <w:p w14:paraId="177F4C13">
      <w:pPr>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帐    号：</w:t>
      </w:r>
      <w:r>
        <w:rPr>
          <w:rFonts w:hint="eastAsia" w:ascii="黑体" w:hAnsi="黑体" w:eastAsia="黑体" w:cs="黑体"/>
          <w:color w:val="auto"/>
          <w:szCs w:val="21"/>
          <w:highlight w:val="none"/>
          <w:u w:val="single"/>
        </w:rPr>
        <w:t xml:space="preserve">              （必须是投标时使用的账号）                         </w:t>
      </w:r>
    </w:p>
    <w:p w14:paraId="09962B3B">
      <w:pPr>
        <w:spacing w:line="360" w:lineRule="auto"/>
        <w:ind w:firstLine="420" w:firstLineChars="200"/>
        <w:rPr>
          <w:rFonts w:hint="eastAsia" w:ascii="黑体" w:hAnsi="黑体" w:eastAsia="黑体" w:cs="黑体"/>
          <w:color w:val="auto"/>
          <w:szCs w:val="21"/>
          <w:highlight w:val="none"/>
          <w:u w:val="single"/>
        </w:rPr>
      </w:pPr>
      <w:r>
        <w:rPr>
          <w:rFonts w:hint="eastAsia" w:ascii="黑体" w:hAnsi="黑体" w:eastAsia="黑体" w:cs="黑体"/>
          <w:color w:val="auto"/>
          <w:szCs w:val="21"/>
          <w:highlight w:val="none"/>
        </w:rPr>
        <w:t>开户银行：</w:t>
      </w:r>
      <w:r>
        <w:rPr>
          <w:rFonts w:hint="eastAsia" w:ascii="黑体" w:hAnsi="黑体" w:eastAsia="黑体" w:cs="黑体"/>
          <w:color w:val="auto"/>
          <w:szCs w:val="21"/>
          <w:highlight w:val="none"/>
          <w:u w:val="single"/>
        </w:rPr>
        <w:t xml:space="preserve">            省             市           银行           支行      </w:t>
      </w:r>
    </w:p>
    <w:p w14:paraId="61051DFE">
      <w:pPr>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本单位谨承诺上述资料是正确、真实的，如因上述证明与事实不符导致的一切损失，本单位保证承担赔偿等一切法律责任。</w:t>
      </w:r>
    </w:p>
    <w:p w14:paraId="1C5C95E2">
      <w:pPr>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投标保证金退回时，请按上述资料退回。</w:t>
      </w:r>
    </w:p>
    <w:p w14:paraId="26EEB534">
      <w:pPr>
        <w:spacing w:line="360" w:lineRule="auto"/>
        <w:ind w:right="844" w:rightChars="402"/>
        <w:jc w:val="right"/>
        <w:rPr>
          <w:rFonts w:hint="eastAsia" w:ascii="黑体" w:hAnsi="黑体" w:eastAsia="黑体" w:cs="黑体"/>
          <w:color w:val="auto"/>
          <w:szCs w:val="21"/>
          <w:highlight w:val="none"/>
        </w:rPr>
      </w:pPr>
      <w:r>
        <w:rPr>
          <w:rFonts w:hint="eastAsia" w:ascii="黑体" w:hAnsi="黑体" w:eastAsia="黑体" w:cs="黑体"/>
          <w:color w:val="auto"/>
          <w:szCs w:val="21"/>
          <w:highlight w:val="none"/>
        </w:rPr>
        <w:t>（单位公章）</w:t>
      </w:r>
    </w:p>
    <w:p w14:paraId="2EAA44EA">
      <w:pPr>
        <w:spacing w:line="360" w:lineRule="auto"/>
        <w:ind w:right="628" w:rightChars="299"/>
        <w:jc w:val="right"/>
        <w:rPr>
          <w:rFonts w:hint="eastAsia" w:ascii="黑体" w:hAnsi="黑体" w:eastAsia="黑体" w:cs="黑体"/>
          <w:color w:val="auto"/>
          <w:szCs w:val="21"/>
          <w:highlight w:val="none"/>
        </w:rPr>
      </w:pPr>
      <w:r>
        <w:rPr>
          <w:rFonts w:hint="eastAsia" w:ascii="黑体" w:hAnsi="黑体" w:eastAsia="黑体" w:cs="黑体"/>
          <w:color w:val="auto"/>
          <w:szCs w:val="21"/>
          <w:highlight w:val="none"/>
        </w:rPr>
        <w:t>年     月    日</w:t>
      </w:r>
    </w:p>
    <w:p w14:paraId="55228140">
      <w:pPr>
        <w:spacing w:line="360" w:lineRule="auto"/>
        <w:rPr>
          <w:rFonts w:hint="eastAsia" w:ascii="黑体" w:hAnsi="黑体" w:eastAsia="黑体" w:cs="黑体"/>
          <w:color w:val="auto"/>
          <w:szCs w:val="21"/>
          <w:highlight w:val="none"/>
          <w:u w:val="single"/>
        </w:rPr>
      </w:pPr>
      <w:r>
        <w:rPr>
          <w:rFonts w:hint="eastAsia" w:ascii="黑体" w:hAnsi="黑体" w:eastAsia="黑体" w:cs="黑体"/>
          <w:color w:val="auto"/>
          <w:szCs w:val="21"/>
          <w:highlight w:val="none"/>
        </w:rPr>
        <w:t>单位名称：</w:t>
      </w:r>
      <w:r>
        <w:rPr>
          <w:rFonts w:hint="eastAsia" w:ascii="黑体" w:hAnsi="黑体" w:eastAsia="黑体" w:cs="黑体"/>
          <w:color w:val="auto"/>
          <w:szCs w:val="21"/>
          <w:highlight w:val="none"/>
          <w:u w:val="single"/>
        </w:rPr>
        <w:t xml:space="preserve">                    </w:t>
      </w:r>
    </w:p>
    <w:p w14:paraId="27C54F97">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单位地址：</w:t>
      </w:r>
      <w:r>
        <w:rPr>
          <w:rFonts w:hint="eastAsia" w:ascii="黑体" w:hAnsi="黑体" w:eastAsia="黑体" w:cs="黑体"/>
          <w:color w:val="auto"/>
          <w:szCs w:val="21"/>
          <w:highlight w:val="none"/>
          <w:u w:val="single"/>
        </w:rPr>
        <w:t xml:space="preserve">                    </w:t>
      </w:r>
    </w:p>
    <w:p w14:paraId="578B1771">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联 系 人：</w:t>
      </w:r>
      <w:r>
        <w:rPr>
          <w:rFonts w:hint="eastAsia" w:ascii="黑体" w:hAnsi="黑体" w:eastAsia="黑体" w:cs="黑体"/>
          <w:color w:val="auto"/>
          <w:szCs w:val="21"/>
          <w:highlight w:val="none"/>
          <w:u w:val="single"/>
        </w:rPr>
        <w:t xml:space="preserve">  </w:t>
      </w:r>
      <w:r>
        <w:rPr>
          <w:rFonts w:hint="eastAsia" w:ascii="黑体" w:hAnsi="黑体" w:eastAsia="黑体" w:cs="黑体"/>
          <w:i/>
          <w:color w:val="auto"/>
          <w:szCs w:val="21"/>
          <w:highlight w:val="none"/>
          <w:u w:val="single"/>
        </w:rPr>
        <w:t>（投标单位财务）</w:t>
      </w:r>
      <w:r>
        <w:rPr>
          <w:rFonts w:hint="eastAsia" w:ascii="黑体" w:hAnsi="黑体" w:eastAsia="黑体" w:cs="黑体"/>
          <w:color w:val="auto"/>
          <w:szCs w:val="21"/>
          <w:highlight w:val="none"/>
          <w:u w:val="single"/>
        </w:rPr>
        <w:t xml:space="preserve">  </w:t>
      </w:r>
    </w:p>
    <w:p w14:paraId="0E0F1DC0">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单位电话：</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 xml:space="preserve">      联系人手机：</w:t>
      </w:r>
      <w:r>
        <w:rPr>
          <w:rFonts w:hint="eastAsia" w:ascii="黑体" w:hAnsi="黑体" w:eastAsia="黑体" w:cs="黑体"/>
          <w:color w:val="auto"/>
          <w:szCs w:val="21"/>
          <w:highlight w:val="none"/>
          <w:u w:val="single"/>
        </w:rPr>
        <w:t xml:space="preserve">              </w:t>
      </w:r>
    </w:p>
    <w:tbl>
      <w:tblPr>
        <w:tblStyle w:val="19"/>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8767"/>
      </w:tblGrid>
      <w:tr w14:paraId="75C523DA">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PrEx>
        <w:trPr>
          <w:trHeight w:val="2310" w:hRule="atLeast"/>
          <w:jc w:val="center"/>
        </w:trPr>
        <w:tc>
          <w:tcPr>
            <w:tcW w:w="5000" w:type="pct"/>
            <w:vAlign w:val="center"/>
          </w:tcPr>
          <w:p w14:paraId="74F4FE1A">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附件一：我方投标保证金汇款凭证（复印件加盖投标人公章）</w:t>
            </w:r>
          </w:p>
        </w:tc>
      </w:tr>
    </w:tbl>
    <w:p w14:paraId="26FD5E81">
      <w:pPr>
        <w:spacing w:line="360" w:lineRule="auto"/>
        <w:rPr>
          <w:rFonts w:hint="eastAsia" w:ascii="黑体" w:hAnsi="黑体" w:eastAsia="黑体" w:cs="黑体"/>
          <w:bCs/>
          <w:color w:val="auto"/>
          <w:szCs w:val="21"/>
          <w:highlight w:val="none"/>
          <w:lang w:val="zh-CN"/>
        </w:rPr>
      </w:pPr>
      <w:r>
        <w:rPr>
          <w:rFonts w:hint="eastAsia" w:ascii="黑体" w:hAnsi="黑体" w:eastAsia="黑体" w:cs="黑体"/>
          <w:bCs/>
          <w:color w:val="auto"/>
          <w:szCs w:val="21"/>
          <w:highlight w:val="none"/>
          <w:lang w:val="zh-CN"/>
        </w:rPr>
        <w:t>注：本情况说明手写无效。</w:t>
      </w:r>
    </w:p>
    <w:p w14:paraId="611F3B86">
      <w:pPr>
        <w:pageBreakBefore/>
        <w:rPr>
          <w:rFonts w:hint="eastAsia" w:ascii="黑体" w:hAnsi="黑体" w:eastAsia="黑体" w:cs="黑体"/>
          <w:b/>
          <w:bCs/>
          <w:color w:val="auto"/>
          <w:highlight w:val="none"/>
        </w:rPr>
      </w:pPr>
      <w:r>
        <w:rPr>
          <w:rFonts w:hint="eastAsia" w:ascii="黑体" w:hAnsi="黑体" w:eastAsia="黑体" w:cs="黑体"/>
          <w:b/>
          <w:bCs/>
          <w:color w:val="auto"/>
          <w:highlight w:val="none"/>
        </w:rPr>
        <w:t>政府采购投标担保函递交情况说明</w:t>
      </w:r>
    </w:p>
    <w:p w14:paraId="063B7A85">
      <w:pPr>
        <w:spacing w:before="312" w:beforeLines="100" w:after="312" w:afterLines="100"/>
        <w:jc w:val="center"/>
        <w:rPr>
          <w:rFonts w:hint="eastAsia" w:ascii="黑体" w:hAnsi="黑体" w:eastAsia="黑体" w:cs="黑体"/>
          <w:b/>
          <w:color w:val="auto"/>
          <w:spacing w:val="20"/>
          <w:sz w:val="30"/>
          <w:szCs w:val="30"/>
          <w:highlight w:val="none"/>
        </w:rPr>
      </w:pPr>
      <w:r>
        <w:rPr>
          <w:rFonts w:hint="eastAsia" w:ascii="黑体" w:hAnsi="黑体" w:eastAsia="黑体" w:cs="黑体"/>
          <w:b/>
          <w:color w:val="auto"/>
          <w:spacing w:val="20"/>
          <w:sz w:val="30"/>
          <w:szCs w:val="30"/>
          <w:highlight w:val="none"/>
        </w:rPr>
        <w:t>政府采购投标担保函递交情况说明</w:t>
      </w:r>
    </w:p>
    <w:p w14:paraId="32D7F6F1">
      <w:pPr>
        <w:spacing w:before="468" w:beforeLines="150" w:after="312" w:afterLines="100" w:line="360" w:lineRule="auto"/>
        <w:rPr>
          <w:rFonts w:hint="eastAsia" w:ascii="黑体" w:hAnsi="黑体" w:eastAsia="黑体" w:cs="黑体"/>
          <w:b/>
          <w:color w:val="auto"/>
          <w:highlight w:val="none"/>
        </w:rPr>
      </w:pPr>
      <w:r>
        <w:rPr>
          <w:rFonts w:hint="eastAsia" w:ascii="黑体" w:hAnsi="黑体" w:eastAsia="黑体" w:cs="黑体"/>
          <w:b/>
          <w:color w:val="auto"/>
          <w:highlight w:val="none"/>
        </w:rPr>
        <w:t>致：广东有德招标采购有限公司</w:t>
      </w:r>
    </w:p>
    <w:p w14:paraId="22293EFD">
      <w:pPr>
        <w:spacing w:line="480" w:lineRule="auto"/>
        <w:ind w:firstLine="420" w:firstLineChars="200"/>
        <w:rPr>
          <w:rFonts w:hint="eastAsia" w:ascii="黑体" w:hAnsi="黑体" w:eastAsia="黑体" w:cs="黑体"/>
          <w:color w:val="auto"/>
          <w:szCs w:val="21"/>
          <w:highlight w:val="none"/>
        </w:rPr>
      </w:pPr>
      <w:r>
        <w:rPr>
          <w:rFonts w:hint="eastAsia" w:ascii="黑体" w:hAnsi="黑体" w:eastAsia="黑体" w:cs="黑体"/>
          <w:bCs/>
          <w:color w:val="auto"/>
          <w:szCs w:val="21"/>
          <w:highlight w:val="none"/>
        </w:rPr>
        <w:t>本单位已按</w:t>
      </w:r>
      <w:r>
        <w:rPr>
          <w:rFonts w:hint="eastAsia" w:ascii="黑体" w:hAnsi="黑体" w:eastAsia="黑体" w:cs="黑体"/>
          <w:bCs/>
          <w:color w:val="auto"/>
          <w:szCs w:val="21"/>
          <w:highlight w:val="none"/>
          <w:u w:val="single"/>
        </w:rPr>
        <w:t xml:space="preserve">     （项目名称）     </w:t>
      </w:r>
      <w:r>
        <w:rPr>
          <w:rFonts w:hint="eastAsia" w:ascii="黑体" w:hAnsi="黑体" w:eastAsia="黑体" w:cs="黑体"/>
          <w:bCs/>
          <w:color w:val="auto"/>
          <w:szCs w:val="21"/>
          <w:highlight w:val="none"/>
        </w:rPr>
        <w:t>项目（项目编号：</w:t>
      </w:r>
      <w:r>
        <w:rPr>
          <w:rFonts w:hint="eastAsia" w:ascii="黑体" w:hAnsi="黑体" w:eastAsia="黑体" w:cs="黑体"/>
          <w:bCs/>
          <w:color w:val="auto"/>
          <w:szCs w:val="21"/>
          <w:highlight w:val="none"/>
          <w:u w:val="single"/>
        </w:rPr>
        <w:t xml:space="preserve">             </w:t>
      </w:r>
      <w:r>
        <w:rPr>
          <w:rFonts w:hint="eastAsia" w:ascii="黑体" w:hAnsi="黑体" w:eastAsia="黑体" w:cs="黑体"/>
          <w:bCs/>
          <w:color w:val="auto"/>
          <w:szCs w:val="21"/>
          <w:highlight w:val="none"/>
        </w:rPr>
        <w:t>）的招标文件要求，于</w:t>
      </w:r>
      <w:r>
        <w:rPr>
          <w:rFonts w:hint="eastAsia" w:ascii="黑体" w:hAnsi="黑体" w:eastAsia="黑体" w:cs="黑体"/>
          <w:color w:val="auto"/>
          <w:szCs w:val="21"/>
          <w:highlight w:val="none"/>
          <w:u w:val="single"/>
        </w:rPr>
        <w:t xml:space="preserve">      年   月   日    时   分（北京时间）</w:t>
      </w:r>
      <w:r>
        <w:rPr>
          <w:rFonts w:hint="eastAsia" w:ascii="黑体" w:hAnsi="黑体" w:eastAsia="黑体" w:cs="黑体"/>
          <w:bCs/>
          <w:color w:val="auto"/>
          <w:szCs w:val="21"/>
          <w:highlight w:val="none"/>
        </w:rPr>
        <w:t>前以</w:t>
      </w:r>
      <w:r>
        <w:rPr>
          <w:rFonts w:hint="eastAsia" w:ascii="黑体" w:hAnsi="黑体" w:eastAsia="黑体" w:cs="黑体"/>
          <w:bCs/>
          <w:color w:val="auto"/>
          <w:szCs w:val="21"/>
          <w:highlight w:val="none"/>
          <w:u w:val="single"/>
        </w:rPr>
        <w:t>政府采购投标担保函</w:t>
      </w:r>
      <w:r>
        <w:rPr>
          <w:rFonts w:hint="eastAsia" w:ascii="黑体" w:hAnsi="黑体" w:eastAsia="黑体" w:cs="黑体"/>
          <w:bCs/>
          <w:color w:val="auto"/>
          <w:szCs w:val="21"/>
          <w:highlight w:val="none"/>
        </w:rPr>
        <w:t>方式与投标文件一同递交。</w:t>
      </w:r>
    </w:p>
    <w:p w14:paraId="236235AC">
      <w:pPr>
        <w:spacing w:line="360" w:lineRule="auto"/>
        <w:ind w:right="844" w:rightChars="402"/>
        <w:jc w:val="right"/>
        <w:rPr>
          <w:rFonts w:hint="eastAsia" w:ascii="黑体" w:hAnsi="黑体" w:eastAsia="黑体" w:cs="黑体"/>
          <w:color w:val="auto"/>
          <w:szCs w:val="21"/>
          <w:highlight w:val="none"/>
        </w:rPr>
      </w:pPr>
    </w:p>
    <w:p w14:paraId="09B1BF16">
      <w:pPr>
        <w:spacing w:line="360" w:lineRule="auto"/>
        <w:ind w:right="844" w:rightChars="402"/>
        <w:jc w:val="right"/>
        <w:rPr>
          <w:rFonts w:hint="eastAsia" w:ascii="黑体" w:hAnsi="黑体" w:eastAsia="黑体" w:cs="黑体"/>
          <w:color w:val="auto"/>
          <w:szCs w:val="21"/>
          <w:highlight w:val="none"/>
        </w:rPr>
      </w:pPr>
      <w:r>
        <w:rPr>
          <w:rFonts w:hint="eastAsia" w:ascii="黑体" w:hAnsi="黑体" w:eastAsia="黑体" w:cs="黑体"/>
          <w:color w:val="auto"/>
          <w:szCs w:val="21"/>
          <w:highlight w:val="none"/>
        </w:rPr>
        <w:t>（单位公章）</w:t>
      </w:r>
    </w:p>
    <w:p w14:paraId="02FC59EE">
      <w:pPr>
        <w:spacing w:after="624" w:afterLines="200" w:line="360" w:lineRule="auto"/>
        <w:ind w:right="628" w:rightChars="299"/>
        <w:jc w:val="right"/>
        <w:rPr>
          <w:rFonts w:hint="eastAsia" w:ascii="黑体" w:hAnsi="黑体" w:eastAsia="黑体" w:cs="黑体"/>
          <w:color w:val="auto"/>
          <w:szCs w:val="21"/>
          <w:highlight w:val="none"/>
        </w:rPr>
      </w:pPr>
      <w:r>
        <w:rPr>
          <w:rFonts w:hint="eastAsia" w:ascii="黑体" w:hAnsi="黑体" w:eastAsia="黑体" w:cs="黑体"/>
          <w:color w:val="auto"/>
          <w:szCs w:val="21"/>
          <w:highlight w:val="none"/>
        </w:rPr>
        <w:t>年     月    日</w:t>
      </w:r>
    </w:p>
    <w:p w14:paraId="2612B603">
      <w:pPr>
        <w:spacing w:line="360" w:lineRule="auto"/>
        <w:rPr>
          <w:rFonts w:hint="eastAsia" w:ascii="黑体" w:hAnsi="黑体" w:eastAsia="黑体" w:cs="黑体"/>
          <w:color w:val="auto"/>
          <w:szCs w:val="21"/>
          <w:highlight w:val="none"/>
          <w:u w:val="single"/>
        </w:rPr>
      </w:pPr>
      <w:r>
        <w:rPr>
          <w:rFonts w:hint="eastAsia" w:ascii="黑体" w:hAnsi="黑体" w:eastAsia="黑体" w:cs="黑体"/>
          <w:color w:val="auto"/>
          <w:szCs w:val="21"/>
          <w:highlight w:val="none"/>
        </w:rPr>
        <w:t>单位名称：</w:t>
      </w:r>
      <w:r>
        <w:rPr>
          <w:rFonts w:hint="eastAsia" w:ascii="黑体" w:hAnsi="黑体" w:eastAsia="黑体" w:cs="黑体"/>
          <w:color w:val="auto"/>
          <w:szCs w:val="21"/>
          <w:highlight w:val="none"/>
          <w:u w:val="single"/>
        </w:rPr>
        <w:t xml:space="preserve">                    </w:t>
      </w:r>
    </w:p>
    <w:p w14:paraId="36DD4D8F">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单位地址：</w:t>
      </w:r>
      <w:r>
        <w:rPr>
          <w:rFonts w:hint="eastAsia" w:ascii="黑体" w:hAnsi="黑体" w:eastAsia="黑体" w:cs="黑体"/>
          <w:color w:val="auto"/>
          <w:szCs w:val="21"/>
          <w:highlight w:val="none"/>
          <w:u w:val="single"/>
        </w:rPr>
        <w:t xml:space="preserve">                    </w:t>
      </w:r>
    </w:p>
    <w:p w14:paraId="62F547D4">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联 系 人：</w:t>
      </w:r>
      <w:r>
        <w:rPr>
          <w:rFonts w:hint="eastAsia" w:ascii="黑体" w:hAnsi="黑体" w:eastAsia="黑体" w:cs="黑体"/>
          <w:color w:val="auto"/>
          <w:szCs w:val="21"/>
          <w:highlight w:val="none"/>
          <w:u w:val="single"/>
        </w:rPr>
        <w:t xml:space="preserve">  </w:t>
      </w:r>
      <w:r>
        <w:rPr>
          <w:rFonts w:hint="eastAsia" w:ascii="黑体" w:hAnsi="黑体" w:eastAsia="黑体" w:cs="黑体"/>
          <w:i/>
          <w:color w:val="auto"/>
          <w:szCs w:val="21"/>
          <w:highlight w:val="none"/>
          <w:u w:val="single"/>
        </w:rPr>
        <w:t>（投标单位财务）</w:t>
      </w:r>
      <w:r>
        <w:rPr>
          <w:rFonts w:hint="eastAsia" w:ascii="黑体" w:hAnsi="黑体" w:eastAsia="黑体" w:cs="黑体"/>
          <w:color w:val="auto"/>
          <w:szCs w:val="21"/>
          <w:highlight w:val="none"/>
          <w:u w:val="single"/>
        </w:rPr>
        <w:t xml:space="preserve">  </w:t>
      </w:r>
    </w:p>
    <w:p w14:paraId="76D18AE5">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单位电话：</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 xml:space="preserve">      联系人手机：</w:t>
      </w:r>
      <w:r>
        <w:rPr>
          <w:rFonts w:hint="eastAsia" w:ascii="黑体" w:hAnsi="黑体" w:eastAsia="黑体" w:cs="黑体"/>
          <w:color w:val="auto"/>
          <w:szCs w:val="21"/>
          <w:highlight w:val="none"/>
          <w:u w:val="single"/>
        </w:rPr>
        <w:t xml:space="preserve">              </w:t>
      </w:r>
    </w:p>
    <w:tbl>
      <w:tblPr>
        <w:tblStyle w:val="19"/>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8767"/>
      </w:tblGrid>
      <w:tr w14:paraId="7418C2AD">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310" w:hRule="atLeast"/>
          <w:jc w:val="center"/>
        </w:trPr>
        <w:tc>
          <w:tcPr>
            <w:tcW w:w="5000" w:type="pct"/>
            <w:vAlign w:val="center"/>
          </w:tcPr>
          <w:p w14:paraId="5FCA6F32">
            <w:pPr>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附件一：</w:t>
            </w:r>
            <w:r>
              <w:rPr>
                <w:rFonts w:hint="eastAsia" w:ascii="黑体" w:hAnsi="黑体" w:eastAsia="黑体" w:cs="黑体"/>
                <w:b/>
                <w:color w:val="auto"/>
                <w:szCs w:val="21"/>
                <w:highlight w:val="none"/>
                <w:lang w:val="zh-CN"/>
              </w:rPr>
              <w:t>《政府采购投标担保函》</w:t>
            </w:r>
            <w:r>
              <w:rPr>
                <w:rFonts w:hint="eastAsia" w:ascii="黑体" w:hAnsi="黑体" w:eastAsia="黑体" w:cs="黑体"/>
                <w:b/>
                <w:color w:val="auto"/>
                <w:szCs w:val="21"/>
                <w:highlight w:val="none"/>
              </w:rPr>
              <w:t>（原件）</w:t>
            </w:r>
          </w:p>
        </w:tc>
      </w:tr>
    </w:tbl>
    <w:p w14:paraId="1A640FE8">
      <w:pPr>
        <w:pStyle w:val="29"/>
        <w:pageBreakBefore/>
        <w:numPr>
          <w:ilvl w:val="0"/>
          <w:numId w:val="84"/>
        </w:numPr>
        <w:tabs>
          <w:tab w:val="left" w:pos="284"/>
          <w:tab w:val="left" w:pos="567"/>
          <w:tab w:val="left" w:pos="709"/>
        </w:tabs>
        <w:ind w:left="1679" w:hanging="1537" w:firstLineChars="0"/>
        <w:jc w:val="left"/>
        <w:rPr>
          <w:rFonts w:hint="eastAsia" w:ascii="黑体" w:hAnsi="黑体" w:eastAsia="黑体" w:cs="黑体"/>
          <w:b/>
          <w:bCs/>
          <w:color w:val="auto"/>
          <w:highlight w:val="none"/>
        </w:rPr>
      </w:pPr>
      <w:r>
        <w:rPr>
          <w:rFonts w:hint="eastAsia" w:ascii="黑体" w:hAnsi="黑体" w:eastAsia="黑体" w:cs="黑体"/>
          <w:b/>
          <w:bCs/>
          <w:color w:val="auto"/>
          <w:highlight w:val="none"/>
        </w:rPr>
        <w:t>相关保函格式（本项目不适用）</w:t>
      </w:r>
    </w:p>
    <w:p w14:paraId="0BC308F5">
      <w:pPr>
        <w:spacing w:before="312" w:beforeLines="100" w:after="312" w:afterLines="100" w:line="360" w:lineRule="auto"/>
        <w:jc w:val="center"/>
        <w:rPr>
          <w:rFonts w:hint="eastAsia" w:ascii="黑体" w:hAnsi="黑体" w:eastAsia="黑体" w:cs="黑体"/>
          <w:b/>
          <w:color w:val="auto"/>
          <w:spacing w:val="20"/>
          <w:sz w:val="30"/>
          <w:szCs w:val="30"/>
          <w:highlight w:val="none"/>
        </w:rPr>
      </w:pPr>
      <w:r>
        <w:rPr>
          <w:rFonts w:hint="eastAsia" w:ascii="黑体" w:hAnsi="黑体" w:eastAsia="黑体" w:cs="黑体"/>
          <w:b/>
          <w:color w:val="auto"/>
          <w:spacing w:val="20"/>
          <w:sz w:val="30"/>
          <w:szCs w:val="30"/>
          <w:highlight w:val="none"/>
        </w:rPr>
        <w:t>政府采购投标担保函</w:t>
      </w:r>
    </w:p>
    <w:p w14:paraId="543B5207">
      <w:pPr>
        <w:spacing w:line="360" w:lineRule="auto"/>
        <w:ind w:firstLine="6261" w:firstLineChars="2970"/>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编号：</w:t>
      </w:r>
    </w:p>
    <w:p w14:paraId="02C6CB23">
      <w:pPr>
        <w:spacing w:line="360" w:lineRule="auto"/>
        <w:rPr>
          <w:rFonts w:hint="eastAsia" w:ascii="黑体" w:hAnsi="黑体" w:eastAsia="黑体" w:cs="黑体"/>
          <w:color w:val="auto"/>
          <w:szCs w:val="21"/>
          <w:highlight w:val="none"/>
          <w:u w:val="single"/>
        </w:rPr>
      </w:pP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(采购人或采购代理机构)：</w:t>
      </w:r>
    </w:p>
    <w:p w14:paraId="1F6BA31B">
      <w:pPr>
        <w:spacing w:line="360" w:lineRule="auto"/>
        <w:ind w:firstLine="420" w:firstLineChars="200"/>
        <w:rPr>
          <w:rFonts w:hint="eastAsia" w:ascii="黑体" w:hAnsi="黑体" w:eastAsia="黑体" w:cs="黑体"/>
          <w:color w:val="auto"/>
          <w:szCs w:val="21"/>
          <w:highlight w:val="none"/>
          <w:u w:val="single"/>
        </w:rPr>
      </w:pPr>
      <w:r>
        <w:rPr>
          <w:rFonts w:hint="eastAsia" w:ascii="黑体" w:hAnsi="黑体" w:eastAsia="黑体" w:cs="黑体"/>
          <w:color w:val="auto"/>
          <w:szCs w:val="21"/>
          <w:highlight w:val="none"/>
        </w:rPr>
        <w:t>鉴于</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(以下简称“投标人”)拟参加编号为</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的</w:t>
      </w:r>
      <w:r>
        <w:rPr>
          <w:rFonts w:hint="eastAsia" w:ascii="黑体" w:hAnsi="黑体" w:eastAsia="黑体" w:cs="黑体"/>
          <w:color w:val="auto"/>
          <w:szCs w:val="21"/>
          <w:highlight w:val="none"/>
          <w:u w:val="single"/>
        </w:rPr>
        <w:t xml:space="preserve">      </w:t>
      </w:r>
    </w:p>
    <w:p w14:paraId="7F5D0EC9">
      <w:pPr>
        <w:spacing w:line="360" w:lineRule="auto"/>
        <w:rPr>
          <w:rFonts w:hint="eastAsia" w:ascii="黑体" w:hAnsi="黑体" w:eastAsia="黑体" w:cs="黑体"/>
          <w:color w:val="auto"/>
          <w:szCs w:val="21"/>
          <w:highlight w:val="none"/>
          <w:u w:val="single"/>
        </w:rPr>
      </w:pP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 xml:space="preserve"> 项目(以下简称“本项目”)投标，根据本项目招标文件，供应商参加投标时应向你方交纳投标保证金,且可以投标担保函的形式交纳投标保证金。应供应商的申请，我方以保证的方式向你方提供如下投标保证金担保：</w:t>
      </w:r>
    </w:p>
    <w:p w14:paraId="300D2CE8">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一、保证责任的情形及保证金额</w:t>
      </w:r>
    </w:p>
    <w:p w14:paraId="04808BBD">
      <w:pPr>
        <w:tabs>
          <w:tab w:val="left" w:pos="284"/>
        </w:tabs>
        <w:spacing w:line="360" w:lineRule="auto"/>
        <w:ind w:left="283" w:leftChars="135"/>
        <w:rPr>
          <w:rFonts w:hint="eastAsia" w:ascii="黑体" w:hAnsi="黑体" w:eastAsia="黑体" w:cs="黑体"/>
          <w:color w:val="auto"/>
          <w:szCs w:val="21"/>
          <w:highlight w:val="none"/>
        </w:rPr>
      </w:pPr>
      <w:r>
        <w:rPr>
          <w:rFonts w:hint="eastAsia" w:ascii="黑体" w:hAnsi="黑体" w:eastAsia="黑体" w:cs="黑体"/>
          <w:color w:val="auto"/>
          <w:szCs w:val="21"/>
          <w:highlight w:val="none"/>
        </w:rPr>
        <w:t>(一)在投标人出现下列情形之一时,，我方承担保证责任：</w:t>
      </w:r>
    </w:p>
    <w:p w14:paraId="527D81C3">
      <w:pPr>
        <w:tabs>
          <w:tab w:val="left" w:pos="284"/>
        </w:tabs>
        <w:spacing w:line="360" w:lineRule="auto"/>
        <w:ind w:left="283" w:leftChars="135"/>
        <w:rPr>
          <w:rFonts w:hint="eastAsia" w:ascii="黑体" w:hAnsi="黑体" w:eastAsia="黑体" w:cs="黑体"/>
          <w:color w:val="auto"/>
          <w:szCs w:val="21"/>
          <w:highlight w:val="none"/>
        </w:rPr>
      </w:pPr>
      <w:r>
        <w:rPr>
          <w:rFonts w:hint="eastAsia" w:ascii="黑体" w:hAnsi="黑体" w:eastAsia="黑体" w:cs="黑体"/>
          <w:color w:val="auto"/>
          <w:szCs w:val="21"/>
          <w:highlight w:val="none"/>
        </w:rPr>
        <w:t>1.中标后投标人无正当理由不与采购人或者采购代理机构签订《政府采购合同》；</w:t>
      </w:r>
    </w:p>
    <w:p w14:paraId="33E80735">
      <w:pPr>
        <w:tabs>
          <w:tab w:val="left" w:pos="284"/>
        </w:tabs>
        <w:spacing w:line="360" w:lineRule="auto"/>
        <w:ind w:left="283" w:leftChars="135"/>
        <w:rPr>
          <w:rFonts w:hint="eastAsia" w:ascii="黑体" w:hAnsi="黑体" w:eastAsia="黑体" w:cs="黑体"/>
          <w:color w:val="auto"/>
          <w:szCs w:val="21"/>
          <w:highlight w:val="none"/>
        </w:rPr>
      </w:pPr>
      <w:r>
        <w:rPr>
          <w:rFonts w:hint="eastAsia" w:ascii="黑体" w:hAnsi="黑体" w:eastAsia="黑体" w:cs="黑体"/>
          <w:color w:val="auto"/>
          <w:szCs w:val="21"/>
          <w:highlight w:val="none"/>
        </w:rPr>
        <w:t>2.招标文件规定的投标人应当缴纳保证金的其他情形。</w:t>
      </w:r>
    </w:p>
    <w:p w14:paraId="67694F46">
      <w:pPr>
        <w:tabs>
          <w:tab w:val="left" w:pos="284"/>
        </w:tabs>
        <w:spacing w:line="360" w:lineRule="auto"/>
        <w:ind w:left="283" w:leftChars="135"/>
        <w:rPr>
          <w:rFonts w:hint="eastAsia" w:ascii="黑体" w:hAnsi="黑体" w:eastAsia="黑体" w:cs="黑体"/>
          <w:color w:val="auto"/>
          <w:szCs w:val="21"/>
          <w:highlight w:val="none"/>
        </w:rPr>
      </w:pPr>
      <w:r>
        <w:rPr>
          <w:rFonts w:hint="eastAsia" w:ascii="黑体" w:hAnsi="黑体" w:eastAsia="黑体" w:cs="黑体"/>
          <w:color w:val="auto"/>
          <w:szCs w:val="21"/>
          <w:highlight w:val="none"/>
        </w:rPr>
        <w:t>(二)我方承担保证责任的最高金额为人民币</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元(大写：</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 xml:space="preserve"> )；即本项目的投标保证金金额。</w:t>
      </w:r>
    </w:p>
    <w:p w14:paraId="4E131429">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二、保证的方式及保证期间</w:t>
      </w:r>
    </w:p>
    <w:p w14:paraId="4CF939AB">
      <w:pPr>
        <w:tabs>
          <w:tab w:val="left" w:pos="142"/>
          <w:tab w:val="left" w:pos="284"/>
        </w:tabs>
        <w:spacing w:line="360" w:lineRule="auto"/>
        <w:ind w:left="283" w:leftChars="135"/>
        <w:rPr>
          <w:rFonts w:hint="eastAsia" w:ascii="黑体" w:hAnsi="黑体" w:eastAsia="黑体" w:cs="黑体"/>
          <w:color w:val="auto"/>
          <w:szCs w:val="21"/>
          <w:highlight w:val="none"/>
        </w:rPr>
      </w:pPr>
      <w:r>
        <w:rPr>
          <w:rFonts w:hint="eastAsia" w:ascii="黑体" w:hAnsi="黑体" w:eastAsia="黑体" w:cs="黑体"/>
          <w:color w:val="auto"/>
          <w:szCs w:val="21"/>
          <w:highlight w:val="none"/>
        </w:rPr>
        <w:t>我方保证的方式为：连带责任保证。</w:t>
      </w:r>
    </w:p>
    <w:p w14:paraId="1026279F">
      <w:pPr>
        <w:spacing w:line="360" w:lineRule="auto"/>
        <w:ind w:left="283" w:leftChars="135"/>
        <w:rPr>
          <w:rFonts w:hint="eastAsia" w:ascii="黑体" w:hAnsi="黑体" w:eastAsia="黑体" w:cs="黑体"/>
          <w:color w:val="auto"/>
          <w:szCs w:val="21"/>
          <w:highlight w:val="none"/>
        </w:rPr>
      </w:pPr>
      <w:r>
        <w:rPr>
          <w:rFonts w:hint="eastAsia" w:ascii="黑体" w:hAnsi="黑体" w:eastAsia="黑体" w:cs="黑体"/>
          <w:color w:val="auto"/>
          <w:szCs w:val="21"/>
          <w:highlight w:val="none"/>
        </w:rPr>
        <w:t>我方的保证期间为：自本保函生效之日起</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个月止。</w:t>
      </w:r>
    </w:p>
    <w:p w14:paraId="22CAB1B7">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三、承担保证责任的程序</w:t>
      </w:r>
    </w:p>
    <w:p w14:paraId="551080BC">
      <w:pPr>
        <w:spacing w:line="360" w:lineRule="auto"/>
        <w:ind w:left="281" w:leftChars="134"/>
        <w:rPr>
          <w:rFonts w:hint="eastAsia" w:ascii="黑体" w:hAnsi="黑体" w:eastAsia="黑体" w:cs="黑体"/>
          <w:color w:val="auto"/>
          <w:szCs w:val="21"/>
          <w:highlight w:val="none"/>
        </w:rPr>
      </w:pPr>
      <w:r>
        <w:rPr>
          <w:rFonts w:hint="eastAsia" w:ascii="黑体" w:hAnsi="黑体" w:eastAsia="黑体" w:cs="黑体"/>
          <w:color w:val="auto"/>
          <w:szCs w:val="21"/>
          <w:highlight w:val="none"/>
        </w:rPr>
        <w:t>1.你方要求我方承担保证责任的，应在本保函保证期间内向我方发出书面索赔通知,索赔通知应写明要求索赔的金额，支付款项应到达的账号。并附有证明投标人发生我方应承担保证责任情形的事实材料。</w:t>
      </w:r>
    </w:p>
    <w:p w14:paraId="7527A288">
      <w:pPr>
        <w:spacing w:line="360" w:lineRule="auto"/>
        <w:ind w:left="281" w:leftChars="134"/>
        <w:rPr>
          <w:rFonts w:hint="eastAsia" w:ascii="黑体" w:hAnsi="黑体" w:eastAsia="黑体" w:cs="黑体"/>
          <w:color w:val="auto"/>
          <w:szCs w:val="21"/>
          <w:highlight w:val="none"/>
        </w:rPr>
      </w:pPr>
      <w:r>
        <w:rPr>
          <w:rFonts w:hint="eastAsia" w:ascii="黑体" w:hAnsi="黑体" w:eastAsia="黑体" w:cs="黑体"/>
          <w:color w:val="auto"/>
          <w:szCs w:val="21"/>
          <w:highlight w:val="none"/>
        </w:rPr>
        <w:t>2.我方在收到索赔通知及相关证明材料后，在</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个工作日内进行审查，符合应承担保证责任情形的，我方应按照你方的要求代投标人向你方支付投标保证金。</w:t>
      </w:r>
    </w:p>
    <w:p w14:paraId="0C932D60">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四、保证责任的终止</w:t>
      </w:r>
    </w:p>
    <w:p w14:paraId="054079FF">
      <w:pPr>
        <w:spacing w:line="360" w:lineRule="auto"/>
        <w:ind w:left="283" w:leftChars="135"/>
        <w:rPr>
          <w:rFonts w:hint="eastAsia" w:ascii="黑体" w:hAnsi="黑体" w:eastAsia="黑体" w:cs="黑体"/>
          <w:color w:val="auto"/>
          <w:szCs w:val="21"/>
          <w:highlight w:val="none"/>
        </w:rPr>
      </w:pPr>
      <w:r>
        <w:rPr>
          <w:rFonts w:hint="eastAsia" w:ascii="黑体" w:hAnsi="黑体" w:eastAsia="黑体" w:cs="黑体"/>
          <w:color w:val="auto"/>
          <w:szCs w:val="21"/>
          <w:highlight w:val="none"/>
        </w:rPr>
        <w:t>1.保证期间届满你方未向我方书面主张保证责任的，自保证期间届满次日起，我方保证责任自动终止。</w:t>
      </w:r>
    </w:p>
    <w:p w14:paraId="1594CF01">
      <w:pPr>
        <w:spacing w:line="360" w:lineRule="auto"/>
        <w:ind w:left="283" w:leftChars="135"/>
        <w:rPr>
          <w:rFonts w:hint="eastAsia" w:ascii="黑体" w:hAnsi="黑体" w:eastAsia="黑体" w:cs="黑体"/>
          <w:color w:val="auto"/>
          <w:szCs w:val="21"/>
          <w:highlight w:val="none"/>
        </w:rPr>
      </w:pPr>
      <w:r>
        <w:rPr>
          <w:rFonts w:hint="eastAsia" w:ascii="黑体" w:hAnsi="黑体" w:eastAsia="黑体" w:cs="黑体"/>
          <w:color w:val="auto"/>
          <w:szCs w:val="21"/>
          <w:highlight w:val="none"/>
        </w:rPr>
        <w:t>2.我方按照本保函向你贵方履行了保证责任后，自我方向你贵方支付款项(支付款项从我方账户划出)之日起,保证责任终止。</w:t>
      </w:r>
    </w:p>
    <w:p w14:paraId="08D62904">
      <w:pPr>
        <w:spacing w:line="360" w:lineRule="auto"/>
        <w:ind w:left="283" w:leftChars="135"/>
        <w:rPr>
          <w:rFonts w:hint="eastAsia" w:ascii="黑体" w:hAnsi="黑体" w:eastAsia="黑体" w:cs="黑体"/>
          <w:color w:val="auto"/>
          <w:szCs w:val="21"/>
          <w:highlight w:val="none"/>
        </w:rPr>
      </w:pPr>
      <w:r>
        <w:rPr>
          <w:rFonts w:hint="eastAsia" w:ascii="黑体" w:hAnsi="黑体" w:eastAsia="黑体" w:cs="黑体"/>
          <w:color w:val="auto"/>
          <w:szCs w:val="21"/>
          <w:highlight w:val="none"/>
        </w:rPr>
        <w:t>3.按照法律法规的规定或出现我方保证责任终止的其它情形的，我方在本保函项下的保证责任亦终止。</w:t>
      </w:r>
    </w:p>
    <w:p w14:paraId="1AF03527">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五、免责条款</w:t>
      </w:r>
    </w:p>
    <w:p w14:paraId="0C33E393">
      <w:pPr>
        <w:spacing w:line="360" w:lineRule="auto"/>
        <w:ind w:left="283" w:leftChars="135"/>
        <w:rPr>
          <w:rFonts w:hint="eastAsia" w:ascii="黑体" w:hAnsi="黑体" w:eastAsia="黑体" w:cs="黑体"/>
          <w:color w:val="auto"/>
          <w:szCs w:val="21"/>
          <w:highlight w:val="none"/>
        </w:rPr>
      </w:pPr>
      <w:r>
        <w:rPr>
          <w:rFonts w:hint="eastAsia" w:ascii="黑体" w:hAnsi="黑体" w:eastAsia="黑体" w:cs="黑体"/>
          <w:color w:val="auto"/>
          <w:szCs w:val="21"/>
          <w:highlight w:val="none"/>
        </w:rPr>
        <w:t>1.依照法律规定或你方与投标人的另行约定，全部或者部分免除投标人投标保证金义务时，我方亦免除相应的保证责任。</w:t>
      </w:r>
    </w:p>
    <w:p w14:paraId="3DAE400A">
      <w:pPr>
        <w:spacing w:line="360" w:lineRule="auto"/>
        <w:ind w:left="283" w:leftChars="135"/>
        <w:rPr>
          <w:rFonts w:hint="eastAsia" w:ascii="黑体" w:hAnsi="黑体" w:eastAsia="黑体" w:cs="黑体"/>
          <w:color w:val="auto"/>
          <w:szCs w:val="21"/>
          <w:highlight w:val="none"/>
        </w:rPr>
      </w:pPr>
      <w:r>
        <w:rPr>
          <w:rFonts w:hint="eastAsia" w:ascii="黑体" w:hAnsi="黑体" w:eastAsia="黑体" w:cs="黑体"/>
          <w:color w:val="auto"/>
          <w:szCs w:val="21"/>
          <w:highlight w:val="none"/>
        </w:rPr>
        <w:t>2.因你方原因致使投标人发生本保函第一条第（一）款约定情形的，我方不承担保证责任。</w:t>
      </w:r>
    </w:p>
    <w:p w14:paraId="60DB9DF7">
      <w:pPr>
        <w:spacing w:line="360" w:lineRule="auto"/>
        <w:ind w:left="283" w:leftChars="135"/>
        <w:rPr>
          <w:rFonts w:hint="eastAsia" w:ascii="黑体" w:hAnsi="黑体" w:eastAsia="黑体" w:cs="黑体"/>
          <w:color w:val="auto"/>
          <w:szCs w:val="21"/>
          <w:highlight w:val="none"/>
        </w:rPr>
      </w:pPr>
      <w:r>
        <w:rPr>
          <w:rFonts w:hint="eastAsia" w:ascii="黑体" w:hAnsi="黑体" w:eastAsia="黑体" w:cs="黑体"/>
          <w:color w:val="auto"/>
          <w:szCs w:val="21"/>
          <w:highlight w:val="none"/>
        </w:rPr>
        <w:t>3.因不可抗力造成投标人发生本保函第一条约定情形的，我方不承担保证责任。</w:t>
      </w:r>
    </w:p>
    <w:p w14:paraId="644800DE">
      <w:pPr>
        <w:spacing w:line="360" w:lineRule="auto"/>
        <w:ind w:left="283" w:leftChars="135"/>
        <w:rPr>
          <w:rFonts w:hint="eastAsia" w:ascii="黑体" w:hAnsi="黑体" w:eastAsia="黑体" w:cs="黑体"/>
          <w:color w:val="auto"/>
          <w:szCs w:val="21"/>
          <w:highlight w:val="none"/>
        </w:rPr>
      </w:pPr>
      <w:r>
        <w:rPr>
          <w:rFonts w:hint="eastAsia" w:ascii="黑体" w:hAnsi="黑体" w:eastAsia="黑体" w:cs="黑体"/>
          <w:color w:val="auto"/>
          <w:szCs w:val="21"/>
          <w:highlight w:val="none"/>
        </w:rPr>
        <w:t>4.你方或其他有权机关对招标文件进行任何澄清或修改，加重我方保证责任的，我方对加重部分不承担保证责任，但该澄清或修改经我方事先书面同意的除外。</w:t>
      </w:r>
    </w:p>
    <w:p w14:paraId="39563351">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六、争议的解决</w:t>
      </w:r>
    </w:p>
    <w:p w14:paraId="3AFB8F21">
      <w:pPr>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因本保函发生的纠纷，由你我双方协商解决，协商不成的，通过诉讼程序解决,诉讼管辖地法院为</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法院。</w:t>
      </w:r>
    </w:p>
    <w:p w14:paraId="5FAEC39F">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七、保函的生效</w:t>
      </w:r>
    </w:p>
    <w:p w14:paraId="4E939469">
      <w:pPr>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本保函自我方加盖公章之日起生效。</w:t>
      </w:r>
    </w:p>
    <w:p w14:paraId="0EB15E55">
      <w:pPr>
        <w:spacing w:before="936" w:beforeLines="300" w:line="360" w:lineRule="auto"/>
        <w:jc w:val="right"/>
        <w:rPr>
          <w:rFonts w:hint="eastAsia" w:ascii="黑体" w:hAnsi="黑体" w:eastAsia="黑体" w:cs="黑体"/>
          <w:color w:val="auto"/>
          <w:szCs w:val="21"/>
          <w:highlight w:val="none"/>
        </w:rPr>
      </w:pPr>
      <w:r>
        <w:rPr>
          <w:rFonts w:hint="eastAsia" w:ascii="黑体" w:hAnsi="黑体" w:eastAsia="黑体" w:cs="黑体"/>
          <w:color w:val="auto"/>
          <w:szCs w:val="21"/>
          <w:highlight w:val="none"/>
        </w:rPr>
        <w:t>保证人：(公章)</w:t>
      </w:r>
    </w:p>
    <w:p w14:paraId="457CA2B8">
      <w:pPr>
        <w:spacing w:line="360" w:lineRule="auto"/>
        <w:jc w:val="right"/>
        <w:rPr>
          <w:rFonts w:hint="eastAsia" w:ascii="黑体" w:hAnsi="黑体" w:eastAsia="黑体" w:cs="黑体"/>
          <w:color w:val="auto"/>
          <w:szCs w:val="21"/>
          <w:highlight w:val="none"/>
        </w:rPr>
      </w:pPr>
      <w:r>
        <w:rPr>
          <w:rFonts w:hint="eastAsia" w:ascii="黑体" w:hAnsi="黑体" w:eastAsia="黑体" w:cs="黑体"/>
          <w:color w:val="auto"/>
          <w:szCs w:val="21"/>
          <w:highlight w:val="none"/>
        </w:rPr>
        <w:t>年   月   日</w:t>
      </w:r>
    </w:p>
    <w:p w14:paraId="597B3D64">
      <w:pPr>
        <w:rPr>
          <w:rFonts w:hint="eastAsia" w:ascii="黑体" w:hAnsi="黑体" w:eastAsia="黑体" w:cs="黑体"/>
          <w:color w:val="auto"/>
          <w:highlight w:val="none"/>
        </w:rPr>
      </w:pPr>
    </w:p>
    <w:p w14:paraId="67EF0948">
      <w:pPr>
        <w:pageBreakBefore/>
        <w:spacing w:before="312" w:beforeLines="100" w:after="312" w:afterLines="100" w:line="360" w:lineRule="auto"/>
        <w:jc w:val="center"/>
        <w:rPr>
          <w:rFonts w:hint="eastAsia" w:ascii="黑体" w:hAnsi="黑体" w:eastAsia="黑体" w:cs="黑体"/>
          <w:b/>
          <w:color w:val="auto"/>
          <w:spacing w:val="20"/>
          <w:sz w:val="30"/>
          <w:szCs w:val="30"/>
          <w:highlight w:val="none"/>
        </w:rPr>
      </w:pPr>
      <w:r>
        <w:rPr>
          <w:rFonts w:hint="eastAsia" w:ascii="黑体" w:hAnsi="黑体" w:eastAsia="黑体" w:cs="黑体"/>
          <w:b/>
          <w:color w:val="auto"/>
          <w:spacing w:val="20"/>
          <w:sz w:val="30"/>
          <w:szCs w:val="30"/>
          <w:highlight w:val="none"/>
        </w:rPr>
        <w:t>政府采购履约担保</w:t>
      </w:r>
    </w:p>
    <w:p w14:paraId="5843F4D5">
      <w:pPr>
        <w:spacing w:line="360" w:lineRule="auto"/>
        <w:ind w:firstLine="6261" w:firstLineChars="2970"/>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编号：</w:t>
      </w:r>
    </w:p>
    <w:p w14:paraId="42147BE0">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(采购人)：</w:t>
      </w:r>
    </w:p>
    <w:p w14:paraId="26E11AD1">
      <w:pPr>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鉴于你方与</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（以下简称供应商）于</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年</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月</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日 自签定编号为</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的《</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政府采购合同》 (以下简称主合同)，且依据该合同的约定，供应商应在</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年</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月</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日前向你方交纳履约保证金，且可以履约担保函的形式交纳厦约保证金。应供应商的申请，我方以保证的方式向你方提供如下履约保证金担保：</w:t>
      </w:r>
    </w:p>
    <w:p w14:paraId="24CE809F">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一、保证责任的情形及保证金额</w:t>
      </w:r>
    </w:p>
    <w:p w14:paraId="21290C2F">
      <w:pPr>
        <w:spacing w:line="360" w:lineRule="auto"/>
        <w:ind w:left="141" w:leftChars="67"/>
        <w:rPr>
          <w:rFonts w:hint="eastAsia" w:ascii="黑体" w:hAnsi="黑体" w:eastAsia="黑体" w:cs="黑体"/>
          <w:color w:val="auto"/>
          <w:szCs w:val="21"/>
          <w:highlight w:val="none"/>
        </w:rPr>
      </w:pPr>
      <w:r>
        <w:rPr>
          <w:rFonts w:hint="eastAsia" w:ascii="黑体" w:hAnsi="黑体" w:eastAsia="黑体" w:cs="黑体"/>
          <w:color w:val="auto"/>
          <w:szCs w:val="21"/>
          <w:highlight w:val="none"/>
        </w:rPr>
        <w:t>（一）在供应商出现下列情形之一时，我方承担保证责任：</w:t>
      </w:r>
    </w:p>
    <w:p w14:paraId="3EC5384C">
      <w:pPr>
        <w:spacing w:line="360" w:lineRule="auto"/>
        <w:ind w:left="283" w:leftChars="135"/>
        <w:rPr>
          <w:rFonts w:hint="eastAsia" w:ascii="黑体" w:hAnsi="黑体" w:eastAsia="黑体" w:cs="黑体"/>
          <w:color w:val="auto"/>
          <w:szCs w:val="21"/>
          <w:highlight w:val="none"/>
        </w:rPr>
      </w:pPr>
      <w:r>
        <w:rPr>
          <w:rFonts w:hint="eastAsia" w:ascii="黑体" w:hAnsi="黑体" w:eastAsia="黑体" w:cs="黑体"/>
          <w:color w:val="auto"/>
          <w:szCs w:val="21"/>
          <w:highlight w:val="none"/>
        </w:rPr>
        <w:t>1.将中标项目转让给他人，或者在投标文件中未说明，且未经采购招标机构人同意,将中标项目分包给他人的；</w:t>
      </w:r>
    </w:p>
    <w:p w14:paraId="2F0D918E">
      <w:pPr>
        <w:spacing w:line="360" w:lineRule="auto"/>
        <w:ind w:left="283" w:leftChars="135"/>
        <w:rPr>
          <w:rFonts w:hint="eastAsia" w:ascii="黑体" w:hAnsi="黑体" w:eastAsia="黑体" w:cs="黑体"/>
          <w:color w:val="auto"/>
          <w:szCs w:val="21"/>
          <w:highlight w:val="none"/>
        </w:rPr>
      </w:pPr>
      <w:r>
        <w:rPr>
          <w:rFonts w:hint="eastAsia" w:ascii="黑体" w:hAnsi="黑体" w:eastAsia="黑体" w:cs="黑体"/>
          <w:color w:val="auto"/>
          <w:szCs w:val="21"/>
          <w:highlight w:val="none"/>
        </w:rPr>
        <w:t>2.主合同约定的应当缴约履约保证金的情形</w:t>
      </w:r>
    </w:p>
    <w:p w14:paraId="3695B52D">
      <w:pPr>
        <w:spacing w:line="360" w:lineRule="auto"/>
        <w:ind w:left="283" w:leftChars="135"/>
        <w:rPr>
          <w:rFonts w:hint="eastAsia" w:ascii="黑体" w:hAnsi="黑体" w:eastAsia="黑体" w:cs="黑体"/>
          <w:color w:val="auto"/>
          <w:szCs w:val="21"/>
          <w:highlight w:val="none"/>
        </w:rPr>
      </w:pPr>
      <w:r>
        <w:rPr>
          <w:rFonts w:hint="eastAsia" w:ascii="黑体" w:hAnsi="黑体" w:eastAsia="黑体" w:cs="黑体"/>
          <w:color w:val="auto"/>
          <w:szCs w:val="21"/>
          <w:highlight w:val="none"/>
        </w:rPr>
        <w:t>(1)未按主合同约定的质量、数量和期限供应货物/提供服务/完成工程的；</w:t>
      </w:r>
    </w:p>
    <w:p w14:paraId="285448DB">
      <w:pPr>
        <w:spacing w:line="360" w:lineRule="auto"/>
        <w:ind w:left="283" w:leftChars="135"/>
        <w:rPr>
          <w:rFonts w:hint="eastAsia" w:ascii="黑体" w:hAnsi="黑体" w:eastAsia="黑体" w:cs="黑体"/>
          <w:color w:val="auto"/>
          <w:szCs w:val="21"/>
          <w:highlight w:val="none"/>
        </w:rPr>
      </w:pPr>
      <w:r>
        <w:rPr>
          <w:rFonts w:hint="eastAsia" w:ascii="黑体" w:hAnsi="黑体" w:eastAsia="黑体" w:cs="黑体"/>
          <w:color w:val="auto"/>
          <w:szCs w:val="21"/>
          <w:highlight w:val="none"/>
        </w:rPr>
        <w:t>(2)</w:t>
      </w:r>
      <w:r>
        <w:rPr>
          <w:rFonts w:hint="eastAsia" w:ascii="黑体" w:hAnsi="黑体" w:eastAsia="黑体" w:cs="黑体"/>
          <w:color w:val="auto"/>
          <w:szCs w:val="21"/>
          <w:highlight w:val="none"/>
          <w:u w:val="single"/>
        </w:rPr>
        <w:t xml:space="preserve">                                                            。</w:t>
      </w:r>
    </w:p>
    <w:p w14:paraId="447BB44D">
      <w:pPr>
        <w:spacing w:line="360" w:lineRule="auto"/>
        <w:ind w:left="283" w:leftChars="135"/>
        <w:rPr>
          <w:rFonts w:hint="eastAsia" w:ascii="黑体" w:hAnsi="黑体" w:eastAsia="黑体" w:cs="黑体"/>
          <w:color w:val="auto"/>
          <w:szCs w:val="21"/>
          <w:highlight w:val="none"/>
        </w:rPr>
      </w:pPr>
      <w:r>
        <w:rPr>
          <w:rFonts w:hint="eastAsia" w:ascii="黑体" w:hAnsi="黑体" w:eastAsia="黑体" w:cs="黑体"/>
          <w:color w:val="auto"/>
          <w:szCs w:val="21"/>
          <w:highlight w:val="none"/>
        </w:rPr>
        <w:t>(二)我方的保证范围是主合同约定的合同价款总额的</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%数额为</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元(大写：</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)，币种为</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（即主合同履约保证金金额）</w:t>
      </w:r>
    </w:p>
    <w:p w14:paraId="58C0D765">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二、保证的方式及保证期间</w:t>
      </w:r>
    </w:p>
    <w:p w14:paraId="79142D55">
      <w:pPr>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我方保证的方式为：连带责任保证。</w:t>
      </w:r>
    </w:p>
    <w:p w14:paraId="161C0872">
      <w:pPr>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我方保证的期间为：自本合同生效之日起至供应商按照主合同约定的供货/完工期限届满后</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日内。</w:t>
      </w:r>
    </w:p>
    <w:p w14:paraId="4C7CCCEA">
      <w:pPr>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如果供应商未按主合同约定向贵方供应货物/提供服务/完成工程的，由我方在保证金额内向你方支付上述款项。</w:t>
      </w:r>
    </w:p>
    <w:p w14:paraId="6ACDFC21">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三、承担保证责任的程序</w:t>
      </w:r>
    </w:p>
    <w:p w14:paraId="7B4E76FF">
      <w:pPr>
        <w:spacing w:line="360" w:lineRule="auto"/>
        <w:ind w:left="283" w:leftChars="135"/>
        <w:rPr>
          <w:rFonts w:hint="eastAsia" w:ascii="黑体" w:hAnsi="黑体" w:eastAsia="黑体" w:cs="黑体"/>
          <w:color w:val="auto"/>
          <w:szCs w:val="21"/>
          <w:highlight w:val="none"/>
        </w:rPr>
      </w:pPr>
      <w:r>
        <w:rPr>
          <w:rFonts w:hint="eastAsia" w:ascii="黑体" w:hAnsi="黑体" w:eastAsia="黑体" w:cs="黑体"/>
          <w:color w:val="auto"/>
          <w:szCs w:val="21"/>
          <w:highlight w:val="none"/>
        </w:rPr>
        <w:t>1.你方要求我方承担保证责任的，应在本保函保证期间内向我方发出书面索赔通知，索赔通知应写明要求索赔的金额，支付款项应到达的账号并附有证明供应商违约事实的证明材料。</w:t>
      </w:r>
    </w:p>
    <w:p w14:paraId="0C37FBF7">
      <w:pPr>
        <w:spacing w:line="360" w:lineRule="auto"/>
        <w:ind w:left="283" w:leftChars="135"/>
        <w:rPr>
          <w:rFonts w:hint="eastAsia" w:ascii="黑体" w:hAnsi="黑体" w:eastAsia="黑体" w:cs="黑体"/>
          <w:color w:val="auto"/>
          <w:szCs w:val="21"/>
          <w:highlight w:val="none"/>
        </w:rPr>
      </w:pPr>
      <w:r>
        <w:rPr>
          <w:rFonts w:hint="eastAsia" w:ascii="黑体" w:hAnsi="黑体" w:eastAsia="黑体" w:cs="黑体"/>
          <w:color w:val="auto"/>
          <w:szCs w:val="21"/>
          <w:highlight w:val="none"/>
        </w:rPr>
        <w:t>如果你方与供应商因货物质量问题产生争议，你方还需同时提供</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部门出具的质量检测报告，或经诉讼(仲裁)程序裁决后的裁决书、调解书，本保证人即按照检测结果或裁决书、调解书决定是否承担保证责任。</w:t>
      </w:r>
    </w:p>
    <w:p w14:paraId="5AC9F8CA">
      <w:pPr>
        <w:spacing w:line="360" w:lineRule="auto"/>
        <w:ind w:left="283" w:leftChars="135"/>
        <w:rPr>
          <w:rFonts w:hint="eastAsia" w:ascii="黑体" w:hAnsi="黑体" w:eastAsia="黑体" w:cs="黑体"/>
          <w:color w:val="auto"/>
          <w:szCs w:val="21"/>
          <w:highlight w:val="none"/>
        </w:rPr>
      </w:pPr>
      <w:r>
        <w:rPr>
          <w:rFonts w:hint="eastAsia" w:ascii="黑体" w:hAnsi="黑体" w:eastAsia="黑体" w:cs="黑体"/>
          <w:color w:val="auto"/>
          <w:szCs w:val="21"/>
          <w:highlight w:val="none"/>
        </w:rPr>
        <w:t>2.我方收到你方的书面索赔通知及相应证明材料，在</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工作日内进行核定后按照本保函的承诺承担保证责任。</w:t>
      </w:r>
    </w:p>
    <w:p w14:paraId="115A30DB">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四、保证责任的终止</w:t>
      </w:r>
    </w:p>
    <w:p w14:paraId="4C11025F">
      <w:pPr>
        <w:spacing w:line="360" w:lineRule="auto"/>
        <w:ind w:left="281" w:leftChars="134"/>
        <w:rPr>
          <w:rFonts w:hint="eastAsia" w:ascii="黑体" w:hAnsi="黑体" w:eastAsia="黑体" w:cs="黑体"/>
          <w:color w:val="auto"/>
          <w:szCs w:val="21"/>
          <w:highlight w:val="none"/>
        </w:rPr>
      </w:pPr>
      <w:r>
        <w:rPr>
          <w:rFonts w:hint="eastAsia" w:ascii="黑体" w:hAnsi="黑体" w:eastAsia="黑体" w:cs="黑体"/>
          <w:color w:val="auto"/>
          <w:szCs w:val="21"/>
          <w:highlight w:val="none"/>
        </w:rPr>
        <w:t>1.保证期间届满你方未向我方书面主张保证责任的，自保证期间届满次日超，我方保证责任自动终止。保证期间届满前，主合同约定的货物\工程\服务全部验收合格的，自验收合格日起，我方保证责任自动终止。</w:t>
      </w:r>
    </w:p>
    <w:p w14:paraId="4394D4EC">
      <w:pPr>
        <w:spacing w:line="360" w:lineRule="auto"/>
        <w:ind w:left="281" w:leftChars="134"/>
        <w:rPr>
          <w:rFonts w:hint="eastAsia" w:ascii="黑体" w:hAnsi="黑体" w:eastAsia="黑体" w:cs="黑体"/>
          <w:color w:val="auto"/>
          <w:szCs w:val="21"/>
          <w:highlight w:val="none"/>
        </w:rPr>
      </w:pPr>
      <w:r>
        <w:rPr>
          <w:rFonts w:hint="eastAsia" w:ascii="黑体" w:hAnsi="黑体" w:eastAsia="黑体" w:cs="黑体"/>
          <w:color w:val="auto"/>
          <w:szCs w:val="21"/>
          <w:highlight w:val="none"/>
        </w:rPr>
        <w:t>2.我方按照本保函向你方履行了保证责任后，自我方向你方支付款项(支付款项从我方账户划出)之日起，保证责任即终止。</w:t>
      </w:r>
    </w:p>
    <w:p w14:paraId="3FB9367B">
      <w:pPr>
        <w:spacing w:line="360" w:lineRule="auto"/>
        <w:ind w:left="281" w:leftChars="134"/>
        <w:rPr>
          <w:rFonts w:hint="eastAsia" w:ascii="黑体" w:hAnsi="黑体" w:eastAsia="黑体" w:cs="黑体"/>
          <w:color w:val="auto"/>
          <w:szCs w:val="21"/>
          <w:highlight w:val="none"/>
        </w:rPr>
      </w:pPr>
      <w:r>
        <w:rPr>
          <w:rFonts w:hint="eastAsia" w:ascii="黑体" w:hAnsi="黑体" w:eastAsia="黑体" w:cs="黑体"/>
          <w:color w:val="auto"/>
          <w:szCs w:val="21"/>
          <w:highlight w:val="none"/>
        </w:rPr>
        <w:t>3.按照法律法规的规定或出现应终止我方保证责任的其它情形的，我方在本保函项下的保证责任亦终止。</w:t>
      </w:r>
    </w:p>
    <w:p w14:paraId="3F6BD0DE">
      <w:pPr>
        <w:spacing w:line="360" w:lineRule="auto"/>
        <w:ind w:left="281" w:leftChars="134"/>
        <w:rPr>
          <w:rFonts w:hint="eastAsia" w:ascii="黑体" w:hAnsi="黑体" w:eastAsia="黑体" w:cs="黑体"/>
          <w:color w:val="auto"/>
          <w:szCs w:val="21"/>
          <w:highlight w:val="none"/>
        </w:rPr>
      </w:pPr>
      <w:r>
        <w:rPr>
          <w:rFonts w:hint="eastAsia" w:ascii="黑体" w:hAnsi="黑体" w:eastAsia="黑体" w:cs="黑体"/>
          <w:color w:val="auto"/>
          <w:szCs w:val="21"/>
          <w:highlight w:val="none"/>
        </w:rPr>
        <w:t>4.你方与供应商修改主合同，加重我方保证责任的，我方对加重部分不承担保证责任，但该等修改事先经我方书面同意的除外；你方与供应商修改主合同履行期限，我方保证期间仍依修改前的履行期限计算，但该等修改事先经我方书面同意的除外。</w:t>
      </w:r>
    </w:p>
    <w:p w14:paraId="2638B9BB">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五,免责条款</w:t>
      </w:r>
    </w:p>
    <w:p w14:paraId="6939EFAE">
      <w:pPr>
        <w:spacing w:line="360" w:lineRule="auto"/>
        <w:ind w:left="283" w:leftChars="135"/>
        <w:rPr>
          <w:rFonts w:hint="eastAsia" w:ascii="黑体" w:hAnsi="黑体" w:eastAsia="黑体" w:cs="黑体"/>
          <w:color w:val="auto"/>
          <w:szCs w:val="21"/>
          <w:highlight w:val="none"/>
        </w:rPr>
      </w:pPr>
      <w:r>
        <w:rPr>
          <w:rFonts w:hint="eastAsia" w:ascii="黑体" w:hAnsi="黑体" w:eastAsia="黑体" w:cs="黑体"/>
          <w:color w:val="auto"/>
          <w:szCs w:val="21"/>
          <w:highlight w:val="none"/>
        </w:rPr>
        <w:t>1.因你方违反主合同约定致使供应商不能履行义务的，我方不承担保证责任。</w:t>
      </w:r>
    </w:p>
    <w:p w14:paraId="6EACE19E">
      <w:pPr>
        <w:spacing w:line="360" w:lineRule="auto"/>
        <w:ind w:left="283" w:leftChars="135"/>
        <w:rPr>
          <w:rFonts w:hint="eastAsia" w:ascii="黑体" w:hAnsi="黑体" w:eastAsia="黑体" w:cs="黑体"/>
          <w:color w:val="auto"/>
          <w:szCs w:val="21"/>
          <w:highlight w:val="none"/>
        </w:rPr>
      </w:pPr>
      <w:r>
        <w:rPr>
          <w:rFonts w:hint="eastAsia" w:ascii="黑体" w:hAnsi="黑体" w:eastAsia="黑体" w:cs="黑体"/>
          <w:color w:val="auto"/>
          <w:szCs w:val="21"/>
          <w:highlight w:val="none"/>
        </w:rPr>
        <w:t>2.依照法律法规的规定或你方与供应商的另行约定,全部或者部分免除供应商应缴纳的保证金义务的，我方亦免除相应的保证责任。</w:t>
      </w:r>
    </w:p>
    <w:p w14:paraId="79584A74">
      <w:pPr>
        <w:spacing w:line="360" w:lineRule="auto"/>
        <w:ind w:left="283" w:leftChars="135"/>
        <w:rPr>
          <w:rFonts w:hint="eastAsia" w:ascii="黑体" w:hAnsi="黑体" w:eastAsia="黑体" w:cs="黑体"/>
          <w:color w:val="auto"/>
          <w:szCs w:val="21"/>
          <w:highlight w:val="none"/>
        </w:rPr>
      </w:pPr>
      <w:r>
        <w:rPr>
          <w:rFonts w:hint="eastAsia" w:ascii="黑体" w:hAnsi="黑体" w:eastAsia="黑体" w:cs="黑体"/>
          <w:color w:val="auto"/>
          <w:szCs w:val="21"/>
          <w:highlight w:val="none"/>
        </w:rPr>
        <w:t>3.因不可抗力造成供应商不能履行供货义务的，我方不承担保证责任。</w:t>
      </w:r>
    </w:p>
    <w:p w14:paraId="4B2D3F3F">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六、争议的解决</w:t>
      </w:r>
    </w:p>
    <w:p w14:paraId="21E03E83">
      <w:pPr>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因本保函发生的纠纷</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由你我双方协商解决，协商不成的，通过诉讼程序解决，诉讼管辖地法院为</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法院。</w:t>
      </w:r>
    </w:p>
    <w:p w14:paraId="32CAED46">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七、保函的生效</w:t>
      </w:r>
    </w:p>
    <w:p w14:paraId="2DFD6D6C">
      <w:pPr>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本保函自我方加盖公章之日起生效。</w:t>
      </w:r>
    </w:p>
    <w:p w14:paraId="6E5B9DA6">
      <w:pPr>
        <w:spacing w:before="780" w:beforeLines="250" w:line="360" w:lineRule="auto"/>
        <w:jc w:val="right"/>
        <w:rPr>
          <w:rFonts w:hint="eastAsia" w:ascii="黑体" w:hAnsi="黑体" w:eastAsia="黑体" w:cs="黑体"/>
          <w:color w:val="auto"/>
          <w:szCs w:val="21"/>
          <w:highlight w:val="none"/>
        </w:rPr>
      </w:pPr>
      <w:r>
        <w:rPr>
          <w:rFonts w:hint="eastAsia" w:ascii="黑体" w:hAnsi="黑体" w:eastAsia="黑体" w:cs="黑体"/>
          <w:color w:val="auto"/>
          <w:szCs w:val="21"/>
          <w:highlight w:val="none"/>
        </w:rPr>
        <w:t>保证人：(公章)</w:t>
      </w:r>
    </w:p>
    <w:p w14:paraId="4BBBEC34">
      <w:pPr>
        <w:spacing w:line="360" w:lineRule="auto"/>
        <w:ind w:firstLine="420" w:firstLineChars="200"/>
        <w:jc w:val="right"/>
        <w:rPr>
          <w:rFonts w:hint="eastAsia" w:ascii="黑体" w:hAnsi="黑体" w:eastAsia="黑体" w:cs="黑体"/>
          <w:color w:val="auto"/>
          <w:szCs w:val="21"/>
          <w:highlight w:val="none"/>
        </w:rPr>
      </w:pPr>
      <w:r>
        <w:rPr>
          <w:rFonts w:hint="eastAsia" w:ascii="黑体" w:hAnsi="黑体" w:eastAsia="黑体" w:cs="黑体"/>
          <w:color w:val="auto"/>
          <w:szCs w:val="21"/>
          <w:highlight w:val="none"/>
        </w:rPr>
        <w:t>年   月   日</w:t>
      </w:r>
    </w:p>
    <w:p w14:paraId="03616D52">
      <w:pPr>
        <w:rPr>
          <w:rFonts w:hint="eastAsia" w:ascii="黑体" w:hAnsi="黑体" w:eastAsia="黑体" w:cs="黑体"/>
          <w:color w:val="auto"/>
          <w:highlight w:val="none"/>
        </w:rPr>
      </w:pPr>
    </w:p>
    <w:p w14:paraId="4BABA1E1">
      <w:pPr>
        <w:spacing w:line="360" w:lineRule="auto"/>
        <w:rPr>
          <w:rFonts w:hint="eastAsia" w:ascii="黑体" w:hAnsi="黑体" w:eastAsia="黑体" w:cs="黑体"/>
          <w:color w:val="auto"/>
          <w:highlight w:val="none"/>
        </w:rPr>
      </w:pPr>
    </w:p>
    <w:bookmarkEnd w:id="72"/>
    <w:p w14:paraId="126E0C55">
      <w:pPr>
        <w:spacing w:line="360" w:lineRule="auto"/>
        <w:rPr>
          <w:rFonts w:hint="eastAsia" w:ascii="黑体" w:hAnsi="黑体" w:eastAsia="黑体" w:cs="黑体"/>
          <w:color w:val="auto"/>
          <w:highlight w:val="none"/>
        </w:rPr>
      </w:pPr>
    </w:p>
    <w:p w14:paraId="22DBD952">
      <w:pPr>
        <w:pStyle w:val="29"/>
        <w:pageBreakBefore/>
        <w:numPr>
          <w:ilvl w:val="0"/>
          <w:numId w:val="84"/>
        </w:numPr>
        <w:tabs>
          <w:tab w:val="left" w:pos="284"/>
          <w:tab w:val="left" w:pos="567"/>
          <w:tab w:val="left" w:pos="709"/>
        </w:tabs>
        <w:ind w:left="1679" w:hanging="1537" w:firstLineChars="0"/>
        <w:jc w:val="left"/>
        <w:rPr>
          <w:rFonts w:hint="eastAsia" w:ascii="黑体" w:hAnsi="黑体" w:eastAsia="黑体" w:cs="黑体"/>
          <w:b/>
          <w:bCs/>
          <w:color w:val="auto"/>
          <w:highlight w:val="none"/>
        </w:rPr>
      </w:pPr>
      <w:r>
        <w:rPr>
          <w:rFonts w:hint="eastAsia" w:ascii="黑体" w:hAnsi="黑体" w:eastAsia="黑体" w:cs="黑体"/>
          <w:b/>
          <w:bCs/>
          <w:color w:val="auto"/>
          <w:highlight w:val="none"/>
        </w:rPr>
        <w:t>唱标信封格式</w:t>
      </w:r>
    </w:p>
    <w:p w14:paraId="672CDA5B">
      <w:pPr>
        <w:spacing w:line="360" w:lineRule="auto"/>
        <w:jc w:val="center"/>
        <w:rPr>
          <w:rFonts w:hint="eastAsia" w:ascii="黑体" w:hAnsi="黑体" w:eastAsia="黑体" w:cs="黑体"/>
          <w:bCs/>
          <w:color w:val="auto"/>
          <w:sz w:val="50"/>
          <w:szCs w:val="50"/>
          <w:highlight w:val="none"/>
        </w:rPr>
      </w:pPr>
    </w:p>
    <w:p w14:paraId="3EC1BE68">
      <w:pPr>
        <w:spacing w:line="360" w:lineRule="auto"/>
        <w:jc w:val="center"/>
        <w:rPr>
          <w:rFonts w:hint="eastAsia" w:ascii="黑体" w:hAnsi="黑体" w:eastAsia="黑体" w:cs="黑体"/>
          <w:bCs/>
          <w:color w:val="auto"/>
          <w:sz w:val="50"/>
          <w:szCs w:val="50"/>
          <w:highlight w:val="none"/>
          <w:lang w:eastAsia="zh-CN"/>
        </w:rPr>
      </w:pPr>
      <w:r>
        <w:rPr>
          <w:rFonts w:hint="eastAsia" w:ascii="黑体" w:hAnsi="黑体" w:eastAsia="黑体" w:cs="黑体"/>
          <w:bCs/>
          <w:color w:val="auto"/>
          <w:sz w:val="50"/>
          <w:szCs w:val="50"/>
          <w:highlight w:val="none"/>
          <w:lang w:eastAsia="zh-CN"/>
        </w:rPr>
        <w:t>东莞市中医院消毒供应中心精细化天轨密集管理架采购项目（重新采购）</w:t>
      </w:r>
    </w:p>
    <w:p w14:paraId="29B28475">
      <w:pPr>
        <w:spacing w:line="360" w:lineRule="auto"/>
        <w:jc w:val="center"/>
        <w:rPr>
          <w:rFonts w:hint="eastAsia" w:ascii="黑体" w:hAnsi="黑体" w:eastAsia="黑体" w:cs="黑体"/>
          <w:b/>
          <w:color w:val="auto"/>
          <w:szCs w:val="21"/>
          <w:highlight w:val="none"/>
        </w:rPr>
      </w:pPr>
    </w:p>
    <w:p w14:paraId="40904CD4">
      <w:pPr>
        <w:spacing w:line="360" w:lineRule="auto"/>
        <w:jc w:val="center"/>
        <w:rPr>
          <w:rFonts w:hint="eastAsia" w:ascii="黑体" w:hAnsi="黑体" w:eastAsia="黑体" w:cs="黑体"/>
          <w:b/>
          <w:color w:val="auto"/>
          <w:szCs w:val="21"/>
          <w:highlight w:val="none"/>
        </w:rPr>
      </w:pPr>
    </w:p>
    <w:p w14:paraId="7AE03010">
      <w:pPr>
        <w:spacing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（项目编号：</w:t>
      </w:r>
      <w:r>
        <w:rPr>
          <w:rFonts w:hint="eastAsia" w:ascii="黑体" w:hAnsi="黑体" w:eastAsia="黑体" w:cs="黑体"/>
          <w:b/>
          <w:color w:val="auto"/>
          <w:szCs w:val="21"/>
          <w:highlight w:val="none"/>
          <w:u w:val="single"/>
        </w:rPr>
        <w:t xml:space="preserve">             </w:t>
      </w:r>
      <w:r>
        <w:rPr>
          <w:rFonts w:hint="eastAsia" w:ascii="黑体" w:hAnsi="黑体" w:eastAsia="黑体" w:cs="黑体"/>
          <w:b/>
          <w:color w:val="auto"/>
          <w:szCs w:val="21"/>
          <w:highlight w:val="none"/>
        </w:rPr>
        <w:t>）</w:t>
      </w:r>
    </w:p>
    <w:p w14:paraId="05A0C7DB">
      <w:pPr>
        <w:spacing w:before="1404" w:beforeLines="450" w:line="360" w:lineRule="auto"/>
        <w:jc w:val="center"/>
        <w:rPr>
          <w:rFonts w:hint="eastAsia" w:ascii="黑体" w:hAnsi="黑体" w:eastAsia="黑体" w:cs="黑体"/>
          <w:b/>
          <w:color w:val="auto"/>
          <w:spacing w:val="60"/>
          <w:sz w:val="72"/>
          <w:szCs w:val="72"/>
          <w:highlight w:val="none"/>
        </w:rPr>
      </w:pPr>
      <w:r>
        <w:rPr>
          <w:rFonts w:hint="eastAsia" w:ascii="黑体" w:hAnsi="黑体" w:eastAsia="黑体" w:cs="黑体"/>
          <w:b/>
          <w:color w:val="auto"/>
          <w:spacing w:val="60"/>
          <w:sz w:val="72"/>
          <w:szCs w:val="72"/>
          <w:highlight w:val="none"/>
        </w:rPr>
        <w:t>唱标信封</w:t>
      </w:r>
    </w:p>
    <w:p w14:paraId="041FE1B9">
      <w:pPr>
        <w:spacing w:after="2028" w:afterLines="650"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（封面格式仅供参考）</w:t>
      </w:r>
    </w:p>
    <w:tbl>
      <w:tblPr>
        <w:tblStyle w:val="20"/>
        <w:tblW w:w="4184"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085"/>
        <w:gridCol w:w="5251"/>
      </w:tblGrid>
      <w:tr w14:paraId="54803B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7" w:hRule="atLeast"/>
          <w:jc w:val="center"/>
        </w:trPr>
        <w:tc>
          <w:tcPr>
            <w:tcW w:w="1421" w:type="pct"/>
            <w:vAlign w:val="center"/>
          </w:tcPr>
          <w:p w14:paraId="6036996E">
            <w:pPr>
              <w:spacing w:line="360" w:lineRule="auto"/>
              <w:jc w:val="right"/>
              <w:rPr>
                <w:rFonts w:hint="eastAsia" w:ascii="黑体" w:hAnsi="黑体" w:eastAsia="黑体" w:cs="黑体"/>
                <w:color w:val="auto"/>
                <w:sz w:val="24"/>
                <w:szCs w:val="24"/>
                <w:highlight w:val="none"/>
              </w:rPr>
            </w:pPr>
            <w:r>
              <w:rPr>
                <w:rFonts w:hint="eastAsia" w:ascii="黑体" w:hAnsi="黑体" w:eastAsia="黑体" w:cs="黑体"/>
                <w:color w:val="auto"/>
                <w:sz w:val="24"/>
                <w:szCs w:val="24"/>
                <w:highlight w:val="none"/>
              </w:rPr>
              <w:t>投标人名称：</w:t>
            </w:r>
          </w:p>
        </w:tc>
        <w:tc>
          <w:tcPr>
            <w:tcW w:w="3579" w:type="pct"/>
            <w:vAlign w:val="center"/>
          </w:tcPr>
          <w:p w14:paraId="29A9070D">
            <w:pPr>
              <w:spacing w:line="360" w:lineRule="auto"/>
              <w:jc w:val="left"/>
              <w:rPr>
                <w:rFonts w:hint="eastAsia" w:ascii="黑体" w:hAnsi="黑体" w:eastAsia="黑体" w:cs="黑体"/>
                <w:color w:val="auto"/>
                <w:sz w:val="24"/>
                <w:szCs w:val="24"/>
                <w:highlight w:val="none"/>
                <w:u w:val="single"/>
              </w:rPr>
            </w:pPr>
            <w:r>
              <w:rPr>
                <w:rFonts w:hint="eastAsia" w:ascii="黑体" w:hAnsi="黑体" w:eastAsia="黑体" w:cs="黑体"/>
                <w:color w:val="auto"/>
                <w:sz w:val="24"/>
                <w:szCs w:val="24"/>
                <w:highlight w:val="none"/>
                <w:u w:val="single"/>
              </w:rPr>
              <w:t xml:space="preserve">                                       </w:t>
            </w:r>
          </w:p>
        </w:tc>
      </w:tr>
      <w:tr w14:paraId="54B1A5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1421" w:type="pct"/>
            <w:vAlign w:val="center"/>
          </w:tcPr>
          <w:p w14:paraId="5673319C">
            <w:pPr>
              <w:spacing w:line="360" w:lineRule="auto"/>
              <w:jc w:val="right"/>
              <w:rPr>
                <w:rFonts w:hint="eastAsia" w:ascii="黑体" w:hAnsi="黑体" w:eastAsia="黑体" w:cs="黑体"/>
                <w:color w:val="auto"/>
                <w:sz w:val="24"/>
                <w:szCs w:val="24"/>
                <w:highlight w:val="none"/>
              </w:rPr>
            </w:pPr>
            <w:r>
              <w:rPr>
                <w:rFonts w:hint="eastAsia" w:ascii="黑体" w:hAnsi="黑体" w:eastAsia="黑体" w:cs="黑体"/>
                <w:color w:val="auto"/>
                <w:sz w:val="24"/>
                <w:szCs w:val="24"/>
                <w:highlight w:val="none"/>
              </w:rPr>
              <w:t>投标人地址：</w:t>
            </w:r>
          </w:p>
        </w:tc>
        <w:tc>
          <w:tcPr>
            <w:tcW w:w="3579" w:type="pct"/>
            <w:vAlign w:val="center"/>
          </w:tcPr>
          <w:p w14:paraId="1C43160D">
            <w:pPr>
              <w:spacing w:line="360" w:lineRule="auto"/>
              <w:jc w:val="left"/>
              <w:rPr>
                <w:rFonts w:hint="eastAsia" w:ascii="黑体" w:hAnsi="黑体" w:eastAsia="黑体" w:cs="黑体"/>
                <w:color w:val="auto"/>
                <w:sz w:val="24"/>
                <w:szCs w:val="24"/>
                <w:highlight w:val="none"/>
                <w:u w:val="single"/>
              </w:rPr>
            </w:pPr>
            <w:r>
              <w:rPr>
                <w:rFonts w:hint="eastAsia" w:ascii="黑体" w:hAnsi="黑体" w:eastAsia="黑体" w:cs="黑体"/>
                <w:color w:val="auto"/>
                <w:sz w:val="24"/>
                <w:szCs w:val="24"/>
                <w:highlight w:val="none"/>
                <w:u w:val="single"/>
              </w:rPr>
              <w:t xml:space="preserve">                                       </w:t>
            </w:r>
          </w:p>
        </w:tc>
      </w:tr>
      <w:tr w14:paraId="2AD65B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0" w:hRule="atLeast"/>
          <w:jc w:val="center"/>
        </w:trPr>
        <w:tc>
          <w:tcPr>
            <w:tcW w:w="1421" w:type="pct"/>
            <w:vAlign w:val="center"/>
          </w:tcPr>
          <w:p w14:paraId="3E1A6885">
            <w:pPr>
              <w:spacing w:line="360" w:lineRule="auto"/>
              <w:jc w:val="right"/>
              <w:rPr>
                <w:rFonts w:hint="eastAsia" w:ascii="黑体" w:hAnsi="黑体" w:eastAsia="黑体" w:cs="黑体"/>
                <w:color w:val="auto"/>
                <w:spacing w:val="-10"/>
                <w:sz w:val="24"/>
                <w:szCs w:val="24"/>
                <w:highlight w:val="none"/>
              </w:rPr>
            </w:pPr>
            <w:r>
              <w:rPr>
                <w:rFonts w:hint="eastAsia" w:ascii="黑体" w:hAnsi="黑体" w:eastAsia="黑体" w:cs="黑体"/>
                <w:color w:val="auto"/>
                <w:sz w:val="24"/>
                <w:szCs w:val="24"/>
                <w:highlight w:val="none"/>
              </w:rPr>
              <w:t>投标联系人</w:t>
            </w:r>
            <w:r>
              <w:rPr>
                <w:rFonts w:hint="eastAsia" w:ascii="黑体" w:hAnsi="黑体" w:eastAsia="黑体" w:cs="黑体"/>
                <w:color w:val="auto"/>
                <w:spacing w:val="-10"/>
                <w:sz w:val="24"/>
                <w:szCs w:val="24"/>
                <w:highlight w:val="none"/>
              </w:rPr>
              <w:t>：</w:t>
            </w:r>
          </w:p>
        </w:tc>
        <w:tc>
          <w:tcPr>
            <w:tcW w:w="3579" w:type="pct"/>
            <w:vAlign w:val="center"/>
          </w:tcPr>
          <w:p w14:paraId="16288080">
            <w:pPr>
              <w:spacing w:line="360" w:lineRule="auto"/>
              <w:jc w:val="left"/>
              <w:rPr>
                <w:rFonts w:hint="eastAsia" w:ascii="黑体" w:hAnsi="黑体" w:eastAsia="黑体" w:cs="黑体"/>
                <w:color w:val="auto"/>
                <w:sz w:val="24"/>
                <w:szCs w:val="24"/>
                <w:highlight w:val="none"/>
                <w:u w:val="single"/>
              </w:rPr>
            </w:pPr>
            <w:r>
              <w:rPr>
                <w:rFonts w:hint="eastAsia" w:ascii="黑体" w:hAnsi="黑体" w:eastAsia="黑体" w:cs="黑体"/>
                <w:color w:val="auto"/>
                <w:sz w:val="24"/>
                <w:szCs w:val="24"/>
                <w:highlight w:val="none"/>
                <w:u w:val="single"/>
              </w:rPr>
              <w:t xml:space="preserve">                                       </w:t>
            </w:r>
          </w:p>
        </w:tc>
      </w:tr>
      <w:tr w14:paraId="792243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1421" w:type="pct"/>
            <w:vAlign w:val="center"/>
          </w:tcPr>
          <w:p w14:paraId="7C76D121">
            <w:pPr>
              <w:tabs>
                <w:tab w:val="left" w:pos="170"/>
              </w:tabs>
              <w:spacing w:line="360" w:lineRule="auto"/>
              <w:jc w:val="right"/>
              <w:rPr>
                <w:rFonts w:hint="eastAsia" w:ascii="黑体" w:hAnsi="黑体" w:eastAsia="黑体" w:cs="黑体"/>
                <w:color w:val="auto"/>
                <w:sz w:val="24"/>
                <w:szCs w:val="24"/>
                <w:highlight w:val="none"/>
              </w:rPr>
            </w:pPr>
            <w:r>
              <w:rPr>
                <w:rFonts w:hint="eastAsia" w:ascii="黑体" w:hAnsi="黑体" w:eastAsia="黑体" w:cs="黑体"/>
                <w:color w:val="auto"/>
                <w:spacing w:val="24"/>
                <w:sz w:val="24"/>
                <w:szCs w:val="24"/>
                <w:highlight w:val="none"/>
              </w:rPr>
              <w:t>联系电话</w:t>
            </w:r>
            <w:r>
              <w:rPr>
                <w:rFonts w:hint="eastAsia" w:ascii="黑体" w:hAnsi="黑体" w:eastAsia="黑体" w:cs="黑体"/>
                <w:color w:val="auto"/>
                <w:sz w:val="24"/>
                <w:szCs w:val="24"/>
                <w:highlight w:val="none"/>
              </w:rPr>
              <w:t>：</w:t>
            </w:r>
          </w:p>
        </w:tc>
        <w:tc>
          <w:tcPr>
            <w:tcW w:w="3579" w:type="pct"/>
            <w:vAlign w:val="center"/>
          </w:tcPr>
          <w:p w14:paraId="7541D200">
            <w:pPr>
              <w:spacing w:line="360" w:lineRule="auto"/>
              <w:jc w:val="left"/>
              <w:rPr>
                <w:rFonts w:hint="eastAsia" w:ascii="黑体" w:hAnsi="黑体" w:eastAsia="黑体" w:cs="黑体"/>
                <w:color w:val="auto"/>
                <w:sz w:val="24"/>
                <w:szCs w:val="24"/>
                <w:highlight w:val="none"/>
                <w:u w:val="single"/>
              </w:rPr>
            </w:pPr>
            <w:r>
              <w:rPr>
                <w:rFonts w:hint="eastAsia" w:ascii="黑体" w:hAnsi="黑体" w:eastAsia="黑体" w:cs="黑体"/>
                <w:color w:val="auto"/>
                <w:sz w:val="24"/>
                <w:szCs w:val="24"/>
                <w:highlight w:val="none"/>
                <w:u w:val="single"/>
              </w:rPr>
              <w:t xml:space="preserve">                                       </w:t>
            </w:r>
          </w:p>
        </w:tc>
      </w:tr>
    </w:tbl>
    <w:p w14:paraId="327D0A89">
      <w:pPr>
        <w:spacing w:before="468" w:beforeLines="150" w:line="600" w:lineRule="exact"/>
        <w:jc w:val="center"/>
        <w:rPr>
          <w:rFonts w:hint="eastAsia" w:ascii="黑体" w:hAnsi="黑体" w:eastAsia="黑体" w:cs="黑体"/>
          <w:b/>
          <w:bCs/>
          <w:color w:val="auto"/>
          <w:spacing w:val="40"/>
          <w:sz w:val="24"/>
          <w:szCs w:val="24"/>
          <w:highlight w:val="none"/>
        </w:rPr>
      </w:pPr>
      <w:r>
        <w:rPr>
          <w:rFonts w:hint="eastAsia" w:ascii="黑体" w:hAnsi="黑体" w:eastAsia="黑体" w:cs="黑体"/>
          <w:b/>
          <w:color w:val="auto"/>
          <w:spacing w:val="40"/>
          <w:sz w:val="24"/>
          <w:szCs w:val="24"/>
          <w:highlight w:val="none"/>
        </w:rPr>
        <w:t>日期：</w:t>
      </w:r>
      <w:r>
        <w:rPr>
          <w:rFonts w:hint="eastAsia" w:ascii="黑体" w:hAnsi="黑体" w:eastAsia="黑体" w:cs="黑体"/>
          <w:b/>
          <w:color w:val="auto"/>
          <w:spacing w:val="20"/>
          <w:szCs w:val="21"/>
          <w:highlight w:val="none"/>
        </w:rPr>
        <w:t xml:space="preserve">    </w:t>
      </w:r>
      <w:r>
        <w:rPr>
          <w:rFonts w:hint="eastAsia" w:ascii="黑体" w:hAnsi="黑体" w:eastAsia="黑体" w:cs="黑体"/>
          <w:b/>
          <w:color w:val="auto"/>
          <w:spacing w:val="40"/>
          <w:sz w:val="24"/>
          <w:szCs w:val="24"/>
          <w:highlight w:val="none"/>
        </w:rPr>
        <w:t>年  月  日</w:t>
      </w:r>
    </w:p>
    <w:p w14:paraId="69086683">
      <w:pPr>
        <w:spacing w:line="360" w:lineRule="auto"/>
        <w:rPr>
          <w:rFonts w:hint="eastAsia" w:ascii="黑体" w:hAnsi="黑体" w:eastAsia="黑体" w:cs="黑体"/>
          <w:color w:val="auto"/>
          <w:highlight w:val="none"/>
        </w:rPr>
      </w:pPr>
    </w:p>
    <w:p w14:paraId="02518E61">
      <w:pPr>
        <w:spacing w:line="360" w:lineRule="auto"/>
        <w:rPr>
          <w:rFonts w:hint="eastAsia" w:ascii="黑体" w:hAnsi="黑体" w:eastAsia="黑体" w:cs="黑体"/>
          <w:color w:val="auto"/>
          <w:highlight w:val="none"/>
        </w:rPr>
      </w:pPr>
    </w:p>
    <w:p w14:paraId="591E0A54">
      <w:pPr>
        <w:spacing w:line="360" w:lineRule="auto"/>
        <w:rPr>
          <w:rFonts w:hint="eastAsia" w:ascii="黑体" w:hAnsi="黑体" w:eastAsia="黑体" w:cs="黑体"/>
          <w:color w:val="auto"/>
          <w:highlight w:val="none"/>
        </w:rPr>
      </w:pPr>
    </w:p>
    <w:p w14:paraId="0DCFCA1A">
      <w:pPr>
        <w:pStyle w:val="29"/>
        <w:numPr>
          <w:ilvl w:val="0"/>
          <w:numId w:val="96"/>
        </w:numPr>
        <w:spacing w:before="312" w:beforeLines="100" w:after="312" w:afterLines="100" w:line="360" w:lineRule="auto"/>
        <w:ind w:firstLineChars="0"/>
        <w:jc w:val="left"/>
        <w:rPr>
          <w:rFonts w:hint="eastAsia" w:ascii="黑体" w:hAnsi="黑体" w:eastAsia="黑体" w:cs="黑体"/>
          <w:b/>
          <w:color w:val="auto"/>
          <w:spacing w:val="20"/>
          <w:sz w:val="28"/>
          <w:szCs w:val="28"/>
          <w:highlight w:val="none"/>
        </w:rPr>
      </w:pPr>
      <w:r>
        <w:rPr>
          <w:rFonts w:hint="eastAsia" w:ascii="黑体" w:hAnsi="黑体" w:eastAsia="黑体" w:cs="黑体"/>
          <w:b/>
          <w:color w:val="auto"/>
          <w:spacing w:val="20"/>
          <w:sz w:val="28"/>
          <w:szCs w:val="28"/>
          <w:highlight w:val="none"/>
        </w:rPr>
        <w:t>唱标信封内装：</w:t>
      </w:r>
    </w:p>
    <w:p w14:paraId="40DAC23A">
      <w:pPr>
        <w:pStyle w:val="29"/>
        <w:numPr>
          <w:ilvl w:val="0"/>
          <w:numId w:val="97"/>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开标一览表加盖投标人公章；</w:t>
      </w:r>
    </w:p>
    <w:p w14:paraId="235A13F9">
      <w:pPr>
        <w:pStyle w:val="29"/>
        <w:numPr>
          <w:ilvl w:val="0"/>
          <w:numId w:val="97"/>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分项报价表加盖投标人公章；</w:t>
      </w:r>
    </w:p>
    <w:p w14:paraId="08CA01E9">
      <w:pPr>
        <w:pStyle w:val="29"/>
        <w:numPr>
          <w:ilvl w:val="0"/>
          <w:numId w:val="97"/>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法定代表人证明书或法定代表人授权委托书加盖投标人公章；</w:t>
      </w:r>
    </w:p>
    <w:p w14:paraId="69BB54E8">
      <w:pPr>
        <w:pStyle w:val="29"/>
        <w:numPr>
          <w:ilvl w:val="0"/>
          <w:numId w:val="97"/>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电子文件（CD-R光盘或U盘）；</w:t>
      </w:r>
    </w:p>
    <w:p w14:paraId="0AF624E9">
      <w:pPr>
        <w:pStyle w:val="29"/>
        <w:numPr>
          <w:ilvl w:val="0"/>
          <w:numId w:val="97"/>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bCs/>
          <w:color w:val="auto"/>
          <w:szCs w:val="21"/>
          <w:highlight w:val="none"/>
        </w:rPr>
        <w:t>其他格式（如有）</w:t>
      </w:r>
      <w:r>
        <w:rPr>
          <w:rFonts w:hint="eastAsia" w:ascii="黑体" w:hAnsi="黑体" w:eastAsia="黑体" w:cs="黑体"/>
          <w:color w:val="auto"/>
          <w:szCs w:val="21"/>
          <w:highlight w:val="none"/>
        </w:rPr>
        <w:t>。</w:t>
      </w:r>
    </w:p>
    <w:sectPr>
      <w:footerReference r:id="rId5" w:type="first"/>
      <w:headerReference r:id="rId3" w:type="default"/>
      <w:footerReference r:id="rId4" w:type="default"/>
      <w:pgSz w:w="11906" w:h="16838"/>
      <w:pgMar w:top="1521" w:right="1558" w:bottom="993" w:left="1797" w:header="851" w:footer="680" w:gutter="0"/>
      <w:pgNumType w:fmt="decimal"/>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2094B2">
    <w:pPr>
      <w:pStyle w:val="13"/>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82118FC">
                          <w:pPr>
                            <w:pStyle w:val="1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87</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082118FC">
                    <w:pPr>
                      <w:pStyle w:val="1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87</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F8EE85">
    <w:pPr>
      <w:pStyle w:val="1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85F98C">
                          <w:pPr>
                            <w:pStyle w:val="1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87</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3E85F98C">
                    <w:pPr>
                      <w:pStyle w:val="1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87</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4DB10A">
    <w:pPr>
      <w:pStyle w:val="14"/>
      <w:jc w:val="left"/>
      <w:rPr>
        <w:rFonts w:ascii="黑体" w:hAnsi="黑体" w:eastAsia="黑体"/>
        <w:color w:val="FF0000"/>
      </w:rPr>
    </w:pPr>
    <w:r>
      <w:rPr>
        <w:rFonts w:hint="eastAsia" w:ascii="黑体" w:hAnsi="黑体" w:eastAsia="黑体"/>
        <w:sz w:val="21"/>
        <w:szCs w:val="21"/>
      </w:rPr>
      <w:drawing>
        <wp:inline distT="0" distB="0" distL="0" distR="0">
          <wp:extent cx="835660" cy="253365"/>
          <wp:effectExtent l="19050" t="0" r="2323" b="0"/>
          <wp:docPr id="4" name="图片 4" descr="F:\东莞分公司（内部综合）\东莞分公司（各类事项表格）\东莞分公司（LOGO）\有德横向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东莞分公司（内部综合）\东莞分公司（各类事项表格）\东莞分公司（LOGO）\有德横向LOGO.jpg"/>
                  <pic:cNvPicPr>
                    <a:picLocks noChangeAspect="1" noChangeArrowheads="1"/>
                  </pic:cNvPicPr>
                </pic:nvPicPr>
                <pic:blipFill>
                  <a:blip r:embed="rId1"/>
                  <a:srcRect/>
                  <a:stretch>
                    <a:fillRect/>
                  </a:stretch>
                </pic:blipFill>
                <pic:spPr>
                  <a:xfrm>
                    <a:off x="0" y="0"/>
                    <a:ext cx="844330" cy="256246"/>
                  </a:xfrm>
                  <a:prstGeom prst="rect">
                    <a:avLst/>
                  </a:prstGeom>
                  <a:noFill/>
                  <a:ln w="9525">
                    <a:noFill/>
                    <a:miter lim="800000"/>
                    <a:headEnd/>
                    <a:tailEnd/>
                  </a:ln>
                </pic:spPr>
              </pic:pic>
            </a:graphicData>
          </a:graphic>
        </wp:inline>
      </w:drawing>
    </w:r>
    <w:r>
      <w:rPr>
        <w:rFonts w:hint="eastAsia" w:ascii="黑体" w:hAnsi="黑体" w:eastAsia="黑体"/>
        <w:sz w:val="21"/>
        <w:szCs w:val="21"/>
      </w:rPr>
      <w:t xml:space="preserve">                                   </w:t>
    </w:r>
    <w:r>
      <w:rPr>
        <w:rFonts w:hint="eastAsia" w:ascii="黑体" w:hAnsi="黑体" w:eastAsia="黑体"/>
        <w:color w:val="FF0000"/>
        <w:sz w:val="21"/>
        <w:szCs w:val="21"/>
      </w:rPr>
      <w:t xml:space="preserve">         </w:t>
    </w:r>
    <w:r>
      <w:rPr>
        <w:rFonts w:ascii="黑体" w:hAnsi="黑体" w:eastAsia="黑体"/>
        <w:color w:val="FF0000"/>
        <w:sz w:val="21"/>
        <w:szCs w:val="21"/>
      </w:rPr>
      <w:t xml:space="preserve">   </w:t>
    </w:r>
    <w:r>
      <w:rPr>
        <w:rFonts w:hint="eastAsia" w:ascii="黑体" w:hAnsi="黑体" w:eastAsia="黑体"/>
        <w:color w:val="FF0000"/>
        <w:sz w:val="21"/>
        <w:szCs w:val="21"/>
      </w:rPr>
      <w:t xml:space="preserve"> </w:t>
    </w:r>
    <w:r>
      <w:rPr>
        <w:rFonts w:hint="eastAsia" w:ascii="黑体" w:hAnsi="黑体" w:eastAsia="黑体"/>
        <w:color w:val="FF0000"/>
      </w:rPr>
      <w:t>广东有德招标采购有限公司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A6CE33"/>
    <w:multiLevelType w:val="singleLevel"/>
    <w:tmpl w:val="84A6CE33"/>
    <w:lvl w:ilvl="0" w:tentative="0">
      <w:start w:val="1"/>
      <w:numFmt w:val="decimal"/>
      <w:lvlText w:val="%1."/>
      <w:lvlJc w:val="left"/>
      <w:pPr>
        <w:ind w:left="425" w:hanging="425"/>
      </w:pPr>
      <w:rPr>
        <w:rFonts w:hint="default"/>
      </w:rPr>
    </w:lvl>
  </w:abstractNum>
  <w:abstractNum w:abstractNumId="1">
    <w:nsid w:val="9A60A4D5"/>
    <w:multiLevelType w:val="multilevel"/>
    <w:tmpl w:val="9A60A4D5"/>
    <w:lvl w:ilvl="0" w:tentative="0">
      <w:start w:val="1"/>
      <w:numFmt w:val="decimal"/>
      <w:lvlText w:val="8.1.%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BAC6AB66"/>
    <w:multiLevelType w:val="singleLevel"/>
    <w:tmpl w:val="BAC6AB66"/>
    <w:lvl w:ilvl="0" w:tentative="0">
      <w:start w:val="1"/>
      <w:numFmt w:val="decimal"/>
      <w:lvlText w:val="%1."/>
      <w:lvlJc w:val="left"/>
      <w:pPr>
        <w:ind w:left="425" w:hanging="425"/>
      </w:pPr>
      <w:rPr>
        <w:rFonts w:hint="default"/>
      </w:rPr>
    </w:lvl>
  </w:abstractNum>
  <w:abstractNum w:abstractNumId="3">
    <w:nsid w:val="BEBB315D"/>
    <w:multiLevelType w:val="singleLevel"/>
    <w:tmpl w:val="BEBB315D"/>
    <w:lvl w:ilvl="0" w:tentative="0">
      <w:start w:val="1"/>
      <w:numFmt w:val="decimal"/>
      <w:lvlText w:val="%1."/>
      <w:lvlJc w:val="left"/>
      <w:pPr>
        <w:ind w:left="425" w:hanging="425"/>
      </w:pPr>
      <w:rPr>
        <w:rFonts w:hint="default"/>
      </w:rPr>
    </w:lvl>
  </w:abstractNum>
  <w:abstractNum w:abstractNumId="4">
    <w:nsid w:val="C038599F"/>
    <w:multiLevelType w:val="singleLevel"/>
    <w:tmpl w:val="C038599F"/>
    <w:lvl w:ilvl="0" w:tentative="0">
      <w:start w:val="1"/>
      <w:numFmt w:val="decimal"/>
      <w:lvlText w:val="%1."/>
      <w:lvlJc w:val="left"/>
      <w:pPr>
        <w:ind w:left="425" w:hanging="425"/>
      </w:pPr>
      <w:rPr>
        <w:rFonts w:hint="default"/>
      </w:rPr>
    </w:lvl>
  </w:abstractNum>
  <w:abstractNum w:abstractNumId="5">
    <w:nsid w:val="E1D80ABF"/>
    <w:multiLevelType w:val="singleLevel"/>
    <w:tmpl w:val="E1D80ABF"/>
    <w:lvl w:ilvl="0" w:tentative="0">
      <w:start w:val="1"/>
      <w:numFmt w:val="decimal"/>
      <w:lvlText w:val="%1."/>
      <w:lvlJc w:val="left"/>
      <w:pPr>
        <w:ind w:left="425" w:hanging="425"/>
      </w:pPr>
      <w:rPr>
        <w:rFonts w:hint="default"/>
      </w:rPr>
    </w:lvl>
  </w:abstractNum>
  <w:abstractNum w:abstractNumId="6">
    <w:nsid w:val="038A63D2"/>
    <w:multiLevelType w:val="multilevel"/>
    <w:tmpl w:val="038A63D2"/>
    <w:lvl w:ilvl="0" w:tentative="0">
      <w:start w:val="29"/>
      <w:numFmt w:val="decimal"/>
      <w:lvlText w:val="%1"/>
      <w:lvlJc w:val="left"/>
      <w:pPr>
        <w:ind w:left="425" w:hanging="425"/>
      </w:pPr>
      <w:rPr>
        <w:rFonts w:hint="eastAsia"/>
        <w:b/>
        <w:i w:val="0"/>
        <w:color w:val="auto"/>
        <w:sz w:val="21"/>
      </w:rPr>
    </w:lvl>
    <w:lvl w:ilvl="1" w:tentative="0">
      <w:start w:val="1"/>
      <w:numFmt w:val="decimal"/>
      <w:lvlText w:val="%1.%2"/>
      <w:lvlJc w:val="left"/>
      <w:pPr>
        <w:ind w:left="567" w:hanging="567"/>
      </w:pPr>
      <w:rPr>
        <w:rFonts w:hint="eastAsia"/>
        <w:b w:val="0"/>
      </w:rPr>
    </w:lvl>
    <w:lvl w:ilvl="2" w:tentative="0">
      <w:start w:val="1"/>
      <w:numFmt w:val="decimal"/>
      <w:lvlText w:val="%1.2.%3"/>
      <w:lvlJc w:val="left"/>
      <w:pPr>
        <w:ind w:left="709" w:hanging="709"/>
      </w:pPr>
      <w:rPr>
        <w:rFonts w:hint="eastAsia"/>
      </w:rPr>
    </w:lvl>
    <w:lvl w:ilvl="3" w:tentative="0">
      <w:start w:val="1"/>
      <w:numFmt w:val="decimal"/>
      <w:lvlText w:val="%1.3.%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7">
    <w:nsid w:val="040A34B3"/>
    <w:multiLevelType w:val="multilevel"/>
    <w:tmpl w:val="040A34B3"/>
    <w:lvl w:ilvl="0" w:tentative="0">
      <w:start w:val="1"/>
      <w:numFmt w:val="decimal"/>
      <w:lvlText w:val="14.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043631BE"/>
    <w:multiLevelType w:val="multilevel"/>
    <w:tmpl w:val="043631BE"/>
    <w:lvl w:ilvl="0" w:tentative="0">
      <w:start w:val="1"/>
      <w:numFmt w:val="decimal"/>
      <w:lvlText w:val="28.%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08AF46D7"/>
    <w:multiLevelType w:val="multilevel"/>
    <w:tmpl w:val="08AF46D7"/>
    <w:lvl w:ilvl="0" w:tentative="0">
      <w:start w:val="1"/>
      <w:numFmt w:val="decimal"/>
      <w:lvlText w:val="3.%1"/>
      <w:lvlJc w:val="left"/>
      <w:pPr>
        <w:ind w:left="941"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0A9528F9"/>
    <w:multiLevelType w:val="multilevel"/>
    <w:tmpl w:val="0A9528F9"/>
    <w:lvl w:ilvl="0" w:tentative="0">
      <w:start w:val="1"/>
      <w:numFmt w:val="decimal"/>
      <w:lvlText w:val="1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0B5D1CF6"/>
    <w:multiLevelType w:val="multilevel"/>
    <w:tmpl w:val="0B5D1CF6"/>
    <w:lvl w:ilvl="0" w:tentative="0">
      <w:start w:val="1"/>
      <w:numFmt w:val="decimal"/>
      <w:lvlText w:val="1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0C5C6350"/>
    <w:multiLevelType w:val="multilevel"/>
    <w:tmpl w:val="0C5C635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0EE76AD9"/>
    <w:multiLevelType w:val="multilevel"/>
    <w:tmpl w:val="0EE76AD9"/>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10FE07D7"/>
    <w:multiLevelType w:val="multilevel"/>
    <w:tmpl w:val="10FE07D7"/>
    <w:lvl w:ilvl="0" w:tentative="0">
      <w:start w:val="1"/>
      <w:numFmt w:val="decimal"/>
      <w:lvlText w:val="2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11854C77"/>
    <w:multiLevelType w:val="multilevel"/>
    <w:tmpl w:val="11854C77"/>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176E0134"/>
    <w:multiLevelType w:val="multilevel"/>
    <w:tmpl w:val="176E0134"/>
    <w:lvl w:ilvl="0" w:tentative="0">
      <w:start w:val="1"/>
      <w:numFmt w:val="decimal"/>
      <w:lvlText w:val="2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183154B4"/>
    <w:multiLevelType w:val="multilevel"/>
    <w:tmpl w:val="183154B4"/>
    <w:lvl w:ilvl="0" w:tentative="0">
      <w:start w:val="1"/>
      <w:numFmt w:val="decimal"/>
      <w:lvlText w:val="20.%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19CD77AF"/>
    <w:multiLevelType w:val="multilevel"/>
    <w:tmpl w:val="19CD77AF"/>
    <w:lvl w:ilvl="0" w:tentative="0">
      <w:start w:val="1"/>
      <w:numFmt w:val="decimal"/>
      <w:lvlText w:val="30.%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1A600377"/>
    <w:multiLevelType w:val="multilevel"/>
    <w:tmpl w:val="1A600377"/>
    <w:lvl w:ilvl="0" w:tentative="0">
      <w:start w:val="1"/>
      <w:numFmt w:val="decimal"/>
      <w:lvlText w:val="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1A973E3B"/>
    <w:multiLevelType w:val="multilevel"/>
    <w:tmpl w:val="1A973E3B"/>
    <w:lvl w:ilvl="0" w:tentative="0">
      <w:start w:val="1"/>
      <w:numFmt w:val="decimal"/>
      <w:lvlText w:val="19.%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1C4E0595"/>
    <w:multiLevelType w:val="multilevel"/>
    <w:tmpl w:val="1C4E059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2">
    <w:nsid w:val="1DA21561"/>
    <w:multiLevelType w:val="multilevel"/>
    <w:tmpl w:val="1DA21561"/>
    <w:lvl w:ilvl="0" w:tentative="0">
      <w:start w:val="29"/>
      <w:numFmt w:val="decimal"/>
      <w:lvlText w:val="%1"/>
      <w:lvlJc w:val="left"/>
      <w:pPr>
        <w:ind w:left="425" w:hanging="425"/>
      </w:pPr>
      <w:rPr>
        <w:rFonts w:hint="eastAsia"/>
      </w:rPr>
    </w:lvl>
    <w:lvl w:ilvl="1" w:tentative="0">
      <w:start w:val="3"/>
      <w:numFmt w:val="decimal"/>
      <w:lvlText w:val="%1.%2"/>
      <w:lvlJc w:val="left"/>
      <w:pPr>
        <w:ind w:left="567" w:hanging="567"/>
      </w:pPr>
      <w:rPr>
        <w:rFonts w:hint="eastAsia"/>
      </w:rPr>
    </w:lvl>
    <w:lvl w:ilvl="2" w:tentative="0">
      <w:start w:val="1"/>
      <w:numFmt w:val="decimal"/>
      <w:lvlText w:val="30.2.%3"/>
      <w:lvlJc w:val="left"/>
      <w:pPr>
        <w:ind w:left="709" w:hanging="709"/>
      </w:pPr>
      <w:rPr>
        <w:rFonts w:hint="eastAsia"/>
      </w:rPr>
    </w:lvl>
    <w:lvl w:ilvl="3" w:tentative="0">
      <w:start w:val="1"/>
      <w:numFmt w:val="decimal"/>
      <w:lvlText w:val="30.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3">
    <w:nsid w:val="1E0E2DA0"/>
    <w:multiLevelType w:val="multilevel"/>
    <w:tmpl w:val="1E0E2DA0"/>
    <w:lvl w:ilvl="0" w:tentative="0">
      <w:start w:val="1"/>
      <w:numFmt w:val="decimal"/>
      <w:lvlText w:val="%1"/>
      <w:lvlJc w:val="left"/>
      <w:pPr>
        <w:ind w:left="425" w:hanging="425"/>
      </w:pPr>
      <w:rPr>
        <w:rFonts w:hint="eastAsia"/>
        <w:b/>
        <w:i w:val="0"/>
        <w:color w:val="auto"/>
        <w:sz w:val="21"/>
      </w:rPr>
    </w:lvl>
    <w:lvl w:ilvl="1" w:tentative="0">
      <w:start w:val="1"/>
      <w:numFmt w:val="decimal"/>
      <w:lvlText w:val="29.%2"/>
      <w:lvlJc w:val="left"/>
      <w:pPr>
        <w:ind w:left="567" w:hanging="567"/>
      </w:pPr>
      <w:rPr>
        <w:rFonts w:hint="eastAsia"/>
        <w:b/>
        <w:bCs w:val="0"/>
        <w:color w:val="auto"/>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4">
    <w:nsid w:val="1F1F0EBB"/>
    <w:multiLevelType w:val="multilevel"/>
    <w:tmpl w:val="1F1F0EBB"/>
    <w:lvl w:ilvl="0" w:tentative="0">
      <w:start w:val="1"/>
      <w:numFmt w:val="decimal"/>
      <w:lvlText w:val="3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8.%2"/>
      <w:lvlJc w:val="left"/>
      <w:pPr>
        <w:ind w:left="567" w:hanging="567"/>
      </w:pPr>
      <w:rPr>
        <w:rFonts w:hint="eastAsia"/>
        <w:b/>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6">
    <w:nsid w:val="25F566EF"/>
    <w:multiLevelType w:val="multilevel"/>
    <w:tmpl w:val="25F566EF"/>
    <w:lvl w:ilvl="0" w:tentative="0">
      <w:start w:val="11"/>
      <w:numFmt w:val="decimal"/>
      <w:lvlText w:val="%1"/>
      <w:lvlJc w:val="left"/>
      <w:pPr>
        <w:ind w:left="425" w:hanging="425"/>
      </w:pPr>
      <w:rPr>
        <w:rFonts w:hint="eastAsia"/>
      </w:rPr>
    </w:lvl>
    <w:lvl w:ilvl="1" w:tentative="0">
      <w:start w:val="2"/>
      <w:numFmt w:val="decimal"/>
      <w:lvlText w:val="%1.%2"/>
      <w:lvlJc w:val="left"/>
      <w:pPr>
        <w:ind w:left="567" w:hanging="567"/>
      </w:pPr>
      <w:rPr>
        <w:rFonts w:hint="eastAsia"/>
      </w:rPr>
    </w:lvl>
    <w:lvl w:ilvl="2" w:tentative="0">
      <w:start w:val="1"/>
      <w:numFmt w:val="decimal"/>
      <w:lvlText w:val="12.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7">
    <w:nsid w:val="276B6FB6"/>
    <w:multiLevelType w:val="multilevel"/>
    <w:tmpl w:val="276B6FB6"/>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2A16535C"/>
    <w:multiLevelType w:val="multilevel"/>
    <w:tmpl w:val="2A16535C"/>
    <w:lvl w:ilvl="0" w:tentative="0">
      <w:start w:val="1"/>
      <w:numFmt w:val="decimal"/>
      <w:lvlText w:val="18.%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2B1320B6"/>
    <w:multiLevelType w:val="multilevel"/>
    <w:tmpl w:val="2B1320B6"/>
    <w:lvl w:ilvl="0" w:tentative="0">
      <w:start w:val="1"/>
      <w:numFmt w:val="decimal"/>
      <w:lvlText w:val="2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2B8721E3"/>
    <w:multiLevelType w:val="multilevel"/>
    <w:tmpl w:val="2B8721E3"/>
    <w:lvl w:ilvl="0" w:tentative="0">
      <w:start w:val="29"/>
      <w:numFmt w:val="decimal"/>
      <w:lvlText w:val="%1"/>
      <w:lvlJc w:val="left"/>
      <w:pPr>
        <w:ind w:left="425" w:hanging="425"/>
      </w:pPr>
      <w:rPr>
        <w:rFonts w:hint="eastAsia"/>
      </w:rPr>
    </w:lvl>
    <w:lvl w:ilvl="1" w:tentative="0">
      <w:start w:val="3"/>
      <w:numFmt w:val="decimal"/>
      <w:lvlText w:val="%1.%2"/>
      <w:lvlJc w:val="left"/>
      <w:pPr>
        <w:ind w:left="567" w:hanging="567"/>
      </w:pPr>
      <w:rPr>
        <w:rFonts w:hint="eastAsia"/>
      </w:rPr>
    </w:lvl>
    <w:lvl w:ilvl="2" w:tentative="0">
      <w:start w:val="1"/>
      <w:numFmt w:val="decimal"/>
      <w:lvlText w:val="30.%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1">
    <w:nsid w:val="2C2B1E1F"/>
    <w:multiLevelType w:val="multilevel"/>
    <w:tmpl w:val="2C2B1E1F"/>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2E8F60A7"/>
    <w:multiLevelType w:val="multilevel"/>
    <w:tmpl w:val="2E8F60A7"/>
    <w:lvl w:ilvl="0" w:tentative="0">
      <w:start w:val="1"/>
      <w:numFmt w:val="decimal"/>
      <w:lvlText w:val="29.%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2F8426FB"/>
    <w:multiLevelType w:val="multilevel"/>
    <w:tmpl w:val="2F8426F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2FF332FE"/>
    <w:multiLevelType w:val="multilevel"/>
    <w:tmpl w:val="2FF332F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5">
    <w:nsid w:val="30E620E1"/>
    <w:multiLevelType w:val="multilevel"/>
    <w:tmpl w:val="30E620E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
    <w:nsid w:val="32A23873"/>
    <w:multiLevelType w:val="multilevel"/>
    <w:tmpl w:val="32A23873"/>
    <w:lvl w:ilvl="0" w:tentative="0">
      <w:start w:val="1"/>
      <w:numFmt w:val="decimal"/>
      <w:lvlText w:val="1.%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7">
    <w:nsid w:val="32BF1864"/>
    <w:multiLevelType w:val="multilevel"/>
    <w:tmpl w:val="32BF1864"/>
    <w:lvl w:ilvl="0" w:tentative="0">
      <w:start w:val="1"/>
      <w:numFmt w:val="chineseCountingThousand"/>
      <w:lvlText w:val="%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
    <w:nsid w:val="346F47EE"/>
    <w:multiLevelType w:val="multilevel"/>
    <w:tmpl w:val="346F47EE"/>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9">
    <w:nsid w:val="34CE7977"/>
    <w:multiLevelType w:val="multilevel"/>
    <w:tmpl w:val="34CE7977"/>
    <w:lvl w:ilvl="0" w:tentative="0">
      <w:start w:val="1"/>
      <w:numFmt w:val="decimal"/>
      <w:lvlText w:val="%1."/>
      <w:lvlJc w:val="left"/>
      <w:pPr>
        <w:ind w:left="360" w:hanging="360"/>
      </w:pPr>
      <w:rPr>
        <w:rFonts w:hint="default"/>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0">
    <w:nsid w:val="35EA1EC4"/>
    <w:multiLevelType w:val="multilevel"/>
    <w:tmpl w:val="35EA1EC4"/>
    <w:lvl w:ilvl="0" w:tentative="0">
      <w:start w:val="1"/>
      <w:numFmt w:val="chineseCountingThousand"/>
      <w:lvlText w:val="%1 "/>
      <w:lvlJc w:val="left"/>
      <w:pPr>
        <w:ind w:left="420" w:hanging="420"/>
      </w:pPr>
      <w:rPr>
        <w:rFonts w:hint="eastAsia"/>
        <w:b/>
        <w:i w:val="0"/>
        <w:color w:val="auto"/>
        <w:sz w:val="21"/>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1">
    <w:nsid w:val="36603967"/>
    <w:multiLevelType w:val="multilevel"/>
    <w:tmpl w:val="36603967"/>
    <w:lvl w:ilvl="0" w:tentative="0">
      <w:start w:val="1"/>
      <w:numFmt w:val="decimal"/>
      <w:lvlText w:val="3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2">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3">
    <w:nsid w:val="3B5D1229"/>
    <w:multiLevelType w:val="multilevel"/>
    <w:tmpl w:val="3B5D1229"/>
    <w:lvl w:ilvl="0" w:tentative="0">
      <w:start w:val="1"/>
      <w:numFmt w:val="decimal"/>
      <w:lvlText w:val="1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4">
    <w:nsid w:val="3BFF7564"/>
    <w:multiLevelType w:val="multilevel"/>
    <w:tmpl w:val="3BFF7564"/>
    <w:lvl w:ilvl="0" w:tentative="0">
      <w:start w:val="1"/>
      <w:numFmt w:val="decimal"/>
      <w:lvlText w:val="%1"/>
      <w:lvlJc w:val="left"/>
      <w:pPr>
        <w:ind w:left="425" w:hanging="425"/>
      </w:pPr>
      <w:rPr>
        <w:rFonts w:hint="eastAsia"/>
      </w:rPr>
    </w:lvl>
    <w:lvl w:ilvl="1" w:tentative="0">
      <w:start w:val="2"/>
      <w:numFmt w:val="decimal"/>
      <w:lvlText w:val="%1.%2"/>
      <w:lvlJc w:val="left"/>
      <w:pPr>
        <w:ind w:left="567" w:hanging="567"/>
      </w:pPr>
      <w:rPr>
        <w:rFonts w:hint="eastAsia"/>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45">
    <w:nsid w:val="3E7B3266"/>
    <w:multiLevelType w:val="multilevel"/>
    <w:tmpl w:val="3E7B3266"/>
    <w:lvl w:ilvl="0" w:tentative="0">
      <w:start w:val="1"/>
      <w:numFmt w:val="decimal"/>
      <w:lvlText w:val="3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6">
    <w:nsid w:val="3EDA68BD"/>
    <w:multiLevelType w:val="multilevel"/>
    <w:tmpl w:val="3EDA68BD"/>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7">
    <w:nsid w:val="426A2696"/>
    <w:multiLevelType w:val="multilevel"/>
    <w:tmpl w:val="426A2696"/>
    <w:lvl w:ilvl="0" w:tentative="0">
      <w:start w:val="13"/>
      <w:numFmt w:val="decimal"/>
      <w:lvlText w:val="%1"/>
      <w:lvlJc w:val="left"/>
      <w:pPr>
        <w:ind w:left="425" w:hanging="425"/>
      </w:pPr>
      <w:rPr>
        <w:rFonts w:hint="eastAsia"/>
      </w:rPr>
    </w:lvl>
    <w:lvl w:ilvl="1" w:tentative="0">
      <w:start w:val="1"/>
      <w:numFmt w:val="decimal"/>
      <w:lvlText w:val="10.%2"/>
      <w:lvlJc w:val="left"/>
      <w:pPr>
        <w:ind w:left="567" w:hanging="567"/>
      </w:pPr>
      <w:rPr>
        <w:rFonts w:hint="eastAsia"/>
      </w:rPr>
    </w:lvl>
    <w:lvl w:ilvl="2" w:tentative="0">
      <w:start w:val="3"/>
      <w:numFmt w:val="decimal"/>
      <w:lvlText w:val="%1.2.1"/>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48">
    <w:nsid w:val="482F7A7A"/>
    <w:multiLevelType w:val="multilevel"/>
    <w:tmpl w:val="482F7A7A"/>
    <w:lvl w:ilvl="0" w:tentative="0">
      <w:start w:val="1"/>
      <w:numFmt w:val="decimal"/>
      <w:lvlText w:val="8.%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9">
    <w:nsid w:val="49FB7819"/>
    <w:multiLevelType w:val="multilevel"/>
    <w:tmpl w:val="49FB781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0">
    <w:nsid w:val="4A804453"/>
    <w:multiLevelType w:val="multilevel"/>
    <w:tmpl w:val="4A804453"/>
    <w:lvl w:ilvl="0" w:tentative="0">
      <w:start w:val="1"/>
      <w:numFmt w:val="decimal"/>
      <w:lvlText w:val="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1">
    <w:nsid w:val="4AD52286"/>
    <w:multiLevelType w:val="multilevel"/>
    <w:tmpl w:val="4AD52286"/>
    <w:lvl w:ilvl="0" w:tentative="0">
      <w:start w:val="1"/>
      <w:numFmt w:val="decimal"/>
      <w:lvlText w:val="2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2">
    <w:nsid w:val="4AE21275"/>
    <w:multiLevelType w:val="multilevel"/>
    <w:tmpl w:val="4AE21275"/>
    <w:lvl w:ilvl="0" w:tentative="0">
      <w:start w:val="8"/>
      <w:numFmt w:val="decimal"/>
      <w:lvlText w:val="%1"/>
      <w:lvlJc w:val="left"/>
      <w:pPr>
        <w:ind w:left="425" w:hanging="425"/>
      </w:pPr>
      <w:rPr>
        <w:rFonts w:hint="eastAsia"/>
      </w:rPr>
    </w:lvl>
    <w:lvl w:ilvl="1" w:tentative="0">
      <w:start w:val="1"/>
      <w:numFmt w:val="decimal"/>
      <w:lvlText w:val="6.%2"/>
      <w:lvlJc w:val="left"/>
      <w:pPr>
        <w:ind w:left="567" w:hanging="567"/>
      </w:pPr>
      <w:rPr>
        <w:rFonts w:hint="eastAsia"/>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3">
    <w:nsid w:val="4BAE0827"/>
    <w:multiLevelType w:val="multilevel"/>
    <w:tmpl w:val="4BAE0827"/>
    <w:lvl w:ilvl="0" w:tentative="0">
      <w:start w:val="1"/>
      <w:numFmt w:val="decimal"/>
      <w:lvlText w:val="3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4">
    <w:nsid w:val="507BB60E"/>
    <w:multiLevelType w:val="singleLevel"/>
    <w:tmpl w:val="507BB60E"/>
    <w:lvl w:ilvl="0" w:tentative="0">
      <w:start w:val="1"/>
      <w:numFmt w:val="decimal"/>
      <w:lvlText w:val="%1."/>
      <w:lvlJc w:val="left"/>
      <w:pPr>
        <w:ind w:left="425" w:hanging="425"/>
      </w:pPr>
      <w:rPr>
        <w:rFonts w:hint="default"/>
      </w:rPr>
    </w:lvl>
  </w:abstractNum>
  <w:abstractNum w:abstractNumId="55">
    <w:nsid w:val="50FF4FDA"/>
    <w:multiLevelType w:val="singleLevel"/>
    <w:tmpl w:val="50FF4FDA"/>
    <w:lvl w:ilvl="0" w:tentative="0">
      <w:start w:val="1"/>
      <w:numFmt w:val="decimal"/>
      <w:lvlText w:val="%1."/>
      <w:lvlJc w:val="left"/>
      <w:pPr>
        <w:ind w:left="425" w:hanging="425"/>
      </w:pPr>
      <w:rPr>
        <w:rFonts w:hint="default"/>
      </w:rPr>
    </w:lvl>
  </w:abstractNum>
  <w:abstractNum w:abstractNumId="56">
    <w:nsid w:val="51062AD7"/>
    <w:multiLevelType w:val="multilevel"/>
    <w:tmpl w:val="51062AD7"/>
    <w:lvl w:ilvl="0" w:tentative="0">
      <w:start w:val="1"/>
      <w:numFmt w:val="decimal"/>
      <w:lvlText w:val="2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7">
    <w:nsid w:val="51502957"/>
    <w:multiLevelType w:val="multilevel"/>
    <w:tmpl w:val="51502957"/>
    <w:lvl w:ilvl="0" w:tentative="0">
      <w:start w:val="18"/>
      <w:numFmt w:val="decimal"/>
      <w:lvlText w:val="%1"/>
      <w:lvlJc w:val="left"/>
      <w:pPr>
        <w:ind w:left="425" w:hanging="425"/>
      </w:pPr>
      <w:rPr>
        <w:rFonts w:hint="eastAsia"/>
      </w:rPr>
    </w:lvl>
    <w:lvl w:ilvl="1" w:tentative="0">
      <w:start w:val="3"/>
      <w:numFmt w:val="decimal"/>
      <w:lvlText w:val="%1.%2"/>
      <w:lvlJc w:val="left"/>
      <w:pPr>
        <w:ind w:left="567" w:hanging="567"/>
      </w:pPr>
      <w:rPr>
        <w:rFonts w:hint="eastAsia"/>
      </w:rPr>
    </w:lvl>
    <w:lvl w:ilvl="2" w:tentative="0">
      <w:start w:val="1"/>
      <w:numFmt w:val="decimal"/>
      <w:lvlText w:val="19.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8">
    <w:nsid w:val="52BA71BE"/>
    <w:multiLevelType w:val="multilevel"/>
    <w:tmpl w:val="52BA71BE"/>
    <w:lvl w:ilvl="0" w:tentative="0">
      <w:start w:val="1"/>
      <w:numFmt w:val="decimal"/>
      <w:lvlText w:val="%1"/>
      <w:lvlJc w:val="left"/>
      <w:pPr>
        <w:ind w:left="425" w:hanging="425"/>
      </w:pPr>
      <w:rPr>
        <w:rFonts w:hint="eastAsia"/>
      </w:rPr>
    </w:lvl>
    <w:lvl w:ilvl="1" w:tentative="0">
      <w:start w:val="1"/>
      <w:numFmt w:val="decimal"/>
      <w:lvlText w:val="%1.%2"/>
      <w:lvlJc w:val="left"/>
      <w:pPr>
        <w:ind w:left="567" w:hanging="567"/>
      </w:pPr>
      <w:rPr>
        <w:rFonts w:hint="eastAsia"/>
      </w:rPr>
    </w:lvl>
    <w:lvl w:ilvl="2" w:tentative="0">
      <w:start w:val="1"/>
      <w:numFmt w:val="decimal"/>
      <w:lvlText w:val="1.3.%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9">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0">
    <w:nsid w:val="53331BC6"/>
    <w:multiLevelType w:val="multilevel"/>
    <w:tmpl w:val="53331BC6"/>
    <w:lvl w:ilvl="0" w:tentative="0">
      <w:start w:val="3"/>
      <w:numFmt w:val="decimal"/>
      <w:lvlText w:val="%1"/>
      <w:lvlJc w:val="left"/>
      <w:pPr>
        <w:ind w:left="425" w:hanging="425"/>
      </w:pPr>
      <w:rPr>
        <w:rFonts w:hint="eastAsia"/>
      </w:rPr>
    </w:lvl>
    <w:lvl w:ilvl="1" w:tentative="0">
      <w:start w:val="1"/>
      <w:numFmt w:val="decimal"/>
      <w:lvlText w:val="3.%2"/>
      <w:lvlJc w:val="left"/>
      <w:pPr>
        <w:ind w:left="567" w:hanging="567"/>
      </w:pPr>
      <w:rPr>
        <w:rFonts w:hint="eastAsia"/>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61">
    <w:nsid w:val="53BB02E6"/>
    <w:multiLevelType w:val="multilevel"/>
    <w:tmpl w:val="53BB02E6"/>
    <w:lvl w:ilvl="0" w:tentative="0">
      <w:start w:val="1"/>
      <w:numFmt w:val="decimal"/>
      <w:lvlText w:val="%1."/>
      <w:lvlJc w:val="left"/>
      <w:pPr>
        <w:ind w:left="1680" w:hanging="420"/>
      </w:pPr>
    </w:lvl>
    <w:lvl w:ilvl="1" w:tentative="0">
      <w:start w:val="1"/>
      <w:numFmt w:val="lowerLetter"/>
      <w:lvlText w:val="%2)"/>
      <w:lvlJc w:val="left"/>
      <w:pPr>
        <w:ind w:left="2100" w:hanging="420"/>
      </w:pPr>
    </w:lvl>
    <w:lvl w:ilvl="2" w:tentative="0">
      <w:start w:val="1"/>
      <w:numFmt w:val="lowerRoman"/>
      <w:lvlText w:val="%3."/>
      <w:lvlJc w:val="right"/>
      <w:pPr>
        <w:ind w:left="2520" w:hanging="420"/>
      </w:pPr>
    </w:lvl>
    <w:lvl w:ilvl="3" w:tentative="0">
      <w:start w:val="1"/>
      <w:numFmt w:val="decimal"/>
      <w:lvlText w:val="%4."/>
      <w:lvlJc w:val="left"/>
      <w:pPr>
        <w:ind w:left="2940" w:hanging="420"/>
      </w:pPr>
    </w:lvl>
    <w:lvl w:ilvl="4" w:tentative="0">
      <w:start w:val="1"/>
      <w:numFmt w:val="lowerLetter"/>
      <w:lvlText w:val="%5)"/>
      <w:lvlJc w:val="left"/>
      <w:pPr>
        <w:ind w:left="3360" w:hanging="420"/>
      </w:pPr>
    </w:lvl>
    <w:lvl w:ilvl="5" w:tentative="0">
      <w:start w:val="1"/>
      <w:numFmt w:val="lowerRoman"/>
      <w:lvlText w:val="%6."/>
      <w:lvlJc w:val="right"/>
      <w:pPr>
        <w:ind w:left="3780" w:hanging="420"/>
      </w:pPr>
    </w:lvl>
    <w:lvl w:ilvl="6" w:tentative="0">
      <w:start w:val="1"/>
      <w:numFmt w:val="decimal"/>
      <w:lvlText w:val="%7."/>
      <w:lvlJc w:val="left"/>
      <w:pPr>
        <w:ind w:left="4200" w:hanging="420"/>
      </w:pPr>
    </w:lvl>
    <w:lvl w:ilvl="7" w:tentative="0">
      <w:start w:val="1"/>
      <w:numFmt w:val="lowerLetter"/>
      <w:lvlText w:val="%8)"/>
      <w:lvlJc w:val="left"/>
      <w:pPr>
        <w:ind w:left="4620" w:hanging="420"/>
      </w:pPr>
    </w:lvl>
    <w:lvl w:ilvl="8" w:tentative="0">
      <w:start w:val="1"/>
      <w:numFmt w:val="lowerRoman"/>
      <w:lvlText w:val="%9."/>
      <w:lvlJc w:val="right"/>
      <w:pPr>
        <w:ind w:left="5040" w:hanging="420"/>
      </w:pPr>
    </w:lvl>
  </w:abstractNum>
  <w:abstractNum w:abstractNumId="62">
    <w:nsid w:val="54F200C9"/>
    <w:multiLevelType w:val="multilevel"/>
    <w:tmpl w:val="54F200C9"/>
    <w:lvl w:ilvl="0" w:tentative="0">
      <w:start w:val="1"/>
      <w:numFmt w:val="decimal"/>
      <w:lvlText w:val="2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3">
    <w:nsid w:val="55CF31B5"/>
    <w:multiLevelType w:val="multilevel"/>
    <w:tmpl w:val="55CF31B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4">
    <w:nsid w:val="55E32074"/>
    <w:multiLevelType w:val="multilevel"/>
    <w:tmpl w:val="55E3207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5">
    <w:nsid w:val="57E64E5F"/>
    <w:multiLevelType w:val="multilevel"/>
    <w:tmpl w:val="57E64E5F"/>
    <w:lvl w:ilvl="0" w:tentative="0">
      <w:start w:val="1"/>
      <w:numFmt w:val="decimal"/>
      <w:lvlText w:val="%1"/>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6">
    <w:nsid w:val="57F64BE7"/>
    <w:multiLevelType w:val="singleLevel"/>
    <w:tmpl w:val="57F64BE7"/>
    <w:lvl w:ilvl="0" w:tentative="0">
      <w:start w:val="1"/>
      <w:numFmt w:val="decimal"/>
      <w:suff w:val="nothing"/>
      <w:lvlText w:val="%1、"/>
      <w:lvlJc w:val="left"/>
    </w:lvl>
  </w:abstractNum>
  <w:abstractNum w:abstractNumId="67">
    <w:nsid w:val="58643DD7"/>
    <w:multiLevelType w:val="multilevel"/>
    <w:tmpl w:val="58643DD7"/>
    <w:lvl w:ilvl="0" w:tentative="0">
      <w:start w:val="1"/>
      <w:numFmt w:val="decimal"/>
      <w:lvlText w:val="17.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8">
    <w:nsid w:val="58DC2BF5"/>
    <w:multiLevelType w:val="multilevel"/>
    <w:tmpl w:val="58DC2BF5"/>
    <w:lvl w:ilvl="0" w:tentative="0">
      <w:start w:val="1"/>
      <w:numFmt w:val="decimal"/>
      <w:lvlText w:val="10.%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9">
    <w:nsid w:val="592B198C"/>
    <w:multiLevelType w:val="multilevel"/>
    <w:tmpl w:val="592B198C"/>
    <w:lvl w:ilvl="0" w:tentative="0">
      <w:start w:val="1"/>
      <w:numFmt w:val="chineseCountingThousand"/>
      <w:lvlText w:val="%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0">
    <w:nsid w:val="595A2D4C"/>
    <w:multiLevelType w:val="multilevel"/>
    <w:tmpl w:val="595A2D4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1">
    <w:nsid w:val="5C0E4467"/>
    <w:multiLevelType w:val="multilevel"/>
    <w:tmpl w:val="5C0E4467"/>
    <w:lvl w:ilvl="0" w:tentative="0">
      <w:start w:val="1"/>
      <w:numFmt w:val="decimal"/>
      <w:lvlText w:val="2.%1"/>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2">
    <w:nsid w:val="5FD40241"/>
    <w:multiLevelType w:val="multilevel"/>
    <w:tmpl w:val="5FD40241"/>
    <w:lvl w:ilvl="0" w:tentative="0">
      <w:start w:val="1"/>
      <w:numFmt w:val="decimal"/>
      <w:lvlText w:val="17.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3">
    <w:nsid w:val="61636B35"/>
    <w:multiLevelType w:val="multilevel"/>
    <w:tmpl w:val="61636B35"/>
    <w:lvl w:ilvl="0" w:tentative="0">
      <w:start w:val="1"/>
      <w:numFmt w:val="decimal"/>
      <w:lvlText w:val="2.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4">
    <w:nsid w:val="62A80407"/>
    <w:multiLevelType w:val="multilevel"/>
    <w:tmpl w:val="62A80407"/>
    <w:lvl w:ilvl="0" w:tentative="0">
      <w:start w:val="1"/>
      <w:numFmt w:val="decimal"/>
      <w:lvlText w:val="1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5">
    <w:nsid w:val="63173248"/>
    <w:multiLevelType w:val="multilevel"/>
    <w:tmpl w:val="63173248"/>
    <w:lvl w:ilvl="0" w:tentative="0">
      <w:start w:val="1"/>
      <w:numFmt w:val="decimal"/>
      <w:lvlText w:val="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6">
    <w:nsid w:val="633D5B12"/>
    <w:multiLevelType w:val="multilevel"/>
    <w:tmpl w:val="633D5B12"/>
    <w:lvl w:ilvl="0" w:tentative="0">
      <w:start w:val="1"/>
      <w:numFmt w:val="japaneseCounting"/>
      <w:lvlText w:val="%1、"/>
      <w:lvlJc w:val="left"/>
      <w:pPr>
        <w:ind w:left="500" w:hanging="50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7">
    <w:nsid w:val="65715ED9"/>
    <w:multiLevelType w:val="multilevel"/>
    <w:tmpl w:val="65715ED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8">
    <w:nsid w:val="65C87B74"/>
    <w:multiLevelType w:val="multilevel"/>
    <w:tmpl w:val="65C87B74"/>
    <w:lvl w:ilvl="0" w:tentative="0">
      <w:start w:val="1"/>
      <w:numFmt w:val="decimal"/>
      <w:lvlText w:val="2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9">
    <w:nsid w:val="67F55E3A"/>
    <w:multiLevelType w:val="multilevel"/>
    <w:tmpl w:val="67F55E3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0">
    <w:nsid w:val="68F30CA9"/>
    <w:multiLevelType w:val="multilevel"/>
    <w:tmpl w:val="68F30CA9"/>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1">
    <w:nsid w:val="6A2271FD"/>
    <w:multiLevelType w:val="multilevel"/>
    <w:tmpl w:val="6A2271FD"/>
    <w:lvl w:ilvl="0" w:tentative="0">
      <w:start w:val="1"/>
      <w:numFmt w:val="decimal"/>
      <w:lvlText w:val="3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2">
    <w:nsid w:val="6BBC61EA"/>
    <w:multiLevelType w:val="multilevel"/>
    <w:tmpl w:val="6BBC61EA"/>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3">
    <w:nsid w:val="6BCC430F"/>
    <w:multiLevelType w:val="multilevel"/>
    <w:tmpl w:val="6BCC430F"/>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4">
    <w:nsid w:val="708621A4"/>
    <w:multiLevelType w:val="multilevel"/>
    <w:tmpl w:val="708621A4"/>
    <w:lvl w:ilvl="0" w:tentative="0">
      <w:start w:val="1"/>
      <w:numFmt w:val="decimal"/>
      <w:lvlText w:val="3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5">
    <w:nsid w:val="71580BEF"/>
    <w:multiLevelType w:val="multilevel"/>
    <w:tmpl w:val="71580BEF"/>
    <w:lvl w:ilvl="0" w:tentative="0">
      <w:start w:val="30"/>
      <w:numFmt w:val="decimal"/>
      <w:lvlText w:val="%1"/>
      <w:lvlJc w:val="left"/>
      <w:pPr>
        <w:ind w:left="425" w:hanging="425"/>
      </w:pPr>
      <w:rPr>
        <w:rFonts w:hint="eastAsia"/>
        <w:b/>
        <w:i w:val="0"/>
        <w:color w:val="auto"/>
        <w:sz w:val="21"/>
      </w:rPr>
    </w:lvl>
    <w:lvl w:ilvl="1" w:tentative="0">
      <w:start w:val="4"/>
      <w:numFmt w:val="decimal"/>
      <w:lvlText w:val="%1.%2"/>
      <w:lvlJc w:val="left"/>
      <w:pPr>
        <w:ind w:left="567" w:hanging="567"/>
      </w:pPr>
      <w:rPr>
        <w:rFonts w:hint="eastAsia"/>
        <w:b w:val="0"/>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86">
    <w:nsid w:val="7264255B"/>
    <w:multiLevelType w:val="multilevel"/>
    <w:tmpl w:val="7264255B"/>
    <w:lvl w:ilvl="0" w:tentative="0">
      <w:start w:val="1"/>
      <w:numFmt w:val="chineseCountingThousand"/>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7">
    <w:nsid w:val="728821B6"/>
    <w:multiLevelType w:val="multilevel"/>
    <w:tmpl w:val="728821B6"/>
    <w:lvl w:ilvl="0" w:tentative="0">
      <w:start w:val="1"/>
      <w:numFmt w:val="decimal"/>
      <w:lvlText w:val="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8">
    <w:nsid w:val="72E62A6A"/>
    <w:multiLevelType w:val="multilevel"/>
    <w:tmpl w:val="72E62A6A"/>
    <w:lvl w:ilvl="0" w:tentative="0">
      <w:start w:val="1"/>
      <w:numFmt w:val="decimal"/>
      <w:lvlText w:val="9.%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9">
    <w:nsid w:val="761A1D84"/>
    <w:multiLevelType w:val="multilevel"/>
    <w:tmpl w:val="761A1D84"/>
    <w:lvl w:ilvl="0" w:tentative="0">
      <w:start w:val="1"/>
      <w:numFmt w:val="decimal"/>
      <w:lvlText w:val="1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0">
    <w:nsid w:val="76C06892"/>
    <w:multiLevelType w:val="multilevel"/>
    <w:tmpl w:val="76C06892"/>
    <w:lvl w:ilvl="0" w:tentative="0">
      <w:start w:val="1"/>
      <w:numFmt w:val="decimal"/>
      <w:lvlText w:val="1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1">
    <w:nsid w:val="7BA40B41"/>
    <w:multiLevelType w:val="multilevel"/>
    <w:tmpl w:val="7BA40B41"/>
    <w:lvl w:ilvl="0" w:tentative="0">
      <w:start w:val="29"/>
      <w:numFmt w:val="decimal"/>
      <w:lvlText w:val="%1"/>
      <w:lvlJc w:val="left"/>
      <w:pPr>
        <w:ind w:left="425" w:hanging="425"/>
      </w:pPr>
      <w:rPr>
        <w:rFonts w:hint="eastAsia"/>
      </w:rPr>
    </w:lvl>
    <w:lvl w:ilvl="1" w:tentative="0">
      <w:start w:val="3"/>
      <w:numFmt w:val="decimal"/>
      <w:lvlText w:val="%1.%2"/>
      <w:lvlJc w:val="left"/>
      <w:pPr>
        <w:ind w:left="567" w:hanging="567"/>
      </w:pPr>
      <w:rPr>
        <w:rFonts w:hint="eastAsia"/>
      </w:rPr>
    </w:lvl>
    <w:lvl w:ilvl="2" w:tentative="0">
      <w:start w:val="1"/>
      <w:numFmt w:val="decimal"/>
      <w:lvlText w:val="30.1.%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92">
    <w:nsid w:val="7C2C7A19"/>
    <w:multiLevelType w:val="multilevel"/>
    <w:tmpl w:val="7C2C7A19"/>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3">
    <w:nsid w:val="7C9C2E3E"/>
    <w:multiLevelType w:val="multilevel"/>
    <w:tmpl w:val="7C9C2E3E"/>
    <w:lvl w:ilvl="0" w:tentative="0">
      <w:start w:val="2"/>
      <w:numFmt w:val="decimal"/>
      <w:lvlText w:val="%1"/>
      <w:lvlJc w:val="left"/>
      <w:pPr>
        <w:ind w:left="425" w:hanging="425"/>
      </w:pPr>
      <w:rPr>
        <w:rFonts w:hint="eastAsia"/>
      </w:rPr>
    </w:lvl>
    <w:lvl w:ilvl="1" w:tentative="0">
      <w:start w:val="1"/>
      <w:numFmt w:val="decimal"/>
      <w:lvlText w:val="%1.%2"/>
      <w:lvlJc w:val="left"/>
      <w:pPr>
        <w:ind w:left="851" w:hanging="567"/>
      </w:pPr>
      <w:rPr>
        <w:rFonts w:hint="eastAsia"/>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94">
    <w:nsid w:val="7D823685"/>
    <w:multiLevelType w:val="multilevel"/>
    <w:tmpl w:val="7D823685"/>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5">
    <w:nsid w:val="7E8F7E29"/>
    <w:multiLevelType w:val="multilevel"/>
    <w:tmpl w:val="7E8F7E29"/>
    <w:lvl w:ilvl="0" w:tentative="0">
      <w:start w:val="1"/>
      <w:numFmt w:val="decimal"/>
      <w:lvlText w:val="3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6">
    <w:nsid w:val="7FEF4FD5"/>
    <w:multiLevelType w:val="multilevel"/>
    <w:tmpl w:val="7FEF4FD5"/>
    <w:lvl w:ilvl="0" w:tentative="0">
      <w:start w:val="1"/>
      <w:numFmt w:val="decimal"/>
      <w:lvlText w:val="1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8"/>
  </w:num>
  <w:num w:numId="2">
    <w:abstractNumId w:val="40"/>
  </w:num>
  <w:num w:numId="3">
    <w:abstractNumId w:val="13"/>
  </w:num>
  <w:num w:numId="4">
    <w:abstractNumId w:val="36"/>
  </w:num>
  <w:num w:numId="5">
    <w:abstractNumId w:val="12"/>
  </w:num>
  <w:num w:numId="6">
    <w:abstractNumId w:val="92"/>
  </w:num>
  <w:num w:numId="7">
    <w:abstractNumId w:val="70"/>
  </w:num>
  <w:num w:numId="8">
    <w:abstractNumId w:val="76"/>
  </w:num>
  <w:num w:numId="9">
    <w:abstractNumId w:val="80"/>
  </w:num>
  <w:num w:numId="10">
    <w:abstractNumId w:val="0"/>
  </w:num>
  <w:num w:numId="11">
    <w:abstractNumId w:val="82"/>
  </w:num>
  <w:num w:numId="12">
    <w:abstractNumId w:val="54"/>
  </w:num>
  <w:num w:numId="13">
    <w:abstractNumId w:val="3"/>
  </w:num>
  <w:num w:numId="14">
    <w:abstractNumId w:val="5"/>
  </w:num>
  <w:num w:numId="15">
    <w:abstractNumId w:val="4"/>
  </w:num>
  <w:num w:numId="16">
    <w:abstractNumId w:val="2"/>
  </w:num>
  <w:num w:numId="17">
    <w:abstractNumId w:val="55"/>
  </w:num>
  <w:num w:numId="18">
    <w:abstractNumId w:val="27"/>
  </w:num>
  <w:num w:numId="19">
    <w:abstractNumId w:val="66"/>
  </w:num>
  <w:num w:numId="20">
    <w:abstractNumId w:val="37"/>
  </w:num>
  <w:num w:numId="21">
    <w:abstractNumId w:val="23"/>
  </w:num>
  <w:num w:numId="22">
    <w:abstractNumId w:val="71"/>
  </w:num>
  <w:num w:numId="23">
    <w:abstractNumId w:val="9"/>
  </w:num>
  <w:num w:numId="24">
    <w:abstractNumId w:val="19"/>
  </w:num>
  <w:num w:numId="25">
    <w:abstractNumId w:val="75"/>
  </w:num>
  <w:num w:numId="26">
    <w:abstractNumId w:val="50"/>
  </w:num>
  <w:num w:numId="27">
    <w:abstractNumId w:val="87"/>
  </w:num>
  <w:num w:numId="28">
    <w:abstractNumId w:val="48"/>
  </w:num>
  <w:num w:numId="29">
    <w:abstractNumId w:val="88"/>
  </w:num>
  <w:num w:numId="30">
    <w:abstractNumId w:val="68"/>
  </w:num>
  <w:num w:numId="31">
    <w:abstractNumId w:val="11"/>
  </w:num>
  <w:num w:numId="32">
    <w:abstractNumId w:val="96"/>
  </w:num>
  <w:num w:numId="33">
    <w:abstractNumId w:val="26"/>
  </w:num>
  <w:num w:numId="34">
    <w:abstractNumId w:val="43"/>
  </w:num>
  <w:num w:numId="35">
    <w:abstractNumId w:val="10"/>
  </w:num>
  <w:num w:numId="36">
    <w:abstractNumId w:val="7"/>
  </w:num>
  <w:num w:numId="37">
    <w:abstractNumId w:val="74"/>
  </w:num>
  <w:num w:numId="38">
    <w:abstractNumId w:val="89"/>
  </w:num>
  <w:num w:numId="39">
    <w:abstractNumId w:val="90"/>
  </w:num>
  <w:num w:numId="40">
    <w:abstractNumId w:val="72"/>
  </w:num>
  <w:num w:numId="41">
    <w:abstractNumId w:val="67"/>
  </w:num>
  <w:num w:numId="42">
    <w:abstractNumId w:val="28"/>
  </w:num>
  <w:num w:numId="43">
    <w:abstractNumId w:val="20"/>
  </w:num>
  <w:num w:numId="44">
    <w:abstractNumId w:val="57"/>
  </w:num>
  <w:num w:numId="45">
    <w:abstractNumId w:val="17"/>
  </w:num>
  <w:num w:numId="46">
    <w:abstractNumId w:val="16"/>
  </w:num>
  <w:num w:numId="47">
    <w:abstractNumId w:val="51"/>
  </w:num>
  <w:num w:numId="48">
    <w:abstractNumId w:val="56"/>
  </w:num>
  <w:num w:numId="49">
    <w:abstractNumId w:val="78"/>
  </w:num>
  <w:num w:numId="50">
    <w:abstractNumId w:val="29"/>
  </w:num>
  <w:num w:numId="51">
    <w:abstractNumId w:val="14"/>
  </w:num>
  <w:num w:numId="52">
    <w:abstractNumId w:val="62"/>
  </w:num>
  <w:num w:numId="53">
    <w:abstractNumId w:val="8"/>
  </w:num>
  <w:num w:numId="54">
    <w:abstractNumId w:val="32"/>
  </w:num>
  <w:num w:numId="55">
    <w:abstractNumId w:val="6"/>
  </w:num>
  <w:num w:numId="56">
    <w:abstractNumId w:val="18"/>
  </w:num>
  <w:num w:numId="57">
    <w:abstractNumId w:val="91"/>
  </w:num>
  <w:num w:numId="58">
    <w:abstractNumId w:val="22"/>
  </w:num>
  <w:num w:numId="59">
    <w:abstractNumId w:val="30"/>
  </w:num>
  <w:num w:numId="60">
    <w:abstractNumId w:val="85"/>
  </w:num>
  <w:num w:numId="61">
    <w:abstractNumId w:val="81"/>
  </w:num>
  <w:num w:numId="62">
    <w:abstractNumId w:val="41"/>
  </w:num>
  <w:num w:numId="63">
    <w:abstractNumId w:val="53"/>
  </w:num>
  <w:num w:numId="64">
    <w:abstractNumId w:val="95"/>
  </w:num>
  <w:num w:numId="65">
    <w:abstractNumId w:val="24"/>
  </w:num>
  <w:num w:numId="66">
    <w:abstractNumId w:val="45"/>
  </w:num>
  <w:num w:numId="67">
    <w:abstractNumId w:val="84"/>
  </w:num>
  <w:num w:numId="68">
    <w:abstractNumId w:val="39"/>
  </w:num>
  <w:num w:numId="69">
    <w:abstractNumId w:val="69"/>
  </w:num>
  <w:num w:numId="70">
    <w:abstractNumId w:val="65"/>
  </w:num>
  <w:num w:numId="71">
    <w:abstractNumId w:val="58"/>
  </w:num>
  <w:num w:numId="72">
    <w:abstractNumId w:val="44"/>
  </w:num>
  <w:num w:numId="73">
    <w:abstractNumId w:val="93"/>
  </w:num>
  <w:num w:numId="74">
    <w:abstractNumId w:val="73"/>
  </w:num>
  <w:num w:numId="75">
    <w:abstractNumId w:val="60"/>
  </w:num>
  <w:num w:numId="76">
    <w:abstractNumId w:val="52"/>
  </w:num>
  <w:num w:numId="77">
    <w:abstractNumId w:val="25"/>
  </w:num>
  <w:num w:numId="78">
    <w:abstractNumId w:val="1"/>
  </w:num>
  <w:num w:numId="79">
    <w:abstractNumId w:val="59"/>
  </w:num>
  <w:num w:numId="80">
    <w:abstractNumId w:val="47"/>
  </w:num>
  <w:num w:numId="81">
    <w:abstractNumId w:val="83"/>
  </w:num>
  <w:num w:numId="82">
    <w:abstractNumId w:val="21"/>
  </w:num>
  <w:num w:numId="83">
    <w:abstractNumId w:val="35"/>
  </w:num>
  <w:num w:numId="84">
    <w:abstractNumId w:val="61"/>
  </w:num>
  <w:num w:numId="85">
    <w:abstractNumId w:val="31"/>
  </w:num>
  <w:num w:numId="86">
    <w:abstractNumId w:val="77"/>
  </w:num>
  <w:num w:numId="87">
    <w:abstractNumId w:val="79"/>
  </w:num>
  <w:num w:numId="88">
    <w:abstractNumId w:val="15"/>
  </w:num>
  <w:num w:numId="89">
    <w:abstractNumId w:val="33"/>
  </w:num>
  <w:num w:numId="90">
    <w:abstractNumId w:val="86"/>
  </w:num>
  <w:num w:numId="91">
    <w:abstractNumId w:val="42"/>
  </w:num>
  <w:num w:numId="92">
    <w:abstractNumId w:val="94"/>
  </w:num>
  <w:num w:numId="93">
    <w:abstractNumId w:val="49"/>
  </w:num>
  <w:num w:numId="94">
    <w:abstractNumId w:val="46"/>
  </w:num>
  <w:num w:numId="95">
    <w:abstractNumId w:val="63"/>
  </w:num>
  <w:num w:numId="96">
    <w:abstractNumId w:val="34"/>
  </w:num>
  <w:num w:numId="97">
    <w:abstractNumId w:val="6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3B06"/>
    <w:rsid w:val="000003F9"/>
    <w:rsid w:val="00001F97"/>
    <w:rsid w:val="00002932"/>
    <w:rsid w:val="00002B11"/>
    <w:rsid w:val="00002E7B"/>
    <w:rsid w:val="00003266"/>
    <w:rsid w:val="00003270"/>
    <w:rsid w:val="00003C75"/>
    <w:rsid w:val="000047C9"/>
    <w:rsid w:val="0000569B"/>
    <w:rsid w:val="0000591B"/>
    <w:rsid w:val="00005D02"/>
    <w:rsid w:val="0000736C"/>
    <w:rsid w:val="00007AFD"/>
    <w:rsid w:val="000100E9"/>
    <w:rsid w:val="0001065E"/>
    <w:rsid w:val="00011C70"/>
    <w:rsid w:val="0001212F"/>
    <w:rsid w:val="00012350"/>
    <w:rsid w:val="000124F8"/>
    <w:rsid w:val="00012887"/>
    <w:rsid w:val="000129CC"/>
    <w:rsid w:val="000132B0"/>
    <w:rsid w:val="00013C52"/>
    <w:rsid w:val="00013F69"/>
    <w:rsid w:val="00014FD9"/>
    <w:rsid w:val="000155C8"/>
    <w:rsid w:val="0001578E"/>
    <w:rsid w:val="000163DA"/>
    <w:rsid w:val="00016A0A"/>
    <w:rsid w:val="00017A0F"/>
    <w:rsid w:val="00017A69"/>
    <w:rsid w:val="0002022E"/>
    <w:rsid w:val="00020A70"/>
    <w:rsid w:val="00020E65"/>
    <w:rsid w:val="00021869"/>
    <w:rsid w:val="00022516"/>
    <w:rsid w:val="00023D47"/>
    <w:rsid w:val="00023E8B"/>
    <w:rsid w:val="0002428A"/>
    <w:rsid w:val="0002432C"/>
    <w:rsid w:val="00024720"/>
    <w:rsid w:val="00025686"/>
    <w:rsid w:val="00025BA4"/>
    <w:rsid w:val="00025EC9"/>
    <w:rsid w:val="000262C8"/>
    <w:rsid w:val="0002647E"/>
    <w:rsid w:val="000274FC"/>
    <w:rsid w:val="00032773"/>
    <w:rsid w:val="000329D9"/>
    <w:rsid w:val="000338CE"/>
    <w:rsid w:val="00033A70"/>
    <w:rsid w:val="00034A59"/>
    <w:rsid w:val="00034B87"/>
    <w:rsid w:val="0003507B"/>
    <w:rsid w:val="0003526D"/>
    <w:rsid w:val="00035599"/>
    <w:rsid w:val="00036B6D"/>
    <w:rsid w:val="00036DF6"/>
    <w:rsid w:val="0004007C"/>
    <w:rsid w:val="00040EF7"/>
    <w:rsid w:val="00041895"/>
    <w:rsid w:val="00041A8A"/>
    <w:rsid w:val="00042437"/>
    <w:rsid w:val="00042B14"/>
    <w:rsid w:val="0004306E"/>
    <w:rsid w:val="000431F9"/>
    <w:rsid w:val="00043882"/>
    <w:rsid w:val="0004426E"/>
    <w:rsid w:val="000445A8"/>
    <w:rsid w:val="0004489A"/>
    <w:rsid w:val="00046138"/>
    <w:rsid w:val="00047632"/>
    <w:rsid w:val="00047959"/>
    <w:rsid w:val="000500B4"/>
    <w:rsid w:val="000504E2"/>
    <w:rsid w:val="00050CF5"/>
    <w:rsid w:val="00051B0A"/>
    <w:rsid w:val="000527EE"/>
    <w:rsid w:val="0005311F"/>
    <w:rsid w:val="00053409"/>
    <w:rsid w:val="00053536"/>
    <w:rsid w:val="00053CF7"/>
    <w:rsid w:val="0005542F"/>
    <w:rsid w:val="00055623"/>
    <w:rsid w:val="00055C02"/>
    <w:rsid w:val="00056198"/>
    <w:rsid w:val="0005685F"/>
    <w:rsid w:val="000569AD"/>
    <w:rsid w:val="00056A46"/>
    <w:rsid w:val="00056DF4"/>
    <w:rsid w:val="00057891"/>
    <w:rsid w:val="00057A49"/>
    <w:rsid w:val="000611E2"/>
    <w:rsid w:val="0006230A"/>
    <w:rsid w:val="00063E88"/>
    <w:rsid w:val="000642C3"/>
    <w:rsid w:val="000647C7"/>
    <w:rsid w:val="000647F9"/>
    <w:rsid w:val="00064C24"/>
    <w:rsid w:val="00065C3D"/>
    <w:rsid w:val="00065E30"/>
    <w:rsid w:val="000665A0"/>
    <w:rsid w:val="00067EA1"/>
    <w:rsid w:val="00070C6C"/>
    <w:rsid w:val="00071077"/>
    <w:rsid w:val="0007138C"/>
    <w:rsid w:val="000714D9"/>
    <w:rsid w:val="00071BBD"/>
    <w:rsid w:val="0007298C"/>
    <w:rsid w:val="00073109"/>
    <w:rsid w:val="0007397B"/>
    <w:rsid w:val="00073BAC"/>
    <w:rsid w:val="00074C07"/>
    <w:rsid w:val="0007527F"/>
    <w:rsid w:val="00075F80"/>
    <w:rsid w:val="00077996"/>
    <w:rsid w:val="00077E5C"/>
    <w:rsid w:val="000801BF"/>
    <w:rsid w:val="000806B8"/>
    <w:rsid w:val="0008077E"/>
    <w:rsid w:val="00080905"/>
    <w:rsid w:val="00080AD6"/>
    <w:rsid w:val="00080FAB"/>
    <w:rsid w:val="0008149C"/>
    <w:rsid w:val="000815EF"/>
    <w:rsid w:val="00081949"/>
    <w:rsid w:val="00081DE6"/>
    <w:rsid w:val="00081FD7"/>
    <w:rsid w:val="00084527"/>
    <w:rsid w:val="00084E44"/>
    <w:rsid w:val="000852B5"/>
    <w:rsid w:val="00085AB9"/>
    <w:rsid w:val="00085BA3"/>
    <w:rsid w:val="00086FA0"/>
    <w:rsid w:val="000900E1"/>
    <w:rsid w:val="0009074A"/>
    <w:rsid w:val="00091A52"/>
    <w:rsid w:val="00091FAD"/>
    <w:rsid w:val="00092D1E"/>
    <w:rsid w:val="00092D68"/>
    <w:rsid w:val="00092E16"/>
    <w:rsid w:val="00093733"/>
    <w:rsid w:val="00093820"/>
    <w:rsid w:val="00094D9E"/>
    <w:rsid w:val="00094E0E"/>
    <w:rsid w:val="00095543"/>
    <w:rsid w:val="00095955"/>
    <w:rsid w:val="000959C1"/>
    <w:rsid w:val="000963E9"/>
    <w:rsid w:val="000972D0"/>
    <w:rsid w:val="00097AD4"/>
    <w:rsid w:val="00097BB6"/>
    <w:rsid w:val="000A03C5"/>
    <w:rsid w:val="000A04F5"/>
    <w:rsid w:val="000A08A8"/>
    <w:rsid w:val="000A0BCA"/>
    <w:rsid w:val="000A0CC5"/>
    <w:rsid w:val="000A1CAB"/>
    <w:rsid w:val="000A23C1"/>
    <w:rsid w:val="000A23F0"/>
    <w:rsid w:val="000A25AB"/>
    <w:rsid w:val="000A265E"/>
    <w:rsid w:val="000A2680"/>
    <w:rsid w:val="000A2C5A"/>
    <w:rsid w:val="000A58FA"/>
    <w:rsid w:val="000A607E"/>
    <w:rsid w:val="000A6863"/>
    <w:rsid w:val="000A69B0"/>
    <w:rsid w:val="000A70DF"/>
    <w:rsid w:val="000A74D7"/>
    <w:rsid w:val="000A7FB6"/>
    <w:rsid w:val="000B0F74"/>
    <w:rsid w:val="000B1390"/>
    <w:rsid w:val="000B1392"/>
    <w:rsid w:val="000B144C"/>
    <w:rsid w:val="000B1DAF"/>
    <w:rsid w:val="000B1E77"/>
    <w:rsid w:val="000B262E"/>
    <w:rsid w:val="000B2764"/>
    <w:rsid w:val="000B2938"/>
    <w:rsid w:val="000B31F5"/>
    <w:rsid w:val="000B3561"/>
    <w:rsid w:val="000B3DF5"/>
    <w:rsid w:val="000B3FB3"/>
    <w:rsid w:val="000B4A00"/>
    <w:rsid w:val="000B4B82"/>
    <w:rsid w:val="000B4BC4"/>
    <w:rsid w:val="000B526B"/>
    <w:rsid w:val="000B5EE4"/>
    <w:rsid w:val="000B6B90"/>
    <w:rsid w:val="000B6FC4"/>
    <w:rsid w:val="000B7383"/>
    <w:rsid w:val="000B7C39"/>
    <w:rsid w:val="000C00D1"/>
    <w:rsid w:val="000C08ED"/>
    <w:rsid w:val="000C0DC8"/>
    <w:rsid w:val="000C0DE5"/>
    <w:rsid w:val="000C1825"/>
    <w:rsid w:val="000C2830"/>
    <w:rsid w:val="000C2A31"/>
    <w:rsid w:val="000C2D6A"/>
    <w:rsid w:val="000C5349"/>
    <w:rsid w:val="000C6825"/>
    <w:rsid w:val="000C68BB"/>
    <w:rsid w:val="000C6999"/>
    <w:rsid w:val="000C794C"/>
    <w:rsid w:val="000D07B5"/>
    <w:rsid w:val="000D0B4B"/>
    <w:rsid w:val="000D0F8D"/>
    <w:rsid w:val="000D15BF"/>
    <w:rsid w:val="000D2E90"/>
    <w:rsid w:val="000D35C4"/>
    <w:rsid w:val="000D3BBD"/>
    <w:rsid w:val="000D557C"/>
    <w:rsid w:val="000D55E7"/>
    <w:rsid w:val="000D6325"/>
    <w:rsid w:val="000D6972"/>
    <w:rsid w:val="000D6CD5"/>
    <w:rsid w:val="000D739B"/>
    <w:rsid w:val="000D74C5"/>
    <w:rsid w:val="000D775F"/>
    <w:rsid w:val="000D7760"/>
    <w:rsid w:val="000D780C"/>
    <w:rsid w:val="000D7E59"/>
    <w:rsid w:val="000D7EA9"/>
    <w:rsid w:val="000E015F"/>
    <w:rsid w:val="000E07AC"/>
    <w:rsid w:val="000E203E"/>
    <w:rsid w:val="000E2612"/>
    <w:rsid w:val="000E2CA1"/>
    <w:rsid w:val="000E2ED0"/>
    <w:rsid w:val="000E32B6"/>
    <w:rsid w:val="000E3365"/>
    <w:rsid w:val="000E3C2F"/>
    <w:rsid w:val="000E4F35"/>
    <w:rsid w:val="000E5389"/>
    <w:rsid w:val="000E5D11"/>
    <w:rsid w:val="000E5DB4"/>
    <w:rsid w:val="000E72C8"/>
    <w:rsid w:val="000E7361"/>
    <w:rsid w:val="000E78A6"/>
    <w:rsid w:val="000F07C3"/>
    <w:rsid w:val="000F1889"/>
    <w:rsid w:val="000F1995"/>
    <w:rsid w:val="000F1D0D"/>
    <w:rsid w:val="000F22ED"/>
    <w:rsid w:val="000F2CF4"/>
    <w:rsid w:val="000F2D20"/>
    <w:rsid w:val="000F33B5"/>
    <w:rsid w:val="000F345D"/>
    <w:rsid w:val="000F4431"/>
    <w:rsid w:val="000F47AB"/>
    <w:rsid w:val="000F5DEF"/>
    <w:rsid w:val="000F6D8A"/>
    <w:rsid w:val="000F75BE"/>
    <w:rsid w:val="000F7A57"/>
    <w:rsid w:val="00100361"/>
    <w:rsid w:val="00100683"/>
    <w:rsid w:val="0010105C"/>
    <w:rsid w:val="0010114C"/>
    <w:rsid w:val="00101869"/>
    <w:rsid w:val="00101A88"/>
    <w:rsid w:val="00101CF4"/>
    <w:rsid w:val="00101E31"/>
    <w:rsid w:val="001033B6"/>
    <w:rsid w:val="001034F2"/>
    <w:rsid w:val="00106979"/>
    <w:rsid w:val="00106BE0"/>
    <w:rsid w:val="001071E3"/>
    <w:rsid w:val="00107643"/>
    <w:rsid w:val="00107A76"/>
    <w:rsid w:val="0011039A"/>
    <w:rsid w:val="001103D0"/>
    <w:rsid w:val="00111143"/>
    <w:rsid w:val="001114DA"/>
    <w:rsid w:val="00111726"/>
    <w:rsid w:val="0011264A"/>
    <w:rsid w:val="00112CD1"/>
    <w:rsid w:val="00112D11"/>
    <w:rsid w:val="0011304C"/>
    <w:rsid w:val="001136AE"/>
    <w:rsid w:val="00113B06"/>
    <w:rsid w:val="00114454"/>
    <w:rsid w:val="001144BF"/>
    <w:rsid w:val="001158FA"/>
    <w:rsid w:val="00115CFE"/>
    <w:rsid w:val="001165DE"/>
    <w:rsid w:val="001170E9"/>
    <w:rsid w:val="00120AFE"/>
    <w:rsid w:val="00120EB5"/>
    <w:rsid w:val="0012116F"/>
    <w:rsid w:val="00121E2B"/>
    <w:rsid w:val="00122058"/>
    <w:rsid w:val="0012389E"/>
    <w:rsid w:val="00125CD6"/>
    <w:rsid w:val="0013097B"/>
    <w:rsid w:val="00130D4F"/>
    <w:rsid w:val="00131000"/>
    <w:rsid w:val="0013349D"/>
    <w:rsid w:val="00133F8B"/>
    <w:rsid w:val="00134B18"/>
    <w:rsid w:val="00134C2C"/>
    <w:rsid w:val="00134C66"/>
    <w:rsid w:val="00135634"/>
    <w:rsid w:val="001357A4"/>
    <w:rsid w:val="00135FE9"/>
    <w:rsid w:val="001370F0"/>
    <w:rsid w:val="00141848"/>
    <w:rsid w:val="00142323"/>
    <w:rsid w:val="001424FB"/>
    <w:rsid w:val="001437CB"/>
    <w:rsid w:val="00143A7D"/>
    <w:rsid w:val="00143C09"/>
    <w:rsid w:val="00143C47"/>
    <w:rsid w:val="00144242"/>
    <w:rsid w:val="00145567"/>
    <w:rsid w:val="00145E3F"/>
    <w:rsid w:val="001465A5"/>
    <w:rsid w:val="001470A4"/>
    <w:rsid w:val="00150234"/>
    <w:rsid w:val="00150C6F"/>
    <w:rsid w:val="001514DC"/>
    <w:rsid w:val="00151976"/>
    <w:rsid w:val="00151A3C"/>
    <w:rsid w:val="00151D66"/>
    <w:rsid w:val="00153C2C"/>
    <w:rsid w:val="00153E9A"/>
    <w:rsid w:val="00154445"/>
    <w:rsid w:val="00154D5B"/>
    <w:rsid w:val="001551DD"/>
    <w:rsid w:val="00156336"/>
    <w:rsid w:val="00156355"/>
    <w:rsid w:val="00160209"/>
    <w:rsid w:val="0016042C"/>
    <w:rsid w:val="0016044E"/>
    <w:rsid w:val="00160475"/>
    <w:rsid w:val="00161EE8"/>
    <w:rsid w:val="001624FF"/>
    <w:rsid w:val="00162DC0"/>
    <w:rsid w:val="00163179"/>
    <w:rsid w:val="00163810"/>
    <w:rsid w:val="00163B71"/>
    <w:rsid w:val="00166DCE"/>
    <w:rsid w:val="00167FE2"/>
    <w:rsid w:val="00171882"/>
    <w:rsid w:val="001721B7"/>
    <w:rsid w:val="0017294B"/>
    <w:rsid w:val="001729CC"/>
    <w:rsid w:val="00173C77"/>
    <w:rsid w:val="001747FB"/>
    <w:rsid w:val="001754CC"/>
    <w:rsid w:val="001754F0"/>
    <w:rsid w:val="00175D4E"/>
    <w:rsid w:val="00175DA9"/>
    <w:rsid w:val="00175FD5"/>
    <w:rsid w:val="001772E3"/>
    <w:rsid w:val="00177B0F"/>
    <w:rsid w:val="00177C63"/>
    <w:rsid w:val="00177CCE"/>
    <w:rsid w:val="001802F0"/>
    <w:rsid w:val="0018082A"/>
    <w:rsid w:val="0018096A"/>
    <w:rsid w:val="00180B97"/>
    <w:rsid w:val="001819A8"/>
    <w:rsid w:val="00182072"/>
    <w:rsid w:val="001821C9"/>
    <w:rsid w:val="001825C9"/>
    <w:rsid w:val="00183C32"/>
    <w:rsid w:val="0018408E"/>
    <w:rsid w:val="0018410F"/>
    <w:rsid w:val="00184637"/>
    <w:rsid w:val="0018482A"/>
    <w:rsid w:val="00187F02"/>
    <w:rsid w:val="00190A98"/>
    <w:rsid w:val="00190F74"/>
    <w:rsid w:val="00191E78"/>
    <w:rsid w:val="00192955"/>
    <w:rsid w:val="00192CDF"/>
    <w:rsid w:val="001933AA"/>
    <w:rsid w:val="0019398D"/>
    <w:rsid w:val="00194B7C"/>
    <w:rsid w:val="00194F0E"/>
    <w:rsid w:val="001952DB"/>
    <w:rsid w:val="001953FB"/>
    <w:rsid w:val="00195ED0"/>
    <w:rsid w:val="00196D21"/>
    <w:rsid w:val="001A0F34"/>
    <w:rsid w:val="001A1A00"/>
    <w:rsid w:val="001A2059"/>
    <w:rsid w:val="001A23EE"/>
    <w:rsid w:val="001A241E"/>
    <w:rsid w:val="001A336E"/>
    <w:rsid w:val="001A3FD4"/>
    <w:rsid w:val="001A4243"/>
    <w:rsid w:val="001A4347"/>
    <w:rsid w:val="001A45CD"/>
    <w:rsid w:val="001A4746"/>
    <w:rsid w:val="001A49B7"/>
    <w:rsid w:val="001A57E8"/>
    <w:rsid w:val="001A6433"/>
    <w:rsid w:val="001A6DF8"/>
    <w:rsid w:val="001A6FD4"/>
    <w:rsid w:val="001A7604"/>
    <w:rsid w:val="001A7B69"/>
    <w:rsid w:val="001A7C33"/>
    <w:rsid w:val="001B0384"/>
    <w:rsid w:val="001B0759"/>
    <w:rsid w:val="001B0F54"/>
    <w:rsid w:val="001B0F69"/>
    <w:rsid w:val="001B111C"/>
    <w:rsid w:val="001B21E6"/>
    <w:rsid w:val="001B2313"/>
    <w:rsid w:val="001B31F4"/>
    <w:rsid w:val="001B40EE"/>
    <w:rsid w:val="001B5098"/>
    <w:rsid w:val="001B538C"/>
    <w:rsid w:val="001B59A7"/>
    <w:rsid w:val="001B5EB0"/>
    <w:rsid w:val="001B617D"/>
    <w:rsid w:val="001B65B2"/>
    <w:rsid w:val="001B6BE1"/>
    <w:rsid w:val="001B6EFA"/>
    <w:rsid w:val="001B7206"/>
    <w:rsid w:val="001B7CB7"/>
    <w:rsid w:val="001B7D53"/>
    <w:rsid w:val="001C0FF2"/>
    <w:rsid w:val="001C24A2"/>
    <w:rsid w:val="001C2B7A"/>
    <w:rsid w:val="001C3417"/>
    <w:rsid w:val="001C3AEF"/>
    <w:rsid w:val="001C43B5"/>
    <w:rsid w:val="001C59C0"/>
    <w:rsid w:val="001C5C11"/>
    <w:rsid w:val="001C6D02"/>
    <w:rsid w:val="001C700E"/>
    <w:rsid w:val="001C747C"/>
    <w:rsid w:val="001C7550"/>
    <w:rsid w:val="001C79CC"/>
    <w:rsid w:val="001D20A2"/>
    <w:rsid w:val="001D2383"/>
    <w:rsid w:val="001D23D5"/>
    <w:rsid w:val="001D2542"/>
    <w:rsid w:val="001D321C"/>
    <w:rsid w:val="001D3F56"/>
    <w:rsid w:val="001D423C"/>
    <w:rsid w:val="001D4D1A"/>
    <w:rsid w:val="001D58DC"/>
    <w:rsid w:val="001D6369"/>
    <w:rsid w:val="001D6CB4"/>
    <w:rsid w:val="001D7096"/>
    <w:rsid w:val="001D70AB"/>
    <w:rsid w:val="001D70E2"/>
    <w:rsid w:val="001D7F3B"/>
    <w:rsid w:val="001E0958"/>
    <w:rsid w:val="001E1320"/>
    <w:rsid w:val="001E1953"/>
    <w:rsid w:val="001E2190"/>
    <w:rsid w:val="001E2261"/>
    <w:rsid w:val="001E237E"/>
    <w:rsid w:val="001E302A"/>
    <w:rsid w:val="001E38C2"/>
    <w:rsid w:val="001E4B2A"/>
    <w:rsid w:val="001E59B6"/>
    <w:rsid w:val="001E5D22"/>
    <w:rsid w:val="001E6196"/>
    <w:rsid w:val="001E70BE"/>
    <w:rsid w:val="001E7316"/>
    <w:rsid w:val="001F0A03"/>
    <w:rsid w:val="001F0E98"/>
    <w:rsid w:val="001F132E"/>
    <w:rsid w:val="001F23D8"/>
    <w:rsid w:val="001F2462"/>
    <w:rsid w:val="001F286A"/>
    <w:rsid w:val="001F31F7"/>
    <w:rsid w:val="001F3E3E"/>
    <w:rsid w:val="001F4EFE"/>
    <w:rsid w:val="001F57E3"/>
    <w:rsid w:val="001F6059"/>
    <w:rsid w:val="001F6582"/>
    <w:rsid w:val="001F6EE7"/>
    <w:rsid w:val="001F737C"/>
    <w:rsid w:val="001F73CE"/>
    <w:rsid w:val="001F7963"/>
    <w:rsid w:val="001F7C7E"/>
    <w:rsid w:val="00200527"/>
    <w:rsid w:val="00200C6B"/>
    <w:rsid w:val="00201183"/>
    <w:rsid w:val="00201240"/>
    <w:rsid w:val="0020139E"/>
    <w:rsid w:val="0020271E"/>
    <w:rsid w:val="00202DB5"/>
    <w:rsid w:val="00203C74"/>
    <w:rsid w:val="00204087"/>
    <w:rsid w:val="0020462F"/>
    <w:rsid w:val="00205E57"/>
    <w:rsid w:val="0020658C"/>
    <w:rsid w:val="002066DD"/>
    <w:rsid w:val="00206B08"/>
    <w:rsid w:val="00207447"/>
    <w:rsid w:val="002075E1"/>
    <w:rsid w:val="00207CE2"/>
    <w:rsid w:val="00207CFF"/>
    <w:rsid w:val="00207EAC"/>
    <w:rsid w:val="00207EDC"/>
    <w:rsid w:val="0021027F"/>
    <w:rsid w:val="00210456"/>
    <w:rsid w:val="0021053E"/>
    <w:rsid w:val="00210BA4"/>
    <w:rsid w:val="00211218"/>
    <w:rsid w:val="0021121D"/>
    <w:rsid w:val="00211865"/>
    <w:rsid w:val="00211FC9"/>
    <w:rsid w:val="00212AFA"/>
    <w:rsid w:val="00212FC2"/>
    <w:rsid w:val="0021302A"/>
    <w:rsid w:val="00214707"/>
    <w:rsid w:val="00214A72"/>
    <w:rsid w:val="00214C58"/>
    <w:rsid w:val="00215084"/>
    <w:rsid w:val="00221055"/>
    <w:rsid w:val="0022195F"/>
    <w:rsid w:val="00221A11"/>
    <w:rsid w:val="002220BC"/>
    <w:rsid w:val="00222411"/>
    <w:rsid w:val="00222690"/>
    <w:rsid w:val="00225376"/>
    <w:rsid w:val="002254FC"/>
    <w:rsid w:val="0022562B"/>
    <w:rsid w:val="00225737"/>
    <w:rsid w:val="0022611D"/>
    <w:rsid w:val="002261D4"/>
    <w:rsid w:val="002263E9"/>
    <w:rsid w:val="00226858"/>
    <w:rsid w:val="002268A7"/>
    <w:rsid w:val="002269B6"/>
    <w:rsid w:val="00226B98"/>
    <w:rsid w:val="00227078"/>
    <w:rsid w:val="002271C8"/>
    <w:rsid w:val="00227640"/>
    <w:rsid w:val="00227C6A"/>
    <w:rsid w:val="002307B1"/>
    <w:rsid w:val="00230C32"/>
    <w:rsid w:val="00230D95"/>
    <w:rsid w:val="00231176"/>
    <w:rsid w:val="00232622"/>
    <w:rsid w:val="00233096"/>
    <w:rsid w:val="002337A9"/>
    <w:rsid w:val="002338E9"/>
    <w:rsid w:val="00234854"/>
    <w:rsid w:val="00234A4F"/>
    <w:rsid w:val="00235A7E"/>
    <w:rsid w:val="00236077"/>
    <w:rsid w:val="00236F48"/>
    <w:rsid w:val="002370E3"/>
    <w:rsid w:val="0024025C"/>
    <w:rsid w:val="002403BF"/>
    <w:rsid w:val="00240C44"/>
    <w:rsid w:val="002416A8"/>
    <w:rsid w:val="00241D1D"/>
    <w:rsid w:val="002421C0"/>
    <w:rsid w:val="002423DF"/>
    <w:rsid w:val="00242F8C"/>
    <w:rsid w:val="00243C71"/>
    <w:rsid w:val="00243F51"/>
    <w:rsid w:val="0024507E"/>
    <w:rsid w:val="00246E57"/>
    <w:rsid w:val="00246E8A"/>
    <w:rsid w:val="00250236"/>
    <w:rsid w:val="00250717"/>
    <w:rsid w:val="002507E3"/>
    <w:rsid w:val="002507F3"/>
    <w:rsid w:val="00250EAB"/>
    <w:rsid w:val="00251207"/>
    <w:rsid w:val="0025154B"/>
    <w:rsid w:val="002515E8"/>
    <w:rsid w:val="0025164E"/>
    <w:rsid w:val="00251C83"/>
    <w:rsid w:val="00253370"/>
    <w:rsid w:val="00253546"/>
    <w:rsid w:val="00254329"/>
    <w:rsid w:val="002554DC"/>
    <w:rsid w:val="00255559"/>
    <w:rsid w:val="00255947"/>
    <w:rsid w:val="00255A4A"/>
    <w:rsid w:val="00255D3D"/>
    <w:rsid w:val="00256603"/>
    <w:rsid w:val="0025726A"/>
    <w:rsid w:val="00260D2A"/>
    <w:rsid w:val="002613ED"/>
    <w:rsid w:val="002615A1"/>
    <w:rsid w:val="00261617"/>
    <w:rsid w:val="00261A39"/>
    <w:rsid w:val="0026201B"/>
    <w:rsid w:val="0026213E"/>
    <w:rsid w:val="0026286F"/>
    <w:rsid w:val="002634D2"/>
    <w:rsid w:val="00263550"/>
    <w:rsid w:val="0026533C"/>
    <w:rsid w:val="00265BCE"/>
    <w:rsid w:val="002663F6"/>
    <w:rsid w:val="00266BBB"/>
    <w:rsid w:val="00266BE7"/>
    <w:rsid w:val="0026704D"/>
    <w:rsid w:val="00267C4F"/>
    <w:rsid w:val="002701BD"/>
    <w:rsid w:val="00270447"/>
    <w:rsid w:val="00270594"/>
    <w:rsid w:val="00270822"/>
    <w:rsid w:val="00270C0F"/>
    <w:rsid w:val="00270F9F"/>
    <w:rsid w:val="0027137A"/>
    <w:rsid w:val="002714B0"/>
    <w:rsid w:val="0027168B"/>
    <w:rsid w:val="0027195E"/>
    <w:rsid w:val="00271EB5"/>
    <w:rsid w:val="00272522"/>
    <w:rsid w:val="00272D6E"/>
    <w:rsid w:val="00272F44"/>
    <w:rsid w:val="002733A0"/>
    <w:rsid w:val="00275549"/>
    <w:rsid w:val="00276B74"/>
    <w:rsid w:val="0027765F"/>
    <w:rsid w:val="00277CC1"/>
    <w:rsid w:val="00280439"/>
    <w:rsid w:val="0028083D"/>
    <w:rsid w:val="00281353"/>
    <w:rsid w:val="002825E2"/>
    <w:rsid w:val="00283352"/>
    <w:rsid w:val="0028420E"/>
    <w:rsid w:val="00284A19"/>
    <w:rsid w:val="00285A9C"/>
    <w:rsid w:val="00286319"/>
    <w:rsid w:val="002867E0"/>
    <w:rsid w:val="0028687B"/>
    <w:rsid w:val="00290C97"/>
    <w:rsid w:val="0029144F"/>
    <w:rsid w:val="00291911"/>
    <w:rsid w:val="00292448"/>
    <w:rsid w:val="002927E9"/>
    <w:rsid w:val="00292AD3"/>
    <w:rsid w:val="002932A0"/>
    <w:rsid w:val="0029349C"/>
    <w:rsid w:val="00293CDA"/>
    <w:rsid w:val="00293D3E"/>
    <w:rsid w:val="00294D11"/>
    <w:rsid w:val="002963B4"/>
    <w:rsid w:val="002965DD"/>
    <w:rsid w:val="0029694E"/>
    <w:rsid w:val="00296B5C"/>
    <w:rsid w:val="002A0127"/>
    <w:rsid w:val="002A0904"/>
    <w:rsid w:val="002A1678"/>
    <w:rsid w:val="002A178D"/>
    <w:rsid w:val="002A1796"/>
    <w:rsid w:val="002A2871"/>
    <w:rsid w:val="002A4CF8"/>
    <w:rsid w:val="002A4FF9"/>
    <w:rsid w:val="002A5140"/>
    <w:rsid w:val="002A51D4"/>
    <w:rsid w:val="002A6416"/>
    <w:rsid w:val="002A66DA"/>
    <w:rsid w:val="002A6A9C"/>
    <w:rsid w:val="002A76C8"/>
    <w:rsid w:val="002A7850"/>
    <w:rsid w:val="002A7AD7"/>
    <w:rsid w:val="002A7B49"/>
    <w:rsid w:val="002B0BA7"/>
    <w:rsid w:val="002B0DFA"/>
    <w:rsid w:val="002B0EB2"/>
    <w:rsid w:val="002B262B"/>
    <w:rsid w:val="002B3425"/>
    <w:rsid w:val="002B3C61"/>
    <w:rsid w:val="002B4174"/>
    <w:rsid w:val="002B5493"/>
    <w:rsid w:val="002B70E8"/>
    <w:rsid w:val="002B73B0"/>
    <w:rsid w:val="002B7942"/>
    <w:rsid w:val="002C0A98"/>
    <w:rsid w:val="002C0BCC"/>
    <w:rsid w:val="002C11CB"/>
    <w:rsid w:val="002C25D7"/>
    <w:rsid w:val="002C27B7"/>
    <w:rsid w:val="002C2940"/>
    <w:rsid w:val="002C2BC6"/>
    <w:rsid w:val="002C3064"/>
    <w:rsid w:val="002C36D9"/>
    <w:rsid w:val="002C6B61"/>
    <w:rsid w:val="002C6CCF"/>
    <w:rsid w:val="002C6E75"/>
    <w:rsid w:val="002C6FEB"/>
    <w:rsid w:val="002C7DB0"/>
    <w:rsid w:val="002C7E0E"/>
    <w:rsid w:val="002D0038"/>
    <w:rsid w:val="002D0053"/>
    <w:rsid w:val="002D0672"/>
    <w:rsid w:val="002D0793"/>
    <w:rsid w:val="002D273A"/>
    <w:rsid w:val="002D2BAA"/>
    <w:rsid w:val="002D34D6"/>
    <w:rsid w:val="002D375C"/>
    <w:rsid w:val="002D3C57"/>
    <w:rsid w:val="002D3E94"/>
    <w:rsid w:val="002D3F17"/>
    <w:rsid w:val="002D49E7"/>
    <w:rsid w:val="002D4E71"/>
    <w:rsid w:val="002D4EFB"/>
    <w:rsid w:val="002D4F22"/>
    <w:rsid w:val="002D6273"/>
    <w:rsid w:val="002D6E10"/>
    <w:rsid w:val="002D6ECF"/>
    <w:rsid w:val="002E076A"/>
    <w:rsid w:val="002E0A8F"/>
    <w:rsid w:val="002E3B14"/>
    <w:rsid w:val="002E3F27"/>
    <w:rsid w:val="002E3FDD"/>
    <w:rsid w:val="002E4973"/>
    <w:rsid w:val="002E4A46"/>
    <w:rsid w:val="002E5CA5"/>
    <w:rsid w:val="002E65A1"/>
    <w:rsid w:val="002E666B"/>
    <w:rsid w:val="002E7B2E"/>
    <w:rsid w:val="002F00FF"/>
    <w:rsid w:val="002F0156"/>
    <w:rsid w:val="002F0FDD"/>
    <w:rsid w:val="002F169E"/>
    <w:rsid w:val="002F177C"/>
    <w:rsid w:val="002F28A1"/>
    <w:rsid w:val="002F3E5C"/>
    <w:rsid w:val="002F43D6"/>
    <w:rsid w:val="002F463C"/>
    <w:rsid w:val="002F49B3"/>
    <w:rsid w:val="002F4AFD"/>
    <w:rsid w:val="002F55D5"/>
    <w:rsid w:val="002F6227"/>
    <w:rsid w:val="002F63CD"/>
    <w:rsid w:val="002F7012"/>
    <w:rsid w:val="002F715F"/>
    <w:rsid w:val="002F7181"/>
    <w:rsid w:val="002F7736"/>
    <w:rsid w:val="00300674"/>
    <w:rsid w:val="00300896"/>
    <w:rsid w:val="00300F8B"/>
    <w:rsid w:val="00301175"/>
    <w:rsid w:val="003027F7"/>
    <w:rsid w:val="003029DC"/>
    <w:rsid w:val="00302AC7"/>
    <w:rsid w:val="003030D3"/>
    <w:rsid w:val="0030340C"/>
    <w:rsid w:val="00303F40"/>
    <w:rsid w:val="00304D6F"/>
    <w:rsid w:val="00304EE5"/>
    <w:rsid w:val="003056CA"/>
    <w:rsid w:val="003063BE"/>
    <w:rsid w:val="003065DC"/>
    <w:rsid w:val="0030754A"/>
    <w:rsid w:val="00311093"/>
    <w:rsid w:val="00311207"/>
    <w:rsid w:val="00312452"/>
    <w:rsid w:val="00312EF0"/>
    <w:rsid w:val="00313774"/>
    <w:rsid w:val="00314E00"/>
    <w:rsid w:val="003151FD"/>
    <w:rsid w:val="00315BFE"/>
    <w:rsid w:val="00315FC8"/>
    <w:rsid w:val="003164D9"/>
    <w:rsid w:val="00317027"/>
    <w:rsid w:val="00320076"/>
    <w:rsid w:val="003201B1"/>
    <w:rsid w:val="003203E9"/>
    <w:rsid w:val="00321E22"/>
    <w:rsid w:val="003220D4"/>
    <w:rsid w:val="003223A6"/>
    <w:rsid w:val="00322462"/>
    <w:rsid w:val="0032257F"/>
    <w:rsid w:val="00323CEA"/>
    <w:rsid w:val="00324245"/>
    <w:rsid w:val="00324BCF"/>
    <w:rsid w:val="00324C44"/>
    <w:rsid w:val="00324DFE"/>
    <w:rsid w:val="003257E5"/>
    <w:rsid w:val="0032684F"/>
    <w:rsid w:val="00326AAF"/>
    <w:rsid w:val="00326F02"/>
    <w:rsid w:val="00327402"/>
    <w:rsid w:val="00327730"/>
    <w:rsid w:val="0033094A"/>
    <w:rsid w:val="00330952"/>
    <w:rsid w:val="0033104E"/>
    <w:rsid w:val="0033256A"/>
    <w:rsid w:val="00333077"/>
    <w:rsid w:val="00334009"/>
    <w:rsid w:val="0033468A"/>
    <w:rsid w:val="003346D6"/>
    <w:rsid w:val="003351E2"/>
    <w:rsid w:val="003351E6"/>
    <w:rsid w:val="00335EDC"/>
    <w:rsid w:val="00336528"/>
    <w:rsid w:val="00337356"/>
    <w:rsid w:val="00337FCB"/>
    <w:rsid w:val="00340560"/>
    <w:rsid w:val="00340EE3"/>
    <w:rsid w:val="00341014"/>
    <w:rsid w:val="003415CF"/>
    <w:rsid w:val="0034231A"/>
    <w:rsid w:val="0034249B"/>
    <w:rsid w:val="003427D9"/>
    <w:rsid w:val="00342D43"/>
    <w:rsid w:val="00344A03"/>
    <w:rsid w:val="0034530A"/>
    <w:rsid w:val="00345C3E"/>
    <w:rsid w:val="0034634B"/>
    <w:rsid w:val="003475BB"/>
    <w:rsid w:val="003478BB"/>
    <w:rsid w:val="0035009D"/>
    <w:rsid w:val="00350258"/>
    <w:rsid w:val="0035054D"/>
    <w:rsid w:val="003505F6"/>
    <w:rsid w:val="003513E7"/>
    <w:rsid w:val="00351B28"/>
    <w:rsid w:val="00351DDD"/>
    <w:rsid w:val="00351F0E"/>
    <w:rsid w:val="0035253A"/>
    <w:rsid w:val="00352A72"/>
    <w:rsid w:val="003530D5"/>
    <w:rsid w:val="00353B26"/>
    <w:rsid w:val="00353B32"/>
    <w:rsid w:val="00353BF5"/>
    <w:rsid w:val="00354383"/>
    <w:rsid w:val="00354DEB"/>
    <w:rsid w:val="0035513C"/>
    <w:rsid w:val="00355B21"/>
    <w:rsid w:val="00355C6C"/>
    <w:rsid w:val="00356107"/>
    <w:rsid w:val="003563ED"/>
    <w:rsid w:val="00356963"/>
    <w:rsid w:val="00357221"/>
    <w:rsid w:val="003577B3"/>
    <w:rsid w:val="00357D5D"/>
    <w:rsid w:val="00360498"/>
    <w:rsid w:val="00360BC9"/>
    <w:rsid w:val="0036107A"/>
    <w:rsid w:val="00361298"/>
    <w:rsid w:val="003613BD"/>
    <w:rsid w:val="003617CE"/>
    <w:rsid w:val="00361888"/>
    <w:rsid w:val="003618FB"/>
    <w:rsid w:val="00361AFD"/>
    <w:rsid w:val="0036274B"/>
    <w:rsid w:val="00362EA1"/>
    <w:rsid w:val="00363141"/>
    <w:rsid w:val="003632F2"/>
    <w:rsid w:val="003637FF"/>
    <w:rsid w:val="003650F2"/>
    <w:rsid w:val="0036547F"/>
    <w:rsid w:val="0036647B"/>
    <w:rsid w:val="0036695F"/>
    <w:rsid w:val="00367098"/>
    <w:rsid w:val="003674F1"/>
    <w:rsid w:val="003718E2"/>
    <w:rsid w:val="003723C0"/>
    <w:rsid w:val="003729AC"/>
    <w:rsid w:val="00373BDD"/>
    <w:rsid w:val="00373CCB"/>
    <w:rsid w:val="0037429D"/>
    <w:rsid w:val="00375540"/>
    <w:rsid w:val="00375CEB"/>
    <w:rsid w:val="003761CC"/>
    <w:rsid w:val="00376254"/>
    <w:rsid w:val="00376792"/>
    <w:rsid w:val="00376B66"/>
    <w:rsid w:val="00380D37"/>
    <w:rsid w:val="003813B5"/>
    <w:rsid w:val="00381706"/>
    <w:rsid w:val="00381BDA"/>
    <w:rsid w:val="003820D6"/>
    <w:rsid w:val="00382C8B"/>
    <w:rsid w:val="00382DDB"/>
    <w:rsid w:val="003839BF"/>
    <w:rsid w:val="00383B66"/>
    <w:rsid w:val="00384036"/>
    <w:rsid w:val="003840CB"/>
    <w:rsid w:val="00384B72"/>
    <w:rsid w:val="00384FA7"/>
    <w:rsid w:val="00384FB4"/>
    <w:rsid w:val="0038567D"/>
    <w:rsid w:val="00385946"/>
    <w:rsid w:val="00385B2C"/>
    <w:rsid w:val="00386439"/>
    <w:rsid w:val="00387503"/>
    <w:rsid w:val="00387CCC"/>
    <w:rsid w:val="003908CE"/>
    <w:rsid w:val="0039092A"/>
    <w:rsid w:val="0039209A"/>
    <w:rsid w:val="003920BC"/>
    <w:rsid w:val="0039310D"/>
    <w:rsid w:val="00394B59"/>
    <w:rsid w:val="00396815"/>
    <w:rsid w:val="00396F97"/>
    <w:rsid w:val="00397524"/>
    <w:rsid w:val="003A0597"/>
    <w:rsid w:val="003A060B"/>
    <w:rsid w:val="003A0760"/>
    <w:rsid w:val="003A0C5B"/>
    <w:rsid w:val="003A138D"/>
    <w:rsid w:val="003A17A9"/>
    <w:rsid w:val="003A23EE"/>
    <w:rsid w:val="003A286E"/>
    <w:rsid w:val="003A2CA7"/>
    <w:rsid w:val="003A3B91"/>
    <w:rsid w:val="003A3DE5"/>
    <w:rsid w:val="003A492B"/>
    <w:rsid w:val="003A4A7D"/>
    <w:rsid w:val="003A56A8"/>
    <w:rsid w:val="003A5B1D"/>
    <w:rsid w:val="003A5F4A"/>
    <w:rsid w:val="003A5F9C"/>
    <w:rsid w:val="003A6D39"/>
    <w:rsid w:val="003A71C5"/>
    <w:rsid w:val="003A7E49"/>
    <w:rsid w:val="003B0308"/>
    <w:rsid w:val="003B0A92"/>
    <w:rsid w:val="003B0C54"/>
    <w:rsid w:val="003B0CA0"/>
    <w:rsid w:val="003B0E33"/>
    <w:rsid w:val="003B1B0F"/>
    <w:rsid w:val="003B1DB4"/>
    <w:rsid w:val="003B3051"/>
    <w:rsid w:val="003B4B26"/>
    <w:rsid w:val="003B50E7"/>
    <w:rsid w:val="003B53B8"/>
    <w:rsid w:val="003B5491"/>
    <w:rsid w:val="003B6F1D"/>
    <w:rsid w:val="003C04D2"/>
    <w:rsid w:val="003C096C"/>
    <w:rsid w:val="003C13B1"/>
    <w:rsid w:val="003C16A4"/>
    <w:rsid w:val="003C1977"/>
    <w:rsid w:val="003C1E05"/>
    <w:rsid w:val="003C1E48"/>
    <w:rsid w:val="003C22CA"/>
    <w:rsid w:val="003C26CF"/>
    <w:rsid w:val="003C2EDD"/>
    <w:rsid w:val="003C3367"/>
    <w:rsid w:val="003C40FB"/>
    <w:rsid w:val="003C4C7E"/>
    <w:rsid w:val="003C584D"/>
    <w:rsid w:val="003C6811"/>
    <w:rsid w:val="003C6AF7"/>
    <w:rsid w:val="003C6E30"/>
    <w:rsid w:val="003C7489"/>
    <w:rsid w:val="003C787B"/>
    <w:rsid w:val="003C7BA3"/>
    <w:rsid w:val="003C7C73"/>
    <w:rsid w:val="003D033E"/>
    <w:rsid w:val="003D06A7"/>
    <w:rsid w:val="003D0E64"/>
    <w:rsid w:val="003D0FCD"/>
    <w:rsid w:val="003D1B8C"/>
    <w:rsid w:val="003D2164"/>
    <w:rsid w:val="003D31D5"/>
    <w:rsid w:val="003D49A7"/>
    <w:rsid w:val="003D4E7C"/>
    <w:rsid w:val="003D5200"/>
    <w:rsid w:val="003D5F39"/>
    <w:rsid w:val="003D6BB8"/>
    <w:rsid w:val="003D70C1"/>
    <w:rsid w:val="003D713B"/>
    <w:rsid w:val="003D7B40"/>
    <w:rsid w:val="003E12D0"/>
    <w:rsid w:val="003E1BA6"/>
    <w:rsid w:val="003E1C1E"/>
    <w:rsid w:val="003E23A2"/>
    <w:rsid w:val="003E267F"/>
    <w:rsid w:val="003E2BD3"/>
    <w:rsid w:val="003E2E55"/>
    <w:rsid w:val="003E341C"/>
    <w:rsid w:val="003E347A"/>
    <w:rsid w:val="003E356D"/>
    <w:rsid w:val="003E3D8A"/>
    <w:rsid w:val="003E41E6"/>
    <w:rsid w:val="003E51A3"/>
    <w:rsid w:val="003E64EE"/>
    <w:rsid w:val="003E753A"/>
    <w:rsid w:val="003E7944"/>
    <w:rsid w:val="003F0666"/>
    <w:rsid w:val="003F2351"/>
    <w:rsid w:val="003F23EF"/>
    <w:rsid w:val="003F270C"/>
    <w:rsid w:val="003F2DE4"/>
    <w:rsid w:val="003F39A7"/>
    <w:rsid w:val="003F3C8B"/>
    <w:rsid w:val="003F47B6"/>
    <w:rsid w:val="003F5009"/>
    <w:rsid w:val="003F55D5"/>
    <w:rsid w:val="003F59F6"/>
    <w:rsid w:val="003F5C83"/>
    <w:rsid w:val="003F678D"/>
    <w:rsid w:val="003F6AD6"/>
    <w:rsid w:val="003F6BE1"/>
    <w:rsid w:val="003F799D"/>
    <w:rsid w:val="0040021D"/>
    <w:rsid w:val="00400222"/>
    <w:rsid w:val="00400F10"/>
    <w:rsid w:val="00400F6E"/>
    <w:rsid w:val="004011DB"/>
    <w:rsid w:val="00401722"/>
    <w:rsid w:val="004022B2"/>
    <w:rsid w:val="004045B1"/>
    <w:rsid w:val="00404FAE"/>
    <w:rsid w:val="00406B91"/>
    <w:rsid w:val="00406D1A"/>
    <w:rsid w:val="00407F51"/>
    <w:rsid w:val="00410584"/>
    <w:rsid w:val="00410C1B"/>
    <w:rsid w:val="00410DC2"/>
    <w:rsid w:val="00411222"/>
    <w:rsid w:val="00412252"/>
    <w:rsid w:val="004122F9"/>
    <w:rsid w:val="00412A24"/>
    <w:rsid w:val="00412A29"/>
    <w:rsid w:val="00413E83"/>
    <w:rsid w:val="004144D6"/>
    <w:rsid w:val="004158B3"/>
    <w:rsid w:val="00416AAB"/>
    <w:rsid w:val="004173BA"/>
    <w:rsid w:val="004176B6"/>
    <w:rsid w:val="00417CA2"/>
    <w:rsid w:val="00417EDD"/>
    <w:rsid w:val="0042082F"/>
    <w:rsid w:val="00420C78"/>
    <w:rsid w:val="00421109"/>
    <w:rsid w:val="00421463"/>
    <w:rsid w:val="00421A9F"/>
    <w:rsid w:val="0042493E"/>
    <w:rsid w:val="00424959"/>
    <w:rsid w:val="004250EE"/>
    <w:rsid w:val="004253C7"/>
    <w:rsid w:val="004260A6"/>
    <w:rsid w:val="00426631"/>
    <w:rsid w:val="004267CA"/>
    <w:rsid w:val="00426FE4"/>
    <w:rsid w:val="004272A4"/>
    <w:rsid w:val="004273E7"/>
    <w:rsid w:val="00427CAD"/>
    <w:rsid w:val="0043018B"/>
    <w:rsid w:val="004306CD"/>
    <w:rsid w:val="00431246"/>
    <w:rsid w:val="0043147B"/>
    <w:rsid w:val="004328D8"/>
    <w:rsid w:val="00433B49"/>
    <w:rsid w:val="00436F5C"/>
    <w:rsid w:val="00437329"/>
    <w:rsid w:val="00437B94"/>
    <w:rsid w:val="00437B9B"/>
    <w:rsid w:val="00437C98"/>
    <w:rsid w:val="0044009B"/>
    <w:rsid w:val="00440380"/>
    <w:rsid w:val="00441324"/>
    <w:rsid w:val="00441EBE"/>
    <w:rsid w:val="0044212F"/>
    <w:rsid w:val="0044336F"/>
    <w:rsid w:val="0044440C"/>
    <w:rsid w:val="004455CF"/>
    <w:rsid w:val="00445C46"/>
    <w:rsid w:val="00445C8E"/>
    <w:rsid w:val="00446610"/>
    <w:rsid w:val="00446C37"/>
    <w:rsid w:val="00447802"/>
    <w:rsid w:val="00447D12"/>
    <w:rsid w:val="00450A37"/>
    <w:rsid w:val="00450C87"/>
    <w:rsid w:val="00451639"/>
    <w:rsid w:val="00452328"/>
    <w:rsid w:val="00452A3B"/>
    <w:rsid w:val="00452CCA"/>
    <w:rsid w:val="0045345C"/>
    <w:rsid w:val="0045484C"/>
    <w:rsid w:val="00455341"/>
    <w:rsid w:val="004554ED"/>
    <w:rsid w:val="00455BB9"/>
    <w:rsid w:val="00455C02"/>
    <w:rsid w:val="00455E0C"/>
    <w:rsid w:val="00456D92"/>
    <w:rsid w:val="00457946"/>
    <w:rsid w:val="00460526"/>
    <w:rsid w:val="00460D5A"/>
    <w:rsid w:val="00460D81"/>
    <w:rsid w:val="0046106D"/>
    <w:rsid w:val="004617D3"/>
    <w:rsid w:val="00461E39"/>
    <w:rsid w:val="00462064"/>
    <w:rsid w:val="004626B9"/>
    <w:rsid w:val="00463E78"/>
    <w:rsid w:val="0046459B"/>
    <w:rsid w:val="00464A24"/>
    <w:rsid w:val="00464A80"/>
    <w:rsid w:val="00464E84"/>
    <w:rsid w:val="00464F1F"/>
    <w:rsid w:val="00465FC5"/>
    <w:rsid w:val="00466001"/>
    <w:rsid w:val="00467062"/>
    <w:rsid w:val="004713AF"/>
    <w:rsid w:val="00472258"/>
    <w:rsid w:val="00472E95"/>
    <w:rsid w:val="00473178"/>
    <w:rsid w:val="00473AFD"/>
    <w:rsid w:val="00476377"/>
    <w:rsid w:val="0047690C"/>
    <w:rsid w:val="004769F0"/>
    <w:rsid w:val="00476F3A"/>
    <w:rsid w:val="004772FE"/>
    <w:rsid w:val="004776EC"/>
    <w:rsid w:val="00477986"/>
    <w:rsid w:val="004803A7"/>
    <w:rsid w:val="00480513"/>
    <w:rsid w:val="00480990"/>
    <w:rsid w:val="00480DAD"/>
    <w:rsid w:val="00480F40"/>
    <w:rsid w:val="004810B1"/>
    <w:rsid w:val="004812DD"/>
    <w:rsid w:val="0048182D"/>
    <w:rsid w:val="00481DF1"/>
    <w:rsid w:val="00482590"/>
    <w:rsid w:val="004826C7"/>
    <w:rsid w:val="00482E60"/>
    <w:rsid w:val="0048430C"/>
    <w:rsid w:val="00484759"/>
    <w:rsid w:val="00484D8A"/>
    <w:rsid w:val="00486658"/>
    <w:rsid w:val="00486C65"/>
    <w:rsid w:val="00486D90"/>
    <w:rsid w:val="004871E2"/>
    <w:rsid w:val="00487858"/>
    <w:rsid w:val="00487E4F"/>
    <w:rsid w:val="00487E6F"/>
    <w:rsid w:val="00487FDB"/>
    <w:rsid w:val="004901E8"/>
    <w:rsid w:val="00490B72"/>
    <w:rsid w:val="0049115A"/>
    <w:rsid w:val="00491581"/>
    <w:rsid w:val="004925A6"/>
    <w:rsid w:val="00492B9D"/>
    <w:rsid w:val="00492C1D"/>
    <w:rsid w:val="00492E1B"/>
    <w:rsid w:val="004932FC"/>
    <w:rsid w:val="00493322"/>
    <w:rsid w:val="0049356E"/>
    <w:rsid w:val="00493924"/>
    <w:rsid w:val="004943D5"/>
    <w:rsid w:val="00494B02"/>
    <w:rsid w:val="00494C7E"/>
    <w:rsid w:val="00494FE2"/>
    <w:rsid w:val="00494FF1"/>
    <w:rsid w:val="004956BA"/>
    <w:rsid w:val="00495FA0"/>
    <w:rsid w:val="00496011"/>
    <w:rsid w:val="004966B9"/>
    <w:rsid w:val="004967D1"/>
    <w:rsid w:val="0049722C"/>
    <w:rsid w:val="0049747B"/>
    <w:rsid w:val="004975AF"/>
    <w:rsid w:val="004A05B1"/>
    <w:rsid w:val="004A06B4"/>
    <w:rsid w:val="004A07AC"/>
    <w:rsid w:val="004A11CF"/>
    <w:rsid w:val="004A2A57"/>
    <w:rsid w:val="004A2F57"/>
    <w:rsid w:val="004A3FFD"/>
    <w:rsid w:val="004A4473"/>
    <w:rsid w:val="004A5056"/>
    <w:rsid w:val="004A56D4"/>
    <w:rsid w:val="004A5B63"/>
    <w:rsid w:val="004A68C7"/>
    <w:rsid w:val="004A7430"/>
    <w:rsid w:val="004B007C"/>
    <w:rsid w:val="004B01C5"/>
    <w:rsid w:val="004B06B0"/>
    <w:rsid w:val="004B0B1F"/>
    <w:rsid w:val="004B0F0F"/>
    <w:rsid w:val="004B115C"/>
    <w:rsid w:val="004B136F"/>
    <w:rsid w:val="004B1658"/>
    <w:rsid w:val="004B165B"/>
    <w:rsid w:val="004B2716"/>
    <w:rsid w:val="004B2EAA"/>
    <w:rsid w:val="004B3A10"/>
    <w:rsid w:val="004B3A2E"/>
    <w:rsid w:val="004B3C31"/>
    <w:rsid w:val="004B4A56"/>
    <w:rsid w:val="004B4FA3"/>
    <w:rsid w:val="004B50B0"/>
    <w:rsid w:val="004B67F4"/>
    <w:rsid w:val="004B6F18"/>
    <w:rsid w:val="004B73DF"/>
    <w:rsid w:val="004B7BD3"/>
    <w:rsid w:val="004B7CB7"/>
    <w:rsid w:val="004B7E72"/>
    <w:rsid w:val="004C013C"/>
    <w:rsid w:val="004C0C5C"/>
    <w:rsid w:val="004C23B4"/>
    <w:rsid w:val="004C24DE"/>
    <w:rsid w:val="004C2FFB"/>
    <w:rsid w:val="004C3445"/>
    <w:rsid w:val="004C40BC"/>
    <w:rsid w:val="004C451F"/>
    <w:rsid w:val="004C4BA2"/>
    <w:rsid w:val="004C4D5A"/>
    <w:rsid w:val="004C509C"/>
    <w:rsid w:val="004C60BA"/>
    <w:rsid w:val="004C61D4"/>
    <w:rsid w:val="004C63B9"/>
    <w:rsid w:val="004C6897"/>
    <w:rsid w:val="004C6D0E"/>
    <w:rsid w:val="004C71BC"/>
    <w:rsid w:val="004D06E6"/>
    <w:rsid w:val="004D0719"/>
    <w:rsid w:val="004D0FC5"/>
    <w:rsid w:val="004D1E12"/>
    <w:rsid w:val="004D23D9"/>
    <w:rsid w:val="004D3B88"/>
    <w:rsid w:val="004D3E10"/>
    <w:rsid w:val="004D40E5"/>
    <w:rsid w:val="004D479D"/>
    <w:rsid w:val="004D535C"/>
    <w:rsid w:val="004D6002"/>
    <w:rsid w:val="004D6CD0"/>
    <w:rsid w:val="004D6F95"/>
    <w:rsid w:val="004D7AF4"/>
    <w:rsid w:val="004E034A"/>
    <w:rsid w:val="004E0AE1"/>
    <w:rsid w:val="004E13FC"/>
    <w:rsid w:val="004E149F"/>
    <w:rsid w:val="004E217C"/>
    <w:rsid w:val="004E2380"/>
    <w:rsid w:val="004E2432"/>
    <w:rsid w:val="004E277F"/>
    <w:rsid w:val="004E35E1"/>
    <w:rsid w:val="004E3BEB"/>
    <w:rsid w:val="004E3FD5"/>
    <w:rsid w:val="004E427D"/>
    <w:rsid w:val="004E44D7"/>
    <w:rsid w:val="004E4656"/>
    <w:rsid w:val="004E5168"/>
    <w:rsid w:val="004E5326"/>
    <w:rsid w:val="004E6576"/>
    <w:rsid w:val="004E7D05"/>
    <w:rsid w:val="004E7D75"/>
    <w:rsid w:val="004F1DEC"/>
    <w:rsid w:val="004F2B73"/>
    <w:rsid w:val="004F2E1C"/>
    <w:rsid w:val="004F32AF"/>
    <w:rsid w:val="004F3D71"/>
    <w:rsid w:val="004F508B"/>
    <w:rsid w:val="004F5181"/>
    <w:rsid w:val="004F5AE2"/>
    <w:rsid w:val="004F5D57"/>
    <w:rsid w:val="004F614A"/>
    <w:rsid w:val="004F6680"/>
    <w:rsid w:val="004F6DBE"/>
    <w:rsid w:val="004F740A"/>
    <w:rsid w:val="004F7AF2"/>
    <w:rsid w:val="004F7D80"/>
    <w:rsid w:val="004F7E8F"/>
    <w:rsid w:val="00500663"/>
    <w:rsid w:val="005006FC"/>
    <w:rsid w:val="00500DB4"/>
    <w:rsid w:val="00501B34"/>
    <w:rsid w:val="00501C0F"/>
    <w:rsid w:val="0050228A"/>
    <w:rsid w:val="0050339C"/>
    <w:rsid w:val="005034DF"/>
    <w:rsid w:val="0050363D"/>
    <w:rsid w:val="005037EE"/>
    <w:rsid w:val="005053BB"/>
    <w:rsid w:val="00505515"/>
    <w:rsid w:val="005076C0"/>
    <w:rsid w:val="005105B8"/>
    <w:rsid w:val="00511572"/>
    <w:rsid w:val="00511CCC"/>
    <w:rsid w:val="00513488"/>
    <w:rsid w:val="0051363C"/>
    <w:rsid w:val="005147BF"/>
    <w:rsid w:val="00515645"/>
    <w:rsid w:val="005159F7"/>
    <w:rsid w:val="00515E10"/>
    <w:rsid w:val="00520382"/>
    <w:rsid w:val="005203FF"/>
    <w:rsid w:val="0052084E"/>
    <w:rsid w:val="00520A68"/>
    <w:rsid w:val="005215D5"/>
    <w:rsid w:val="0052164C"/>
    <w:rsid w:val="0052170B"/>
    <w:rsid w:val="00521DDD"/>
    <w:rsid w:val="00522169"/>
    <w:rsid w:val="00522BFC"/>
    <w:rsid w:val="00523E15"/>
    <w:rsid w:val="00525ADF"/>
    <w:rsid w:val="00525E80"/>
    <w:rsid w:val="005261ED"/>
    <w:rsid w:val="00526D52"/>
    <w:rsid w:val="00527C39"/>
    <w:rsid w:val="00527EFF"/>
    <w:rsid w:val="00532154"/>
    <w:rsid w:val="0053220B"/>
    <w:rsid w:val="00532922"/>
    <w:rsid w:val="00533A50"/>
    <w:rsid w:val="00533CF1"/>
    <w:rsid w:val="0053475A"/>
    <w:rsid w:val="00534AD1"/>
    <w:rsid w:val="00535081"/>
    <w:rsid w:val="005358F9"/>
    <w:rsid w:val="00535B87"/>
    <w:rsid w:val="00536ADB"/>
    <w:rsid w:val="00536C4F"/>
    <w:rsid w:val="00536F4A"/>
    <w:rsid w:val="005373D6"/>
    <w:rsid w:val="005377D9"/>
    <w:rsid w:val="00540A75"/>
    <w:rsid w:val="00540DB1"/>
    <w:rsid w:val="0054108A"/>
    <w:rsid w:val="0054122E"/>
    <w:rsid w:val="0054135B"/>
    <w:rsid w:val="00541490"/>
    <w:rsid w:val="005418D8"/>
    <w:rsid w:val="005418E3"/>
    <w:rsid w:val="00541D1D"/>
    <w:rsid w:val="005428E6"/>
    <w:rsid w:val="00542C53"/>
    <w:rsid w:val="00543871"/>
    <w:rsid w:val="00544487"/>
    <w:rsid w:val="00544CC3"/>
    <w:rsid w:val="00545188"/>
    <w:rsid w:val="0054598B"/>
    <w:rsid w:val="00546581"/>
    <w:rsid w:val="00547523"/>
    <w:rsid w:val="0055026E"/>
    <w:rsid w:val="00550E27"/>
    <w:rsid w:val="005514F5"/>
    <w:rsid w:val="00551C4F"/>
    <w:rsid w:val="00551F90"/>
    <w:rsid w:val="005526F6"/>
    <w:rsid w:val="005530E8"/>
    <w:rsid w:val="005535A1"/>
    <w:rsid w:val="00553E91"/>
    <w:rsid w:val="00554724"/>
    <w:rsid w:val="00554B5E"/>
    <w:rsid w:val="00555336"/>
    <w:rsid w:val="00555854"/>
    <w:rsid w:val="00555B78"/>
    <w:rsid w:val="00555CF4"/>
    <w:rsid w:val="005571E1"/>
    <w:rsid w:val="00557256"/>
    <w:rsid w:val="00557344"/>
    <w:rsid w:val="00557A9A"/>
    <w:rsid w:val="00557B0B"/>
    <w:rsid w:val="00557CB4"/>
    <w:rsid w:val="00560893"/>
    <w:rsid w:val="0056102C"/>
    <w:rsid w:val="005625F3"/>
    <w:rsid w:val="00562EA1"/>
    <w:rsid w:val="00563146"/>
    <w:rsid w:val="00563514"/>
    <w:rsid w:val="005635B3"/>
    <w:rsid w:val="0056368B"/>
    <w:rsid w:val="005654B3"/>
    <w:rsid w:val="00565EF6"/>
    <w:rsid w:val="005664D6"/>
    <w:rsid w:val="00566D9C"/>
    <w:rsid w:val="00567610"/>
    <w:rsid w:val="00567FF2"/>
    <w:rsid w:val="005703CB"/>
    <w:rsid w:val="00570431"/>
    <w:rsid w:val="005709F3"/>
    <w:rsid w:val="00570AC3"/>
    <w:rsid w:val="00570B54"/>
    <w:rsid w:val="00571582"/>
    <w:rsid w:val="00571684"/>
    <w:rsid w:val="005716CB"/>
    <w:rsid w:val="0057349F"/>
    <w:rsid w:val="00573C15"/>
    <w:rsid w:val="00574817"/>
    <w:rsid w:val="005748DB"/>
    <w:rsid w:val="00575D45"/>
    <w:rsid w:val="00577649"/>
    <w:rsid w:val="00577702"/>
    <w:rsid w:val="00577FEC"/>
    <w:rsid w:val="0058029D"/>
    <w:rsid w:val="005814EE"/>
    <w:rsid w:val="00581698"/>
    <w:rsid w:val="00581D9E"/>
    <w:rsid w:val="00582F75"/>
    <w:rsid w:val="005830B1"/>
    <w:rsid w:val="005838D2"/>
    <w:rsid w:val="00584379"/>
    <w:rsid w:val="00585750"/>
    <w:rsid w:val="00585CB6"/>
    <w:rsid w:val="00585E85"/>
    <w:rsid w:val="00585F59"/>
    <w:rsid w:val="0058616A"/>
    <w:rsid w:val="005861D3"/>
    <w:rsid w:val="00586F98"/>
    <w:rsid w:val="00587037"/>
    <w:rsid w:val="0058786A"/>
    <w:rsid w:val="00590F47"/>
    <w:rsid w:val="00591E25"/>
    <w:rsid w:val="0059229F"/>
    <w:rsid w:val="0059261F"/>
    <w:rsid w:val="00593334"/>
    <w:rsid w:val="00593C15"/>
    <w:rsid w:val="0059471F"/>
    <w:rsid w:val="00594E97"/>
    <w:rsid w:val="0059575F"/>
    <w:rsid w:val="00595B5B"/>
    <w:rsid w:val="005978DE"/>
    <w:rsid w:val="005A0239"/>
    <w:rsid w:val="005A03CF"/>
    <w:rsid w:val="005A041A"/>
    <w:rsid w:val="005A0F2A"/>
    <w:rsid w:val="005A1277"/>
    <w:rsid w:val="005A14DF"/>
    <w:rsid w:val="005A1980"/>
    <w:rsid w:val="005A2075"/>
    <w:rsid w:val="005A21D7"/>
    <w:rsid w:val="005A2968"/>
    <w:rsid w:val="005A29BB"/>
    <w:rsid w:val="005A32EC"/>
    <w:rsid w:val="005A35F4"/>
    <w:rsid w:val="005A4475"/>
    <w:rsid w:val="005A46AE"/>
    <w:rsid w:val="005A48DB"/>
    <w:rsid w:val="005A4D74"/>
    <w:rsid w:val="005A4EF5"/>
    <w:rsid w:val="005A5961"/>
    <w:rsid w:val="005A5DFF"/>
    <w:rsid w:val="005A791B"/>
    <w:rsid w:val="005A7CC8"/>
    <w:rsid w:val="005B0B40"/>
    <w:rsid w:val="005B0BD1"/>
    <w:rsid w:val="005B103E"/>
    <w:rsid w:val="005B1A3B"/>
    <w:rsid w:val="005B1F35"/>
    <w:rsid w:val="005B2024"/>
    <w:rsid w:val="005B2735"/>
    <w:rsid w:val="005B29C2"/>
    <w:rsid w:val="005B2AE0"/>
    <w:rsid w:val="005B31B6"/>
    <w:rsid w:val="005B3A48"/>
    <w:rsid w:val="005B3EA6"/>
    <w:rsid w:val="005B408B"/>
    <w:rsid w:val="005B40AD"/>
    <w:rsid w:val="005B5115"/>
    <w:rsid w:val="005B5E6B"/>
    <w:rsid w:val="005B5FC4"/>
    <w:rsid w:val="005B60D3"/>
    <w:rsid w:val="005B7E7C"/>
    <w:rsid w:val="005C006E"/>
    <w:rsid w:val="005C0816"/>
    <w:rsid w:val="005C10E0"/>
    <w:rsid w:val="005C149F"/>
    <w:rsid w:val="005C1776"/>
    <w:rsid w:val="005C1FAE"/>
    <w:rsid w:val="005C2D73"/>
    <w:rsid w:val="005C2F0E"/>
    <w:rsid w:val="005C3DCF"/>
    <w:rsid w:val="005C4038"/>
    <w:rsid w:val="005C42C9"/>
    <w:rsid w:val="005C42F5"/>
    <w:rsid w:val="005C4772"/>
    <w:rsid w:val="005C57B0"/>
    <w:rsid w:val="005C5C22"/>
    <w:rsid w:val="005C5DAC"/>
    <w:rsid w:val="005C6195"/>
    <w:rsid w:val="005C6284"/>
    <w:rsid w:val="005C6B5B"/>
    <w:rsid w:val="005C6DDB"/>
    <w:rsid w:val="005C76F8"/>
    <w:rsid w:val="005C7D42"/>
    <w:rsid w:val="005D0E45"/>
    <w:rsid w:val="005D0E4B"/>
    <w:rsid w:val="005D0EC4"/>
    <w:rsid w:val="005D1A1A"/>
    <w:rsid w:val="005D1EB5"/>
    <w:rsid w:val="005D1ED8"/>
    <w:rsid w:val="005D31FE"/>
    <w:rsid w:val="005D3BB9"/>
    <w:rsid w:val="005D3C12"/>
    <w:rsid w:val="005D40E6"/>
    <w:rsid w:val="005D4685"/>
    <w:rsid w:val="005D4961"/>
    <w:rsid w:val="005D62F5"/>
    <w:rsid w:val="005D6999"/>
    <w:rsid w:val="005D6B24"/>
    <w:rsid w:val="005D7D69"/>
    <w:rsid w:val="005E0C14"/>
    <w:rsid w:val="005E1779"/>
    <w:rsid w:val="005E2659"/>
    <w:rsid w:val="005E310E"/>
    <w:rsid w:val="005E35A3"/>
    <w:rsid w:val="005E3731"/>
    <w:rsid w:val="005E3977"/>
    <w:rsid w:val="005E4669"/>
    <w:rsid w:val="005E5013"/>
    <w:rsid w:val="005E50F0"/>
    <w:rsid w:val="005E50F1"/>
    <w:rsid w:val="005E6B5D"/>
    <w:rsid w:val="005E6B87"/>
    <w:rsid w:val="005E7159"/>
    <w:rsid w:val="005E75C4"/>
    <w:rsid w:val="005F0EE9"/>
    <w:rsid w:val="005F11CC"/>
    <w:rsid w:val="005F2121"/>
    <w:rsid w:val="005F27AD"/>
    <w:rsid w:val="005F2C74"/>
    <w:rsid w:val="005F30B5"/>
    <w:rsid w:val="005F34D0"/>
    <w:rsid w:val="005F3C70"/>
    <w:rsid w:val="005F3F99"/>
    <w:rsid w:val="005F62A3"/>
    <w:rsid w:val="006000F1"/>
    <w:rsid w:val="00601749"/>
    <w:rsid w:val="00601D40"/>
    <w:rsid w:val="00602457"/>
    <w:rsid w:val="00604305"/>
    <w:rsid w:val="00604640"/>
    <w:rsid w:val="006048BC"/>
    <w:rsid w:val="00604977"/>
    <w:rsid w:val="00605674"/>
    <w:rsid w:val="0060578F"/>
    <w:rsid w:val="00605C67"/>
    <w:rsid w:val="00605F0E"/>
    <w:rsid w:val="0060635A"/>
    <w:rsid w:val="00606577"/>
    <w:rsid w:val="006065DC"/>
    <w:rsid w:val="006069AC"/>
    <w:rsid w:val="006077EA"/>
    <w:rsid w:val="00610A6C"/>
    <w:rsid w:val="00610D57"/>
    <w:rsid w:val="00610DCE"/>
    <w:rsid w:val="00611BED"/>
    <w:rsid w:val="00611D71"/>
    <w:rsid w:val="006122CF"/>
    <w:rsid w:val="00612321"/>
    <w:rsid w:val="0061488B"/>
    <w:rsid w:val="00614C35"/>
    <w:rsid w:val="006156BD"/>
    <w:rsid w:val="00615A52"/>
    <w:rsid w:val="00616B0D"/>
    <w:rsid w:val="00616F9A"/>
    <w:rsid w:val="00617636"/>
    <w:rsid w:val="00620975"/>
    <w:rsid w:val="00621742"/>
    <w:rsid w:val="0062195D"/>
    <w:rsid w:val="00621BFC"/>
    <w:rsid w:val="00622F77"/>
    <w:rsid w:val="00623101"/>
    <w:rsid w:val="00623FBC"/>
    <w:rsid w:val="006241E0"/>
    <w:rsid w:val="00624EDB"/>
    <w:rsid w:val="006259C6"/>
    <w:rsid w:val="00625DF2"/>
    <w:rsid w:val="00626AE8"/>
    <w:rsid w:val="00627CDB"/>
    <w:rsid w:val="00627D7A"/>
    <w:rsid w:val="0063044C"/>
    <w:rsid w:val="00630A55"/>
    <w:rsid w:val="00630FB3"/>
    <w:rsid w:val="00631115"/>
    <w:rsid w:val="0063227D"/>
    <w:rsid w:val="006325FC"/>
    <w:rsid w:val="00632707"/>
    <w:rsid w:val="006333E0"/>
    <w:rsid w:val="0063403F"/>
    <w:rsid w:val="006343EE"/>
    <w:rsid w:val="00634B9A"/>
    <w:rsid w:val="006356BC"/>
    <w:rsid w:val="00636C8D"/>
    <w:rsid w:val="0063703D"/>
    <w:rsid w:val="006375F9"/>
    <w:rsid w:val="00640D62"/>
    <w:rsid w:val="00640F46"/>
    <w:rsid w:val="00641D61"/>
    <w:rsid w:val="00641ECA"/>
    <w:rsid w:val="00642680"/>
    <w:rsid w:val="006428CE"/>
    <w:rsid w:val="00642B6A"/>
    <w:rsid w:val="00643170"/>
    <w:rsid w:val="006433C6"/>
    <w:rsid w:val="0064490B"/>
    <w:rsid w:val="00645020"/>
    <w:rsid w:val="00645525"/>
    <w:rsid w:val="006458E6"/>
    <w:rsid w:val="00645D63"/>
    <w:rsid w:val="00646825"/>
    <w:rsid w:val="00646BCA"/>
    <w:rsid w:val="006479E0"/>
    <w:rsid w:val="00647D47"/>
    <w:rsid w:val="00647EE7"/>
    <w:rsid w:val="00650261"/>
    <w:rsid w:val="00650417"/>
    <w:rsid w:val="006505A6"/>
    <w:rsid w:val="00650730"/>
    <w:rsid w:val="00651444"/>
    <w:rsid w:val="006515E3"/>
    <w:rsid w:val="00651636"/>
    <w:rsid w:val="00651E07"/>
    <w:rsid w:val="00651E6A"/>
    <w:rsid w:val="006535D3"/>
    <w:rsid w:val="00653649"/>
    <w:rsid w:val="006536F5"/>
    <w:rsid w:val="00655663"/>
    <w:rsid w:val="00656FA5"/>
    <w:rsid w:val="0065703D"/>
    <w:rsid w:val="00657CEB"/>
    <w:rsid w:val="00657CFA"/>
    <w:rsid w:val="0066034A"/>
    <w:rsid w:val="0066089F"/>
    <w:rsid w:val="00660EEB"/>
    <w:rsid w:val="00661541"/>
    <w:rsid w:val="00661BE5"/>
    <w:rsid w:val="00662314"/>
    <w:rsid w:val="0066241F"/>
    <w:rsid w:val="0066381F"/>
    <w:rsid w:val="00663A5A"/>
    <w:rsid w:val="00663E07"/>
    <w:rsid w:val="006643AE"/>
    <w:rsid w:val="006649F6"/>
    <w:rsid w:val="00664C78"/>
    <w:rsid w:val="0066511E"/>
    <w:rsid w:val="006653D5"/>
    <w:rsid w:val="00665654"/>
    <w:rsid w:val="00665AE4"/>
    <w:rsid w:val="00666190"/>
    <w:rsid w:val="00666388"/>
    <w:rsid w:val="00666466"/>
    <w:rsid w:val="00666C33"/>
    <w:rsid w:val="00666C48"/>
    <w:rsid w:val="00666D3B"/>
    <w:rsid w:val="00667649"/>
    <w:rsid w:val="00667B80"/>
    <w:rsid w:val="00667DA6"/>
    <w:rsid w:val="00667E29"/>
    <w:rsid w:val="00670BC9"/>
    <w:rsid w:val="00671301"/>
    <w:rsid w:val="0067140D"/>
    <w:rsid w:val="00671BE1"/>
    <w:rsid w:val="00672906"/>
    <w:rsid w:val="006757BF"/>
    <w:rsid w:val="00675970"/>
    <w:rsid w:val="006773F6"/>
    <w:rsid w:val="0067779F"/>
    <w:rsid w:val="00680163"/>
    <w:rsid w:val="0068108E"/>
    <w:rsid w:val="006810E5"/>
    <w:rsid w:val="006813A2"/>
    <w:rsid w:val="0068196C"/>
    <w:rsid w:val="00681AE5"/>
    <w:rsid w:val="00681AFE"/>
    <w:rsid w:val="006828F7"/>
    <w:rsid w:val="00683B34"/>
    <w:rsid w:val="00683E19"/>
    <w:rsid w:val="00684C76"/>
    <w:rsid w:val="00684E24"/>
    <w:rsid w:val="00686A5C"/>
    <w:rsid w:val="00686C78"/>
    <w:rsid w:val="00687CA7"/>
    <w:rsid w:val="0069075C"/>
    <w:rsid w:val="00690B26"/>
    <w:rsid w:val="00690BDC"/>
    <w:rsid w:val="00690E1D"/>
    <w:rsid w:val="006917FC"/>
    <w:rsid w:val="006922B2"/>
    <w:rsid w:val="00692E47"/>
    <w:rsid w:val="00692FA6"/>
    <w:rsid w:val="006933FC"/>
    <w:rsid w:val="006933FE"/>
    <w:rsid w:val="00693498"/>
    <w:rsid w:val="006946A9"/>
    <w:rsid w:val="006948F1"/>
    <w:rsid w:val="00694EE7"/>
    <w:rsid w:val="006959A0"/>
    <w:rsid w:val="00696069"/>
    <w:rsid w:val="00696081"/>
    <w:rsid w:val="0069629C"/>
    <w:rsid w:val="00696436"/>
    <w:rsid w:val="00696D7F"/>
    <w:rsid w:val="0069743F"/>
    <w:rsid w:val="00697B3C"/>
    <w:rsid w:val="00697EE8"/>
    <w:rsid w:val="006A01D3"/>
    <w:rsid w:val="006A0507"/>
    <w:rsid w:val="006A0721"/>
    <w:rsid w:val="006A0A5C"/>
    <w:rsid w:val="006A0C72"/>
    <w:rsid w:val="006A1B77"/>
    <w:rsid w:val="006A1BCD"/>
    <w:rsid w:val="006A3568"/>
    <w:rsid w:val="006A54F7"/>
    <w:rsid w:val="006A5B2C"/>
    <w:rsid w:val="006A7A57"/>
    <w:rsid w:val="006B0946"/>
    <w:rsid w:val="006B1015"/>
    <w:rsid w:val="006B1D3E"/>
    <w:rsid w:val="006B2401"/>
    <w:rsid w:val="006B24B4"/>
    <w:rsid w:val="006B29F0"/>
    <w:rsid w:val="006B2F90"/>
    <w:rsid w:val="006B3048"/>
    <w:rsid w:val="006B312A"/>
    <w:rsid w:val="006B36FC"/>
    <w:rsid w:val="006B41B8"/>
    <w:rsid w:val="006B54E4"/>
    <w:rsid w:val="006B56F1"/>
    <w:rsid w:val="006B64C3"/>
    <w:rsid w:val="006B6841"/>
    <w:rsid w:val="006B695C"/>
    <w:rsid w:val="006B7286"/>
    <w:rsid w:val="006B7AD6"/>
    <w:rsid w:val="006B7C65"/>
    <w:rsid w:val="006C021F"/>
    <w:rsid w:val="006C0486"/>
    <w:rsid w:val="006C068F"/>
    <w:rsid w:val="006C0B1F"/>
    <w:rsid w:val="006C1924"/>
    <w:rsid w:val="006C1E47"/>
    <w:rsid w:val="006C2248"/>
    <w:rsid w:val="006C2533"/>
    <w:rsid w:val="006C33FC"/>
    <w:rsid w:val="006C3416"/>
    <w:rsid w:val="006C4FF6"/>
    <w:rsid w:val="006C5680"/>
    <w:rsid w:val="006C652A"/>
    <w:rsid w:val="006C684E"/>
    <w:rsid w:val="006C76CB"/>
    <w:rsid w:val="006D043F"/>
    <w:rsid w:val="006D067B"/>
    <w:rsid w:val="006D13B1"/>
    <w:rsid w:val="006D178E"/>
    <w:rsid w:val="006D1C37"/>
    <w:rsid w:val="006D1F2C"/>
    <w:rsid w:val="006D23F3"/>
    <w:rsid w:val="006D2709"/>
    <w:rsid w:val="006D29B1"/>
    <w:rsid w:val="006D2BAA"/>
    <w:rsid w:val="006D2E74"/>
    <w:rsid w:val="006D2F4B"/>
    <w:rsid w:val="006D311C"/>
    <w:rsid w:val="006D3CDA"/>
    <w:rsid w:val="006D512C"/>
    <w:rsid w:val="006D5397"/>
    <w:rsid w:val="006D5E8B"/>
    <w:rsid w:val="006D5EA4"/>
    <w:rsid w:val="006D66CC"/>
    <w:rsid w:val="006D75C8"/>
    <w:rsid w:val="006D7679"/>
    <w:rsid w:val="006E0C09"/>
    <w:rsid w:val="006E1174"/>
    <w:rsid w:val="006E1A75"/>
    <w:rsid w:val="006E2A1C"/>
    <w:rsid w:val="006E2C09"/>
    <w:rsid w:val="006E3226"/>
    <w:rsid w:val="006E32A1"/>
    <w:rsid w:val="006E3981"/>
    <w:rsid w:val="006E3F4B"/>
    <w:rsid w:val="006E4DE0"/>
    <w:rsid w:val="006E583C"/>
    <w:rsid w:val="006E5886"/>
    <w:rsid w:val="006E670F"/>
    <w:rsid w:val="006E7345"/>
    <w:rsid w:val="006F0E20"/>
    <w:rsid w:val="006F183B"/>
    <w:rsid w:val="006F190F"/>
    <w:rsid w:val="006F208F"/>
    <w:rsid w:val="006F3621"/>
    <w:rsid w:val="006F3988"/>
    <w:rsid w:val="006F3D8D"/>
    <w:rsid w:val="006F3DD0"/>
    <w:rsid w:val="006F41D5"/>
    <w:rsid w:val="006F46C5"/>
    <w:rsid w:val="006F5389"/>
    <w:rsid w:val="006F5A04"/>
    <w:rsid w:val="006F73BC"/>
    <w:rsid w:val="00700BDB"/>
    <w:rsid w:val="00701400"/>
    <w:rsid w:val="0070239A"/>
    <w:rsid w:val="00702A5E"/>
    <w:rsid w:val="00702BD0"/>
    <w:rsid w:val="00703408"/>
    <w:rsid w:val="00703666"/>
    <w:rsid w:val="00704DFA"/>
    <w:rsid w:val="00704F6D"/>
    <w:rsid w:val="00705959"/>
    <w:rsid w:val="0070737A"/>
    <w:rsid w:val="007075C5"/>
    <w:rsid w:val="00707D80"/>
    <w:rsid w:val="00707F07"/>
    <w:rsid w:val="0071021F"/>
    <w:rsid w:val="00710936"/>
    <w:rsid w:val="007117A0"/>
    <w:rsid w:val="00712D41"/>
    <w:rsid w:val="007134C0"/>
    <w:rsid w:val="007137A6"/>
    <w:rsid w:val="00714643"/>
    <w:rsid w:val="007148A4"/>
    <w:rsid w:val="0071509B"/>
    <w:rsid w:val="007150AC"/>
    <w:rsid w:val="00715311"/>
    <w:rsid w:val="007156D8"/>
    <w:rsid w:val="00715C8D"/>
    <w:rsid w:val="00716215"/>
    <w:rsid w:val="00716896"/>
    <w:rsid w:val="00716C67"/>
    <w:rsid w:val="00721121"/>
    <w:rsid w:val="00721C60"/>
    <w:rsid w:val="00721E72"/>
    <w:rsid w:val="00722BD5"/>
    <w:rsid w:val="00722F54"/>
    <w:rsid w:val="0072392A"/>
    <w:rsid w:val="007251C4"/>
    <w:rsid w:val="0072521A"/>
    <w:rsid w:val="00725B93"/>
    <w:rsid w:val="00725E2A"/>
    <w:rsid w:val="00726176"/>
    <w:rsid w:val="007262FC"/>
    <w:rsid w:val="00727321"/>
    <w:rsid w:val="00727537"/>
    <w:rsid w:val="00727716"/>
    <w:rsid w:val="00727BA1"/>
    <w:rsid w:val="0073015C"/>
    <w:rsid w:val="00730CBE"/>
    <w:rsid w:val="0073137F"/>
    <w:rsid w:val="00731436"/>
    <w:rsid w:val="00732B6C"/>
    <w:rsid w:val="00732C26"/>
    <w:rsid w:val="00733418"/>
    <w:rsid w:val="00733622"/>
    <w:rsid w:val="007342BF"/>
    <w:rsid w:val="0073475F"/>
    <w:rsid w:val="0073566C"/>
    <w:rsid w:val="00735F3D"/>
    <w:rsid w:val="0073666A"/>
    <w:rsid w:val="00736B8B"/>
    <w:rsid w:val="00737D81"/>
    <w:rsid w:val="007403D2"/>
    <w:rsid w:val="00740BC4"/>
    <w:rsid w:val="00740E44"/>
    <w:rsid w:val="007429AC"/>
    <w:rsid w:val="00742A23"/>
    <w:rsid w:val="0074359E"/>
    <w:rsid w:val="00743F9A"/>
    <w:rsid w:val="00744092"/>
    <w:rsid w:val="00744555"/>
    <w:rsid w:val="00745175"/>
    <w:rsid w:val="00746B8F"/>
    <w:rsid w:val="00746CBE"/>
    <w:rsid w:val="00746EA6"/>
    <w:rsid w:val="00747E43"/>
    <w:rsid w:val="00747EE6"/>
    <w:rsid w:val="00747FAB"/>
    <w:rsid w:val="007500D4"/>
    <w:rsid w:val="0075084B"/>
    <w:rsid w:val="00750CCE"/>
    <w:rsid w:val="00751848"/>
    <w:rsid w:val="0075241F"/>
    <w:rsid w:val="007542B3"/>
    <w:rsid w:val="0075508C"/>
    <w:rsid w:val="007554DD"/>
    <w:rsid w:val="00755788"/>
    <w:rsid w:val="007558CD"/>
    <w:rsid w:val="00756074"/>
    <w:rsid w:val="00757581"/>
    <w:rsid w:val="00757879"/>
    <w:rsid w:val="007606BD"/>
    <w:rsid w:val="0076089C"/>
    <w:rsid w:val="007611DF"/>
    <w:rsid w:val="0076130D"/>
    <w:rsid w:val="00761565"/>
    <w:rsid w:val="0076197B"/>
    <w:rsid w:val="00762396"/>
    <w:rsid w:val="00762754"/>
    <w:rsid w:val="00762B40"/>
    <w:rsid w:val="007632B5"/>
    <w:rsid w:val="00763310"/>
    <w:rsid w:val="00764839"/>
    <w:rsid w:val="00764919"/>
    <w:rsid w:val="0076573A"/>
    <w:rsid w:val="0076582D"/>
    <w:rsid w:val="0076592A"/>
    <w:rsid w:val="00766719"/>
    <w:rsid w:val="00766B0E"/>
    <w:rsid w:val="007679EE"/>
    <w:rsid w:val="00770025"/>
    <w:rsid w:val="0077037D"/>
    <w:rsid w:val="00770B62"/>
    <w:rsid w:val="00770FCF"/>
    <w:rsid w:val="0077184D"/>
    <w:rsid w:val="0077194E"/>
    <w:rsid w:val="00771CE2"/>
    <w:rsid w:val="00772C38"/>
    <w:rsid w:val="00772F75"/>
    <w:rsid w:val="00773A7E"/>
    <w:rsid w:val="007746D4"/>
    <w:rsid w:val="00774F01"/>
    <w:rsid w:val="007750CB"/>
    <w:rsid w:val="00775686"/>
    <w:rsid w:val="00775B8E"/>
    <w:rsid w:val="007765AF"/>
    <w:rsid w:val="0077760A"/>
    <w:rsid w:val="00777FBA"/>
    <w:rsid w:val="00780828"/>
    <w:rsid w:val="007811F8"/>
    <w:rsid w:val="007812E9"/>
    <w:rsid w:val="00781631"/>
    <w:rsid w:val="00781D94"/>
    <w:rsid w:val="00781DE5"/>
    <w:rsid w:val="00783EEF"/>
    <w:rsid w:val="0078414B"/>
    <w:rsid w:val="00784616"/>
    <w:rsid w:val="0078481B"/>
    <w:rsid w:val="00785663"/>
    <w:rsid w:val="00785AD3"/>
    <w:rsid w:val="007868C5"/>
    <w:rsid w:val="00786BD9"/>
    <w:rsid w:val="0078792E"/>
    <w:rsid w:val="00790BF9"/>
    <w:rsid w:val="00790E82"/>
    <w:rsid w:val="00791D93"/>
    <w:rsid w:val="0079218A"/>
    <w:rsid w:val="007921D3"/>
    <w:rsid w:val="00792652"/>
    <w:rsid w:val="007928A2"/>
    <w:rsid w:val="00792D84"/>
    <w:rsid w:val="007933D0"/>
    <w:rsid w:val="00793D61"/>
    <w:rsid w:val="00794388"/>
    <w:rsid w:val="00794A7A"/>
    <w:rsid w:val="00794CF3"/>
    <w:rsid w:val="007956B1"/>
    <w:rsid w:val="0079579F"/>
    <w:rsid w:val="0079590A"/>
    <w:rsid w:val="00795D0C"/>
    <w:rsid w:val="00795DB8"/>
    <w:rsid w:val="00796811"/>
    <w:rsid w:val="00797307"/>
    <w:rsid w:val="007A0F11"/>
    <w:rsid w:val="007A1DA0"/>
    <w:rsid w:val="007A1F7C"/>
    <w:rsid w:val="007A24D3"/>
    <w:rsid w:val="007A3709"/>
    <w:rsid w:val="007A3D5F"/>
    <w:rsid w:val="007A41F0"/>
    <w:rsid w:val="007A4384"/>
    <w:rsid w:val="007A444D"/>
    <w:rsid w:val="007A47A0"/>
    <w:rsid w:val="007A4843"/>
    <w:rsid w:val="007A5C24"/>
    <w:rsid w:val="007A6167"/>
    <w:rsid w:val="007A73FB"/>
    <w:rsid w:val="007A772B"/>
    <w:rsid w:val="007A7E95"/>
    <w:rsid w:val="007A7FA1"/>
    <w:rsid w:val="007A7FE1"/>
    <w:rsid w:val="007B0423"/>
    <w:rsid w:val="007B0F82"/>
    <w:rsid w:val="007B1828"/>
    <w:rsid w:val="007B1F93"/>
    <w:rsid w:val="007B2693"/>
    <w:rsid w:val="007B2926"/>
    <w:rsid w:val="007B2CDF"/>
    <w:rsid w:val="007B3789"/>
    <w:rsid w:val="007B3D00"/>
    <w:rsid w:val="007B427E"/>
    <w:rsid w:val="007B4C16"/>
    <w:rsid w:val="007B4D0F"/>
    <w:rsid w:val="007B53A2"/>
    <w:rsid w:val="007B55A9"/>
    <w:rsid w:val="007B5ADF"/>
    <w:rsid w:val="007B5AEE"/>
    <w:rsid w:val="007B6106"/>
    <w:rsid w:val="007B62C6"/>
    <w:rsid w:val="007B665D"/>
    <w:rsid w:val="007B667F"/>
    <w:rsid w:val="007B67C5"/>
    <w:rsid w:val="007B6999"/>
    <w:rsid w:val="007B69E6"/>
    <w:rsid w:val="007B706D"/>
    <w:rsid w:val="007B794F"/>
    <w:rsid w:val="007C012B"/>
    <w:rsid w:val="007C02ED"/>
    <w:rsid w:val="007C035E"/>
    <w:rsid w:val="007C0E5C"/>
    <w:rsid w:val="007C0FC1"/>
    <w:rsid w:val="007C151D"/>
    <w:rsid w:val="007C1A23"/>
    <w:rsid w:val="007C1AA7"/>
    <w:rsid w:val="007C2119"/>
    <w:rsid w:val="007C2499"/>
    <w:rsid w:val="007C24B4"/>
    <w:rsid w:val="007C26D5"/>
    <w:rsid w:val="007C4A64"/>
    <w:rsid w:val="007C5FA2"/>
    <w:rsid w:val="007C6574"/>
    <w:rsid w:val="007C6635"/>
    <w:rsid w:val="007C7551"/>
    <w:rsid w:val="007D1124"/>
    <w:rsid w:val="007D2A0E"/>
    <w:rsid w:val="007D2CD3"/>
    <w:rsid w:val="007D2DD6"/>
    <w:rsid w:val="007D4062"/>
    <w:rsid w:val="007D42B0"/>
    <w:rsid w:val="007D4334"/>
    <w:rsid w:val="007D469E"/>
    <w:rsid w:val="007D522F"/>
    <w:rsid w:val="007D5329"/>
    <w:rsid w:val="007D5E57"/>
    <w:rsid w:val="007D6AB8"/>
    <w:rsid w:val="007D6FAE"/>
    <w:rsid w:val="007D7038"/>
    <w:rsid w:val="007D75D0"/>
    <w:rsid w:val="007D75ED"/>
    <w:rsid w:val="007D7DE3"/>
    <w:rsid w:val="007E0051"/>
    <w:rsid w:val="007E00DC"/>
    <w:rsid w:val="007E020B"/>
    <w:rsid w:val="007E1104"/>
    <w:rsid w:val="007E2158"/>
    <w:rsid w:val="007E2260"/>
    <w:rsid w:val="007E2E32"/>
    <w:rsid w:val="007E36B0"/>
    <w:rsid w:val="007E4022"/>
    <w:rsid w:val="007E4A47"/>
    <w:rsid w:val="007E4FC0"/>
    <w:rsid w:val="007E516A"/>
    <w:rsid w:val="007E570D"/>
    <w:rsid w:val="007E5838"/>
    <w:rsid w:val="007E60A0"/>
    <w:rsid w:val="007E68B8"/>
    <w:rsid w:val="007E745B"/>
    <w:rsid w:val="007F10E0"/>
    <w:rsid w:val="007F118D"/>
    <w:rsid w:val="007F19D7"/>
    <w:rsid w:val="007F1D03"/>
    <w:rsid w:val="007F2431"/>
    <w:rsid w:val="007F2821"/>
    <w:rsid w:val="007F282E"/>
    <w:rsid w:val="007F287A"/>
    <w:rsid w:val="007F2AF5"/>
    <w:rsid w:val="007F2D79"/>
    <w:rsid w:val="007F44E1"/>
    <w:rsid w:val="007F4769"/>
    <w:rsid w:val="007F4B97"/>
    <w:rsid w:val="007F5EE7"/>
    <w:rsid w:val="007F6A5A"/>
    <w:rsid w:val="007F6EB5"/>
    <w:rsid w:val="007F6FED"/>
    <w:rsid w:val="007F746D"/>
    <w:rsid w:val="007F77E4"/>
    <w:rsid w:val="007F7904"/>
    <w:rsid w:val="007F7964"/>
    <w:rsid w:val="008007D9"/>
    <w:rsid w:val="00803105"/>
    <w:rsid w:val="008038D1"/>
    <w:rsid w:val="00804732"/>
    <w:rsid w:val="00804D49"/>
    <w:rsid w:val="00804DB0"/>
    <w:rsid w:val="00804E26"/>
    <w:rsid w:val="00805A33"/>
    <w:rsid w:val="0080625E"/>
    <w:rsid w:val="00806314"/>
    <w:rsid w:val="008067F0"/>
    <w:rsid w:val="00806866"/>
    <w:rsid w:val="008074E0"/>
    <w:rsid w:val="00810E56"/>
    <w:rsid w:val="00812058"/>
    <w:rsid w:val="00813087"/>
    <w:rsid w:val="008135FB"/>
    <w:rsid w:val="008138F7"/>
    <w:rsid w:val="00813951"/>
    <w:rsid w:val="00813C06"/>
    <w:rsid w:val="00813F8B"/>
    <w:rsid w:val="00814590"/>
    <w:rsid w:val="0081492C"/>
    <w:rsid w:val="00815512"/>
    <w:rsid w:val="00816B1C"/>
    <w:rsid w:val="00816E01"/>
    <w:rsid w:val="0081798F"/>
    <w:rsid w:val="00820EEB"/>
    <w:rsid w:val="00820EF8"/>
    <w:rsid w:val="00821D32"/>
    <w:rsid w:val="00821FD9"/>
    <w:rsid w:val="008222BE"/>
    <w:rsid w:val="00822B83"/>
    <w:rsid w:val="00822BCF"/>
    <w:rsid w:val="008234BE"/>
    <w:rsid w:val="00823C5F"/>
    <w:rsid w:val="00824B02"/>
    <w:rsid w:val="0082613C"/>
    <w:rsid w:val="00826F29"/>
    <w:rsid w:val="00827D47"/>
    <w:rsid w:val="008300FD"/>
    <w:rsid w:val="00830F5D"/>
    <w:rsid w:val="008310D3"/>
    <w:rsid w:val="0083115B"/>
    <w:rsid w:val="0083122F"/>
    <w:rsid w:val="0083151A"/>
    <w:rsid w:val="00831B9B"/>
    <w:rsid w:val="00831E9B"/>
    <w:rsid w:val="0083240C"/>
    <w:rsid w:val="00832491"/>
    <w:rsid w:val="00832530"/>
    <w:rsid w:val="008335C3"/>
    <w:rsid w:val="008338B5"/>
    <w:rsid w:val="00833922"/>
    <w:rsid w:val="00833E73"/>
    <w:rsid w:val="00834499"/>
    <w:rsid w:val="00834520"/>
    <w:rsid w:val="00835C05"/>
    <w:rsid w:val="008371A2"/>
    <w:rsid w:val="0083752C"/>
    <w:rsid w:val="00840371"/>
    <w:rsid w:val="0084141C"/>
    <w:rsid w:val="008415DA"/>
    <w:rsid w:val="008416A3"/>
    <w:rsid w:val="0084189F"/>
    <w:rsid w:val="0084219D"/>
    <w:rsid w:val="0084321A"/>
    <w:rsid w:val="0084339B"/>
    <w:rsid w:val="00844EBA"/>
    <w:rsid w:val="00845079"/>
    <w:rsid w:val="00845301"/>
    <w:rsid w:val="0084561B"/>
    <w:rsid w:val="00845960"/>
    <w:rsid w:val="008468C9"/>
    <w:rsid w:val="00847557"/>
    <w:rsid w:val="00850624"/>
    <w:rsid w:val="00850C87"/>
    <w:rsid w:val="008512E7"/>
    <w:rsid w:val="008514F1"/>
    <w:rsid w:val="00851AFB"/>
    <w:rsid w:val="00851D91"/>
    <w:rsid w:val="008524E7"/>
    <w:rsid w:val="00852806"/>
    <w:rsid w:val="00852846"/>
    <w:rsid w:val="00854856"/>
    <w:rsid w:val="008549CD"/>
    <w:rsid w:val="0085505C"/>
    <w:rsid w:val="008559EF"/>
    <w:rsid w:val="00856273"/>
    <w:rsid w:val="008573A8"/>
    <w:rsid w:val="00857D67"/>
    <w:rsid w:val="00857ECB"/>
    <w:rsid w:val="008607F8"/>
    <w:rsid w:val="00861397"/>
    <w:rsid w:val="00861973"/>
    <w:rsid w:val="008619CD"/>
    <w:rsid w:val="00861A28"/>
    <w:rsid w:val="00861A4C"/>
    <w:rsid w:val="00861A73"/>
    <w:rsid w:val="00861EBE"/>
    <w:rsid w:val="008627FF"/>
    <w:rsid w:val="00863C7C"/>
    <w:rsid w:val="00863D85"/>
    <w:rsid w:val="00863F5A"/>
    <w:rsid w:val="008642DD"/>
    <w:rsid w:val="00864318"/>
    <w:rsid w:val="0086496C"/>
    <w:rsid w:val="00865208"/>
    <w:rsid w:val="00865F07"/>
    <w:rsid w:val="008661CC"/>
    <w:rsid w:val="008662A7"/>
    <w:rsid w:val="00867483"/>
    <w:rsid w:val="008675C5"/>
    <w:rsid w:val="0087022C"/>
    <w:rsid w:val="0087102A"/>
    <w:rsid w:val="008728E5"/>
    <w:rsid w:val="00873C32"/>
    <w:rsid w:val="0087405A"/>
    <w:rsid w:val="008745A4"/>
    <w:rsid w:val="008752ED"/>
    <w:rsid w:val="008762DD"/>
    <w:rsid w:val="00876303"/>
    <w:rsid w:val="00877686"/>
    <w:rsid w:val="00877B01"/>
    <w:rsid w:val="00877E08"/>
    <w:rsid w:val="008806C6"/>
    <w:rsid w:val="0088097E"/>
    <w:rsid w:val="00880A1E"/>
    <w:rsid w:val="00882204"/>
    <w:rsid w:val="00882B3D"/>
    <w:rsid w:val="00882D1F"/>
    <w:rsid w:val="00883F90"/>
    <w:rsid w:val="0088438B"/>
    <w:rsid w:val="00886679"/>
    <w:rsid w:val="00886B47"/>
    <w:rsid w:val="0088770C"/>
    <w:rsid w:val="00887AE8"/>
    <w:rsid w:val="00890467"/>
    <w:rsid w:val="008907BD"/>
    <w:rsid w:val="00890F8D"/>
    <w:rsid w:val="00891285"/>
    <w:rsid w:val="00891958"/>
    <w:rsid w:val="00891E34"/>
    <w:rsid w:val="008928FE"/>
    <w:rsid w:val="0089293A"/>
    <w:rsid w:val="00892BAB"/>
    <w:rsid w:val="00892C92"/>
    <w:rsid w:val="00892E4C"/>
    <w:rsid w:val="00892F9F"/>
    <w:rsid w:val="0089326D"/>
    <w:rsid w:val="0089420D"/>
    <w:rsid w:val="00894407"/>
    <w:rsid w:val="008946F7"/>
    <w:rsid w:val="00894783"/>
    <w:rsid w:val="00894D6F"/>
    <w:rsid w:val="0089619B"/>
    <w:rsid w:val="00896B70"/>
    <w:rsid w:val="00896BA3"/>
    <w:rsid w:val="0089709D"/>
    <w:rsid w:val="008978C8"/>
    <w:rsid w:val="00897917"/>
    <w:rsid w:val="008A08F8"/>
    <w:rsid w:val="008A0B74"/>
    <w:rsid w:val="008A0EFC"/>
    <w:rsid w:val="008A1144"/>
    <w:rsid w:val="008A17A6"/>
    <w:rsid w:val="008A1AA2"/>
    <w:rsid w:val="008A1AE4"/>
    <w:rsid w:val="008A1C56"/>
    <w:rsid w:val="008A231F"/>
    <w:rsid w:val="008A23E2"/>
    <w:rsid w:val="008A257D"/>
    <w:rsid w:val="008A27D4"/>
    <w:rsid w:val="008A3000"/>
    <w:rsid w:val="008A3A67"/>
    <w:rsid w:val="008A3A78"/>
    <w:rsid w:val="008A4086"/>
    <w:rsid w:val="008A42E6"/>
    <w:rsid w:val="008A4902"/>
    <w:rsid w:val="008A7950"/>
    <w:rsid w:val="008B03E2"/>
    <w:rsid w:val="008B05C5"/>
    <w:rsid w:val="008B0824"/>
    <w:rsid w:val="008B0EC4"/>
    <w:rsid w:val="008B410D"/>
    <w:rsid w:val="008B5E05"/>
    <w:rsid w:val="008B7345"/>
    <w:rsid w:val="008B7C63"/>
    <w:rsid w:val="008B7DAD"/>
    <w:rsid w:val="008C0007"/>
    <w:rsid w:val="008C0349"/>
    <w:rsid w:val="008C0FDD"/>
    <w:rsid w:val="008C104F"/>
    <w:rsid w:val="008C12EA"/>
    <w:rsid w:val="008C16F4"/>
    <w:rsid w:val="008C34FC"/>
    <w:rsid w:val="008C387F"/>
    <w:rsid w:val="008C44CE"/>
    <w:rsid w:val="008C4A0E"/>
    <w:rsid w:val="008C5288"/>
    <w:rsid w:val="008C59C7"/>
    <w:rsid w:val="008C5CCC"/>
    <w:rsid w:val="008C5F47"/>
    <w:rsid w:val="008C5FE6"/>
    <w:rsid w:val="008C6326"/>
    <w:rsid w:val="008C6530"/>
    <w:rsid w:val="008D00ED"/>
    <w:rsid w:val="008D0A63"/>
    <w:rsid w:val="008D2B29"/>
    <w:rsid w:val="008D2CB1"/>
    <w:rsid w:val="008D2F94"/>
    <w:rsid w:val="008D305C"/>
    <w:rsid w:val="008D34D5"/>
    <w:rsid w:val="008D3D28"/>
    <w:rsid w:val="008D48A5"/>
    <w:rsid w:val="008D4A67"/>
    <w:rsid w:val="008D4FBB"/>
    <w:rsid w:val="008D5339"/>
    <w:rsid w:val="008D6B16"/>
    <w:rsid w:val="008D724F"/>
    <w:rsid w:val="008D7A9D"/>
    <w:rsid w:val="008E0974"/>
    <w:rsid w:val="008E0EAE"/>
    <w:rsid w:val="008E1130"/>
    <w:rsid w:val="008E1B2C"/>
    <w:rsid w:val="008E2259"/>
    <w:rsid w:val="008E2502"/>
    <w:rsid w:val="008E2F09"/>
    <w:rsid w:val="008E36C4"/>
    <w:rsid w:val="008E3F72"/>
    <w:rsid w:val="008E431C"/>
    <w:rsid w:val="008E4B9D"/>
    <w:rsid w:val="008E4FE7"/>
    <w:rsid w:val="008E50E6"/>
    <w:rsid w:val="008E5547"/>
    <w:rsid w:val="008E5E69"/>
    <w:rsid w:val="008E6D54"/>
    <w:rsid w:val="008E6E39"/>
    <w:rsid w:val="008E7502"/>
    <w:rsid w:val="008E78E5"/>
    <w:rsid w:val="008E796B"/>
    <w:rsid w:val="008E7BEE"/>
    <w:rsid w:val="008F08A8"/>
    <w:rsid w:val="008F1998"/>
    <w:rsid w:val="008F22BF"/>
    <w:rsid w:val="008F4B9A"/>
    <w:rsid w:val="008F4D79"/>
    <w:rsid w:val="008F5DA9"/>
    <w:rsid w:val="008F686D"/>
    <w:rsid w:val="008F6892"/>
    <w:rsid w:val="008F6985"/>
    <w:rsid w:val="008F7066"/>
    <w:rsid w:val="008F77FD"/>
    <w:rsid w:val="008F7995"/>
    <w:rsid w:val="008F7E88"/>
    <w:rsid w:val="00900904"/>
    <w:rsid w:val="0090128F"/>
    <w:rsid w:val="00901C97"/>
    <w:rsid w:val="00902526"/>
    <w:rsid w:val="00903358"/>
    <w:rsid w:val="00903819"/>
    <w:rsid w:val="0090418D"/>
    <w:rsid w:val="00904ACB"/>
    <w:rsid w:val="00905120"/>
    <w:rsid w:val="0090513D"/>
    <w:rsid w:val="00905269"/>
    <w:rsid w:val="00905419"/>
    <w:rsid w:val="00905AD6"/>
    <w:rsid w:val="00905E82"/>
    <w:rsid w:val="00906027"/>
    <w:rsid w:val="009074E0"/>
    <w:rsid w:val="00907506"/>
    <w:rsid w:val="00907812"/>
    <w:rsid w:val="0090781A"/>
    <w:rsid w:val="0091002E"/>
    <w:rsid w:val="0091052A"/>
    <w:rsid w:val="00910F16"/>
    <w:rsid w:val="00911898"/>
    <w:rsid w:val="00911A93"/>
    <w:rsid w:val="00913861"/>
    <w:rsid w:val="009138E2"/>
    <w:rsid w:val="00913B86"/>
    <w:rsid w:val="009141E4"/>
    <w:rsid w:val="00914222"/>
    <w:rsid w:val="00914574"/>
    <w:rsid w:val="0091462C"/>
    <w:rsid w:val="00914B53"/>
    <w:rsid w:val="009156EF"/>
    <w:rsid w:val="00916008"/>
    <w:rsid w:val="00916343"/>
    <w:rsid w:val="00916766"/>
    <w:rsid w:val="00917A60"/>
    <w:rsid w:val="00920921"/>
    <w:rsid w:val="00920B77"/>
    <w:rsid w:val="00921364"/>
    <w:rsid w:val="00921983"/>
    <w:rsid w:val="00921A0C"/>
    <w:rsid w:val="00921D2A"/>
    <w:rsid w:val="0092258F"/>
    <w:rsid w:val="00922C91"/>
    <w:rsid w:val="00923889"/>
    <w:rsid w:val="00924A74"/>
    <w:rsid w:val="009251C8"/>
    <w:rsid w:val="00925C46"/>
    <w:rsid w:val="00926120"/>
    <w:rsid w:val="00926798"/>
    <w:rsid w:val="00927636"/>
    <w:rsid w:val="0092798F"/>
    <w:rsid w:val="00927D56"/>
    <w:rsid w:val="00927DBA"/>
    <w:rsid w:val="00930250"/>
    <w:rsid w:val="009304D1"/>
    <w:rsid w:val="00930E61"/>
    <w:rsid w:val="00931503"/>
    <w:rsid w:val="009319F8"/>
    <w:rsid w:val="00931EC4"/>
    <w:rsid w:val="009321ED"/>
    <w:rsid w:val="00932B66"/>
    <w:rsid w:val="009331B1"/>
    <w:rsid w:val="0093329B"/>
    <w:rsid w:val="00934410"/>
    <w:rsid w:val="009362E3"/>
    <w:rsid w:val="0093696D"/>
    <w:rsid w:val="0094121F"/>
    <w:rsid w:val="0094156E"/>
    <w:rsid w:val="00941CF5"/>
    <w:rsid w:val="00942786"/>
    <w:rsid w:val="0094398F"/>
    <w:rsid w:val="00943A9A"/>
    <w:rsid w:val="00945187"/>
    <w:rsid w:val="00945C2F"/>
    <w:rsid w:val="00946A15"/>
    <w:rsid w:val="00946C16"/>
    <w:rsid w:val="00947008"/>
    <w:rsid w:val="00947EBD"/>
    <w:rsid w:val="0095050F"/>
    <w:rsid w:val="00951B2D"/>
    <w:rsid w:val="00951CCB"/>
    <w:rsid w:val="009520B1"/>
    <w:rsid w:val="0095278B"/>
    <w:rsid w:val="0095481B"/>
    <w:rsid w:val="00954E42"/>
    <w:rsid w:val="00955C76"/>
    <w:rsid w:val="00955CA3"/>
    <w:rsid w:val="00956D16"/>
    <w:rsid w:val="00956E3F"/>
    <w:rsid w:val="0095754A"/>
    <w:rsid w:val="0095755B"/>
    <w:rsid w:val="009578E4"/>
    <w:rsid w:val="00960B5B"/>
    <w:rsid w:val="00961BB3"/>
    <w:rsid w:val="00961D12"/>
    <w:rsid w:val="00961E8D"/>
    <w:rsid w:val="009620AC"/>
    <w:rsid w:val="009630BF"/>
    <w:rsid w:val="009635EF"/>
    <w:rsid w:val="00963A3D"/>
    <w:rsid w:val="009655B2"/>
    <w:rsid w:val="00965B7D"/>
    <w:rsid w:val="00966792"/>
    <w:rsid w:val="00967456"/>
    <w:rsid w:val="00967869"/>
    <w:rsid w:val="0097036E"/>
    <w:rsid w:val="00970507"/>
    <w:rsid w:val="00970EA1"/>
    <w:rsid w:val="00971010"/>
    <w:rsid w:val="00971024"/>
    <w:rsid w:val="00971378"/>
    <w:rsid w:val="009714BD"/>
    <w:rsid w:val="00971DB8"/>
    <w:rsid w:val="00972779"/>
    <w:rsid w:val="00973011"/>
    <w:rsid w:val="0097330C"/>
    <w:rsid w:val="0097412F"/>
    <w:rsid w:val="00974980"/>
    <w:rsid w:val="009753FC"/>
    <w:rsid w:val="00975515"/>
    <w:rsid w:val="009762CF"/>
    <w:rsid w:val="00976EA2"/>
    <w:rsid w:val="00980E6E"/>
    <w:rsid w:val="00981CA5"/>
    <w:rsid w:val="00981CD9"/>
    <w:rsid w:val="00981E90"/>
    <w:rsid w:val="00982264"/>
    <w:rsid w:val="00982BDC"/>
    <w:rsid w:val="00983FB9"/>
    <w:rsid w:val="009848EF"/>
    <w:rsid w:val="00984918"/>
    <w:rsid w:val="009849C2"/>
    <w:rsid w:val="00984E84"/>
    <w:rsid w:val="0098514A"/>
    <w:rsid w:val="009852FA"/>
    <w:rsid w:val="00985362"/>
    <w:rsid w:val="00986835"/>
    <w:rsid w:val="00986BA4"/>
    <w:rsid w:val="00986D0F"/>
    <w:rsid w:val="0098734A"/>
    <w:rsid w:val="00987BE2"/>
    <w:rsid w:val="0099035E"/>
    <w:rsid w:val="009905FD"/>
    <w:rsid w:val="0099150E"/>
    <w:rsid w:val="00991AF9"/>
    <w:rsid w:val="00991B2B"/>
    <w:rsid w:val="0099300D"/>
    <w:rsid w:val="009935F3"/>
    <w:rsid w:val="0099367C"/>
    <w:rsid w:val="00993D53"/>
    <w:rsid w:val="00993E38"/>
    <w:rsid w:val="00993EAA"/>
    <w:rsid w:val="00993EBE"/>
    <w:rsid w:val="00994071"/>
    <w:rsid w:val="00994281"/>
    <w:rsid w:val="0099589F"/>
    <w:rsid w:val="00995D51"/>
    <w:rsid w:val="0099646A"/>
    <w:rsid w:val="00996BFB"/>
    <w:rsid w:val="00997813"/>
    <w:rsid w:val="009A109F"/>
    <w:rsid w:val="009A1109"/>
    <w:rsid w:val="009A2148"/>
    <w:rsid w:val="009A292E"/>
    <w:rsid w:val="009A46EE"/>
    <w:rsid w:val="009A61D6"/>
    <w:rsid w:val="009A6C1A"/>
    <w:rsid w:val="009A7C43"/>
    <w:rsid w:val="009A7E12"/>
    <w:rsid w:val="009A7E16"/>
    <w:rsid w:val="009B07AF"/>
    <w:rsid w:val="009B0B54"/>
    <w:rsid w:val="009B18A3"/>
    <w:rsid w:val="009B1D36"/>
    <w:rsid w:val="009B205B"/>
    <w:rsid w:val="009B22EC"/>
    <w:rsid w:val="009B2998"/>
    <w:rsid w:val="009B2A8B"/>
    <w:rsid w:val="009B2D99"/>
    <w:rsid w:val="009B3DDE"/>
    <w:rsid w:val="009B42EE"/>
    <w:rsid w:val="009B4BB3"/>
    <w:rsid w:val="009B5FC6"/>
    <w:rsid w:val="009B6694"/>
    <w:rsid w:val="009B6962"/>
    <w:rsid w:val="009B72F5"/>
    <w:rsid w:val="009C09C9"/>
    <w:rsid w:val="009C0E09"/>
    <w:rsid w:val="009C18B7"/>
    <w:rsid w:val="009C2142"/>
    <w:rsid w:val="009C2302"/>
    <w:rsid w:val="009C29A5"/>
    <w:rsid w:val="009C2D85"/>
    <w:rsid w:val="009C3869"/>
    <w:rsid w:val="009C3920"/>
    <w:rsid w:val="009C49E6"/>
    <w:rsid w:val="009C4A45"/>
    <w:rsid w:val="009C5A6A"/>
    <w:rsid w:val="009C6125"/>
    <w:rsid w:val="009C625D"/>
    <w:rsid w:val="009C6271"/>
    <w:rsid w:val="009C6EFB"/>
    <w:rsid w:val="009C751D"/>
    <w:rsid w:val="009C775F"/>
    <w:rsid w:val="009C7D0F"/>
    <w:rsid w:val="009D0DCE"/>
    <w:rsid w:val="009D2006"/>
    <w:rsid w:val="009D265B"/>
    <w:rsid w:val="009D2B7D"/>
    <w:rsid w:val="009D2FC3"/>
    <w:rsid w:val="009D3785"/>
    <w:rsid w:val="009D398D"/>
    <w:rsid w:val="009D4745"/>
    <w:rsid w:val="009D4BEE"/>
    <w:rsid w:val="009D65FB"/>
    <w:rsid w:val="009D6806"/>
    <w:rsid w:val="009D688D"/>
    <w:rsid w:val="009D705A"/>
    <w:rsid w:val="009E0BD0"/>
    <w:rsid w:val="009E13C3"/>
    <w:rsid w:val="009E232C"/>
    <w:rsid w:val="009E2504"/>
    <w:rsid w:val="009E2628"/>
    <w:rsid w:val="009E2C5D"/>
    <w:rsid w:val="009E3647"/>
    <w:rsid w:val="009E3B36"/>
    <w:rsid w:val="009E4E97"/>
    <w:rsid w:val="009E5BA7"/>
    <w:rsid w:val="009E6197"/>
    <w:rsid w:val="009E71FC"/>
    <w:rsid w:val="009E7870"/>
    <w:rsid w:val="009E7AB0"/>
    <w:rsid w:val="009E7C3A"/>
    <w:rsid w:val="009E7E64"/>
    <w:rsid w:val="009F1112"/>
    <w:rsid w:val="009F1F04"/>
    <w:rsid w:val="009F260A"/>
    <w:rsid w:val="009F30C8"/>
    <w:rsid w:val="009F3B64"/>
    <w:rsid w:val="009F41C3"/>
    <w:rsid w:val="009F5394"/>
    <w:rsid w:val="009F6A56"/>
    <w:rsid w:val="009F6CBE"/>
    <w:rsid w:val="009F6D66"/>
    <w:rsid w:val="009F7003"/>
    <w:rsid w:val="009F7889"/>
    <w:rsid w:val="009F7934"/>
    <w:rsid w:val="00A0004C"/>
    <w:rsid w:val="00A008BF"/>
    <w:rsid w:val="00A01437"/>
    <w:rsid w:val="00A0239E"/>
    <w:rsid w:val="00A0353A"/>
    <w:rsid w:val="00A03B5A"/>
    <w:rsid w:val="00A040EF"/>
    <w:rsid w:val="00A04694"/>
    <w:rsid w:val="00A04B9A"/>
    <w:rsid w:val="00A05461"/>
    <w:rsid w:val="00A055C1"/>
    <w:rsid w:val="00A05D17"/>
    <w:rsid w:val="00A05FF4"/>
    <w:rsid w:val="00A06044"/>
    <w:rsid w:val="00A06E2D"/>
    <w:rsid w:val="00A07169"/>
    <w:rsid w:val="00A07423"/>
    <w:rsid w:val="00A10619"/>
    <w:rsid w:val="00A133F1"/>
    <w:rsid w:val="00A13E3F"/>
    <w:rsid w:val="00A14049"/>
    <w:rsid w:val="00A14276"/>
    <w:rsid w:val="00A149FF"/>
    <w:rsid w:val="00A15C4D"/>
    <w:rsid w:val="00A16150"/>
    <w:rsid w:val="00A164FD"/>
    <w:rsid w:val="00A167B7"/>
    <w:rsid w:val="00A2018E"/>
    <w:rsid w:val="00A2028A"/>
    <w:rsid w:val="00A21218"/>
    <w:rsid w:val="00A2243F"/>
    <w:rsid w:val="00A225DC"/>
    <w:rsid w:val="00A23916"/>
    <w:rsid w:val="00A23EDF"/>
    <w:rsid w:val="00A2423A"/>
    <w:rsid w:val="00A244C6"/>
    <w:rsid w:val="00A24CAD"/>
    <w:rsid w:val="00A25F5A"/>
    <w:rsid w:val="00A267E4"/>
    <w:rsid w:val="00A27139"/>
    <w:rsid w:val="00A27783"/>
    <w:rsid w:val="00A3093F"/>
    <w:rsid w:val="00A31060"/>
    <w:rsid w:val="00A31114"/>
    <w:rsid w:val="00A31CAE"/>
    <w:rsid w:val="00A31CFE"/>
    <w:rsid w:val="00A31E9D"/>
    <w:rsid w:val="00A3264D"/>
    <w:rsid w:val="00A32EC6"/>
    <w:rsid w:val="00A32FB7"/>
    <w:rsid w:val="00A341F3"/>
    <w:rsid w:val="00A35F58"/>
    <w:rsid w:val="00A36A42"/>
    <w:rsid w:val="00A379D0"/>
    <w:rsid w:val="00A4004F"/>
    <w:rsid w:val="00A40B0C"/>
    <w:rsid w:val="00A40B69"/>
    <w:rsid w:val="00A4138A"/>
    <w:rsid w:val="00A41C14"/>
    <w:rsid w:val="00A41ECD"/>
    <w:rsid w:val="00A42ADC"/>
    <w:rsid w:val="00A431ED"/>
    <w:rsid w:val="00A439F6"/>
    <w:rsid w:val="00A43ECE"/>
    <w:rsid w:val="00A442BD"/>
    <w:rsid w:val="00A4430C"/>
    <w:rsid w:val="00A45430"/>
    <w:rsid w:val="00A4660D"/>
    <w:rsid w:val="00A473EB"/>
    <w:rsid w:val="00A47485"/>
    <w:rsid w:val="00A5060D"/>
    <w:rsid w:val="00A50D71"/>
    <w:rsid w:val="00A51BEC"/>
    <w:rsid w:val="00A5234C"/>
    <w:rsid w:val="00A52ACC"/>
    <w:rsid w:val="00A53497"/>
    <w:rsid w:val="00A53F95"/>
    <w:rsid w:val="00A53FCC"/>
    <w:rsid w:val="00A54070"/>
    <w:rsid w:val="00A54148"/>
    <w:rsid w:val="00A543CE"/>
    <w:rsid w:val="00A54448"/>
    <w:rsid w:val="00A54475"/>
    <w:rsid w:val="00A55967"/>
    <w:rsid w:val="00A55B06"/>
    <w:rsid w:val="00A56850"/>
    <w:rsid w:val="00A609C8"/>
    <w:rsid w:val="00A60C75"/>
    <w:rsid w:val="00A611CE"/>
    <w:rsid w:val="00A61338"/>
    <w:rsid w:val="00A629A4"/>
    <w:rsid w:val="00A62BF4"/>
    <w:rsid w:val="00A62FC9"/>
    <w:rsid w:val="00A63B6C"/>
    <w:rsid w:val="00A648AE"/>
    <w:rsid w:val="00A64BC9"/>
    <w:rsid w:val="00A658C2"/>
    <w:rsid w:val="00A675F7"/>
    <w:rsid w:val="00A67F5D"/>
    <w:rsid w:val="00A70FAD"/>
    <w:rsid w:val="00A71604"/>
    <w:rsid w:val="00A7289F"/>
    <w:rsid w:val="00A72A2F"/>
    <w:rsid w:val="00A741DC"/>
    <w:rsid w:val="00A7460D"/>
    <w:rsid w:val="00A74DC9"/>
    <w:rsid w:val="00A76408"/>
    <w:rsid w:val="00A76444"/>
    <w:rsid w:val="00A76880"/>
    <w:rsid w:val="00A77061"/>
    <w:rsid w:val="00A81883"/>
    <w:rsid w:val="00A8204D"/>
    <w:rsid w:val="00A8245A"/>
    <w:rsid w:val="00A82C7C"/>
    <w:rsid w:val="00A82CE6"/>
    <w:rsid w:val="00A82D07"/>
    <w:rsid w:val="00A8300D"/>
    <w:rsid w:val="00A836DB"/>
    <w:rsid w:val="00A83A1F"/>
    <w:rsid w:val="00A83EAD"/>
    <w:rsid w:val="00A84955"/>
    <w:rsid w:val="00A851D0"/>
    <w:rsid w:val="00A853D4"/>
    <w:rsid w:val="00A856B3"/>
    <w:rsid w:val="00A869D9"/>
    <w:rsid w:val="00A8704B"/>
    <w:rsid w:val="00A8757D"/>
    <w:rsid w:val="00A9028C"/>
    <w:rsid w:val="00A9048D"/>
    <w:rsid w:val="00A904CE"/>
    <w:rsid w:val="00A904D2"/>
    <w:rsid w:val="00A90D6E"/>
    <w:rsid w:val="00A90F6F"/>
    <w:rsid w:val="00A918E3"/>
    <w:rsid w:val="00A91FCD"/>
    <w:rsid w:val="00A922CA"/>
    <w:rsid w:val="00A92EF1"/>
    <w:rsid w:val="00A9438D"/>
    <w:rsid w:val="00A9519D"/>
    <w:rsid w:val="00A9584A"/>
    <w:rsid w:val="00A96DD7"/>
    <w:rsid w:val="00A9734F"/>
    <w:rsid w:val="00A97967"/>
    <w:rsid w:val="00A97D7D"/>
    <w:rsid w:val="00AA136E"/>
    <w:rsid w:val="00AA228C"/>
    <w:rsid w:val="00AA2304"/>
    <w:rsid w:val="00AA2EAF"/>
    <w:rsid w:val="00AA2F84"/>
    <w:rsid w:val="00AA37F6"/>
    <w:rsid w:val="00AA3948"/>
    <w:rsid w:val="00AA3CD8"/>
    <w:rsid w:val="00AA400E"/>
    <w:rsid w:val="00AA40F3"/>
    <w:rsid w:val="00AA492F"/>
    <w:rsid w:val="00AA4FC9"/>
    <w:rsid w:val="00AA5F73"/>
    <w:rsid w:val="00AA619A"/>
    <w:rsid w:val="00AA69ED"/>
    <w:rsid w:val="00AA72EF"/>
    <w:rsid w:val="00AA7582"/>
    <w:rsid w:val="00AB02F1"/>
    <w:rsid w:val="00AB13C3"/>
    <w:rsid w:val="00AB1462"/>
    <w:rsid w:val="00AB271D"/>
    <w:rsid w:val="00AB30C7"/>
    <w:rsid w:val="00AB493A"/>
    <w:rsid w:val="00AB7060"/>
    <w:rsid w:val="00AB7176"/>
    <w:rsid w:val="00AB7C47"/>
    <w:rsid w:val="00AC0B1D"/>
    <w:rsid w:val="00AC10B1"/>
    <w:rsid w:val="00AC150B"/>
    <w:rsid w:val="00AC1DB2"/>
    <w:rsid w:val="00AC22D5"/>
    <w:rsid w:val="00AC2B73"/>
    <w:rsid w:val="00AC389F"/>
    <w:rsid w:val="00AC3C0F"/>
    <w:rsid w:val="00AC3E9C"/>
    <w:rsid w:val="00AC402A"/>
    <w:rsid w:val="00AC4044"/>
    <w:rsid w:val="00AC460A"/>
    <w:rsid w:val="00AC4DFF"/>
    <w:rsid w:val="00AC5141"/>
    <w:rsid w:val="00AC559D"/>
    <w:rsid w:val="00AC62CE"/>
    <w:rsid w:val="00AC69AA"/>
    <w:rsid w:val="00AC72F2"/>
    <w:rsid w:val="00AC75D1"/>
    <w:rsid w:val="00AD0948"/>
    <w:rsid w:val="00AD0C8A"/>
    <w:rsid w:val="00AD1491"/>
    <w:rsid w:val="00AD1D8C"/>
    <w:rsid w:val="00AD1F78"/>
    <w:rsid w:val="00AD2662"/>
    <w:rsid w:val="00AD3A57"/>
    <w:rsid w:val="00AD4B55"/>
    <w:rsid w:val="00AD4E16"/>
    <w:rsid w:val="00AD6166"/>
    <w:rsid w:val="00AD61F9"/>
    <w:rsid w:val="00AD67A9"/>
    <w:rsid w:val="00AD6C7F"/>
    <w:rsid w:val="00AE0522"/>
    <w:rsid w:val="00AE16EC"/>
    <w:rsid w:val="00AE1F77"/>
    <w:rsid w:val="00AE248A"/>
    <w:rsid w:val="00AE3072"/>
    <w:rsid w:val="00AE3BF7"/>
    <w:rsid w:val="00AE4142"/>
    <w:rsid w:val="00AE4415"/>
    <w:rsid w:val="00AE458A"/>
    <w:rsid w:val="00AE4D6D"/>
    <w:rsid w:val="00AE4DF8"/>
    <w:rsid w:val="00AE4FE6"/>
    <w:rsid w:val="00AE63AE"/>
    <w:rsid w:val="00AE6937"/>
    <w:rsid w:val="00AE7048"/>
    <w:rsid w:val="00AE70AC"/>
    <w:rsid w:val="00AE7922"/>
    <w:rsid w:val="00AE7B17"/>
    <w:rsid w:val="00AE7FE8"/>
    <w:rsid w:val="00AF02DB"/>
    <w:rsid w:val="00AF03FB"/>
    <w:rsid w:val="00AF2775"/>
    <w:rsid w:val="00AF2962"/>
    <w:rsid w:val="00AF2E7F"/>
    <w:rsid w:val="00AF30FE"/>
    <w:rsid w:val="00AF3206"/>
    <w:rsid w:val="00AF3AB8"/>
    <w:rsid w:val="00AF3D45"/>
    <w:rsid w:val="00AF3EE9"/>
    <w:rsid w:val="00AF4D73"/>
    <w:rsid w:val="00AF52AF"/>
    <w:rsid w:val="00AF5A7A"/>
    <w:rsid w:val="00AF6107"/>
    <w:rsid w:val="00AF6164"/>
    <w:rsid w:val="00AF6512"/>
    <w:rsid w:val="00AF662F"/>
    <w:rsid w:val="00AF6874"/>
    <w:rsid w:val="00B00319"/>
    <w:rsid w:val="00B007DE"/>
    <w:rsid w:val="00B01500"/>
    <w:rsid w:val="00B016C6"/>
    <w:rsid w:val="00B020A9"/>
    <w:rsid w:val="00B023CB"/>
    <w:rsid w:val="00B02A70"/>
    <w:rsid w:val="00B02C38"/>
    <w:rsid w:val="00B03181"/>
    <w:rsid w:val="00B032EC"/>
    <w:rsid w:val="00B0551E"/>
    <w:rsid w:val="00B05540"/>
    <w:rsid w:val="00B06C9C"/>
    <w:rsid w:val="00B07650"/>
    <w:rsid w:val="00B10272"/>
    <w:rsid w:val="00B10357"/>
    <w:rsid w:val="00B10C56"/>
    <w:rsid w:val="00B10C72"/>
    <w:rsid w:val="00B10D00"/>
    <w:rsid w:val="00B10DC2"/>
    <w:rsid w:val="00B112AC"/>
    <w:rsid w:val="00B11C26"/>
    <w:rsid w:val="00B11ED9"/>
    <w:rsid w:val="00B124A1"/>
    <w:rsid w:val="00B12C4B"/>
    <w:rsid w:val="00B133FF"/>
    <w:rsid w:val="00B144E2"/>
    <w:rsid w:val="00B14B38"/>
    <w:rsid w:val="00B15341"/>
    <w:rsid w:val="00B15501"/>
    <w:rsid w:val="00B16FC8"/>
    <w:rsid w:val="00B17E7D"/>
    <w:rsid w:val="00B17F65"/>
    <w:rsid w:val="00B20285"/>
    <w:rsid w:val="00B202D1"/>
    <w:rsid w:val="00B20F7B"/>
    <w:rsid w:val="00B21392"/>
    <w:rsid w:val="00B2289F"/>
    <w:rsid w:val="00B23BE0"/>
    <w:rsid w:val="00B24237"/>
    <w:rsid w:val="00B242AF"/>
    <w:rsid w:val="00B24548"/>
    <w:rsid w:val="00B24968"/>
    <w:rsid w:val="00B25183"/>
    <w:rsid w:val="00B26086"/>
    <w:rsid w:val="00B2687E"/>
    <w:rsid w:val="00B26D3F"/>
    <w:rsid w:val="00B26E2C"/>
    <w:rsid w:val="00B26ECF"/>
    <w:rsid w:val="00B271E4"/>
    <w:rsid w:val="00B27BD4"/>
    <w:rsid w:val="00B27E7E"/>
    <w:rsid w:val="00B301EB"/>
    <w:rsid w:val="00B30523"/>
    <w:rsid w:val="00B305F9"/>
    <w:rsid w:val="00B307CB"/>
    <w:rsid w:val="00B30AA5"/>
    <w:rsid w:val="00B30B52"/>
    <w:rsid w:val="00B30E68"/>
    <w:rsid w:val="00B30FAC"/>
    <w:rsid w:val="00B31094"/>
    <w:rsid w:val="00B3130A"/>
    <w:rsid w:val="00B3151A"/>
    <w:rsid w:val="00B31C33"/>
    <w:rsid w:val="00B31F51"/>
    <w:rsid w:val="00B31FB5"/>
    <w:rsid w:val="00B320CB"/>
    <w:rsid w:val="00B3250A"/>
    <w:rsid w:val="00B342A6"/>
    <w:rsid w:val="00B344E2"/>
    <w:rsid w:val="00B3503E"/>
    <w:rsid w:val="00B3508A"/>
    <w:rsid w:val="00B362D5"/>
    <w:rsid w:val="00B36559"/>
    <w:rsid w:val="00B36774"/>
    <w:rsid w:val="00B3686C"/>
    <w:rsid w:val="00B36FB1"/>
    <w:rsid w:val="00B3752D"/>
    <w:rsid w:val="00B375ED"/>
    <w:rsid w:val="00B401B5"/>
    <w:rsid w:val="00B4042D"/>
    <w:rsid w:val="00B416C4"/>
    <w:rsid w:val="00B4176C"/>
    <w:rsid w:val="00B42AE8"/>
    <w:rsid w:val="00B42F47"/>
    <w:rsid w:val="00B431E5"/>
    <w:rsid w:val="00B43567"/>
    <w:rsid w:val="00B4371A"/>
    <w:rsid w:val="00B43AD6"/>
    <w:rsid w:val="00B44530"/>
    <w:rsid w:val="00B44A85"/>
    <w:rsid w:val="00B459F9"/>
    <w:rsid w:val="00B4624E"/>
    <w:rsid w:val="00B4707E"/>
    <w:rsid w:val="00B47991"/>
    <w:rsid w:val="00B47A1D"/>
    <w:rsid w:val="00B47BAF"/>
    <w:rsid w:val="00B5060A"/>
    <w:rsid w:val="00B506BD"/>
    <w:rsid w:val="00B508A8"/>
    <w:rsid w:val="00B51645"/>
    <w:rsid w:val="00B521E0"/>
    <w:rsid w:val="00B52583"/>
    <w:rsid w:val="00B53881"/>
    <w:rsid w:val="00B55CFE"/>
    <w:rsid w:val="00B566DD"/>
    <w:rsid w:val="00B569DD"/>
    <w:rsid w:val="00B56ABA"/>
    <w:rsid w:val="00B572D9"/>
    <w:rsid w:val="00B60182"/>
    <w:rsid w:val="00B605F8"/>
    <w:rsid w:val="00B60694"/>
    <w:rsid w:val="00B610BA"/>
    <w:rsid w:val="00B613C0"/>
    <w:rsid w:val="00B61890"/>
    <w:rsid w:val="00B619BE"/>
    <w:rsid w:val="00B62ECE"/>
    <w:rsid w:val="00B64A17"/>
    <w:rsid w:val="00B65A44"/>
    <w:rsid w:val="00B65A76"/>
    <w:rsid w:val="00B65BDF"/>
    <w:rsid w:val="00B65F6D"/>
    <w:rsid w:val="00B65F7A"/>
    <w:rsid w:val="00B65FD7"/>
    <w:rsid w:val="00B6637E"/>
    <w:rsid w:val="00B666F9"/>
    <w:rsid w:val="00B66817"/>
    <w:rsid w:val="00B677F5"/>
    <w:rsid w:val="00B67BB7"/>
    <w:rsid w:val="00B70576"/>
    <w:rsid w:val="00B705A3"/>
    <w:rsid w:val="00B727C7"/>
    <w:rsid w:val="00B72D19"/>
    <w:rsid w:val="00B72FA6"/>
    <w:rsid w:val="00B732B3"/>
    <w:rsid w:val="00B73555"/>
    <w:rsid w:val="00B74C50"/>
    <w:rsid w:val="00B75D67"/>
    <w:rsid w:val="00B76785"/>
    <w:rsid w:val="00B77E4C"/>
    <w:rsid w:val="00B80289"/>
    <w:rsid w:val="00B805EC"/>
    <w:rsid w:val="00B80961"/>
    <w:rsid w:val="00B816E3"/>
    <w:rsid w:val="00B8187E"/>
    <w:rsid w:val="00B81C70"/>
    <w:rsid w:val="00B82057"/>
    <w:rsid w:val="00B82455"/>
    <w:rsid w:val="00B8292B"/>
    <w:rsid w:val="00B82BEF"/>
    <w:rsid w:val="00B82CF2"/>
    <w:rsid w:val="00B82F0C"/>
    <w:rsid w:val="00B83F21"/>
    <w:rsid w:val="00B84DD3"/>
    <w:rsid w:val="00B8542C"/>
    <w:rsid w:val="00B85604"/>
    <w:rsid w:val="00B85E16"/>
    <w:rsid w:val="00B86738"/>
    <w:rsid w:val="00B87402"/>
    <w:rsid w:val="00B90343"/>
    <w:rsid w:val="00B90D65"/>
    <w:rsid w:val="00B90F9E"/>
    <w:rsid w:val="00B9186E"/>
    <w:rsid w:val="00B91976"/>
    <w:rsid w:val="00B91A3D"/>
    <w:rsid w:val="00B92360"/>
    <w:rsid w:val="00B9288C"/>
    <w:rsid w:val="00B92894"/>
    <w:rsid w:val="00B93625"/>
    <w:rsid w:val="00B93E8E"/>
    <w:rsid w:val="00B949EC"/>
    <w:rsid w:val="00B950F0"/>
    <w:rsid w:val="00B95AE2"/>
    <w:rsid w:val="00B95CFA"/>
    <w:rsid w:val="00B95F03"/>
    <w:rsid w:val="00B96C7E"/>
    <w:rsid w:val="00B974A0"/>
    <w:rsid w:val="00BA230C"/>
    <w:rsid w:val="00BA2EAA"/>
    <w:rsid w:val="00BA34B7"/>
    <w:rsid w:val="00BA34DA"/>
    <w:rsid w:val="00BA35F1"/>
    <w:rsid w:val="00BA46CA"/>
    <w:rsid w:val="00BA5302"/>
    <w:rsid w:val="00BA5821"/>
    <w:rsid w:val="00BA7627"/>
    <w:rsid w:val="00BA7658"/>
    <w:rsid w:val="00BA7B03"/>
    <w:rsid w:val="00BB02BC"/>
    <w:rsid w:val="00BB0B31"/>
    <w:rsid w:val="00BB0EEB"/>
    <w:rsid w:val="00BB1081"/>
    <w:rsid w:val="00BB1291"/>
    <w:rsid w:val="00BB17AA"/>
    <w:rsid w:val="00BB2B3D"/>
    <w:rsid w:val="00BB3B00"/>
    <w:rsid w:val="00BB3FDD"/>
    <w:rsid w:val="00BB468F"/>
    <w:rsid w:val="00BB58D5"/>
    <w:rsid w:val="00BB5BF2"/>
    <w:rsid w:val="00BB5E2F"/>
    <w:rsid w:val="00BB5ED9"/>
    <w:rsid w:val="00BB65B6"/>
    <w:rsid w:val="00BB67B7"/>
    <w:rsid w:val="00BB6D6D"/>
    <w:rsid w:val="00BB71CC"/>
    <w:rsid w:val="00BB789D"/>
    <w:rsid w:val="00BB79B3"/>
    <w:rsid w:val="00BC020C"/>
    <w:rsid w:val="00BC0A59"/>
    <w:rsid w:val="00BC0D72"/>
    <w:rsid w:val="00BC0DF4"/>
    <w:rsid w:val="00BC1147"/>
    <w:rsid w:val="00BC4467"/>
    <w:rsid w:val="00BC4BA0"/>
    <w:rsid w:val="00BC50CB"/>
    <w:rsid w:val="00BC569B"/>
    <w:rsid w:val="00BC59AA"/>
    <w:rsid w:val="00BC6ABF"/>
    <w:rsid w:val="00BC7B21"/>
    <w:rsid w:val="00BC7BA6"/>
    <w:rsid w:val="00BC7BB3"/>
    <w:rsid w:val="00BD04D5"/>
    <w:rsid w:val="00BD0BAB"/>
    <w:rsid w:val="00BD1853"/>
    <w:rsid w:val="00BD1857"/>
    <w:rsid w:val="00BD28F8"/>
    <w:rsid w:val="00BD295B"/>
    <w:rsid w:val="00BD2994"/>
    <w:rsid w:val="00BD3A1B"/>
    <w:rsid w:val="00BD3E33"/>
    <w:rsid w:val="00BD3FE5"/>
    <w:rsid w:val="00BD4044"/>
    <w:rsid w:val="00BD4943"/>
    <w:rsid w:val="00BD615D"/>
    <w:rsid w:val="00BD7063"/>
    <w:rsid w:val="00BD7268"/>
    <w:rsid w:val="00BD7270"/>
    <w:rsid w:val="00BD7D82"/>
    <w:rsid w:val="00BE070E"/>
    <w:rsid w:val="00BE0D02"/>
    <w:rsid w:val="00BE19BC"/>
    <w:rsid w:val="00BE1D05"/>
    <w:rsid w:val="00BE1E31"/>
    <w:rsid w:val="00BE1E47"/>
    <w:rsid w:val="00BE2598"/>
    <w:rsid w:val="00BE29E4"/>
    <w:rsid w:val="00BE2F33"/>
    <w:rsid w:val="00BE2F3E"/>
    <w:rsid w:val="00BE3C4B"/>
    <w:rsid w:val="00BE3CEA"/>
    <w:rsid w:val="00BE4E62"/>
    <w:rsid w:val="00BE4FEB"/>
    <w:rsid w:val="00BE5495"/>
    <w:rsid w:val="00BE63D1"/>
    <w:rsid w:val="00BE6C4E"/>
    <w:rsid w:val="00BE6CBF"/>
    <w:rsid w:val="00BE759D"/>
    <w:rsid w:val="00BF0645"/>
    <w:rsid w:val="00BF08EB"/>
    <w:rsid w:val="00BF0C47"/>
    <w:rsid w:val="00BF1741"/>
    <w:rsid w:val="00BF2275"/>
    <w:rsid w:val="00BF2B26"/>
    <w:rsid w:val="00BF42E9"/>
    <w:rsid w:val="00BF4698"/>
    <w:rsid w:val="00BF59FF"/>
    <w:rsid w:val="00BF6934"/>
    <w:rsid w:val="00BF6A3A"/>
    <w:rsid w:val="00BF6A4C"/>
    <w:rsid w:val="00BF6FAC"/>
    <w:rsid w:val="00BF7692"/>
    <w:rsid w:val="00BF7F05"/>
    <w:rsid w:val="00C0053C"/>
    <w:rsid w:val="00C00626"/>
    <w:rsid w:val="00C01623"/>
    <w:rsid w:val="00C01E94"/>
    <w:rsid w:val="00C02011"/>
    <w:rsid w:val="00C0231A"/>
    <w:rsid w:val="00C02519"/>
    <w:rsid w:val="00C025E6"/>
    <w:rsid w:val="00C03109"/>
    <w:rsid w:val="00C036D0"/>
    <w:rsid w:val="00C037C7"/>
    <w:rsid w:val="00C04121"/>
    <w:rsid w:val="00C04227"/>
    <w:rsid w:val="00C04957"/>
    <w:rsid w:val="00C05DC6"/>
    <w:rsid w:val="00C069FB"/>
    <w:rsid w:val="00C06BEA"/>
    <w:rsid w:val="00C06D98"/>
    <w:rsid w:val="00C07759"/>
    <w:rsid w:val="00C07F76"/>
    <w:rsid w:val="00C1071A"/>
    <w:rsid w:val="00C10A48"/>
    <w:rsid w:val="00C11E5F"/>
    <w:rsid w:val="00C12481"/>
    <w:rsid w:val="00C12801"/>
    <w:rsid w:val="00C12C08"/>
    <w:rsid w:val="00C12D7D"/>
    <w:rsid w:val="00C13991"/>
    <w:rsid w:val="00C13C05"/>
    <w:rsid w:val="00C13C10"/>
    <w:rsid w:val="00C13E31"/>
    <w:rsid w:val="00C1459C"/>
    <w:rsid w:val="00C14CFE"/>
    <w:rsid w:val="00C1613F"/>
    <w:rsid w:val="00C1672A"/>
    <w:rsid w:val="00C16AB8"/>
    <w:rsid w:val="00C1753A"/>
    <w:rsid w:val="00C20464"/>
    <w:rsid w:val="00C204A5"/>
    <w:rsid w:val="00C21592"/>
    <w:rsid w:val="00C218B2"/>
    <w:rsid w:val="00C21C39"/>
    <w:rsid w:val="00C21E64"/>
    <w:rsid w:val="00C2205A"/>
    <w:rsid w:val="00C2298A"/>
    <w:rsid w:val="00C22C52"/>
    <w:rsid w:val="00C23116"/>
    <w:rsid w:val="00C235C9"/>
    <w:rsid w:val="00C23A0C"/>
    <w:rsid w:val="00C23EDD"/>
    <w:rsid w:val="00C241DA"/>
    <w:rsid w:val="00C24500"/>
    <w:rsid w:val="00C25738"/>
    <w:rsid w:val="00C25750"/>
    <w:rsid w:val="00C25C6B"/>
    <w:rsid w:val="00C25E18"/>
    <w:rsid w:val="00C25F07"/>
    <w:rsid w:val="00C2660B"/>
    <w:rsid w:val="00C2665E"/>
    <w:rsid w:val="00C27369"/>
    <w:rsid w:val="00C30134"/>
    <w:rsid w:val="00C30150"/>
    <w:rsid w:val="00C3048D"/>
    <w:rsid w:val="00C30877"/>
    <w:rsid w:val="00C32D8D"/>
    <w:rsid w:val="00C32ED2"/>
    <w:rsid w:val="00C33889"/>
    <w:rsid w:val="00C33BE9"/>
    <w:rsid w:val="00C33E4A"/>
    <w:rsid w:val="00C34153"/>
    <w:rsid w:val="00C343BD"/>
    <w:rsid w:val="00C344E5"/>
    <w:rsid w:val="00C34D6E"/>
    <w:rsid w:val="00C3528F"/>
    <w:rsid w:val="00C35ED3"/>
    <w:rsid w:val="00C37BF1"/>
    <w:rsid w:val="00C41220"/>
    <w:rsid w:val="00C412CE"/>
    <w:rsid w:val="00C4239E"/>
    <w:rsid w:val="00C42710"/>
    <w:rsid w:val="00C42CA6"/>
    <w:rsid w:val="00C42F0C"/>
    <w:rsid w:val="00C44B0A"/>
    <w:rsid w:val="00C44F96"/>
    <w:rsid w:val="00C45108"/>
    <w:rsid w:val="00C45D9E"/>
    <w:rsid w:val="00C4620C"/>
    <w:rsid w:val="00C46651"/>
    <w:rsid w:val="00C46A0C"/>
    <w:rsid w:val="00C47E20"/>
    <w:rsid w:val="00C50552"/>
    <w:rsid w:val="00C513E5"/>
    <w:rsid w:val="00C51FFF"/>
    <w:rsid w:val="00C523C3"/>
    <w:rsid w:val="00C52BFA"/>
    <w:rsid w:val="00C52DD2"/>
    <w:rsid w:val="00C53055"/>
    <w:rsid w:val="00C53177"/>
    <w:rsid w:val="00C531FE"/>
    <w:rsid w:val="00C5377F"/>
    <w:rsid w:val="00C54D60"/>
    <w:rsid w:val="00C54F09"/>
    <w:rsid w:val="00C55201"/>
    <w:rsid w:val="00C5546E"/>
    <w:rsid w:val="00C554BA"/>
    <w:rsid w:val="00C554FA"/>
    <w:rsid w:val="00C55680"/>
    <w:rsid w:val="00C55E17"/>
    <w:rsid w:val="00C57A32"/>
    <w:rsid w:val="00C57E37"/>
    <w:rsid w:val="00C604A1"/>
    <w:rsid w:val="00C61162"/>
    <w:rsid w:val="00C6147C"/>
    <w:rsid w:val="00C62D65"/>
    <w:rsid w:val="00C63248"/>
    <w:rsid w:val="00C63632"/>
    <w:rsid w:val="00C63854"/>
    <w:rsid w:val="00C63D24"/>
    <w:rsid w:val="00C64566"/>
    <w:rsid w:val="00C646F2"/>
    <w:rsid w:val="00C6495F"/>
    <w:rsid w:val="00C64F3C"/>
    <w:rsid w:val="00C66225"/>
    <w:rsid w:val="00C66563"/>
    <w:rsid w:val="00C66BA0"/>
    <w:rsid w:val="00C66D1D"/>
    <w:rsid w:val="00C66D5D"/>
    <w:rsid w:val="00C6709D"/>
    <w:rsid w:val="00C675C9"/>
    <w:rsid w:val="00C717E3"/>
    <w:rsid w:val="00C72084"/>
    <w:rsid w:val="00C72C1C"/>
    <w:rsid w:val="00C72E42"/>
    <w:rsid w:val="00C73327"/>
    <w:rsid w:val="00C739BF"/>
    <w:rsid w:val="00C74275"/>
    <w:rsid w:val="00C74CEA"/>
    <w:rsid w:val="00C75370"/>
    <w:rsid w:val="00C7550B"/>
    <w:rsid w:val="00C75778"/>
    <w:rsid w:val="00C75D94"/>
    <w:rsid w:val="00C76296"/>
    <w:rsid w:val="00C76303"/>
    <w:rsid w:val="00C76947"/>
    <w:rsid w:val="00C77E9A"/>
    <w:rsid w:val="00C80285"/>
    <w:rsid w:val="00C80DE3"/>
    <w:rsid w:val="00C80F01"/>
    <w:rsid w:val="00C8170D"/>
    <w:rsid w:val="00C81948"/>
    <w:rsid w:val="00C819DF"/>
    <w:rsid w:val="00C81D7E"/>
    <w:rsid w:val="00C8296E"/>
    <w:rsid w:val="00C82D1B"/>
    <w:rsid w:val="00C83E11"/>
    <w:rsid w:val="00C84418"/>
    <w:rsid w:val="00C84737"/>
    <w:rsid w:val="00C84B89"/>
    <w:rsid w:val="00C84EAC"/>
    <w:rsid w:val="00C85A3A"/>
    <w:rsid w:val="00C85CE4"/>
    <w:rsid w:val="00C8689C"/>
    <w:rsid w:val="00C86CC1"/>
    <w:rsid w:val="00C86E77"/>
    <w:rsid w:val="00C8711E"/>
    <w:rsid w:val="00C877BF"/>
    <w:rsid w:val="00C900EA"/>
    <w:rsid w:val="00C91A81"/>
    <w:rsid w:val="00C91E59"/>
    <w:rsid w:val="00C9206E"/>
    <w:rsid w:val="00C92702"/>
    <w:rsid w:val="00C92947"/>
    <w:rsid w:val="00C94892"/>
    <w:rsid w:val="00C948D1"/>
    <w:rsid w:val="00C94E8B"/>
    <w:rsid w:val="00C95170"/>
    <w:rsid w:val="00C9590D"/>
    <w:rsid w:val="00C961F6"/>
    <w:rsid w:val="00C96AC5"/>
    <w:rsid w:val="00C96F49"/>
    <w:rsid w:val="00C970AF"/>
    <w:rsid w:val="00C973C7"/>
    <w:rsid w:val="00C975B6"/>
    <w:rsid w:val="00C97981"/>
    <w:rsid w:val="00C97E3C"/>
    <w:rsid w:val="00C97EF1"/>
    <w:rsid w:val="00CA0969"/>
    <w:rsid w:val="00CA09BF"/>
    <w:rsid w:val="00CA22E1"/>
    <w:rsid w:val="00CA2BF7"/>
    <w:rsid w:val="00CA2E03"/>
    <w:rsid w:val="00CA3561"/>
    <w:rsid w:val="00CA3876"/>
    <w:rsid w:val="00CA48A5"/>
    <w:rsid w:val="00CA504A"/>
    <w:rsid w:val="00CA55A2"/>
    <w:rsid w:val="00CA598A"/>
    <w:rsid w:val="00CA5B7C"/>
    <w:rsid w:val="00CA5E19"/>
    <w:rsid w:val="00CA6779"/>
    <w:rsid w:val="00CA6CB9"/>
    <w:rsid w:val="00CA6DFD"/>
    <w:rsid w:val="00CA729D"/>
    <w:rsid w:val="00CB0F8B"/>
    <w:rsid w:val="00CB102D"/>
    <w:rsid w:val="00CB1701"/>
    <w:rsid w:val="00CB173F"/>
    <w:rsid w:val="00CB2F89"/>
    <w:rsid w:val="00CB4635"/>
    <w:rsid w:val="00CB6405"/>
    <w:rsid w:val="00CB733D"/>
    <w:rsid w:val="00CB7416"/>
    <w:rsid w:val="00CC03A9"/>
    <w:rsid w:val="00CC142C"/>
    <w:rsid w:val="00CC173E"/>
    <w:rsid w:val="00CC1775"/>
    <w:rsid w:val="00CC1933"/>
    <w:rsid w:val="00CC2414"/>
    <w:rsid w:val="00CC2682"/>
    <w:rsid w:val="00CC2959"/>
    <w:rsid w:val="00CC2986"/>
    <w:rsid w:val="00CC3D8A"/>
    <w:rsid w:val="00CC3DC9"/>
    <w:rsid w:val="00CC3E33"/>
    <w:rsid w:val="00CC4731"/>
    <w:rsid w:val="00CC61F4"/>
    <w:rsid w:val="00CC651D"/>
    <w:rsid w:val="00CC655C"/>
    <w:rsid w:val="00CC65AC"/>
    <w:rsid w:val="00CD07E2"/>
    <w:rsid w:val="00CD1AEF"/>
    <w:rsid w:val="00CD28C6"/>
    <w:rsid w:val="00CD4247"/>
    <w:rsid w:val="00CD4254"/>
    <w:rsid w:val="00CD4631"/>
    <w:rsid w:val="00CD6073"/>
    <w:rsid w:val="00CD6192"/>
    <w:rsid w:val="00CD6BD0"/>
    <w:rsid w:val="00CD73CF"/>
    <w:rsid w:val="00CD778C"/>
    <w:rsid w:val="00CE0159"/>
    <w:rsid w:val="00CE0358"/>
    <w:rsid w:val="00CE03A6"/>
    <w:rsid w:val="00CE0853"/>
    <w:rsid w:val="00CE092D"/>
    <w:rsid w:val="00CE0C53"/>
    <w:rsid w:val="00CE0CAA"/>
    <w:rsid w:val="00CE111B"/>
    <w:rsid w:val="00CE2810"/>
    <w:rsid w:val="00CE29DC"/>
    <w:rsid w:val="00CE3ADA"/>
    <w:rsid w:val="00CE3DBD"/>
    <w:rsid w:val="00CE5E19"/>
    <w:rsid w:val="00CE6306"/>
    <w:rsid w:val="00CE6844"/>
    <w:rsid w:val="00CE6917"/>
    <w:rsid w:val="00CE6EAF"/>
    <w:rsid w:val="00CE7CCB"/>
    <w:rsid w:val="00CF0281"/>
    <w:rsid w:val="00CF0ABD"/>
    <w:rsid w:val="00CF0D5C"/>
    <w:rsid w:val="00CF11A7"/>
    <w:rsid w:val="00CF169C"/>
    <w:rsid w:val="00CF19F9"/>
    <w:rsid w:val="00CF1A60"/>
    <w:rsid w:val="00CF2D8A"/>
    <w:rsid w:val="00CF3678"/>
    <w:rsid w:val="00CF38E1"/>
    <w:rsid w:val="00CF40EC"/>
    <w:rsid w:val="00CF569D"/>
    <w:rsid w:val="00CF58FA"/>
    <w:rsid w:val="00CF5DAE"/>
    <w:rsid w:val="00CF5E59"/>
    <w:rsid w:val="00CF60F2"/>
    <w:rsid w:val="00CF61BB"/>
    <w:rsid w:val="00CF691F"/>
    <w:rsid w:val="00CF6D49"/>
    <w:rsid w:val="00CF7085"/>
    <w:rsid w:val="00CF7093"/>
    <w:rsid w:val="00CF7F34"/>
    <w:rsid w:val="00D012C4"/>
    <w:rsid w:val="00D017A3"/>
    <w:rsid w:val="00D022E1"/>
    <w:rsid w:val="00D0238F"/>
    <w:rsid w:val="00D02AE6"/>
    <w:rsid w:val="00D02F23"/>
    <w:rsid w:val="00D02FAA"/>
    <w:rsid w:val="00D0487F"/>
    <w:rsid w:val="00D053E8"/>
    <w:rsid w:val="00D06569"/>
    <w:rsid w:val="00D067A8"/>
    <w:rsid w:val="00D068AF"/>
    <w:rsid w:val="00D10226"/>
    <w:rsid w:val="00D10A0C"/>
    <w:rsid w:val="00D10BEC"/>
    <w:rsid w:val="00D10C97"/>
    <w:rsid w:val="00D1104A"/>
    <w:rsid w:val="00D11CE3"/>
    <w:rsid w:val="00D11F6B"/>
    <w:rsid w:val="00D12899"/>
    <w:rsid w:val="00D134D7"/>
    <w:rsid w:val="00D13CFD"/>
    <w:rsid w:val="00D13D20"/>
    <w:rsid w:val="00D1419E"/>
    <w:rsid w:val="00D1458F"/>
    <w:rsid w:val="00D14962"/>
    <w:rsid w:val="00D149FF"/>
    <w:rsid w:val="00D15B39"/>
    <w:rsid w:val="00D164EC"/>
    <w:rsid w:val="00D1672C"/>
    <w:rsid w:val="00D17DDE"/>
    <w:rsid w:val="00D17FF4"/>
    <w:rsid w:val="00D204EB"/>
    <w:rsid w:val="00D2055E"/>
    <w:rsid w:val="00D2076B"/>
    <w:rsid w:val="00D21424"/>
    <w:rsid w:val="00D2223A"/>
    <w:rsid w:val="00D22382"/>
    <w:rsid w:val="00D2302C"/>
    <w:rsid w:val="00D23451"/>
    <w:rsid w:val="00D2443B"/>
    <w:rsid w:val="00D252C7"/>
    <w:rsid w:val="00D25456"/>
    <w:rsid w:val="00D25F43"/>
    <w:rsid w:val="00D274C9"/>
    <w:rsid w:val="00D27630"/>
    <w:rsid w:val="00D27A97"/>
    <w:rsid w:val="00D27F4F"/>
    <w:rsid w:val="00D302D0"/>
    <w:rsid w:val="00D30DEF"/>
    <w:rsid w:val="00D30FDC"/>
    <w:rsid w:val="00D318D6"/>
    <w:rsid w:val="00D321D5"/>
    <w:rsid w:val="00D32339"/>
    <w:rsid w:val="00D33A75"/>
    <w:rsid w:val="00D33D19"/>
    <w:rsid w:val="00D33D2C"/>
    <w:rsid w:val="00D34004"/>
    <w:rsid w:val="00D34699"/>
    <w:rsid w:val="00D347D0"/>
    <w:rsid w:val="00D34A99"/>
    <w:rsid w:val="00D34E05"/>
    <w:rsid w:val="00D34FD4"/>
    <w:rsid w:val="00D35185"/>
    <w:rsid w:val="00D35215"/>
    <w:rsid w:val="00D3678A"/>
    <w:rsid w:val="00D3747B"/>
    <w:rsid w:val="00D37F5C"/>
    <w:rsid w:val="00D406FD"/>
    <w:rsid w:val="00D40C66"/>
    <w:rsid w:val="00D41514"/>
    <w:rsid w:val="00D41951"/>
    <w:rsid w:val="00D419FD"/>
    <w:rsid w:val="00D41FB1"/>
    <w:rsid w:val="00D420CB"/>
    <w:rsid w:val="00D421A9"/>
    <w:rsid w:val="00D42C57"/>
    <w:rsid w:val="00D436F0"/>
    <w:rsid w:val="00D437E8"/>
    <w:rsid w:val="00D43C9A"/>
    <w:rsid w:val="00D444E9"/>
    <w:rsid w:val="00D449DF"/>
    <w:rsid w:val="00D44B7F"/>
    <w:rsid w:val="00D453BC"/>
    <w:rsid w:val="00D4580A"/>
    <w:rsid w:val="00D45BA0"/>
    <w:rsid w:val="00D462EB"/>
    <w:rsid w:val="00D46AF2"/>
    <w:rsid w:val="00D501C1"/>
    <w:rsid w:val="00D50C1E"/>
    <w:rsid w:val="00D51FFB"/>
    <w:rsid w:val="00D52284"/>
    <w:rsid w:val="00D531B8"/>
    <w:rsid w:val="00D53608"/>
    <w:rsid w:val="00D54CFD"/>
    <w:rsid w:val="00D55113"/>
    <w:rsid w:val="00D55B25"/>
    <w:rsid w:val="00D55B61"/>
    <w:rsid w:val="00D56EF8"/>
    <w:rsid w:val="00D6046C"/>
    <w:rsid w:val="00D61A49"/>
    <w:rsid w:val="00D61C4D"/>
    <w:rsid w:val="00D622F1"/>
    <w:rsid w:val="00D62977"/>
    <w:rsid w:val="00D62D4E"/>
    <w:rsid w:val="00D62EE1"/>
    <w:rsid w:val="00D6310B"/>
    <w:rsid w:val="00D64CC0"/>
    <w:rsid w:val="00D65165"/>
    <w:rsid w:val="00D670A9"/>
    <w:rsid w:val="00D67559"/>
    <w:rsid w:val="00D67A03"/>
    <w:rsid w:val="00D67F30"/>
    <w:rsid w:val="00D70117"/>
    <w:rsid w:val="00D70348"/>
    <w:rsid w:val="00D703E8"/>
    <w:rsid w:val="00D704DD"/>
    <w:rsid w:val="00D7056E"/>
    <w:rsid w:val="00D70B76"/>
    <w:rsid w:val="00D70BCC"/>
    <w:rsid w:val="00D71357"/>
    <w:rsid w:val="00D713F2"/>
    <w:rsid w:val="00D716C0"/>
    <w:rsid w:val="00D71A61"/>
    <w:rsid w:val="00D72732"/>
    <w:rsid w:val="00D72DBD"/>
    <w:rsid w:val="00D7313E"/>
    <w:rsid w:val="00D73DD4"/>
    <w:rsid w:val="00D73F8A"/>
    <w:rsid w:val="00D73F9F"/>
    <w:rsid w:val="00D74057"/>
    <w:rsid w:val="00D740B5"/>
    <w:rsid w:val="00D742D5"/>
    <w:rsid w:val="00D75001"/>
    <w:rsid w:val="00D75B27"/>
    <w:rsid w:val="00D76290"/>
    <w:rsid w:val="00D7683D"/>
    <w:rsid w:val="00D769FB"/>
    <w:rsid w:val="00D77082"/>
    <w:rsid w:val="00D77B0E"/>
    <w:rsid w:val="00D8010F"/>
    <w:rsid w:val="00D808F8"/>
    <w:rsid w:val="00D820AD"/>
    <w:rsid w:val="00D82E5D"/>
    <w:rsid w:val="00D82F31"/>
    <w:rsid w:val="00D83471"/>
    <w:rsid w:val="00D8382B"/>
    <w:rsid w:val="00D83DEE"/>
    <w:rsid w:val="00D83EEC"/>
    <w:rsid w:val="00D849D2"/>
    <w:rsid w:val="00D84C00"/>
    <w:rsid w:val="00D8540D"/>
    <w:rsid w:val="00D859B2"/>
    <w:rsid w:val="00D8649F"/>
    <w:rsid w:val="00D867B9"/>
    <w:rsid w:val="00D86A80"/>
    <w:rsid w:val="00D86C6E"/>
    <w:rsid w:val="00D87B7E"/>
    <w:rsid w:val="00D90172"/>
    <w:rsid w:val="00D92DE4"/>
    <w:rsid w:val="00D93656"/>
    <w:rsid w:val="00D94136"/>
    <w:rsid w:val="00D9554B"/>
    <w:rsid w:val="00D95777"/>
    <w:rsid w:val="00D95894"/>
    <w:rsid w:val="00D95D44"/>
    <w:rsid w:val="00D967CA"/>
    <w:rsid w:val="00D96FA9"/>
    <w:rsid w:val="00D97338"/>
    <w:rsid w:val="00D97501"/>
    <w:rsid w:val="00DA06CB"/>
    <w:rsid w:val="00DA0794"/>
    <w:rsid w:val="00DA1CB0"/>
    <w:rsid w:val="00DA3C69"/>
    <w:rsid w:val="00DA4206"/>
    <w:rsid w:val="00DA45E4"/>
    <w:rsid w:val="00DA46F4"/>
    <w:rsid w:val="00DA56C0"/>
    <w:rsid w:val="00DA6300"/>
    <w:rsid w:val="00DA66B0"/>
    <w:rsid w:val="00DA7B35"/>
    <w:rsid w:val="00DB05F9"/>
    <w:rsid w:val="00DB2446"/>
    <w:rsid w:val="00DB2633"/>
    <w:rsid w:val="00DB493A"/>
    <w:rsid w:val="00DB4F50"/>
    <w:rsid w:val="00DB5001"/>
    <w:rsid w:val="00DB5D59"/>
    <w:rsid w:val="00DB6164"/>
    <w:rsid w:val="00DB6E35"/>
    <w:rsid w:val="00DB7504"/>
    <w:rsid w:val="00DB7BE1"/>
    <w:rsid w:val="00DB7C0E"/>
    <w:rsid w:val="00DB7E48"/>
    <w:rsid w:val="00DB7F14"/>
    <w:rsid w:val="00DC03EA"/>
    <w:rsid w:val="00DC04EA"/>
    <w:rsid w:val="00DC0589"/>
    <w:rsid w:val="00DC1421"/>
    <w:rsid w:val="00DC1680"/>
    <w:rsid w:val="00DC2BD1"/>
    <w:rsid w:val="00DC39C3"/>
    <w:rsid w:val="00DC4145"/>
    <w:rsid w:val="00DC532C"/>
    <w:rsid w:val="00DC5568"/>
    <w:rsid w:val="00DC5D55"/>
    <w:rsid w:val="00DC62A8"/>
    <w:rsid w:val="00DC64B8"/>
    <w:rsid w:val="00DC72BC"/>
    <w:rsid w:val="00DC733F"/>
    <w:rsid w:val="00DD0184"/>
    <w:rsid w:val="00DD03F9"/>
    <w:rsid w:val="00DD03FB"/>
    <w:rsid w:val="00DD0D60"/>
    <w:rsid w:val="00DD10D6"/>
    <w:rsid w:val="00DD19E8"/>
    <w:rsid w:val="00DD1B1A"/>
    <w:rsid w:val="00DD1BF4"/>
    <w:rsid w:val="00DD1D75"/>
    <w:rsid w:val="00DD1F7B"/>
    <w:rsid w:val="00DD2662"/>
    <w:rsid w:val="00DD2B7A"/>
    <w:rsid w:val="00DD3278"/>
    <w:rsid w:val="00DD34CF"/>
    <w:rsid w:val="00DD370B"/>
    <w:rsid w:val="00DD38CD"/>
    <w:rsid w:val="00DD38DC"/>
    <w:rsid w:val="00DD3DA4"/>
    <w:rsid w:val="00DD437E"/>
    <w:rsid w:val="00DD4EE7"/>
    <w:rsid w:val="00DD554B"/>
    <w:rsid w:val="00DD61FE"/>
    <w:rsid w:val="00DD62A7"/>
    <w:rsid w:val="00DD6B36"/>
    <w:rsid w:val="00DE0629"/>
    <w:rsid w:val="00DE1090"/>
    <w:rsid w:val="00DE1716"/>
    <w:rsid w:val="00DE26E1"/>
    <w:rsid w:val="00DE290C"/>
    <w:rsid w:val="00DE2B15"/>
    <w:rsid w:val="00DE2FF2"/>
    <w:rsid w:val="00DE3313"/>
    <w:rsid w:val="00DE3CB0"/>
    <w:rsid w:val="00DE3ECF"/>
    <w:rsid w:val="00DE49D4"/>
    <w:rsid w:val="00DE4BA1"/>
    <w:rsid w:val="00DE4EB2"/>
    <w:rsid w:val="00DE4ECB"/>
    <w:rsid w:val="00DE4F26"/>
    <w:rsid w:val="00DE596D"/>
    <w:rsid w:val="00DE60B6"/>
    <w:rsid w:val="00DE62A2"/>
    <w:rsid w:val="00DE6791"/>
    <w:rsid w:val="00DE6D48"/>
    <w:rsid w:val="00DE75DE"/>
    <w:rsid w:val="00DE77F0"/>
    <w:rsid w:val="00DE7816"/>
    <w:rsid w:val="00DF152B"/>
    <w:rsid w:val="00DF215B"/>
    <w:rsid w:val="00DF242D"/>
    <w:rsid w:val="00DF242E"/>
    <w:rsid w:val="00DF3051"/>
    <w:rsid w:val="00DF3576"/>
    <w:rsid w:val="00DF3BB4"/>
    <w:rsid w:val="00DF3C41"/>
    <w:rsid w:val="00DF4A3E"/>
    <w:rsid w:val="00DF4BA1"/>
    <w:rsid w:val="00DF4F71"/>
    <w:rsid w:val="00DF581A"/>
    <w:rsid w:val="00DF5E64"/>
    <w:rsid w:val="00DF61ED"/>
    <w:rsid w:val="00DF6AFA"/>
    <w:rsid w:val="00DF6FE2"/>
    <w:rsid w:val="00DF7609"/>
    <w:rsid w:val="00DF7850"/>
    <w:rsid w:val="00DF7E47"/>
    <w:rsid w:val="00E0051A"/>
    <w:rsid w:val="00E00883"/>
    <w:rsid w:val="00E0193E"/>
    <w:rsid w:val="00E02D42"/>
    <w:rsid w:val="00E035AD"/>
    <w:rsid w:val="00E05C4F"/>
    <w:rsid w:val="00E06848"/>
    <w:rsid w:val="00E06C71"/>
    <w:rsid w:val="00E1047D"/>
    <w:rsid w:val="00E1107E"/>
    <w:rsid w:val="00E11B0C"/>
    <w:rsid w:val="00E129F8"/>
    <w:rsid w:val="00E12F4E"/>
    <w:rsid w:val="00E13779"/>
    <w:rsid w:val="00E13A85"/>
    <w:rsid w:val="00E141DF"/>
    <w:rsid w:val="00E148EF"/>
    <w:rsid w:val="00E14AE5"/>
    <w:rsid w:val="00E1523E"/>
    <w:rsid w:val="00E1590F"/>
    <w:rsid w:val="00E16147"/>
    <w:rsid w:val="00E16368"/>
    <w:rsid w:val="00E16DBA"/>
    <w:rsid w:val="00E1779F"/>
    <w:rsid w:val="00E1794D"/>
    <w:rsid w:val="00E200E7"/>
    <w:rsid w:val="00E20187"/>
    <w:rsid w:val="00E202E0"/>
    <w:rsid w:val="00E20EDA"/>
    <w:rsid w:val="00E20FFA"/>
    <w:rsid w:val="00E21885"/>
    <w:rsid w:val="00E21F5A"/>
    <w:rsid w:val="00E221EC"/>
    <w:rsid w:val="00E230FF"/>
    <w:rsid w:val="00E23691"/>
    <w:rsid w:val="00E23D60"/>
    <w:rsid w:val="00E23FDC"/>
    <w:rsid w:val="00E245A0"/>
    <w:rsid w:val="00E2597D"/>
    <w:rsid w:val="00E25AB4"/>
    <w:rsid w:val="00E2604A"/>
    <w:rsid w:val="00E26C28"/>
    <w:rsid w:val="00E271F8"/>
    <w:rsid w:val="00E27254"/>
    <w:rsid w:val="00E27589"/>
    <w:rsid w:val="00E30C9F"/>
    <w:rsid w:val="00E30CD7"/>
    <w:rsid w:val="00E30FB9"/>
    <w:rsid w:val="00E31197"/>
    <w:rsid w:val="00E3147F"/>
    <w:rsid w:val="00E315F1"/>
    <w:rsid w:val="00E319B8"/>
    <w:rsid w:val="00E33454"/>
    <w:rsid w:val="00E3386F"/>
    <w:rsid w:val="00E33E51"/>
    <w:rsid w:val="00E3456F"/>
    <w:rsid w:val="00E34BFB"/>
    <w:rsid w:val="00E35098"/>
    <w:rsid w:val="00E35A09"/>
    <w:rsid w:val="00E35E6C"/>
    <w:rsid w:val="00E36EE6"/>
    <w:rsid w:val="00E40CB4"/>
    <w:rsid w:val="00E41AA9"/>
    <w:rsid w:val="00E41E94"/>
    <w:rsid w:val="00E42117"/>
    <w:rsid w:val="00E421FB"/>
    <w:rsid w:val="00E4241C"/>
    <w:rsid w:val="00E42637"/>
    <w:rsid w:val="00E42DF3"/>
    <w:rsid w:val="00E430F9"/>
    <w:rsid w:val="00E43D7E"/>
    <w:rsid w:val="00E43DAC"/>
    <w:rsid w:val="00E43EB7"/>
    <w:rsid w:val="00E43F18"/>
    <w:rsid w:val="00E44719"/>
    <w:rsid w:val="00E44905"/>
    <w:rsid w:val="00E45BDC"/>
    <w:rsid w:val="00E46CC6"/>
    <w:rsid w:val="00E51337"/>
    <w:rsid w:val="00E51A2E"/>
    <w:rsid w:val="00E51E85"/>
    <w:rsid w:val="00E52DD6"/>
    <w:rsid w:val="00E53048"/>
    <w:rsid w:val="00E53A6F"/>
    <w:rsid w:val="00E53AA7"/>
    <w:rsid w:val="00E53F88"/>
    <w:rsid w:val="00E5464D"/>
    <w:rsid w:val="00E54684"/>
    <w:rsid w:val="00E54A33"/>
    <w:rsid w:val="00E54DC4"/>
    <w:rsid w:val="00E55B99"/>
    <w:rsid w:val="00E56574"/>
    <w:rsid w:val="00E56CCD"/>
    <w:rsid w:val="00E5781B"/>
    <w:rsid w:val="00E61083"/>
    <w:rsid w:val="00E61533"/>
    <w:rsid w:val="00E6177C"/>
    <w:rsid w:val="00E6240D"/>
    <w:rsid w:val="00E62E4F"/>
    <w:rsid w:val="00E63B96"/>
    <w:rsid w:val="00E63BF7"/>
    <w:rsid w:val="00E641FC"/>
    <w:rsid w:val="00E644BE"/>
    <w:rsid w:val="00E64DD5"/>
    <w:rsid w:val="00E64F4C"/>
    <w:rsid w:val="00E6534D"/>
    <w:rsid w:val="00E657C1"/>
    <w:rsid w:val="00E6660C"/>
    <w:rsid w:val="00E66B46"/>
    <w:rsid w:val="00E66CEE"/>
    <w:rsid w:val="00E66EE0"/>
    <w:rsid w:val="00E66FCC"/>
    <w:rsid w:val="00E674C2"/>
    <w:rsid w:val="00E67B46"/>
    <w:rsid w:val="00E67CB5"/>
    <w:rsid w:val="00E67EDD"/>
    <w:rsid w:val="00E701F2"/>
    <w:rsid w:val="00E7135D"/>
    <w:rsid w:val="00E7255A"/>
    <w:rsid w:val="00E72860"/>
    <w:rsid w:val="00E7312C"/>
    <w:rsid w:val="00E7338B"/>
    <w:rsid w:val="00E7355E"/>
    <w:rsid w:val="00E741D0"/>
    <w:rsid w:val="00E75994"/>
    <w:rsid w:val="00E75AE0"/>
    <w:rsid w:val="00E76097"/>
    <w:rsid w:val="00E76C37"/>
    <w:rsid w:val="00E76DD6"/>
    <w:rsid w:val="00E773CD"/>
    <w:rsid w:val="00E800A3"/>
    <w:rsid w:val="00E8088F"/>
    <w:rsid w:val="00E80C7D"/>
    <w:rsid w:val="00E825F7"/>
    <w:rsid w:val="00E82677"/>
    <w:rsid w:val="00E82A41"/>
    <w:rsid w:val="00E83495"/>
    <w:rsid w:val="00E839A6"/>
    <w:rsid w:val="00E84C5D"/>
    <w:rsid w:val="00E85E7E"/>
    <w:rsid w:val="00E8606A"/>
    <w:rsid w:val="00E865E0"/>
    <w:rsid w:val="00E86CDD"/>
    <w:rsid w:val="00E86E99"/>
    <w:rsid w:val="00E87D7E"/>
    <w:rsid w:val="00E9016A"/>
    <w:rsid w:val="00E90C8D"/>
    <w:rsid w:val="00E91B3F"/>
    <w:rsid w:val="00E91DA6"/>
    <w:rsid w:val="00E91EE2"/>
    <w:rsid w:val="00E92E50"/>
    <w:rsid w:val="00E9330F"/>
    <w:rsid w:val="00E93ADA"/>
    <w:rsid w:val="00E94A80"/>
    <w:rsid w:val="00E94EC1"/>
    <w:rsid w:val="00E95153"/>
    <w:rsid w:val="00E95E9A"/>
    <w:rsid w:val="00E95F02"/>
    <w:rsid w:val="00E961BB"/>
    <w:rsid w:val="00E97445"/>
    <w:rsid w:val="00E97648"/>
    <w:rsid w:val="00E97C18"/>
    <w:rsid w:val="00EA0350"/>
    <w:rsid w:val="00EA0379"/>
    <w:rsid w:val="00EA17EA"/>
    <w:rsid w:val="00EA1ACE"/>
    <w:rsid w:val="00EA218E"/>
    <w:rsid w:val="00EA24CE"/>
    <w:rsid w:val="00EA2674"/>
    <w:rsid w:val="00EA3149"/>
    <w:rsid w:val="00EA33DD"/>
    <w:rsid w:val="00EA383A"/>
    <w:rsid w:val="00EA3AB4"/>
    <w:rsid w:val="00EA3AEB"/>
    <w:rsid w:val="00EA3F1E"/>
    <w:rsid w:val="00EA5656"/>
    <w:rsid w:val="00EA5C2A"/>
    <w:rsid w:val="00EA6026"/>
    <w:rsid w:val="00EA6128"/>
    <w:rsid w:val="00EA613F"/>
    <w:rsid w:val="00EA6CB5"/>
    <w:rsid w:val="00EA6F69"/>
    <w:rsid w:val="00EA7798"/>
    <w:rsid w:val="00EA7BA5"/>
    <w:rsid w:val="00EB090D"/>
    <w:rsid w:val="00EB09FB"/>
    <w:rsid w:val="00EB0A20"/>
    <w:rsid w:val="00EB116F"/>
    <w:rsid w:val="00EB1525"/>
    <w:rsid w:val="00EB2002"/>
    <w:rsid w:val="00EB23FC"/>
    <w:rsid w:val="00EB2B8A"/>
    <w:rsid w:val="00EB2DCB"/>
    <w:rsid w:val="00EB3017"/>
    <w:rsid w:val="00EB3DC5"/>
    <w:rsid w:val="00EB4B0A"/>
    <w:rsid w:val="00EB5162"/>
    <w:rsid w:val="00EB52C6"/>
    <w:rsid w:val="00EB55C7"/>
    <w:rsid w:val="00EB579D"/>
    <w:rsid w:val="00EB5C25"/>
    <w:rsid w:val="00EB6511"/>
    <w:rsid w:val="00EB665C"/>
    <w:rsid w:val="00EB7EDA"/>
    <w:rsid w:val="00EC0083"/>
    <w:rsid w:val="00EC035B"/>
    <w:rsid w:val="00EC0B8D"/>
    <w:rsid w:val="00EC13CB"/>
    <w:rsid w:val="00EC14BE"/>
    <w:rsid w:val="00EC1AFE"/>
    <w:rsid w:val="00EC20BB"/>
    <w:rsid w:val="00EC35E7"/>
    <w:rsid w:val="00EC3C22"/>
    <w:rsid w:val="00EC4F4B"/>
    <w:rsid w:val="00EC5719"/>
    <w:rsid w:val="00ED0937"/>
    <w:rsid w:val="00ED0B11"/>
    <w:rsid w:val="00ED16D8"/>
    <w:rsid w:val="00ED1A6E"/>
    <w:rsid w:val="00ED1E60"/>
    <w:rsid w:val="00ED229B"/>
    <w:rsid w:val="00ED2AD6"/>
    <w:rsid w:val="00ED34FB"/>
    <w:rsid w:val="00ED3582"/>
    <w:rsid w:val="00ED4319"/>
    <w:rsid w:val="00ED6334"/>
    <w:rsid w:val="00ED68DC"/>
    <w:rsid w:val="00ED6FF1"/>
    <w:rsid w:val="00ED73E7"/>
    <w:rsid w:val="00ED7FA4"/>
    <w:rsid w:val="00EE0C22"/>
    <w:rsid w:val="00EE0C49"/>
    <w:rsid w:val="00EE14F8"/>
    <w:rsid w:val="00EE22E8"/>
    <w:rsid w:val="00EE246F"/>
    <w:rsid w:val="00EE28A3"/>
    <w:rsid w:val="00EE2EBF"/>
    <w:rsid w:val="00EE3375"/>
    <w:rsid w:val="00EE3FCA"/>
    <w:rsid w:val="00EE51AA"/>
    <w:rsid w:val="00EE6A55"/>
    <w:rsid w:val="00EE6E25"/>
    <w:rsid w:val="00EF09E0"/>
    <w:rsid w:val="00EF1240"/>
    <w:rsid w:val="00EF1C22"/>
    <w:rsid w:val="00EF238B"/>
    <w:rsid w:val="00EF2539"/>
    <w:rsid w:val="00EF2648"/>
    <w:rsid w:val="00EF2AA5"/>
    <w:rsid w:val="00EF3FF7"/>
    <w:rsid w:val="00EF43B7"/>
    <w:rsid w:val="00EF4401"/>
    <w:rsid w:val="00EF446B"/>
    <w:rsid w:val="00EF48A0"/>
    <w:rsid w:val="00EF567B"/>
    <w:rsid w:val="00EF591D"/>
    <w:rsid w:val="00EF6839"/>
    <w:rsid w:val="00EF7684"/>
    <w:rsid w:val="00F0025E"/>
    <w:rsid w:val="00F00719"/>
    <w:rsid w:val="00F00C84"/>
    <w:rsid w:val="00F00E96"/>
    <w:rsid w:val="00F01ECD"/>
    <w:rsid w:val="00F034B1"/>
    <w:rsid w:val="00F03504"/>
    <w:rsid w:val="00F0455C"/>
    <w:rsid w:val="00F05481"/>
    <w:rsid w:val="00F05FA3"/>
    <w:rsid w:val="00F06390"/>
    <w:rsid w:val="00F06845"/>
    <w:rsid w:val="00F06904"/>
    <w:rsid w:val="00F1003F"/>
    <w:rsid w:val="00F10AF2"/>
    <w:rsid w:val="00F10B74"/>
    <w:rsid w:val="00F10D13"/>
    <w:rsid w:val="00F10E7E"/>
    <w:rsid w:val="00F11750"/>
    <w:rsid w:val="00F11BBA"/>
    <w:rsid w:val="00F12DFB"/>
    <w:rsid w:val="00F12ED1"/>
    <w:rsid w:val="00F137F8"/>
    <w:rsid w:val="00F13D71"/>
    <w:rsid w:val="00F13E2A"/>
    <w:rsid w:val="00F142BC"/>
    <w:rsid w:val="00F14E8F"/>
    <w:rsid w:val="00F15140"/>
    <w:rsid w:val="00F154B8"/>
    <w:rsid w:val="00F160B9"/>
    <w:rsid w:val="00F16706"/>
    <w:rsid w:val="00F174A4"/>
    <w:rsid w:val="00F17E3D"/>
    <w:rsid w:val="00F17E3F"/>
    <w:rsid w:val="00F17E95"/>
    <w:rsid w:val="00F2040D"/>
    <w:rsid w:val="00F2162E"/>
    <w:rsid w:val="00F2196F"/>
    <w:rsid w:val="00F21986"/>
    <w:rsid w:val="00F222E7"/>
    <w:rsid w:val="00F22D34"/>
    <w:rsid w:val="00F22E61"/>
    <w:rsid w:val="00F24BD5"/>
    <w:rsid w:val="00F252FF"/>
    <w:rsid w:val="00F26439"/>
    <w:rsid w:val="00F266D8"/>
    <w:rsid w:val="00F27224"/>
    <w:rsid w:val="00F315AB"/>
    <w:rsid w:val="00F31832"/>
    <w:rsid w:val="00F31DEF"/>
    <w:rsid w:val="00F3235D"/>
    <w:rsid w:val="00F32AB2"/>
    <w:rsid w:val="00F3309A"/>
    <w:rsid w:val="00F33779"/>
    <w:rsid w:val="00F33A24"/>
    <w:rsid w:val="00F34091"/>
    <w:rsid w:val="00F35A83"/>
    <w:rsid w:val="00F362C0"/>
    <w:rsid w:val="00F362DE"/>
    <w:rsid w:val="00F365AC"/>
    <w:rsid w:val="00F36705"/>
    <w:rsid w:val="00F37CE7"/>
    <w:rsid w:val="00F37F57"/>
    <w:rsid w:val="00F40146"/>
    <w:rsid w:val="00F41301"/>
    <w:rsid w:val="00F41312"/>
    <w:rsid w:val="00F41394"/>
    <w:rsid w:val="00F417AF"/>
    <w:rsid w:val="00F41F6D"/>
    <w:rsid w:val="00F420BE"/>
    <w:rsid w:val="00F42822"/>
    <w:rsid w:val="00F4307D"/>
    <w:rsid w:val="00F4573B"/>
    <w:rsid w:val="00F45F47"/>
    <w:rsid w:val="00F45FDE"/>
    <w:rsid w:val="00F46797"/>
    <w:rsid w:val="00F47076"/>
    <w:rsid w:val="00F50397"/>
    <w:rsid w:val="00F50B34"/>
    <w:rsid w:val="00F50FB7"/>
    <w:rsid w:val="00F512DA"/>
    <w:rsid w:val="00F517E6"/>
    <w:rsid w:val="00F51994"/>
    <w:rsid w:val="00F51C00"/>
    <w:rsid w:val="00F52FFF"/>
    <w:rsid w:val="00F53521"/>
    <w:rsid w:val="00F54147"/>
    <w:rsid w:val="00F541CA"/>
    <w:rsid w:val="00F546D0"/>
    <w:rsid w:val="00F5515C"/>
    <w:rsid w:val="00F555F6"/>
    <w:rsid w:val="00F56166"/>
    <w:rsid w:val="00F56E8F"/>
    <w:rsid w:val="00F573C8"/>
    <w:rsid w:val="00F57A5E"/>
    <w:rsid w:val="00F57C10"/>
    <w:rsid w:val="00F60790"/>
    <w:rsid w:val="00F60F7F"/>
    <w:rsid w:val="00F61781"/>
    <w:rsid w:val="00F61BCE"/>
    <w:rsid w:val="00F62062"/>
    <w:rsid w:val="00F62666"/>
    <w:rsid w:val="00F62B9F"/>
    <w:rsid w:val="00F63731"/>
    <w:rsid w:val="00F64342"/>
    <w:rsid w:val="00F64F7A"/>
    <w:rsid w:val="00F6510F"/>
    <w:rsid w:val="00F65918"/>
    <w:rsid w:val="00F6641F"/>
    <w:rsid w:val="00F66DF6"/>
    <w:rsid w:val="00F670B9"/>
    <w:rsid w:val="00F67222"/>
    <w:rsid w:val="00F674EA"/>
    <w:rsid w:val="00F70BF6"/>
    <w:rsid w:val="00F7186A"/>
    <w:rsid w:val="00F71FF3"/>
    <w:rsid w:val="00F723C0"/>
    <w:rsid w:val="00F73FC1"/>
    <w:rsid w:val="00F75478"/>
    <w:rsid w:val="00F75E8B"/>
    <w:rsid w:val="00F76223"/>
    <w:rsid w:val="00F76644"/>
    <w:rsid w:val="00F7692C"/>
    <w:rsid w:val="00F76B60"/>
    <w:rsid w:val="00F76C0D"/>
    <w:rsid w:val="00F77440"/>
    <w:rsid w:val="00F777C3"/>
    <w:rsid w:val="00F77A04"/>
    <w:rsid w:val="00F77D1A"/>
    <w:rsid w:val="00F800D5"/>
    <w:rsid w:val="00F802A1"/>
    <w:rsid w:val="00F8059F"/>
    <w:rsid w:val="00F8083C"/>
    <w:rsid w:val="00F809ED"/>
    <w:rsid w:val="00F80DB3"/>
    <w:rsid w:val="00F812B0"/>
    <w:rsid w:val="00F815D0"/>
    <w:rsid w:val="00F81A96"/>
    <w:rsid w:val="00F823A2"/>
    <w:rsid w:val="00F83315"/>
    <w:rsid w:val="00F833BE"/>
    <w:rsid w:val="00F834BD"/>
    <w:rsid w:val="00F842F0"/>
    <w:rsid w:val="00F84353"/>
    <w:rsid w:val="00F8487F"/>
    <w:rsid w:val="00F84D85"/>
    <w:rsid w:val="00F85862"/>
    <w:rsid w:val="00F85AEC"/>
    <w:rsid w:val="00F87211"/>
    <w:rsid w:val="00F906FA"/>
    <w:rsid w:val="00F90D98"/>
    <w:rsid w:val="00F90F1A"/>
    <w:rsid w:val="00F912CA"/>
    <w:rsid w:val="00F92029"/>
    <w:rsid w:val="00F92045"/>
    <w:rsid w:val="00F92453"/>
    <w:rsid w:val="00F92462"/>
    <w:rsid w:val="00F92F53"/>
    <w:rsid w:val="00F931AA"/>
    <w:rsid w:val="00F93634"/>
    <w:rsid w:val="00F94C2F"/>
    <w:rsid w:val="00F94CD3"/>
    <w:rsid w:val="00F94EE1"/>
    <w:rsid w:val="00F95EF4"/>
    <w:rsid w:val="00F97089"/>
    <w:rsid w:val="00F97A66"/>
    <w:rsid w:val="00F97C97"/>
    <w:rsid w:val="00F97E95"/>
    <w:rsid w:val="00F97F4B"/>
    <w:rsid w:val="00FA0C67"/>
    <w:rsid w:val="00FA1D6D"/>
    <w:rsid w:val="00FA209D"/>
    <w:rsid w:val="00FA24A2"/>
    <w:rsid w:val="00FA2C3A"/>
    <w:rsid w:val="00FA3510"/>
    <w:rsid w:val="00FA3643"/>
    <w:rsid w:val="00FA3BD4"/>
    <w:rsid w:val="00FA419A"/>
    <w:rsid w:val="00FA5E32"/>
    <w:rsid w:val="00FA6291"/>
    <w:rsid w:val="00FA696F"/>
    <w:rsid w:val="00FA79EC"/>
    <w:rsid w:val="00FA7A36"/>
    <w:rsid w:val="00FA7B88"/>
    <w:rsid w:val="00FB10D4"/>
    <w:rsid w:val="00FB138A"/>
    <w:rsid w:val="00FB1D8D"/>
    <w:rsid w:val="00FB2907"/>
    <w:rsid w:val="00FB2EE2"/>
    <w:rsid w:val="00FB3CCB"/>
    <w:rsid w:val="00FB5EC1"/>
    <w:rsid w:val="00FB733D"/>
    <w:rsid w:val="00FB7BD2"/>
    <w:rsid w:val="00FC05E6"/>
    <w:rsid w:val="00FC06C8"/>
    <w:rsid w:val="00FC0886"/>
    <w:rsid w:val="00FC22C2"/>
    <w:rsid w:val="00FC256E"/>
    <w:rsid w:val="00FC2991"/>
    <w:rsid w:val="00FC29CC"/>
    <w:rsid w:val="00FC2F3C"/>
    <w:rsid w:val="00FC345B"/>
    <w:rsid w:val="00FC4053"/>
    <w:rsid w:val="00FC539F"/>
    <w:rsid w:val="00FC53F0"/>
    <w:rsid w:val="00FC5518"/>
    <w:rsid w:val="00FC5688"/>
    <w:rsid w:val="00FC6045"/>
    <w:rsid w:val="00FC61B7"/>
    <w:rsid w:val="00FC62CF"/>
    <w:rsid w:val="00FC7ECA"/>
    <w:rsid w:val="00FD020C"/>
    <w:rsid w:val="00FD03E3"/>
    <w:rsid w:val="00FD0843"/>
    <w:rsid w:val="00FD09B0"/>
    <w:rsid w:val="00FD0A70"/>
    <w:rsid w:val="00FD113C"/>
    <w:rsid w:val="00FD12AE"/>
    <w:rsid w:val="00FD18BA"/>
    <w:rsid w:val="00FD1DC5"/>
    <w:rsid w:val="00FD1F7E"/>
    <w:rsid w:val="00FD2FA4"/>
    <w:rsid w:val="00FD3EF8"/>
    <w:rsid w:val="00FD3FB7"/>
    <w:rsid w:val="00FD4D69"/>
    <w:rsid w:val="00FD4FB1"/>
    <w:rsid w:val="00FD6074"/>
    <w:rsid w:val="00FD6498"/>
    <w:rsid w:val="00FD708D"/>
    <w:rsid w:val="00FD7D75"/>
    <w:rsid w:val="00FD7DFA"/>
    <w:rsid w:val="00FE01AF"/>
    <w:rsid w:val="00FE07AD"/>
    <w:rsid w:val="00FE0D8C"/>
    <w:rsid w:val="00FE1B8C"/>
    <w:rsid w:val="00FE308B"/>
    <w:rsid w:val="00FE3B24"/>
    <w:rsid w:val="00FE40FD"/>
    <w:rsid w:val="00FE4E7F"/>
    <w:rsid w:val="00FE53AD"/>
    <w:rsid w:val="00FE5BF0"/>
    <w:rsid w:val="00FE764C"/>
    <w:rsid w:val="00FF1BD6"/>
    <w:rsid w:val="00FF1E71"/>
    <w:rsid w:val="00FF20D7"/>
    <w:rsid w:val="00FF24A1"/>
    <w:rsid w:val="00FF2CAB"/>
    <w:rsid w:val="00FF353D"/>
    <w:rsid w:val="00FF35F6"/>
    <w:rsid w:val="00FF3629"/>
    <w:rsid w:val="00FF4237"/>
    <w:rsid w:val="00FF4CD6"/>
    <w:rsid w:val="00FF5F03"/>
    <w:rsid w:val="00FF6B9A"/>
    <w:rsid w:val="00FF6E5F"/>
    <w:rsid w:val="00FF7F68"/>
    <w:rsid w:val="035E4919"/>
    <w:rsid w:val="04012C16"/>
    <w:rsid w:val="05B821F2"/>
    <w:rsid w:val="0E664BE9"/>
    <w:rsid w:val="1BAE0169"/>
    <w:rsid w:val="1C4C3A51"/>
    <w:rsid w:val="1DCB0060"/>
    <w:rsid w:val="234D2B7F"/>
    <w:rsid w:val="2C4F1A98"/>
    <w:rsid w:val="30354AD0"/>
    <w:rsid w:val="310224D9"/>
    <w:rsid w:val="32710683"/>
    <w:rsid w:val="36525C53"/>
    <w:rsid w:val="3CA97893"/>
    <w:rsid w:val="4243375C"/>
    <w:rsid w:val="44DE7155"/>
    <w:rsid w:val="46810644"/>
    <w:rsid w:val="54117068"/>
    <w:rsid w:val="5E196A96"/>
    <w:rsid w:val="657A13DD"/>
    <w:rsid w:val="6776309F"/>
    <w:rsid w:val="71153587"/>
    <w:rsid w:val="7F6E12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1"/>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7"/>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5"/>
    <w:semiHidden/>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46"/>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6">
    <w:name w:val="Document Map"/>
    <w:basedOn w:val="1"/>
    <w:link w:val="55"/>
    <w:semiHidden/>
    <w:unhideWhenUsed/>
    <w:qFormat/>
    <w:uiPriority w:val="99"/>
    <w:rPr>
      <w:rFonts w:ascii="宋体" w:eastAsia="宋体"/>
      <w:sz w:val="18"/>
      <w:szCs w:val="18"/>
    </w:rPr>
  </w:style>
  <w:style w:type="paragraph" w:styleId="7">
    <w:name w:val="annotation text"/>
    <w:basedOn w:val="1"/>
    <w:link w:val="47"/>
    <w:unhideWhenUsed/>
    <w:qFormat/>
    <w:uiPriority w:val="0"/>
    <w:pPr>
      <w:jc w:val="left"/>
    </w:pPr>
  </w:style>
  <w:style w:type="paragraph" w:styleId="8">
    <w:name w:val="Body Text"/>
    <w:basedOn w:val="1"/>
    <w:link w:val="43"/>
    <w:qFormat/>
    <w:uiPriority w:val="0"/>
    <w:pPr>
      <w:spacing w:after="120"/>
    </w:pPr>
    <w:rPr>
      <w:rFonts w:ascii="Times New Roman" w:hAnsi="Times New Roman" w:eastAsia="宋体" w:cs="Times New Roman"/>
      <w:szCs w:val="24"/>
    </w:rPr>
  </w:style>
  <w:style w:type="paragraph" w:styleId="9">
    <w:name w:val="toc 3"/>
    <w:basedOn w:val="1"/>
    <w:next w:val="1"/>
    <w:autoRedefine/>
    <w:unhideWhenUsed/>
    <w:qFormat/>
    <w:uiPriority w:val="39"/>
    <w:pPr>
      <w:widowControl/>
      <w:spacing w:after="100" w:line="276" w:lineRule="auto"/>
      <w:ind w:left="440"/>
      <w:jc w:val="left"/>
    </w:pPr>
    <w:rPr>
      <w:kern w:val="0"/>
      <w:sz w:val="22"/>
    </w:rPr>
  </w:style>
  <w:style w:type="paragraph" w:styleId="10">
    <w:name w:val="Plain Text"/>
    <w:basedOn w:val="1"/>
    <w:link w:val="38"/>
    <w:qFormat/>
    <w:uiPriority w:val="0"/>
    <w:rPr>
      <w:rFonts w:ascii="宋体" w:hAnsi="Courier New" w:eastAsia="宋体"/>
      <w:szCs w:val="24"/>
    </w:rPr>
  </w:style>
  <w:style w:type="paragraph" w:styleId="11">
    <w:name w:val="Date"/>
    <w:basedOn w:val="1"/>
    <w:next w:val="1"/>
    <w:link w:val="28"/>
    <w:unhideWhenUsed/>
    <w:qFormat/>
    <w:uiPriority w:val="0"/>
    <w:pPr>
      <w:ind w:left="100" w:leftChars="2500"/>
    </w:pPr>
  </w:style>
  <w:style w:type="paragraph" w:styleId="12">
    <w:name w:val="Balloon Text"/>
    <w:basedOn w:val="1"/>
    <w:link w:val="27"/>
    <w:unhideWhenUsed/>
    <w:qFormat/>
    <w:uiPriority w:val="0"/>
    <w:rPr>
      <w:sz w:val="18"/>
      <w:szCs w:val="18"/>
    </w:rPr>
  </w:style>
  <w:style w:type="paragraph" w:styleId="13">
    <w:name w:val="footer"/>
    <w:basedOn w:val="1"/>
    <w:link w:val="33"/>
    <w:unhideWhenUsed/>
    <w:qFormat/>
    <w:uiPriority w:val="99"/>
    <w:pPr>
      <w:tabs>
        <w:tab w:val="center" w:pos="4153"/>
        <w:tab w:val="right" w:pos="8306"/>
      </w:tabs>
      <w:snapToGrid w:val="0"/>
      <w:jc w:val="left"/>
    </w:pPr>
    <w:rPr>
      <w:sz w:val="18"/>
      <w:szCs w:val="18"/>
    </w:rPr>
  </w:style>
  <w:style w:type="paragraph" w:styleId="14">
    <w:name w:val="header"/>
    <w:basedOn w:val="1"/>
    <w:link w:val="32"/>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autoRedefine/>
    <w:unhideWhenUsed/>
    <w:qFormat/>
    <w:uiPriority w:val="39"/>
    <w:pPr>
      <w:widowControl/>
      <w:tabs>
        <w:tab w:val="right" w:leader="dot" w:pos="8273"/>
      </w:tabs>
      <w:spacing w:line="360" w:lineRule="auto"/>
      <w:jc w:val="left"/>
    </w:pPr>
    <w:rPr>
      <w:rFonts w:eastAsia="黑体"/>
      <w:kern w:val="0"/>
      <w:sz w:val="22"/>
    </w:rPr>
  </w:style>
  <w:style w:type="paragraph" w:styleId="16">
    <w:name w:val="toc 2"/>
    <w:basedOn w:val="1"/>
    <w:next w:val="1"/>
    <w:autoRedefine/>
    <w:unhideWhenUsed/>
    <w:qFormat/>
    <w:uiPriority w:val="39"/>
    <w:pPr>
      <w:widowControl/>
      <w:tabs>
        <w:tab w:val="left" w:pos="709"/>
        <w:tab w:val="right" w:leader="dot" w:pos="8302"/>
      </w:tabs>
      <w:spacing w:after="100" w:line="276" w:lineRule="auto"/>
      <w:ind w:left="220"/>
      <w:jc w:val="left"/>
    </w:pPr>
    <w:rPr>
      <w:kern w:val="0"/>
      <w:sz w:val="22"/>
    </w:rPr>
  </w:style>
  <w:style w:type="paragraph" w:styleId="17">
    <w:name w:val="Normal (Web)"/>
    <w:basedOn w:val="1"/>
    <w:qFormat/>
    <w:uiPriority w:val="99"/>
    <w:pPr>
      <w:widowControl/>
      <w:spacing w:before="100" w:beforeAutospacing="1" w:after="100" w:afterAutospacing="1"/>
      <w:jc w:val="left"/>
    </w:pPr>
    <w:rPr>
      <w:rFonts w:ascii="宋体" w:hAnsi="宋体" w:eastAsia="宋体" w:cs="Times New Roman"/>
      <w:kern w:val="0"/>
      <w:sz w:val="24"/>
      <w:szCs w:val="24"/>
    </w:rPr>
  </w:style>
  <w:style w:type="paragraph" w:styleId="18">
    <w:name w:val="annotation subject"/>
    <w:basedOn w:val="7"/>
    <w:next w:val="7"/>
    <w:link w:val="48"/>
    <w:semiHidden/>
    <w:unhideWhenUsed/>
    <w:qFormat/>
    <w:uiPriority w:val="99"/>
    <w:rPr>
      <w:b/>
      <w:bCs/>
    </w:rPr>
  </w:style>
  <w:style w:type="table" w:styleId="20">
    <w:name w:val="Table Grid"/>
    <w:basedOn w:val="1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qFormat/>
    <w:uiPriority w:val="22"/>
    <w:rPr>
      <w:b/>
      <w:bCs/>
    </w:rPr>
  </w:style>
  <w:style w:type="character" w:styleId="23">
    <w:name w:val="FollowedHyperlink"/>
    <w:basedOn w:val="21"/>
    <w:semiHidden/>
    <w:unhideWhenUsed/>
    <w:qFormat/>
    <w:uiPriority w:val="99"/>
    <w:rPr>
      <w:color w:val="800080" w:themeColor="followedHyperlink"/>
      <w:u w:val="single"/>
      <w14:textFill>
        <w14:solidFill>
          <w14:schemeClr w14:val="folHlink"/>
        </w14:solidFill>
      </w14:textFill>
    </w:rPr>
  </w:style>
  <w:style w:type="character" w:styleId="24">
    <w:name w:val="Emphasis"/>
    <w:basedOn w:val="21"/>
    <w:qFormat/>
    <w:uiPriority w:val="20"/>
    <w:rPr>
      <w:i/>
      <w:iCs/>
    </w:rPr>
  </w:style>
  <w:style w:type="character" w:styleId="25">
    <w:name w:val="Hyperlink"/>
    <w:qFormat/>
    <w:uiPriority w:val="99"/>
    <w:rPr>
      <w:color w:val="0000FF"/>
      <w:u w:val="single"/>
    </w:rPr>
  </w:style>
  <w:style w:type="character" w:styleId="26">
    <w:name w:val="annotation reference"/>
    <w:basedOn w:val="21"/>
    <w:unhideWhenUsed/>
    <w:qFormat/>
    <w:uiPriority w:val="0"/>
    <w:rPr>
      <w:sz w:val="21"/>
      <w:szCs w:val="21"/>
    </w:rPr>
  </w:style>
  <w:style w:type="character" w:customStyle="1" w:styleId="27">
    <w:name w:val="批注框文本 字符"/>
    <w:basedOn w:val="21"/>
    <w:link w:val="12"/>
    <w:qFormat/>
    <w:uiPriority w:val="0"/>
    <w:rPr>
      <w:sz w:val="18"/>
      <w:szCs w:val="18"/>
    </w:rPr>
  </w:style>
  <w:style w:type="character" w:customStyle="1" w:styleId="28">
    <w:name w:val="日期 字符"/>
    <w:basedOn w:val="21"/>
    <w:link w:val="11"/>
    <w:semiHidden/>
    <w:qFormat/>
    <w:uiPriority w:val="99"/>
  </w:style>
  <w:style w:type="paragraph" w:styleId="29">
    <w:name w:val="List Paragraph"/>
    <w:basedOn w:val="1"/>
    <w:link w:val="44"/>
    <w:qFormat/>
    <w:uiPriority w:val="34"/>
    <w:pPr>
      <w:ind w:firstLine="420" w:firstLineChars="200"/>
    </w:pPr>
  </w:style>
  <w:style w:type="character" w:customStyle="1" w:styleId="30">
    <w:name w:val="p141"/>
    <w:qFormat/>
    <w:uiPriority w:val="0"/>
    <w:rPr>
      <w:sz w:val="21"/>
      <w:szCs w:val="21"/>
    </w:rPr>
  </w:style>
  <w:style w:type="character" w:customStyle="1" w:styleId="31">
    <w:name w:val="标题 1 字符"/>
    <w:basedOn w:val="21"/>
    <w:link w:val="2"/>
    <w:qFormat/>
    <w:uiPriority w:val="9"/>
    <w:rPr>
      <w:b/>
      <w:bCs/>
      <w:kern w:val="44"/>
      <w:sz w:val="44"/>
      <w:szCs w:val="44"/>
    </w:rPr>
  </w:style>
  <w:style w:type="character" w:customStyle="1" w:styleId="32">
    <w:name w:val="页眉 字符"/>
    <w:basedOn w:val="21"/>
    <w:link w:val="14"/>
    <w:qFormat/>
    <w:uiPriority w:val="99"/>
    <w:rPr>
      <w:sz w:val="18"/>
      <w:szCs w:val="18"/>
    </w:rPr>
  </w:style>
  <w:style w:type="character" w:customStyle="1" w:styleId="33">
    <w:name w:val="页脚 字符"/>
    <w:basedOn w:val="21"/>
    <w:link w:val="13"/>
    <w:qFormat/>
    <w:uiPriority w:val="99"/>
    <w:rPr>
      <w:sz w:val="18"/>
      <w:szCs w:val="18"/>
    </w:rPr>
  </w:style>
  <w:style w:type="paragraph" w:customStyle="1" w:styleId="34">
    <w:name w:val="TOC Heading"/>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5">
    <w:name w:val="正文缩进2格"/>
    <w:basedOn w:val="1"/>
    <w:link w:val="36"/>
    <w:qFormat/>
    <w:uiPriority w:val="0"/>
    <w:pPr>
      <w:spacing w:line="600" w:lineRule="exact"/>
      <w:ind w:firstLine="639" w:firstLineChars="206"/>
    </w:pPr>
    <w:rPr>
      <w:rFonts w:ascii="仿宋_GB2312" w:hAnsi="宋体" w:eastAsia="仿宋_GB2312" w:cs="Times New Roman"/>
      <w:sz w:val="31"/>
      <w:szCs w:val="28"/>
    </w:rPr>
  </w:style>
  <w:style w:type="character" w:customStyle="1" w:styleId="36">
    <w:name w:val="正文缩进2格 Char"/>
    <w:link w:val="35"/>
    <w:qFormat/>
    <w:uiPriority w:val="0"/>
    <w:rPr>
      <w:rFonts w:ascii="仿宋_GB2312" w:hAnsi="宋体" w:eastAsia="仿宋_GB2312" w:cs="Times New Roman"/>
      <w:sz w:val="31"/>
      <w:szCs w:val="28"/>
    </w:rPr>
  </w:style>
  <w:style w:type="character" w:customStyle="1" w:styleId="37">
    <w:name w:val="标题 2 字符"/>
    <w:basedOn w:val="21"/>
    <w:link w:val="3"/>
    <w:qFormat/>
    <w:uiPriority w:val="9"/>
    <w:rPr>
      <w:rFonts w:asciiTheme="majorHAnsi" w:hAnsiTheme="majorHAnsi" w:eastAsiaTheme="majorEastAsia" w:cstheme="majorBidi"/>
      <w:b/>
      <w:bCs/>
      <w:sz w:val="32"/>
      <w:szCs w:val="32"/>
    </w:rPr>
  </w:style>
  <w:style w:type="character" w:customStyle="1" w:styleId="38">
    <w:name w:val="纯文本 字符"/>
    <w:basedOn w:val="21"/>
    <w:link w:val="10"/>
    <w:qFormat/>
    <w:uiPriority w:val="0"/>
    <w:rPr>
      <w:rFonts w:ascii="宋体" w:hAnsi="Courier New" w:eastAsia="宋体"/>
      <w:szCs w:val="24"/>
    </w:rPr>
  </w:style>
  <w:style w:type="character" w:customStyle="1" w:styleId="39">
    <w:name w:val="纯文本 Char"/>
    <w:basedOn w:val="21"/>
    <w:semiHidden/>
    <w:qFormat/>
    <w:uiPriority w:val="99"/>
    <w:rPr>
      <w:rFonts w:ascii="宋体" w:hAnsi="Courier New" w:eastAsia="宋体" w:cs="Courier New"/>
      <w:szCs w:val="21"/>
    </w:rPr>
  </w:style>
  <w:style w:type="character" w:customStyle="1" w:styleId="40">
    <w:name w:val="正文缩进2格 Char Char"/>
    <w:basedOn w:val="21"/>
    <w:qFormat/>
    <w:uiPriority w:val="0"/>
    <w:rPr>
      <w:rFonts w:ascii="仿宋_GB2312" w:hAnsi="宋体" w:eastAsia="仿宋_GB2312"/>
      <w:kern w:val="2"/>
      <w:sz w:val="31"/>
      <w:szCs w:val="28"/>
      <w:lang w:val="en-US" w:eastAsia="zh-CN" w:bidi="ar-SA"/>
    </w:rPr>
  </w:style>
  <w:style w:type="paragraph" w:customStyle="1" w:styleId="41">
    <w:name w:val="正文缩进4格"/>
    <w:basedOn w:val="35"/>
    <w:qFormat/>
    <w:uiPriority w:val="0"/>
    <w:pPr>
      <w:spacing w:line="340" w:lineRule="exact"/>
      <w:ind w:firstLine="315" w:firstLineChars="0"/>
    </w:pPr>
    <w:rPr>
      <w:rFonts w:ascii="宋体" w:eastAsia="宋体"/>
      <w:sz w:val="24"/>
      <w:szCs w:val="24"/>
    </w:rPr>
  </w:style>
  <w:style w:type="character" w:customStyle="1" w:styleId="42">
    <w:name w:val="正文文本 Char"/>
    <w:basedOn w:val="21"/>
    <w:semiHidden/>
    <w:qFormat/>
    <w:uiPriority w:val="99"/>
  </w:style>
  <w:style w:type="character" w:customStyle="1" w:styleId="43">
    <w:name w:val="正文文本 字符"/>
    <w:link w:val="8"/>
    <w:qFormat/>
    <w:uiPriority w:val="0"/>
    <w:rPr>
      <w:rFonts w:ascii="Times New Roman" w:hAnsi="Times New Roman" w:eastAsia="宋体" w:cs="Times New Roman"/>
      <w:szCs w:val="24"/>
    </w:rPr>
  </w:style>
  <w:style w:type="character" w:customStyle="1" w:styleId="44">
    <w:name w:val="列表段落 字符"/>
    <w:link w:val="29"/>
    <w:qFormat/>
    <w:uiPriority w:val="34"/>
  </w:style>
  <w:style w:type="character" w:customStyle="1" w:styleId="45">
    <w:name w:val="标题 3 字符"/>
    <w:basedOn w:val="21"/>
    <w:link w:val="4"/>
    <w:semiHidden/>
    <w:qFormat/>
    <w:uiPriority w:val="9"/>
    <w:rPr>
      <w:b/>
      <w:bCs/>
      <w:sz w:val="32"/>
      <w:szCs w:val="32"/>
    </w:rPr>
  </w:style>
  <w:style w:type="character" w:customStyle="1" w:styleId="46">
    <w:name w:val="标题 4 字符"/>
    <w:basedOn w:val="21"/>
    <w:link w:val="5"/>
    <w:semiHidden/>
    <w:qFormat/>
    <w:uiPriority w:val="9"/>
    <w:rPr>
      <w:rFonts w:asciiTheme="majorHAnsi" w:hAnsiTheme="majorHAnsi" w:eastAsiaTheme="majorEastAsia" w:cstheme="majorBidi"/>
      <w:b/>
      <w:bCs/>
      <w:sz w:val="28"/>
      <w:szCs w:val="28"/>
    </w:rPr>
  </w:style>
  <w:style w:type="character" w:customStyle="1" w:styleId="47">
    <w:name w:val="批注文字 字符"/>
    <w:basedOn w:val="21"/>
    <w:link w:val="7"/>
    <w:qFormat/>
    <w:uiPriority w:val="0"/>
  </w:style>
  <w:style w:type="character" w:customStyle="1" w:styleId="48">
    <w:name w:val="批注主题 字符"/>
    <w:basedOn w:val="47"/>
    <w:link w:val="18"/>
    <w:semiHidden/>
    <w:qFormat/>
    <w:uiPriority w:val="99"/>
    <w:rPr>
      <w:b/>
      <w:bCs/>
    </w:rPr>
  </w:style>
  <w:style w:type="paragraph" w:customStyle="1" w:styleId="49">
    <w:name w:val="保留正文"/>
    <w:basedOn w:val="8"/>
    <w:qFormat/>
    <w:uiPriority w:val="0"/>
    <w:pPr>
      <w:keepNext/>
      <w:spacing w:after="160"/>
    </w:pPr>
  </w:style>
  <w:style w:type="paragraph" w:customStyle="1" w:styleId="50">
    <w:name w:val="列出段落1"/>
    <w:basedOn w:val="1"/>
    <w:qFormat/>
    <w:uiPriority w:val="34"/>
    <w:pPr>
      <w:ind w:firstLine="420" w:firstLineChars="200"/>
    </w:pPr>
    <w:rPr>
      <w:rFonts w:ascii="Calibri" w:hAnsi="Calibri" w:eastAsia="宋体" w:cs="黑体"/>
    </w:rPr>
  </w:style>
  <w:style w:type="paragraph" w:customStyle="1" w:styleId="51">
    <w:name w:val="Revision"/>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52">
    <w:name w:val="_Style 202"/>
    <w:basedOn w:val="1"/>
    <w:qFormat/>
    <w:uiPriority w:val="0"/>
    <w:pPr>
      <w:tabs>
        <w:tab w:val="left" w:pos="360"/>
      </w:tabs>
    </w:pPr>
    <w:rPr>
      <w:rFonts w:ascii="Times New Roman" w:hAnsi="Times New Roman" w:eastAsia="宋体" w:cs="Times New Roman"/>
      <w:szCs w:val="24"/>
    </w:rPr>
  </w:style>
  <w:style w:type="paragraph" w:customStyle="1" w:styleId="53">
    <w:name w:val="Char1 Char Char Char"/>
    <w:basedOn w:val="1"/>
    <w:qFormat/>
    <w:uiPriority w:val="0"/>
    <w:rPr>
      <w:rFonts w:ascii="黑体" w:hAnsi="Verdana" w:eastAsia="黑体" w:cs="Times New Roman"/>
      <w:kern w:val="0"/>
      <w:sz w:val="32"/>
      <w:szCs w:val="32"/>
      <w:lang w:eastAsia="en-US"/>
    </w:rPr>
  </w:style>
  <w:style w:type="paragraph" w:customStyle="1" w:styleId="54">
    <w:name w:val="1 Char Char Char Char"/>
    <w:basedOn w:val="1"/>
    <w:qFormat/>
    <w:uiPriority w:val="0"/>
    <w:pPr>
      <w:spacing w:after="160" w:line="240" w:lineRule="exact"/>
    </w:pPr>
    <w:rPr>
      <w:rFonts w:ascii="Times New Roman" w:hAnsi="Times New Roman" w:eastAsia="宋体" w:cs="Times New Roman"/>
      <w:szCs w:val="24"/>
    </w:rPr>
  </w:style>
  <w:style w:type="character" w:customStyle="1" w:styleId="55">
    <w:name w:val="文档结构图 字符"/>
    <w:basedOn w:val="21"/>
    <w:link w:val="6"/>
    <w:semiHidden/>
    <w:qFormat/>
    <w:uiPriority w:val="99"/>
    <w:rPr>
      <w:rFonts w:ascii="宋体" w:eastAsia="宋体"/>
      <w:sz w:val="18"/>
      <w:szCs w:val="18"/>
    </w:rPr>
  </w:style>
  <w:style w:type="paragraph" w:customStyle="1" w:styleId="56">
    <w:name w:val="样式4"/>
    <w:basedOn w:val="1"/>
    <w:qFormat/>
    <w:uiPriority w:val="0"/>
    <w:pPr>
      <w:tabs>
        <w:tab w:val="left" w:pos="2328"/>
      </w:tabs>
      <w:ind w:left="2328" w:hanging="708"/>
    </w:pPr>
    <w:rPr>
      <w:rFonts w:ascii="Times New Roman" w:hAnsi="Times New Roman" w:eastAsia="宋体" w:cs="Times New Roman"/>
      <w:szCs w:val="24"/>
    </w:rPr>
  </w:style>
  <w:style w:type="paragraph" w:customStyle="1" w:styleId="57">
    <w:name w:val="Char Char Char Char Char Char Char Char Char Char Char Char1 Char Char Char Char"/>
    <w:basedOn w:val="1"/>
    <w:autoRedefine/>
    <w:qFormat/>
    <w:uiPriority w:val="0"/>
    <w:pPr>
      <w:widowControl/>
      <w:spacing w:after="160" w:line="240" w:lineRule="exact"/>
      <w:jc w:val="center"/>
    </w:pPr>
    <w:rPr>
      <w:rFonts w:ascii="黑体" w:hAnsi="Verdana" w:eastAsia="黑体" w:cs="Times New Roman"/>
      <w:kern w:val="0"/>
      <w:sz w:val="32"/>
      <w:szCs w:val="32"/>
      <w:lang w:eastAsia="en-US"/>
    </w:rPr>
  </w:style>
  <w:style w:type="character" w:customStyle="1" w:styleId="58">
    <w:name w:val="未处理的提及1"/>
    <w:basedOn w:val="21"/>
    <w:semiHidden/>
    <w:unhideWhenUsed/>
    <w:qFormat/>
    <w:uiPriority w:val="99"/>
    <w:rPr>
      <w:color w:val="605E5C"/>
      <w:shd w:val="clear" w:color="auto" w:fill="E1DFDD"/>
    </w:rPr>
  </w:style>
  <w:style w:type="character" w:customStyle="1" w:styleId="59">
    <w:name w:val="Unresolved Mention"/>
    <w:basedOn w:val="21"/>
    <w:semiHidden/>
    <w:unhideWhenUsed/>
    <w:qFormat/>
    <w:uiPriority w:val="99"/>
    <w:rPr>
      <w:color w:val="605E5C"/>
      <w:shd w:val="clear" w:color="auto" w:fill="E1DFDD"/>
    </w:rPr>
  </w:style>
  <w:style w:type="table" w:customStyle="1" w:styleId="60">
    <w:name w:val="Table Normal"/>
    <w:unhideWhenUsed/>
    <w:qFormat/>
    <w:uiPriority w:val="2"/>
    <w:pPr>
      <w:widowControl w:val="0"/>
      <w:autoSpaceDE w:val="0"/>
      <w:autoSpaceDN w:val="0"/>
    </w:pPr>
    <w:rPr>
      <w:rFonts w:ascii="Calibri" w:hAnsi="Calibri" w:eastAsia="宋体" w:cs="Times New Roman"/>
      <w:kern w:val="0"/>
      <w:sz w:val="22"/>
      <w:lang w:eastAsia="en-US"/>
    </w:rPr>
    <w:tblPr>
      <w:tblCellMar>
        <w:top w:w="0" w:type="dxa"/>
        <w:left w:w="0" w:type="dxa"/>
        <w:bottom w:w="0" w:type="dxa"/>
        <w:right w:w="0" w:type="dxa"/>
      </w:tblCellMar>
    </w:tblPr>
  </w:style>
  <w:style w:type="paragraph" w:customStyle="1" w:styleId="61">
    <w:name w:val="Table Paragraph"/>
    <w:basedOn w:val="1"/>
    <w:qFormat/>
    <w:uiPriority w:val="1"/>
    <w:pPr>
      <w:autoSpaceDE w:val="0"/>
      <w:autoSpaceDN w:val="0"/>
      <w:jc w:val="left"/>
    </w:pPr>
    <w:rPr>
      <w:rFonts w:ascii="宋体" w:hAnsi="宋体" w:eastAsia="宋体" w:cs="宋体"/>
      <w:kern w:val="0"/>
      <w:sz w:val="22"/>
      <w:lang w:eastAsia="en-US"/>
    </w:rPr>
  </w:style>
  <w:style w:type="paragraph" w:customStyle="1" w:styleId="62">
    <w:name w:val="null3"/>
    <w:qFormat/>
    <w:uiPriority w:val="0"/>
    <w:rPr>
      <w:rFonts w:hint="eastAsia" w:ascii="Calibri" w:hAnsi="Calibri" w:eastAsia="宋体" w:cs="Times New Roman"/>
      <w:lang w:val="en-US" w:eastAsia="zh-Hans"/>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5.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EC94D39-B335-4680-B641-3C5FA9A0C742}">
  <ds:schemaRefs/>
</ds:datastoreItem>
</file>

<file path=docProps/app.xml><?xml version="1.0" encoding="utf-8"?>
<Properties xmlns="http://schemas.openxmlformats.org/officeDocument/2006/extended-properties" xmlns:vt="http://schemas.openxmlformats.org/officeDocument/2006/docPropsVTypes">
  <Template>Normal</Template>
  <Company>Chinese ORG</Company>
  <Pages>83</Pages>
  <Words>5127</Words>
  <Characters>5584</Characters>
  <Lines>318</Lines>
  <Paragraphs>89</Paragraphs>
  <TotalTime>7</TotalTime>
  <ScaleCrop>false</ScaleCrop>
  <LinksUpToDate>false</LinksUpToDate>
  <CharactersWithSpaces>5640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2022-11-17T02:11:00Z</dcterms:created>
  <dc:creator>YD-LING</dc:creator>
  <cp:lastModifiedBy>YD-ho</cp:lastModifiedBy>
  <cp:lastPrinted>2020-12-07T02:17:00Z</cp:lastPrinted>
  <dcterms:modified xsi:type="dcterms:W3CDTF">2025-12-29T02:36:04Z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eyJoZGlkIjoiZGIwNDZhMTMxM2EyYzUxY2RmNGE4YzgzZTdiOWQwYWQiLCJ1c2VySWQiOiI0MTQ1MDg4MDkifQ==</vt:lpwstr>
  </property>
  <property fmtid="{D5CDD505-2E9C-101B-9397-08002B2CF9AE}" pid="3" name="KSOProductBuildVer">
    <vt:lpwstr>2052-12.1.0.24034</vt:lpwstr>
  </property>
  <property fmtid="{D5CDD505-2E9C-101B-9397-08002B2CF9AE}" pid="4" name="ICV">
    <vt:lpwstr>08BDCCD8E9794FA4846F8085BA6D2FEC_13</vt:lpwstr>
  </property>
</Properties>
</file>