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009439">
      <w:pPr>
        <w:spacing w:before="312" w:beforeLines="100"/>
        <w:jc w:val="center"/>
        <w:rPr>
          <w:rFonts w:ascii="黑体" w:hAnsi="黑体" w:eastAsia="黑体"/>
          <w:b/>
          <w:color w:val="000000" w:themeColor="text1"/>
          <w:spacing w:val="40"/>
          <w:sz w:val="104"/>
          <w:szCs w:val="104"/>
          <w14:textFill>
            <w14:solidFill>
              <w14:schemeClr w14:val="tx1"/>
            </w14:solidFill>
          </w14:textFill>
        </w:rPr>
      </w:pPr>
      <w:r>
        <w:rPr>
          <w:rFonts w:hint="eastAsia" w:ascii="黑体" w:hAnsi="黑体" w:eastAsia="黑体"/>
          <w:b/>
          <w:color w:val="000000" w:themeColor="text1"/>
          <w:spacing w:val="40"/>
          <w:sz w:val="104"/>
          <w:szCs w:val="104"/>
          <w14:textFill>
            <w14:solidFill>
              <w14:schemeClr w14:val="tx1"/>
            </w14:solidFill>
          </w14:textFill>
        </w:rPr>
        <w:t>公开招标文件</w:t>
      </w:r>
    </w:p>
    <w:p w14:paraId="33434E76">
      <w:pPr>
        <w:jc w:val="center"/>
        <w:rPr>
          <w:rFonts w:ascii="黑体" w:hAnsi="黑体" w:eastAsia="黑体"/>
          <w:color w:val="000000" w:themeColor="text1"/>
          <w14:textFill>
            <w14:solidFill>
              <w14:schemeClr w14:val="tx1"/>
            </w14:solidFill>
          </w14:textFill>
        </w:rPr>
      </w:pPr>
      <w:r>
        <w:rPr>
          <w:rFonts w:ascii="黑体" w:hAnsi="黑体" w:eastAsia="黑体"/>
          <w:b/>
          <w:bCs/>
          <w:color w:val="000000" w:themeColor="text1"/>
          <w:sz w:val="32"/>
          <w:szCs w:val="32"/>
          <w14:textFill>
            <w14:solidFill>
              <w14:schemeClr w14:val="tx1"/>
            </w14:solidFill>
          </w14:textFill>
        </w:rPr>
        <w:drawing>
          <wp:inline distT="0" distB="0" distL="0" distR="0">
            <wp:extent cx="3797300" cy="4088130"/>
            <wp:effectExtent l="0" t="0" r="0" b="7620"/>
            <wp:docPr id="3" name="图片 1" descr="有德LOGO(小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有德LOGO(小版)"/>
                    <pic:cNvPicPr>
                      <a:picLocks noChangeAspect="1" noChangeArrowheads="1"/>
                    </pic:cNvPicPr>
                  </pic:nvPicPr>
                  <pic:blipFill>
                    <a:blip r:embed="rId6" cstate="print"/>
                    <a:srcRect/>
                    <a:stretch>
                      <a:fillRect/>
                    </a:stretch>
                  </pic:blipFill>
                  <pic:spPr>
                    <a:xfrm>
                      <a:off x="0" y="0"/>
                      <a:ext cx="3803383" cy="4094778"/>
                    </a:xfrm>
                    <a:prstGeom prst="rect">
                      <a:avLst/>
                    </a:prstGeom>
                    <a:noFill/>
                    <a:ln w="9525">
                      <a:noFill/>
                      <a:miter lim="800000"/>
                      <a:headEnd/>
                      <a:tailEnd/>
                    </a:ln>
                  </pic:spPr>
                </pic:pic>
              </a:graphicData>
            </a:graphic>
          </wp:inline>
        </w:drawing>
      </w:r>
    </w:p>
    <w:tbl>
      <w:tblPr>
        <w:tblStyle w:val="20"/>
        <w:tblW w:w="995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544"/>
        <w:gridCol w:w="6412"/>
      </w:tblGrid>
      <w:tr w14:paraId="10E26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8" w:hRule="atLeast"/>
          <w:jc w:val="center"/>
        </w:trPr>
        <w:tc>
          <w:tcPr>
            <w:tcW w:w="3544" w:type="dxa"/>
          </w:tcPr>
          <w:p w14:paraId="1E200B79">
            <w:pPr>
              <w:spacing w:before="468" w:beforeLines="150"/>
              <w:ind w:left="683" w:leftChars="325" w:firstLine="769" w:firstLineChars="213"/>
              <w:jc w:val="center"/>
              <w:rPr>
                <w:rFonts w:ascii="黑体" w:hAnsi="黑体" w:eastAsia="黑体"/>
                <w:b/>
                <w:spacing w:val="40"/>
                <w:sz w:val="28"/>
                <w:szCs w:val="28"/>
              </w:rPr>
            </w:pPr>
            <w:r>
              <w:rPr>
                <w:rFonts w:hint="eastAsia" w:ascii="黑体" w:hAnsi="黑体" w:eastAsia="黑体"/>
                <w:b/>
                <w:spacing w:val="40"/>
                <w:sz w:val="28"/>
                <w:szCs w:val="28"/>
              </w:rPr>
              <w:t>项目名称：</w:t>
            </w:r>
          </w:p>
        </w:tc>
        <w:tc>
          <w:tcPr>
            <w:tcW w:w="6412" w:type="dxa"/>
          </w:tcPr>
          <w:p w14:paraId="4E64ECEF">
            <w:pPr>
              <w:tabs>
                <w:tab w:val="left" w:pos="-108"/>
              </w:tabs>
              <w:spacing w:before="468" w:beforeLines="150"/>
              <w:ind w:left="-107" w:leftChars="-51" w:firstLine="3"/>
              <w:jc w:val="left"/>
              <w:rPr>
                <w:rFonts w:hint="default" w:ascii="黑体" w:hAnsi="黑体" w:eastAsia="黑体"/>
                <w:b/>
                <w:sz w:val="28"/>
                <w:szCs w:val="28"/>
                <w:lang w:val="en-US" w:eastAsia="zh-CN"/>
              </w:rPr>
            </w:pPr>
            <w:r>
              <w:rPr>
                <w:rFonts w:hint="eastAsia" w:ascii="黑体" w:hAnsi="黑体" w:eastAsia="黑体"/>
                <w:b/>
                <w:sz w:val="28"/>
                <w:szCs w:val="28"/>
                <w:lang w:eastAsia="zh-CN"/>
              </w:rPr>
              <w:t>清溪医院硬性电子输尿管镜系统等采购项目</w:t>
            </w:r>
          </w:p>
        </w:tc>
      </w:tr>
      <w:tr w14:paraId="56F17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3544" w:type="dxa"/>
          </w:tcPr>
          <w:p w14:paraId="59978D46">
            <w:pPr>
              <w:ind w:left="683" w:leftChars="325" w:firstLine="769" w:firstLineChars="213"/>
              <w:jc w:val="center"/>
              <w:rPr>
                <w:rFonts w:ascii="黑体" w:hAnsi="黑体" w:eastAsia="黑体"/>
                <w:b/>
                <w:sz w:val="28"/>
                <w:szCs w:val="28"/>
              </w:rPr>
            </w:pPr>
            <w:r>
              <w:rPr>
                <w:rFonts w:hint="eastAsia" w:ascii="黑体" w:hAnsi="黑体" w:eastAsia="黑体"/>
                <w:b/>
                <w:spacing w:val="40"/>
                <w:sz w:val="28"/>
                <w:szCs w:val="28"/>
              </w:rPr>
              <w:t>项目编号：</w:t>
            </w:r>
          </w:p>
        </w:tc>
        <w:tc>
          <w:tcPr>
            <w:tcW w:w="6412" w:type="dxa"/>
          </w:tcPr>
          <w:p w14:paraId="26138C13">
            <w:pPr>
              <w:tabs>
                <w:tab w:val="left" w:pos="-108"/>
              </w:tabs>
              <w:ind w:left="-107" w:leftChars="-51" w:firstLine="3"/>
              <w:jc w:val="left"/>
              <w:rPr>
                <w:rFonts w:ascii="黑体" w:hAnsi="黑体" w:eastAsia="黑体"/>
                <w:b/>
                <w:sz w:val="28"/>
                <w:szCs w:val="28"/>
              </w:rPr>
            </w:pPr>
            <w:r>
              <w:rPr>
                <w:rFonts w:hint="eastAsia" w:ascii="黑体" w:hAnsi="黑体" w:eastAsia="黑体"/>
                <w:b/>
                <w:sz w:val="28"/>
                <w:szCs w:val="28"/>
              </w:rPr>
              <w:t>YDZB25DGZC0147</w:t>
            </w:r>
          </w:p>
        </w:tc>
      </w:tr>
      <w:tr w14:paraId="4549B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3544" w:type="dxa"/>
          </w:tcPr>
          <w:p w14:paraId="09C79A2D">
            <w:pPr>
              <w:ind w:left="683" w:leftChars="325" w:firstLine="769" w:firstLineChars="213"/>
              <w:jc w:val="center"/>
              <w:rPr>
                <w:rFonts w:ascii="黑体" w:hAnsi="黑体" w:eastAsia="黑体"/>
                <w:b/>
                <w:sz w:val="28"/>
                <w:szCs w:val="28"/>
              </w:rPr>
            </w:pPr>
            <w:r>
              <w:rPr>
                <w:rFonts w:hint="eastAsia" w:ascii="黑体" w:hAnsi="黑体" w:eastAsia="黑体"/>
                <w:b/>
                <w:spacing w:val="40"/>
                <w:sz w:val="28"/>
                <w:szCs w:val="28"/>
              </w:rPr>
              <w:t>采购单位：</w:t>
            </w:r>
          </w:p>
        </w:tc>
        <w:tc>
          <w:tcPr>
            <w:tcW w:w="6412" w:type="dxa"/>
          </w:tcPr>
          <w:p w14:paraId="49726998">
            <w:pPr>
              <w:tabs>
                <w:tab w:val="left" w:pos="-108"/>
              </w:tabs>
              <w:ind w:left="-107" w:leftChars="-51" w:firstLine="3"/>
              <w:jc w:val="left"/>
              <w:rPr>
                <w:rFonts w:ascii="黑体" w:hAnsi="黑体" w:eastAsia="黑体"/>
                <w:b/>
                <w:sz w:val="28"/>
                <w:szCs w:val="28"/>
              </w:rPr>
            </w:pPr>
            <w:r>
              <w:rPr>
                <w:rFonts w:hint="eastAsia" w:ascii="黑体" w:hAnsi="黑体" w:eastAsia="黑体"/>
                <w:b/>
                <w:sz w:val="28"/>
                <w:szCs w:val="28"/>
              </w:rPr>
              <w:t>东莞市清溪医院</w:t>
            </w:r>
          </w:p>
        </w:tc>
      </w:tr>
      <w:tr w14:paraId="47227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3544" w:type="dxa"/>
          </w:tcPr>
          <w:p w14:paraId="38F28E20">
            <w:pPr>
              <w:ind w:left="683" w:leftChars="325" w:firstLine="770" w:firstLineChars="295"/>
              <w:jc w:val="center"/>
              <w:rPr>
                <w:rFonts w:ascii="黑体" w:hAnsi="黑体" w:eastAsia="黑体"/>
                <w:b/>
                <w:sz w:val="28"/>
                <w:szCs w:val="28"/>
              </w:rPr>
            </w:pPr>
            <w:r>
              <w:rPr>
                <w:rFonts w:hint="eastAsia" w:ascii="黑体" w:hAnsi="黑体" w:eastAsia="黑体"/>
                <w:b/>
                <w:spacing w:val="-10"/>
                <w:sz w:val="28"/>
                <w:szCs w:val="28"/>
              </w:rPr>
              <w:t>采购代理机构</w:t>
            </w:r>
            <w:r>
              <w:rPr>
                <w:rFonts w:hint="eastAsia" w:ascii="黑体" w:hAnsi="黑体" w:eastAsia="黑体"/>
                <w:b/>
                <w:sz w:val="28"/>
                <w:szCs w:val="28"/>
              </w:rPr>
              <w:t>：</w:t>
            </w:r>
          </w:p>
        </w:tc>
        <w:tc>
          <w:tcPr>
            <w:tcW w:w="6412" w:type="dxa"/>
          </w:tcPr>
          <w:p w14:paraId="4C432655">
            <w:pPr>
              <w:tabs>
                <w:tab w:val="left" w:pos="-108"/>
              </w:tabs>
              <w:ind w:left="-107" w:leftChars="-51" w:firstLine="3"/>
              <w:jc w:val="left"/>
              <w:rPr>
                <w:rFonts w:ascii="黑体" w:hAnsi="黑体" w:eastAsia="黑体"/>
                <w:b/>
                <w:spacing w:val="4"/>
                <w:sz w:val="28"/>
                <w:szCs w:val="28"/>
              </w:rPr>
            </w:pPr>
            <w:r>
              <w:rPr>
                <w:rFonts w:hint="eastAsia" w:ascii="黑体" w:hAnsi="黑体" w:eastAsia="黑体"/>
                <w:b/>
                <w:spacing w:val="4"/>
                <w:sz w:val="28"/>
                <w:szCs w:val="28"/>
              </w:rPr>
              <w:t>广东有德招标采购有限公司</w:t>
            </w:r>
          </w:p>
        </w:tc>
      </w:tr>
    </w:tbl>
    <w:p w14:paraId="10BD7325">
      <w:pPr>
        <w:jc w:val="center"/>
        <w:rPr>
          <w:rFonts w:ascii="黑体" w:hAnsi="黑体" w:eastAsia="黑体"/>
          <w:b/>
          <w:color w:val="000000" w:themeColor="text1"/>
          <w:sz w:val="32"/>
          <w:szCs w:val="32"/>
          <w14:textFill>
            <w14:solidFill>
              <w14:schemeClr w14:val="tx1"/>
            </w14:solidFill>
          </w14:textFill>
        </w:rPr>
      </w:pPr>
    </w:p>
    <w:p w14:paraId="4EF703BE">
      <w:pPr>
        <w:spacing w:before="156" w:beforeLines="50" w:line="360" w:lineRule="auto"/>
        <w:jc w:val="center"/>
        <w:rPr>
          <w:rFonts w:ascii="黑体" w:hAnsi="黑体" w:eastAsia="黑体"/>
          <w:b/>
          <w:color w:val="000000" w:themeColor="text1"/>
          <w:spacing w:val="60"/>
          <w:sz w:val="28"/>
          <w:szCs w:val="28"/>
          <w14:textFill>
            <w14:solidFill>
              <w14:schemeClr w14:val="tx1"/>
            </w14:solidFill>
          </w14:textFill>
        </w:rPr>
      </w:pPr>
      <w:r>
        <w:rPr>
          <w:rFonts w:hint="eastAsia" w:ascii="黑体" w:hAnsi="黑体" w:eastAsia="黑体"/>
          <w:b/>
          <w:color w:val="000000" w:themeColor="text1"/>
          <w:spacing w:val="60"/>
          <w:sz w:val="28"/>
          <w:szCs w:val="28"/>
          <w14:textFill>
            <w14:solidFill>
              <w14:schemeClr w14:val="tx1"/>
            </w14:solidFill>
          </w14:textFill>
        </w:rPr>
        <w:t>二〇二</w:t>
      </w:r>
      <w:r>
        <w:rPr>
          <w:rFonts w:hint="eastAsia" w:ascii="黑体" w:hAnsi="黑体" w:eastAsia="黑体"/>
          <w:b/>
          <w:color w:val="000000" w:themeColor="text1"/>
          <w:spacing w:val="60"/>
          <w:sz w:val="28"/>
          <w:szCs w:val="28"/>
          <w:lang w:val="en-US" w:eastAsia="zh-CN"/>
          <w14:textFill>
            <w14:solidFill>
              <w14:schemeClr w14:val="tx1"/>
            </w14:solidFill>
          </w14:textFill>
        </w:rPr>
        <w:t>五</w:t>
      </w:r>
      <w:r>
        <w:rPr>
          <w:rFonts w:hint="eastAsia" w:ascii="黑体" w:hAnsi="黑体" w:eastAsia="黑体"/>
          <w:b/>
          <w:color w:val="000000" w:themeColor="text1"/>
          <w:spacing w:val="60"/>
          <w:sz w:val="28"/>
          <w:szCs w:val="28"/>
          <w14:textFill>
            <w14:solidFill>
              <w14:schemeClr w14:val="tx1"/>
            </w14:solidFill>
          </w14:textFill>
        </w:rPr>
        <w:t>年</w:t>
      </w:r>
      <w:r>
        <w:rPr>
          <w:rFonts w:hint="eastAsia" w:ascii="黑体" w:hAnsi="黑体" w:eastAsia="黑体"/>
          <w:b/>
          <w:color w:val="000000" w:themeColor="text1"/>
          <w:spacing w:val="60"/>
          <w:sz w:val="28"/>
          <w:szCs w:val="28"/>
          <w:lang w:val="en-US" w:eastAsia="zh-CN"/>
          <w14:textFill>
            <w14:solidFill>
              <w14:schemeClr w14:val="tx1"/>
            </w14:solidFill>
          </w14:textFill>
        </w:rPr>
        <w:t>十</w:t>
      </w:r>
      <w:r>
        <w:rPr>
          <w:rFonts w:hint="eastAsia" w:ascii="黑体" w:hAnsi="黑体" w:eastAsia="黑体"/>
          <w:b/>
          <w:color w:val="000000" w:themeColor="text1"/>
          <w:spacing w:val="60"/>
          <w:sz w:val="28"/>
          <w:szCs w:val="28"/>
          <w14:textFill>
            <w14:solidFill>
              <w14:schemeClr w14:val="tx1"/>
            </w14:solidFill>
          </w14:textFill>
        </w:rPr>
        <w:t>月</w:t>
      </w:r>
    </w:p>
    <w:p w14:paraId="75577DCA">
      <w:pPr>
        <w:pageBreakBefore/>
        <w:spacing w:before="156" w:beforeLines="50" w:after="312" w:afterLines="100" w:line="480" w:lineRule="auto"/>
        <w:jc w:val="center"/>
        <w:rPr>
          <w:rFonts w:ascii="黑体" w:hAnsi="黑体" w:eastAsia="黑体"/>
          <w:b/>
          <w:color w:val="000000" w:themeColor="text1"/>
          <w:spacing w:val="60"/>
          <w:sz w:val="44"/>
          <w:szCs w:val="44"/>
          <w14:textFill>
            <w14:solidFill>
              <w14:schemeClr w14:val="tx1"/>
            </w14:solidFill>
          </w14:textFill>
        </w:rPr>
      </w:pPr>
      <w:r>
        <w:rPr>
          <w:rFonts w:hint="eastAsia" w:ascii="黑体" w:hAnsi="黑体" w:eastAsia="黑体"/>
          <w:b/>
          <w:color w:val="000000" w:themeColor="text1"/>
          <w:spacing w:val="60"/>
          <w:sz w:val="44"/>
          <w:szCs w:val="44"/>
          <w14:textFill>
            <w14:solidFill>
              <w14:schemeClr w14:val="tx1"/>
            </w14:solidFill>
          </w14:textFill>
        </w:rPr>
        <w:t>温馨提示</w:t>
      </w:r>
    </w:p>
    <w:p w14:paraId="3881B28F">
      <w:pPr>
        <w:pStyle w:val="29"/>
        <w:numPr>
          <w:ilvl w:val="0"/>
          <w:numId w:val="1"/>
        </w:numPr>
        <w:spacing w:line="600" w:lineRule="exact"/>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投标截止时间一到，本公司不接收任何投标文件，因此，请适当提前到达。</w:t>
      </w:r>
    </w:p>
    <w:p w14:paraId="62ABDB4F">
      <w:pPr>
        <w:pStyle w:val="29"/>
        <w:numPr>
          <w:ilvl w:val="0"/>
          <w:numId w:val="1"/>
        </w:numPr>
        <w:spacing w:line="600" w:lineRule="exact"/>
        <w:ind w:firstLineChars="0"/>
        <w:jc w:val="left"/>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请正确填写《开标一览表》。多包项目请仔细检查包组号，包组号跟包组名称必须一致。</w:t>
      </w:r>
    </w:p>
    <w:p w14:paraId="76094AD9">
      <w:pPr>
        <w:pStyle w:val="29"/>
        <w:numPr>
          <w:ilvl w:val="0"/>
          <w:numId w:val="1"/>
        </w:numPr>
        <w:spacing w:line="600" w:lineRule="exact"/>
        <w:ind w:firstLineChars="0"/>
        <w:jc w:val="left"/>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请仔细检查投标文件是否已按招标文件盖章、签名(或盖私章)、签署日期。</w:t>
      </w:r>
    </w:p>
    <w:p w14:paraId="5D896F46">
      <w:pPr>
        <w:pStyle w:val="29"/>
        <w:numPr>
          <w:ilvl w:val="0"/>
          <w:numId w:val="1"/>
        </w:numPr>
        <w:spacing w:line="600" w:lineRule="exact"/>
        <w:ind w:firstLineChars="0"/>
        <w:jc w:val="left"/>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加★号的条款必须一一响应。</w:t>
      </w:r>
    </w:p>
    <w:p w14:paraId="7C7EC7C9">
      <w:pPr>
        <w:pStyle w:val="29"/>
        <w:numPr>
          <w:ilvl w:val="0"/>
          <w:numId w:val="1"/>
        </w:numPr>
        <w:spacing w:line="600" w:lineRule="exact"/>
        <w:ind w:firstLineChars="0"/>
        <w:jc w:val="left"/>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投标文件应按顺序编制页码。</w:t>
      </w:r>
    </w:p>
    <w:p w14:paraId="33D726F9">
      <w:pPr>
        <w:numPr>
          <w:ilvl w:val="0"/>
          <w:numId w:val="1"/>
        </w:numPr>
        <w:tabs>
          <w:tab w:val="left" w:pos="709"/>
        </w:tabs>
        <w:spacing w:line="600" w:lineRule="exac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投标人如需对项目提出询问或质疑，应按招标文件附件中的询问函和质疑函的格式提交。</w:t>
      </w:r>
    </w:p>
    <w:p w14:paraId="50F33C05">
      <w:pPr>
        <w:tabs>
          <w:tab w:val="left" w:pos="709"/>
        </w:tabs>
        <w:spacing w:before="156" w:beforeLines="50" w:line="600" w:lineRule="exact"/>
        <w:jc w:val="center"/>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 xml:space="preserve"> (本提示内容非招标文件的组成部分，仅为善意提醒。如有不一致，以招标文件为准。)</w:t>
      </w:r>
    </w:p>
    <w:p w14:paraId="5C7F93C4">
      <w:pPr>
        <w:tabs>
          <w:tab w:val="left" w:pos="709"/>
        </w:tabs>
        <w:spacing w:before="156" w:beforeLines="50" w:line="600" w:lineRule="exact"/>
        <w:jc w:val="center"/>
        <w:rPr>
          <w:rFonts w:ascii="黑体" w:hAnsi="黑体" w:eastAsia="黑体"/>
          <w:b/>
          <w:sz w:val="24"/>
          <w:szCs w:val="24"/>
        </w:rPr>
      </w:pPr>
      <w:r>
        <w:rPr>
          <w:rFonts w:hint="eastAsia" w:ascii="黑体" w:hAnsi="黑体" w:eastAsia="黑体"/>
          <w:b/>
          <w:sz w:val="24"/>
          <w:szCs w:val="24"/>
        </w:rPr>
        <w:t>使用微信扫描二维码在线获取招标文件</w:t>
      </w:r>
    </w:p>
    <w:p w14:paraId="2554BE2A">
      <w:pPr>
        <w:tabs>
          <w:tab w:val="left" w:pos="709"/>
        </w:tabs>
        <w:spacing w:before="156" w:beforeLines="50" w:line="600" w:lineRule="exact"/>
        <w:jc w:val="center"/>
        <w:rPr>
          <w:rFonts w:ascii="黑体" w:hAnsi="黑体" w:eastAsia="黑体"/>
          <w:b/>
          <w:color w:val="000000" w:themeColor="text1"/>
          <w:sz w:val="32"/>
          <w:szCs w:val="32"/>
          <w14:textFill>
            <w14:solidFill>
              <w14:schemeClr w14:val="tx1"/>
            </w14:solidFill>
          </w14:textFill>
        </w:rPr>
      </w:pPr>
      <w:r>
        <w:rPr>
          <w:rFonts w:ascii="黑体" w:hAnsi="黑体" w:eastAsia="黑体"/>
          <w:b/>
          <w:color w:val="000000" w:themeColor="text1"/>
          <w:sz w:val="32"/>
          <w:szCs w:val="32"/>
          <w14:textFill>
            <w14:solidFill>
              <w14:schemeClr w14:val="tx1"/>
            </w14:solidFill>
          </w14:textFill>
        </w:rPr>
        <w:drawing>
          <wp:anchor distT="0" distB="0" distL="114300" distR="114300" simplePos="0" relativeHeight="251659264" behindDoc="0" locked="0" layoutInCell="1" allowOverlap="1">
            <wp:simplePos x="0" y="0"/>
            <wp:positionH relativeFrom="column">
              <wp:posOffset>1411605</wp:posOffset>
            </wp:positionH>
            <wp:positionV relativeFrom="paragraph">
              <wp:posOffset>146685</wp:posOffset>
            </wp:positionV>
            <wp:extent cx="2712085" cy="2576195"/>
            <wp:effectExtent l="0" t="0" r="0" b="0"/>
            <wp:wrapNone/>
            <wp:docPr id="6" name="图片 2" descr="C:\Users\ADMINI~1\AppData\Local\Temp\WeChat Files\6b2d4e1d76675bde2c43827105fa8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C:\Users\ADMINI~1\AppData\Local\Temp\WeChat Files\6b2d4e1d76675bde2c43827105fa874.jpg"/>
                    <pic:cNvPicPr>
                      <a:picLocks noChangeAspect="1" noChangeArrowheads="1"/>
                    </pic:cNvPicPr>
                  </pic:nvPicPr>
                  <pic:blipFill>
                    <a:blip r:embed="rId7" cstate="print"/>
                    <a:srcRect/>
                    <a:stretch>
                      <a:fillRect/>
                    </a:stretch>
                  </pic:blipFill>
                  <pic:spPr>
                    <a:xfrm>
                      <a:off x="0" y="0"/>
                      <a:ext cx="2712378" cy="2575909"/>
                    </a:xfrm>
                    <a:prstGeom prst="rect">
                      <a:avLst/>
                    </a:prstGeom>
                    <a:noFill/>
                    <a:ln w="9525">
                      <a:noFill/>
                      <a:miter lim="800000"/>
                      <a:headEnd/>
                      <a:tailEnd/>
                    </a:ln>
                  </pic:spPr>
                </pic:pic>
              </a:graphicData>
            </a:graphic>
          </wp:anchor>
        </w:drawing>
      </w:r>
    </w:p>
    <w:p w14:paraId="3F1023AE">
      <w:pPr>
        <w:tabs>
          <w:tab w:val="left" w:pos="709"/>
        </w:tabs>
        <w:spacing w:before="156" w:beforeLines="50" w:line="600" w:lineRule="exact"/>
        <w:rPr>
          <w:rFonts w:ascii="黑体" w:hAnsi="黑体" w:eastAsia="黑体"/>
          <w:b/>
          <w:color w:val="000000" w:themeColor="text1"/>
          <w14:textFill>
            <w14:solidFill>
              <w14:schemeClr w14:val="tx1"/>
            </w14:solidFill>
          </w14:textFill>
        </w:rPr>
      </w:pPr>
    </w:p>
    <w:p w14:paraId="5D457D7A">
      <w:pPr>
        <w:rPr>
          <w:rFonts w:ascii="黑体" w:hAnsi="黑体" w:eastAsia="黑体"/>
        </w:rPr>
      </w:pPr>
    </w:p>
    <w:p w14:paraId="6082D2D9">
      <w:pPr>
        <w:jc w:val="right"/>
        <w:rPr>
          <w:rFonts w:ascii="黑体" w:hAnsi="黑体" w:eastAsia="黑体"/>
        </w:rPr>
      </w:pPr>
    </w:p>
    <w:sdt>
      <w:sdtPr>
        <w:rPr>
          <w:rFonts w:ascii="宋体" w:hAnsi="宋体" w:eastAsia="宋体" w:cstheme="minorBidi"/>
          <w:b w:val="0"/>
          <w:bCs w:val="0"/>
          <w:color w:val="000000" w:themeColor="text1"/>
          <w:kern w:val="2"/>
          <w:sz w:val="21"/>
          <w:szCs w:val="22"/>
          <w:lang w:val="zh-CN"/>
          <w14:textFill>
            <w14:solidFill>
              <w14:schemeClr w14:val="tx1"/>
            </w14:solidFill>
          </w14:textFill>
        </w:rPr>
        <w:id w:val="-671422043"/>
        <w:docPartObj>
          <w:docPartGallery w:val="Table of Contents"/>
          <w:docPartUnique/>
        </w:docPartObj>
      </w:sdtPr>
      <w:sdtEndPr>
        <w:rPr>
          <w:rFonts w:ascii="黑体" w:hAnsi="黑体" w:eastAsia="黑体" w:cstheme="minorBidi"/>
          <w:b w:val="0"/>
          <w:bCs w:val="0"/>
          <w:color w:val="000000" w:themeColor="text1"/>
          <w:kern w:val="2"/>
          <w:sz w:val="21"/>
          <w:szCs w:val="22"/>
          <w:lang w:val="zh-CN"/>
          <w14:textFill>
            <w14:solidFill>
              <w14:schemeClr w14:val="tx1"/>
            </w14:solidFill>
          </w14:textFill>
        </w:rPr>
      </w:sdtEndPr>
      <w:sdtContent>
        <w:p w14:paraId="69359C8E">
          <w:pPr>
            <w:pStyle w:val="34"/>
            <w:keepNext w:val="0"/>
            <w:keepLines w:val="0"/>
            <w:pageBreakBefore/>
            <w:widowControl w:val="0"/>
            <w:spacing w:before="0" w:line="360" w:lineRule="auto"/>
            <w:jc w:val="center"/>
            <w:rPr>
              <w:rFonts w:ascii="黑体" w:hAnsi="黑体" w:eastAsia="黑体"/>
              <w:color w:val="000000" w:themeColor="text1"/>
              <w14:textFill>
                <w14:solidFill>
                  <w14:schemeClr w14:val="tx1"/>
                </w14:solidFill>
              </w14:textFill>
            </w:rPr>
          </w:pPr>
          <w:bookmarkStart w:id="0" w:name="_Toc391627747"/>
          <w:bookmarkStart w:id="1" w:name="_Toc405313951"/>
          <w:bookmarkStart w:id="2" w:name="_Toc391367873"/>
          <w:r>
            <w:rPr>
              <w:rFonts w:hint="eastAsia" w:ascii="黑体" w:hAnsi="黑体" w:eastAsia="黑体"/>
              <w:color w:val="000000" w:themeColor="text1"/>
              <w:lang w:val="zh-CN"/>
              <w14:textFill>
                <w14:solidFill>
                  <w14:schemeClr w14:val="tx1"/>
                </w14:solidFill>
              </w14:textFill>
            </w:rPr>
            <w:t>目   录</w:t>
          </w:r>
        </w:p>
        <w:p w14:paraId="55F252BF">
          <w:pPr>
            <w:pStyle w:val="15"/>
            <w:rPr>
              <w:rFonts w:eastAsiaTheme="minorEastAsia"/>
              <w:kern w:val="2"/>
              <w:sz w:val="21"/>
            </w:rPr>
          </w:pPr>
          <w:r>
            <w:rPr>
              <w:rFonts w:ascii="黑体" w:hAnsi="黑体"/>
              <w:color w:val="000000" w:themeColor="text1"/>
              <w14:textFill>
                <w14:solidFill>
                  <w14:schemeClr w14:val="tx1"/>
                </w14:solidFill>
              </w14:textFill>
            </w:rPr>
            <w:fldChar w:fldCharType="begin"/>
          </w:r>
          <w:r>
            <w:rPr>
              <w:rFonts w:ascii="黑体" w:hAnsi="黑体"/>
              <w:color w:val="000000" w:themeColor="text1"/>
              <w14:textFill>
                <w14:solidFill>
                  <w14:schemeClr w14:val="tx1"/>
                </w14:solidFill>
              </w14:textFill>
            </w:rPr>
            <w:instrText xml:space="preserve"> TOC \o "1-3" \h \z \u </w:instrText>
          </w:r>
          <w:r>
            <w:rPr>
              <w:rFonts w:ascii="黑体" w:hAnsi="黑体"/>
              <w:color w:val="000000" w:themeColor="text1"/>
              <w14:textFill>
                <w14:solidFill>
                  <w14:schemeClr w14:val="tx1"/>
                </w14:solidFill>
              </w14:textFill>
            </w:rPr>
            <w:fldChar w:fldCharType="separate"/>
          </w:r>
          <w:r>
            <w:fldChar w:fldCharType="begin"/>
          </w:r>
          <w:r>
            <w:instrText xml:space="preserve"> HYPERLINK \l "_Toc119514285" </w:instrText>
          </w:r>
          <w:r>
            <w:fldChar w:fldCharType="separate"/>
          </w:r>
          <w:r>
            <w:rPr>
              <w:rStyle w:val="25"/>
              <w:rFonts w:ascii="黑体" w:hAnsi="黑体"/>
              <w:spacing w:val="20"/>
            </w:rPr>
            <w:t>第一部分 投标邀请</w:t>
          </w:r>
          <w:r>
            <w:tab/>
          </w:r>
          <w:r>
            <w:fldChar w:fldCharType="begin"/>
          </w:r>
          <w:r>
            <w:instrText xml:space="preserve"> PAGEREF _Toc119514285 \h </w:instrText>
          </w:r>
          <w:r>
            <w:fldChar w:fldCharType="separate"/>
          </w:r>
          <w:r>
            <w:t>3</w:t>
          </w:r>
          <w:r>
            <w:fldChar w:fldCharType="end"/>
          </w:r>
          <w:r>
            <w:fldChar w:fldCharType="end"/>
          </w:r>
        </w:p>
        <w:p w14:paraId="4C5D3C08">
          <w:pPr>
            <w:pStyle w:val="15"/>
            <w:rPr>
              <w:rFonts w:eastAsiaTheme="minorEastAsia"/>
              <w:kern w:val="2"/>
              <w:sz w:val="21"/>
            </w:rPr>
          </w:pPr>
          <w:r>
            <w:fldChar w:fldCharType="begin"/>
          </w:r>
          <w:r>
            <w:instrText xml:space="preserve"> HYPERLINK \l "_Toc119514286" </w:instrText>
          </w:r>
          <w:r>
            <w:fldChar w:fldCharType="separate"/>
          </w:r>
          <w:r>
            <w:rPr>
              <w:rStyle w:val="25"/>
              <w:rFonts w:ascii="黑体" w:hAnsi="黑体"/>
              <w:spacing w:val="20"/>
            </w:rPr>
            <w:t>第二部分 采购需求</w:t>
          </w:r>
          <w:r>
            <w:tab/>
          </w:r>
          <w:r>
            <w:fldChar w:fldCharType="begin"/>
          </w:r>
          <w:r>
            <w:instrText xml:space="preserve"> PAGEREF _Toc119514286 \h </w:instrText>
          </w:r>
          <w:r>
            <w:fldChar w:fldCharType="separate"/>
          </w:r>
          <w:r>
            <w:t>7</w:t>
          </w:r>
          <w:r>
            <w:fldChar w:fldCharType="end"/>
          </w:r>
          <w:r>
            <w:fldChar w:fldCharType="end"/>
          </w:r>
        </w:p>
        <w:p w14:paraId="2FD4E629">
          <w:pPr>
            <w:pStyle w:val="15"/>
            <w:rPr>
              <w:rFonts w:eastAsiaTheme="minorEastAsia"/>
              <w:kern w:val="2"/>
              <w:sz w:val="21"/>
            </w:rPr>
          </w:pPr>
          <w:r>
            <w:fldChar w:fldCharType="begin"/>
          </w:r>
          <w:r>
            <w:instrText xml:space="preserve"> HYPERLINK \l "_Toc119514287" </w:instrText>
          </w:r>
          <w:r>
            <w:fldChar w:fldCharType="separate"/>
          </w:r>
          <w:r>
            <w:rPr>
              <w:rStyle w:val="25"/>
              <w:rFonts w:ascii="黑体" w:hAnsi="黑体"/>
              <w:spacing w:val="20"/>
            </w:rPr>
            <w:t>第三部分 投标人须知前附表</w:t>
          </w:r>
          <w:r>
            <w:tab/>
          </w:r>
          <w:r>
            <w:fldChar w:fldCharType="begin"/>
          </w:r>
          <w:r>
            <w:instrText xml:space="preserve"> PAGEREF _Toc119514287 \h </w:instrText>
          </w:r>
          <w:r>
            <w:fldChar w:fldCharType="separate"/>
          </w:r>
          <w:r>
            <w:t>19</w:t>
          </w:r>
          <w:r>
            <w:fldChar w:fldCharType="end"/>
          </w:r>
          <w:r>
            <w:fldChar w:fldCharType="end"/>
          </w:r>
        </w:p>
        <w:p w14:paraId="158E71EA">
          <w:pPr>
            <w:pStyle w:val="15"/>
            <w:rPr>
              <w:rFonts w:eastAsiaTheme="minorEastAsia"/>
              <w:kern w:val="2"/>
              <w:sz w:val="21"/>
            </w:rPr>
          </w:pPr>
          <w:r>
            <w:fldChar w:fldCharType="begin"/>
          </w:r>
          <w:r>
            <w:instrText xml:space="preserve"> HYPERLINK \l "_Toc119514288" </w:instrText>
          </w:r>
          <w:r>
            <w:fldChar w:fldCharType="separate"/>
          </w:r>
          <w:r>
            <w:rPr>
              <w:rStyle w:val="25"/>
              <w:rFonts w:ascii="黑体" w:hAnsi="黑体"/>
              <w:spacing w:val="20"/>
            </w:rPr>
            <w:t>第四部分 投标人须知</w:t>
          </w:r>
          <w:r>
            <w:tab/>
          </w:r>
          <w:r>
            <w:fldChar w:fldCharType="begin"/>
          </w:r>
          <w:r>
            <w:instrText xml:space="preserve"> PAGEREF _Toc119514288 \h </w:instrText>
          </w:r>
          <w:r>
            <w:fldChar w:fldCharType="separate"/>
          </w:r>
          <w:r>
            <w:t>21</w:t>
          </w:r>
          <w:r>
            <w:fldChar w:fldCharType="end"/>
          </w:r>
          <w:r>
            <w:fldChar w:fldCharType="end"/>
          </w:r>
        </w:p>
        <w:p w14:paraId="14B4C845">
          <w:pPr>
            <w:pStyle w:val="15"/>
            <w:rPr>
              <w:rFonts w:eastAsiaTheme="minorEastAsia"/>
              <w:kern w:val="2"/>
              <w:sz w:val="21"/>
            </w:rPr>
          </w:pPr>
          <w:r>
            <w:fldChar w:fldCharType="begin"/>
          </w:r>
          <w:r>
            <w:instrText xml:space="preserve"> HYPERLINK \l "_Toc119514289" </w:instrText>
          </w:r>
          <w:r>
            <w:fldChar w:fldCharType="separate"/>
          </w:r>
          <w:r>
            <w:rPr>
              <w:rStyle w:val="25"/>
              <w:rFonts w:ascii="黑体" w:hAnsi="黑体"/>
              <w:spacing w:val="20"/>
            </w:rPr>
            <w:t>第五部分 评标方法、步骤、标准</w:t>
          </w:r>
          <w:r>
            <w:tab/>
          </w:r>
          <w:r>
            <w:fldChar w:fldCharType="begin"/>
          </w:r>
          <w:r>
            <w:instrText xml:space="preserve"> PAGEREF _Toc119514289 \h </w:instrText>
          </w:r>
          <w:r>
            <w:fldChar w:fldCharType="separate"/>
          </w:r>
          <w:r>
            <w:t>38</w:t>
          </w:r>
          <w:r>
            <w:fldChar w:fldCharType="end"/>
          </w:r>
          <w:r>
            <w:fldChar w:fldCharType="end"/>
          </w:r>
        </w:p>
        <w:p w14:paraId="7673C39F">
          <w:pPr>
            <w:pStyle w:val="15"/>
            <w:rPr>
              <w:rFonts w:eastAsiaTheme="minorEastAsia"/>
              <w:kern w:val="2"/>
              <w:sz w:val="21"/>
            </w:rPr>
          </w:pPr>
          <w:r>
            <w:fldChar w:fldCharType="begin"/>
          </w:r>
          <w:r>
            <w:instrText xml:space="preserve"> HYPERLINK \l "_Toc119514290" </w:instrText>
          </w:r>
          <w:r>
            <w:fldChar w:fldCharType="separate"/>
          </w:r>
          <w:r>
            <w:rPr>
              <w:rStyle w:val="25"/>
              <w:rFonts w:ascii="黑体" w:hAnsi="黑体"/>
              <w:spacing w:val="20"/>
            </w:rPr>
            <w:t>第六部分 合同书格式</w:t>
          </w:r>
          <w:r>
            <w:tab/>
          </w:r>
          <w:r>
            <w:fldChar w:fldCharType="begin"/>
          </w:r>
          <w:r>
            <w:instrText xml:space="preserve"> PAGEREF _Toc119514290 \h </w:instrText>
          </w:r>
          <w:r>
            <w:fldChar w:fldCharType="separate"/>
          </w:r>
          <w:r>
            <w:t>53</w:t>
          </w:r>
          <w:r>
            <w:fldChar w:fldCharType="end"/>
          </w:r>
          <w:r>
            <w:fldChar w:fldCharType="end"/>
          </w:r>
        </w:p>
        <w:p w14:paraId="5224B2AE">
          <w:pPr>
            <w:pStyle w:val="15"/>
            <w:rPr>
              <w:rFonts w:eastAsiaTheme="minorEastAsia"/>
              <w:kern w:val="2"/>
              <w:sz w:val="21"/>
            </w:rPr>
          </w:pPr>
          <w:r>
            <w:fldChar w:fldCharType="begin"/>
          </w:r>
          <w:r>
            <w:instrText xml:space="preserve"> HYPERLINK \l "_Toc119514291" </w:instrText>
          </w:r>
          <w:r>
            <w:fldChar w:fldCharType="separate"/>
          </w:r>
          <w:r>
            <w:rPr>
              <w:rStyle w:val="25"/>
              <w:rFonts w:ascii="黑体" w:hAnsi="黑体"/>
              <w:spacing w:val="20"/>
            </w:rPr>
            <w:t>第七部分 投标文件格式</w:t>
          </w:r>
          <w:r>
            <w:tab/>
          </w:r>
          <w:r>
            <w:fldChar w:fldCharType="begin"/>
          </w:r>
          <w:r>
            <w:instrText xml:space="preserve"> PAGEREF _Toc119514291 \h </w:instrText>
          </w:r>
          <w:r>
            <w:fldChar w:fldCharType="separate"/>
          </w:r>
          <w:r>
            <w:t>54</w:t>
          </w:r>
          <w:r>
            <w:fldChar w:fldCharType="end"/>
          </w:r>
          <w:r>
            <w:fldChar w:fldCharType="end"/>
          </w:r>
        </w:p>
        <w:p w14:paraId="11C9268B">
          <w:pPr>
            <w:spacing w:line="348" w:lineRule="auto"/>
            <w:rPr>
              <w:rFonts w:ascii="黑体" w:hAnsi="黑体" w:eastAsia="黑体"/>
              <w:color w:val="000000" w:themeColor="text1"/>
              <w14:textFill>
                <w14:solidFill>
                  <w14:schemeClr w14:val="tx1"/>
                </w14:solidFill>
              </w14:textFill>
            </w:rPr>
          </w:pPr>
          <w:r>
            <w:rPr>
              <w:rFonts w:ascii="黑体" w:hAnsi="黑体" w:eastAsia="黑体"/>
              <w:b/>
              <w:bCs/>
              <w:color w:val="000000" w:themeColor="text1"/>
              <w:lang w:val="zh-CN"/>
              <w14:textFill>
                <w14:solidFill>
                  <w14:schemeClr w14:val="tx1"/>
                </w14:solidFill>
              </w14:textFill>
            </w:rPr>
            <w:fldChar w:fldCharType="end"/>
          </w:r>
        </w:p>
      </w:sdtContent>
    </w:sdt>
    <w:p w14:paraId="6CD86DF2">
      <w:pPr>
        <w:pStyle w:val="3"/>
        <w:keepNext w:val="0"/>
        <w:keepLines w:val="0"/>
        <w:pageBreakBefore/>
        <w:spacing w:before="120" w:after="120" w:line="360" w:lineRule="auto"/>
        <w:jc w:val="center"/>
        <w:rPr>
          <w:rFonts w:ascii="黑体" w:hAnsi="黑体" w:eastAsia="黑体"/>
          <w:color w:val="000000" w:themeColor="text1"/>
          <w:spacing w:val="20"/>
          <w:sz w:val="32"/>
          <w:szCs w:val="32"/>
          <w14:textFill>
            <w14:solidFill>
              <w14:schemeClr w14:val="tx1"/>
            </w14:solidFill>
          </w14:textFill>
        </w:rPr>
      </w:pPr>
      <w:bookmarkStart w:id="3" w:name="_Toc119514285"/>
      <w:r>
        <w:rPr>
          <w:rFonts w:hint="eastAsia" w:ascii="黑体" w:hAnsi="黑体" w:eastAsia="黑体"/>
          <w:color w:val="000000" w:themeColor="text1"/>
          <w:spacing w:val="20"/>
          <w:sz w:val="32"/>
          <w:szCs w:val="32"/>
          <w14:textFill>
            <w14:solidFill>
              <w14:schemeClr w14:val="tx1"/>
            </w14:solidFill>
          </w14:textFill>
        </w:rPr>
        <w:t>第一部分</w:t>
      </w:r>
      <w:r>
        <w:rPr>
          <w:rFonts w:ascii="黑体" w:hAnsi="黑体" w:eastAsia="黑体"/>
          <w:color w:val="000000" w:themeColor="text1"/>
          <w:spacing w:val="20"/>
          <w:sz w:val="32"/>
          <w:szCs w:val="32"/>
          <w14:textFill>
            <w14:solidFill>
              <w14:schemeClr w14:val="tx1"/>
            </w14:solidFill>
          </w14:textFill>
        </w:rPr>
        <w:t xml:space="preserve"> </w:t>
      </w:r>
      <w:r>
        <w:rPr>
          <w:rFonts w:hint="eastAsia" w:ascii="黑体" w:hAnsi="黑体" w:eastAsia="黑体"/>
          <w:color w:val="000000" w:themeColor="text1"/>
          <w:spacing w:val="20"/>
          <w:sz w:val="32"/>
          <w:szCs w:val="32"/>
          <w14:textFill>
            <w14:solidFill>
              <w14:schemeClr w14:val="tx1"/>
            </w14:solidFill>
          </w14:textFill>
        </w:rPr>
        <w:t>投标邀请</w:t>
      </w:r>
      <w:bookmarkEnd w:id="0"/>
      <w:bookmarkEnd w:id="1"/>
      <w:bookmarkEnd w:id="2"/>
      <w:bookmarkEnd w:id="3"/>
    </w:p>
    <w:p w14:paraId="45FED9BF">
      <w:pPr>
        <w:widowControl/>
        <w:spacing w:before="156" w:beforeLines="50" w:after="156" w:afterLines="50" w:line="360" w:lineRule="atLeast"/>
        <w:jc w:val="left"/>
        <w:rPr>
          <w:rFonts w:ascii="黑体" w:hAnsi="黑体" w:eastAsia="黑体" w:cs="宋体"/>
          <w:b/>
          <w:color w:val="000000" w:themeColor="text1"/>
          <w:kern w:val="0"/>
          <w:sz w:val="24"/>
          <w:szCs w:val="24"/>
          <w14:textFill>
            <w14:solidFill>
              <w14:schemeClr w14:val="tx1"/>
            </w14:solidFill>
          </w14:textFill>
        </w:rPr>
      </w:pPr>
      <w:r>
        <w:rPr>
          <w:rFonts w:hint="eastAsia" w:ascii="黑体" w:hAnsi="黑体" w:eastAsia="黑体" w:cs="宋体"/>
          <w:b/>
          <w:color w:val="000000" w:themeColor="text1"/>
          <w:kern w:val="0"/>
          <w:sz w:val="24"/>
          <w:szCs w:val="24"/>
          <w14:textFill>
            <w14:solidFill>
              <w14:schemeClr w14:val="tx1"/>
            </w14:solidFill>
          </w14:textFill>
        </w:rPr>
        <w:t>项目概况</w:t>
      </w:r>
    </w:p>
    <w:p w14:paraId="5CF43F8A">
      <w:pPr>
        <w:tabs>
          <w:tab w:val="left" w:pos="426"/>
        </w:tabs>
        <w:spacing w:before="312" w:beforeLines="100"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s="宋体"/>
          <w:color w:val="000000" w:themeColor="text1"/>
          <w:kern w:val="0"/>
          <w:szCs w:val="21"/>
          <w:u w:val="single"/>
          <w:lang w:eastAsia="zh-CN"/>
          <w14:textFill>
            <w14:solidFill>
              <w14:schemeClr w14:val="tx1"/>
            </w14:solidFill>
          </w14:textFill>
        </w:rPr>
        <w:t>清溪医院硬性电子输尿管镜系统等采购项目</w:t>
      </w:r>
      <w:r>
        <w:rPr>
          <w:rFonts w:hint="eastAsia" w:ascii="黑体" w:hAnsi="黑体" w:eastAsia="黑体" w:cs="宋体"/>
          <w:color w:val="000000" w:themeColor="text1"/>
          <w:kern w:val="0"/>
          <w:szCs w:val="21"/>
          <w14:textFill>
            <w14:solidFill>
              <w14:schemeClr w14:val="tx1"/>
            </w14:solidFill>
          </w14:textFill>
        </w:rPr>
        <w:t>的潜在投标人应在</w:t>
      </w:r>
      <w:r>
        <w:rPr>
          <w:rFonts w:hint="eastAsia" w:ascii="黑体" w:hAnsi="黑体" w:eastAsia="黑体" w:cs="宋体"/>
          <w:color w:val="000000" w:themeColor="text1"/>
          <w:kern w:val="0"/>
          <w:szCs w:val="21"/>
          <w:u w:val="single"/>
          <w14:textFill>
            <w14:solidFill>
              <w14:schemeClr w14:val="tx1"/>
            </w14:solidFill>
          </w14:textFill>
        </w:rPr>
        <w:t>东莞市东城街道新源路海德琥珀台6栋1703</w:t>
      </w:r>
      <w:r>
        <w:rPr>
          <w:rFonts w:hint="eastAsia" w:ascii="黑体" w:hAnsi="黑体" w:eastAsia="黑体" w:cs="宋体"/>
          <w:color w:val="auto"/>
          <w:kern w:val="0"/>
          <w:szCs w:val="21"/>
          <w:u w:val="single"/>
        </w:rPr>
        <w:t>室（有德招标）或使用微信扫描二维码进行获取（二维码详见招标文件温馨提示）或微信搜索公众号“有德招标东莞分公司”</w:t>
      </w:r>
      <w:r>
        <w:rPr>
          <w:rFonts w:hint="eastAsia" w:ascii="黑体" w:hAnsi="黑体" w:eastAsia="黑体" w:cs="宋体"/>
          <w:color w:val="000000" w:themeColor="text1"/>
          <w:kern w:val="0"/>
          <w:szCs w:val="21"/>
          <w14:textFill>
            <w14:solidFill>
              <w14:schemeClr w14:val="tx1"/>
            </w14:solidFill>
          </w14:textFill>
        </w:rPr>
        <w:t>获取招标文件，并于</w:t>
      </w:r>
      <w:r>
        <w:rPr>
          <w:rFonts w:hint="eastAsia" w:ascii="黑体" w:hAnsi="黑体" w:eastAsia="黑体" w:cs="宋体"/>
          <w:color w:val="000000" w:themeColor="text1"/>
          <w:kern w:val="0"/>
          <w:szCs w:val="21"/>
          <w:u w:val="single"/>
          <w:lang w:val="en-US" w:eastAsia="zh-CN"/>
          <w14:textFill>
            <w14:solidFill>
              <w14:schemeClr w14:val="tx1"/>
            </w14:solidFill>
          </w14:textFill>
        </w:rPr>
        <w:t>2025</w:t>
      </w:r>
      <w:r>
        <w:rPr>
          <w:rFonts w:hint="eastAsia" w:ascii="黑体" w:hAnsi="黑体" w:eastAsia="黑体" w:cs="宋体"/>
          <w:color w:val="000000" w:themeColor="text1"/>
          <w:kern w:val="0"/>
          <w:szCs w:val="21"/>
          <w14:textFill>
            <w14:solidFill>
              <w14:schemeClr w14:val="tx1"/>
            </w14:solidFill>
          </w14:textFill>
        </w:rPr>
        <w:t>年</w:t>
      </w:r>
      <w:r>
        <w:rPr>
          <w:rFonts w:hint="eastAsia" w:ascii="黑体" w:hAnsi="黑体" w:eastAsia="黑体" w:cs="宋体"/>
          <w:color w:val="000000" w:themeColor="text1"/>
          <w:kern w:val="0"/>
          <w:szCs w:val="21"/>
          <w:u w:val="single"/>
          <w:lang w:val="en-US" w:eastAsia="zh-CN"/>
          <w14:textFill>
            <w14:solidFill>
              <w14:schemeClr w14:val="tx1"/>
            </w14:solidFill>
          </w14:textFill>
        </w:rPr>
        <w:t>11</w:t>
      </w:r>
      <w:r>
        <w:rPr>
          <w:rFonts w:hint="eastAsia" w:ascii="黑体" w:hAnsi="黑体" w:eastAsia="黑体" w:cs="宋体"/>
          <w:color w:val="000000" w:themeColor="text1"/>
          <w:kern w:val="0"/>
          <w:szCs w:val="21"/>
          <w14:textFill>
            <w14:solidFill>
              <w14:schemeClr w14:val="tx1"/>
            </w14:solidFill>
          </w14:textFill>
        </w:rPr>
        <w:t>月</w:t>
      </w:r>
      <w:r>
        <w:rPr>
          <w:rFonts w:hint="eastAsia" w:ascii="黑体" w:hAnsi="黑体" w:eastAsia="黑体" w:cs="宋体"/>
          <w:color w:val="000000" w:themeColor="text1"/>
          <w:kern w:val="0"/>
          <w:szCs w:val="21"/>
          <w:u w:val="single"/>
          <w:lang w:val="en-US" w:eastAsia="zh-CN"/>
          <w14:textFill>
            <w14:solidFill>
              <w14:schemeClr w14:val="tx1"/>
            </w14:solidFill>
          </w14:textFill>
        </w:rPr>
        <w:t>07</w:t>
      </w:r>
      <w:r>
        <w:rPr>
          <w:rFonts w:hint="eastAsia" w:ascii="黑体" w:hAnsi="黑体" w:eastAsia="黑体" w:cs="宋体"/>
          <w:color w:val="000000" w:themeColor="text1"/>
          <w:kern w:val="0"/>
          <w:szCs w:val="21"/>
          <w14:textFill>
            <w14:solidFill>
              <w14:schemeClr w14:val="tx1"/>
            </w14:solidFill>
          </w14:textFill>
        </w:rPr>
        <w:t>日</w:t>
      </w:r>
      <w:r>
        <w:rPr>
          <w:rFonts w:hint="eastAsia" w:ascii="黑体" w:hAnsi="黑体" w:eastAsia="黑体" w:cs="宋体"/>
          <w:color w:val="000000" w:themeColor="text1"/>
          <w:kern w:val="0"/>
          <w:szCs w:val="21"/>
          <w:u w:val="single"/>
          <w:lang w:val="en-US" w:eastAsia="zh-CN"/>
          <w14:textFill>
            <w14:solidFill>
              <w14:schemeClr w14:val="tx1"/>
            </w14:solidFill>
          </w14:textFill>
        </w:rPr>
        <w:t>09</w:t>
      </w:r>
      <w:r>
        <w:rPr>
          <w:rFonts w:hint="eastAsia" w:ascii="黑体" w:hAnsi="黑体" w:eastAsia="黑体" w:cs="宋体"/>
          <w:color w:val="000000" w:themeColor="text1"/>
          <w:kern w:val="0"/>
          <w:szCs w:val="21"/>
          <w14:textFill>
            <w14:solidFill>
              <w14:schemeClr w14:val="tx1"/>
            </w14:solidFill>
          </w14:textFill>
        </w:rPr>
        <w:t>点</w:t>
      </w:r>
      <w:r>
        <w:rPr>
          <w:rFonts w:hint="eastAsia" w:ascii="黑体" w:hAnsi="黑体" w:eastAsia="黑体" w:cs="宋体"/>
          <w:color w:val="000000" w:themeColor="text1"/>
          <w:kern w:val="0"/>
          <w:szCs w:val="21"/>
          <w:u w:val="single"/>
          <w:lang w:val="en-US" w:eastAsia="zh-CN"/>
          <w14:textFill>
            <w14:solidFill>
              <w14:schemeClr w14:val="tx1"/>
            </w14:solidFill>
          </w14:textFill>
        </w:rPr>
        <w:t>30</w:t>
      </w:r>
      <w:r>
        <w:rPr>
          <w:rFonts w:hint="eastAsia" w:ascii="黑体" w:hAnsi="黑体" w:eastAsia="黑体" w:cs="宋体"/>
          <w:color w:val="000000" w:themeColor="text1"/>
          <w:kern w:val="0"/>
          <w:szCs w:val="21"/>
          <w14:textFill>
            <w14:solidFill>
              <w14:schemeClr w14:val="tx1"/>
            </w14:solidFill>
          </w14:textFill>
        </w:rPr>
        <w:t>分（北京时间）前递交投标文件。</w:t>
      </w:r>
    </w:p>
    <w:p w14:paraId="21367218">
      <w:pPr>
        <w:pStyle w:val="29"/>
        <w:numPr>
          <w:ilvl w:val="0"/>
          <w:numId w:val="2"/>
        </w:numPr>
        <w:tabs>
          <w:tab w:val="left" w:pos="426"/>
        </w:tabs>
        <w:spacing w:before="312" w:beforeLines="100" w:line="360" w:lineRule="auto"/>
        <w:ind w:firstLineChars="0"/>
        <w:rPr>
          <w:rFonts w:ascii="黑体" w:hAnsi="黑体" w:eastAsia="黑体"/>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项目基本情况：</w:t>
      </w:r>
    </w:p>
    <w:p w14:paraId="40C3B7D8">
      <w:pPr>
        <w:tabs>
          <w:tab w:val="left" w:pos="426"/>
        </w:tabs>
        <w:spacing w:line="360" w:lineRule="auto"/>
        <w:ind w:left="420" w:hanging="420" w:hangingChars="200"/>
        <w:rPr>
          <w:rFonts w:ascii="黑体" w:hAnsi="黑体" w:eastAsia="黑体"/>
          <w:szCs w:val="21"/>
          <w:u w:val="single"/>
        </w:rPr>
      </w:pPr>
      <w:r>
        <w:rPr>
          <w:rFonts w:hint="eastAsia" w:ascii="黑体" w:hAnsi="黑体" w:eastAsia="黑体"/>
          <w:szCs w:val="21"/>
        </w:rPr>
        <w:t xml:space="preserve">项目编号：YDZB25DGZC0147 </w:t>
      </w:r>
    </w:p>
    <w:p w14:paraId="2F70AAFE">
      <w:pPr>
        <w:tabs>
          <w:tab w:val="left" w:pos="426"/>
        </w:tabs>
        <w:spacing w:line="360" w:lineRule="auto"/>
        <w:ind w:left="420" w:hanging="420" w:hangingChars="200"/>
        <w:rPr>
          <w:rFonts w:hint="eastAsia" w:ascii="黑体" w:hAnsi="黑体" w:eastAsia="黑体"/>
          <w:szCs w:val="21"/>
          <w:lang w:eastAsia="zh-CN"/>
        </w:rPr>
      </w:pPr>
      <w:r>
        <w:rPr>
          <w:rFonts w:hint="eastAsia" w:ascii="黑体" w:hAnsi="黑体" w:eastAsia="黑体"/>
          <w:szCs w:val="21"/>
        </w:rPr>
        <w:t>项目名称：</w:t>
      </w:r>
      <w:r>
        <w:rPr>
          <w:rFonts w:hint="eastAsia" w:ascii="黑体" w:hAnsi="黑体" w:eastAsia="黑体"/>
          <w:szCs w:val="21"/>
          <w:lang w:eastAsia="zh-CN"/>
        </w:rPr>
        <w:t>清溪医院硬性电子输尿管镜系统等采购项目</w:t>
      </w:r>
    </w:p>
    <w:p w14:paraId="647CBBC8">
      <w:pPr>
        <w:tabs>
          <w:tab w:val="left" w:pos="426"/>
        </w:tabs>
        <w:spacing w:line="360" w:lineRule="auto"/>
        <w:ind w:left="420" w:hanging="420" w:hangingChars="200"/>
        <w:rPr>
          <w:rFonts w:hint="default" w:ascii="黑体" w:hAnsi="黑体" w:eastAsia="黑体"/>
          <w:szCs w:val="21"/>
          <w:lang w:val="en-US" w:eastAsia="zh-CN"/>
        </w:rPr>
      </w:pPr>
      <w:r>
        <w:rPr>
          <w:rFonts w:hint="eastAsia" w:ascii="黑体" w:hAnsi="黑体" w:eastAsia="黑体"/>
          <w:szCs w:val="21"/>
        </w:rPr>
        <w:t>采购方式：</w:t>
      </w:r>
      <w:r>
        <w:rPr>
          <w:rFonts w:hint="eastAsia" w:ascii="黑体" w:hAnsi="黑体" w:eastAsia="黑体"/>
          <w:szCs w:val="21"/>
          <w:lang w:val="en-US" w:eastAsia="zh-CN"/>
        </w:rPr>
        <w:t>公开招标</w:t>
      </w:r>
    </w:p>
    <w:p w14:paraId="105C9DBB">
      <w:pPr>
        <w:tabs>
          <w:tab w:val="left" w:pos="426"/>
        </w:tabs>
        <w:spacing w:line="360" w:lineRule="auto"/>
        <w:ind w:left="420" w:hanging="420" w:hangingChars="200"/>
        <w:rPr>
          <w:rFonts w:hint="default" w:ascii="黑体" w:hAnsi="黑体" w:eastAsia="黑体"/>
          <w:szCs w:val="21"/>
          <w:lang w:val="en-US" w:eastAsia="zh-CN"/>
        </w:rPr>
      </w:pPr>
      <w:r>
        <w:rPr>
          <w:rFonts w:hint="eastAsia" w:ascii="黑体" w:hAnsi="黑体" w:eastAsia="黑体"/>
          <w:szCs w:val="21"/>
        </w:rPr>
        <w:t>预算金额：</w:t>
      </w:r>
      <w:r>
        <w:rPr>
          <w:rFonts w:hint="eastAsia" w:ascii="黑体" w:hAnsi="黑体" w:eastAsia="黑体"/>
          <w:szCs w:val="21"/>
          <w:lang w:val="en-US" w:eastAsia="zh-CN"/>
        </w:rPr>
        <w:t>875,000.00元（包A：</w:t>
      </w:r>
      <w:r>
        <w:rPr>
          <w:rFonts w:hint="eastAsia" w:ascii="黑体" w:hAnsi="黑体" w:eastAsia="黑体"/>
          <w:bCs/>
          <w:szCs w:val="21"/>
          <w:lang w:val="en-US" w:eastAsia="zh-CN"/>
        </w:rPr>
        <w:t>280,000.00元；包B：595,000.00元</w:t>
      </w:r>
      <w:r>
        <w:rPr>
          <w:rFonts w:hint="eastAsia" w:ascii="黑体" w:hAnsi="黑体" w:eastAsia="黑体"/>
          <w:szCs w:val="21"/>
          <w:lang w:val="en-US" w:eastAsia="zh-CN"/>
        </w:rPr>
        <w:t>）</w:t>
      </w:r>
    </w:p>
    <w:p w14:paraId="5F7CADA2">
      <w:pPr>
        <w:tabs>
          <w:tab w:val="left" w:pos="426"/>
        </w:tabs>
        <w:spacing w:line="360" w:lineRule="auto"/>
        <w:ind w:left="422" w:hanging="422" w:hangingChars="20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采购需求：</w:t>
      </w:r>
    </w:p>
    <w:tbl>
      <w:tblPr>
        <w:tblStyle w:val="19"/>
        <w:tblW w:w="4972"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664"/>
        <w:gridCol w:w="2334"/>
        <w:gridCol w:w="2320"/>
        <w:gridCol w:w="806"/>
        <w:gridCol w:w="2594"/>
      </w:tblGrid>
      <w:tr w14:paraId="1766C10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vAlign w:val="center"/>
          </w:tcPr>
          <w:p w14:paraId="5B8AB44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黑体" w:hAnsi="黑体" w:eastAsia="黑体"/>
                <w:bCs/>
                <w:szCs w:val="21"/>
              </w:rPr>
            </w:pPr>
            <w:r>
              <w:rPr>
                <w:rFonts w:ascii="黑体" w:hAnsi="黑体" w:eastAsia="黑体"/>
                <w:bCs/>
                <w:szCs w:val="21"/>
              </w:rPr>
              <w:t>包号</w:t>
            </w:r>
          </w:p>
        </w:tc>
        <w:tc>
          <w:tcPr>
            <w:tcW w:w="1338" w:type="pct"/>
            <w:vAlign w:val="center"/>
          </w:tcPr>
          <w:p w14:paraId="7332965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黑体" w:hAnsi="黑体" w:eastAsia="黑体"/>
                <w:bCs/>
                <w:szCs w:val="21"/>
              </w:rPr>
            </w:pPr>
            <w:r>
              <w:rPr>
                <w:rFonts w:ascii="黑体" w:hAnsi="黑体" w:eastAsia="黑体"/>
                <w:bCs/>
                <w:szCs w:val="21"/>
              </w:rPr>
              <w:t>标的名称</w:t>
            </w:r>
          </w:p>
        </w:tc>
        <w:tc>
          <w:tcPr>
            <w:tcW w:w="1330" w:type="pct"/>
            <w:vAlign w:val="center"/>
          </w:tcPr>
          <w:p w14:paraId="70CC9B0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黑体" w:hAnsi="黑体" w:eastAsia="黑体"/>
                <w:bCs/>
                <w:szCs w:val="21"/>
              </w:rPr>
            </w:pPr>
            <w:r>
              <w:rPr>
                <w:rFonts w:ascii="黑体" w:hAnsi="黑体" w:eastAsia="黑体"/>
                <w:bCs/>
                <w:szCs w:val="21"/>
              </w:rPr>
              <w:t>采购包预算金额（元）</w:t>
            </w:r>
          </w:p>
        </w:tc>
        <w:tc>
          <w:tcPr>
            <w:tcW w:w="462" w:type="pct"/>
            <w:vAlign w:val="center"/>
          </w:tcPr>
          <w:p w14:paraId="746437E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黑体" w:hAnsi="黑体" w:eastAsia="黑体"/>
                <w:bCs/>
                <w:szCs w:val="21"/>
              </w:rPr>
            </w:pPr>
            <w:r>
              <w:rPr>
                <w:rFonts w:ascii="黑体" w:hAnsi="黑体" w:eastAsia="黑体"/>
                <w:bCs/>
                <w:szCs w:val="21"/>
              </w:rPr>
              <w:t>数量</w:t>
            </w:r>
          </w:p>
        </w:tc>
        <w:tc>
          <w:tcPr>
            <w:tcW w:w="1487" w:type="pct"/>
            <w:vAlign w:val="center"/>
          </w:tcPr>
          <w:p w14:paraId="43C27DF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黑体" w:hAnsi="黑体" w:eastAsia="黑体"/>
                <w:szCs w:val="21"/>
              </w:rPr>
            </w:pPr>
            <w:r>
              <w:rPr>
                <w:rFonts w:ascii="黑体" w:hAnsi="黑体" w:eastAsia="黑体"/>
                <w:szCs w:val="21"/>
              </w:rPr>
              <w:t>简要技术需求或服务要求</w:t>
            </w:r>
          </w:p>
        </w:tc>
      </w:tr>
      <w:tr w14:paraId="1DA7F94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vAlign w:val="center"/>
          </w:tcPr>
          <w:p w14:paraId="5C08C72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bCs/>
                <w:szCs w:val="21"/>
                <w:lang w:eastAsia="zh-CN"/>
              </w:rPr>
            </w:pPr>
            <w:r>
              <w:rPr>
                <w:rFonts w:hint="eastAsia" w:ascii="黑体" w:hAnsi="黑体" w:eastAsia="黑体"/>
                <w:bCs/>
                <w:szCs w:val="21"/>
                <w:lang w:val="en-US" w:eastAsia="zh-CN"/>
              </w:rPr>
              <w:t>A</w:t>
            </w:r>
          </w:p>
        </w:tc>
        <w:tc>
          <w:tcPr>
            <w:tcW w:w="1338" w:type="pct"/>
            <w:vAlign w:val="center"/>
          </w:tcPr>
          <w:p w14:paraId="57CDA65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黑体" w:hAnsi="黑体" w:eastAsia="黑体"/>
                <w:bCs/>
                <w:szCs w:val="21"/>
                <w:lang w:val="en-US"/>
              </w:rPr>
            </w:pPr>
            <w:r>
              <w:rPr>
                <w:rFonts w:hint="eastAsia" w:ascii="黑体" w:hAnsi="黑体" w:eastAsia="黑体"/>
                <w:bCs/>
                <w:color w:val="auto"/>
                <w:szCs w:val="21"/>
                <w:highlight w:val="none"/>
                <w:lang w:val="en-US" w:eastAsia="zh-CN"/>
              </w:rPr>
              <w:t>根管治疗仪及其配套马达手机等医疗设备一批</w:t>
            </w:r>
          </w:p>
        </w:tc>
        <w:tc>
          <w:tcPr>
            <w:tcW w:w="1330" w:type="pct"/>
            <w:vAlign w:val="center"/>
          </w:tcPr>
          <w:p w14:paraId="0773632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黑体" w:hAnsi="黑体" w:eastAsia="黑体"/>
                <w:bCs/>
                <w:szCs w:val="21"/>
                <w:lang w:val="en-US" w:eastAsia="zh-CN"/>
              </w:rPr>
            </w:pPr>
            <w:r>
              <w:rPr>
                <w:rFonts w:hint="eastAsia" w:ascii="黑体" w:hAnsi="黑体" w:eastAsia="黑体"/>
                <w:bCs/>
                <w:szCs w:val="21"/>
                <w:lang w:val="en-US" w:eastAsia="zh-CN"/>
              </w:rPr>
              <w:t>280,000.00</w:t>
            </w:r>
          </w:p>
        </w:tc>
        <w:tc>
          <w:tcPr>
            <w:tcW w:w="462" w:type="pct"/>
            <w:vAlign w:val="center"/>
          </w:tcPr>
          <w:p w14:paraId="70AE7E5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黑体" w:hAnsi="黑体" w:eastAsia="黑体"/>
                <w:bCs/>
                <w:szCs w:val="21"/>
                <w:lang w:val="en-US" w:eastAsia="zh-CN"/>
              </w:rPr>
            </w:pPr>
            <w:r>
              <w:rPr>
                <w:rFonts w:hint="eastAsia" w:ascii="黑体" w:hAnsi="黑体" w:eastAsia="黑体"/>
                <w:bCs/>
                <w:szCs w:val="21"/>
                <w:lang w:val="en-US" w:eastAsia="zh-CN"/>
              </w:rPr>
              <w:t>1批</w:t>
            </w:r>
          </w:p>
        </w:tc>
        <w:tc>
          <w:tcPr>
            <w:tcW w:w="1487" w:type="pct"/>
            <w:vAlign w:val="center"/>
          </w:tcPr>
          <w:p w14:paraId="40D2EC8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黑体" w:hAnsi="黑体" w:eastAsia="黑体"/>
                <w:kern w:val="0"/>
                <w:szCs w:val="21"/>
              </w:rPr>
            </w:pPr>
            <w:r>
              <w:rPr>
                <w:rFonts w:hint="eastAsia" w:ascii="黑体" w:hAnsi="黑体" w:eastAsia="黑体"/>
                <w:kern w:val="0"/>
                <w:szCs w:val="21"/>
              </w:rPr>
              <w:t>详见招标文件采购需求</w:t>
            </w:r>
          </w:p>
        </w:tc>
      </w:tr>
      <w:tr w14:paraId="74C3FB7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vAlign w:val="center"/>
          </w:tcPr>
          <w:p w14:paraId="5012507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黑体" w:hAnsi="黑体" w:eastAsia="黑体"/>
                <w:bCs/>
                <w:szCs w:val="21"/>
                <w:lang w:val="en-US" w:eastAsia="zh-CN"/>
              </w:rPr>
            </w:pPr>
            <w:r>
              <w:rPr>
                <w:rFonts w:hint="eastAsia" w:ascii="黑体" w:hAnsi="黑体" w:eastAsia="黑体"/>
                <w:bCs/>
                <w:szCs w:val="21"/>
                <w:lang w:val="en-US" w:eastAsia="zh-CN"/>
              </w:rPr>
              <w:t>B</w:t>
            </w:r>
          </w:p>
        </w:tc>
        <w:tc>
          <w:tcPr>
            <w:tcW w:w="1338" w:type="pct"/>
            <w:vAlign w:val="center"/>
          </w:tcPr>
          <w:p w14:paraId="69A69A6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黑体" w:hAnsi="黑体" w:eastAsia="黑体"/>
                <w:bCs/>
                <w:szCs w:val="21"/>
              </w:rPr>
            </w:pPr>
            <w:r>
              <w:rPr>
                <w:rFonts w:hint="eastAsia" w:ascii="黑体" w:hAnsi="黑体" w:eastAsia="黑体"/>
                <w:bCs/>
                <w:szCs w:val="21"/>
              </w:rPr>
              <w:t>硬性电子输尿管镜系统</w:t>
            </w:r>
            <w:r>
              <w:rPr>
                <w:rFonts w:hint="eastAsia" w:ascii="黑体" w:hAnsi="黑体" w:eastAsia="黑体"/>
                <w:bCs/>
                <w:color w:val="auto"/>
                <w:szCs w:val="21"/>
                <w:highlight w:val="none"/>
                <w:lang w:val="en-US" w:eastAsia="zh-CN"/>
              </w:rPr>
              <w:t>等医疗设备一批</w:t>
            </w:r>
          </w:p>
        </w:tc>
        <w:tc>
          <w:tcPr>
            <w:tcW w:w="1330" w:type="pct"/>
            <w:vAlign w:val="center"/>
          </w:tcPr>
          <w:p w14:paraId="377D8CA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黑体" w:hAnsi="黑体" w:eastAsia="黑体"/>
                <w:bCs/>
                <w:szCs w:val="21"/>
                <w:lang w:val="en-US" w:eastAsia="zh-CN"/>
              </w:rPr>
            </w:pPr>
            <w:r>
              <w:rPr>
                <w:rFonts w:hint="eastAsia" w:ascii="黑体" w:hAnsi="黑体" w:eastAsia="黑体"/>
                <w:bCs/>
                <w:szCs w:val="21"/>
                <w:lang w:val="en-US" w:eastAsia="zh-CN"/>
              </w:rPr>
              <w:t>595,000.00</w:t>
            </w:r>
          </w:p>
        </w:tc>
        <w:tc>
          <w:tcPr>
            <w:tcW w:w="462" w:type="pct"/>
            <w:vAlign w:val="center"/>
          </w:tcPr>
          <w:p w14:paraId="668A91F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黑体" w:hAnsi="黑体" w:eastAsia="黑体"/>
                <w:bCs/>
                <w:szCs w:val="21"/>
              </w:rPr>
            </w:pPr>
            <w:r>
              <w:rPr>
                <w:rFonts w:hint="eastAsia" w:ascii="黑体" w:hAnsi="黑体" w:eastAsia="黑体"/>
                <w:bCs/>
                <w:szCs w:val="21"/>
                <w:lang w:val="en-US" w:eastAsia="zh-CN"/>
              </w:rPr>
              <w:t>1批</w:t>
            </w:r>
          </w:p>
        </w:tc>
        <w:tc>
          <w:tcPr>
            <w:tcW w:w="1487" w:type="pct"/>
            <w:vAlign w:val="center"/>
          </w:tcPr>
          <w:p w14:paraId="7F5445F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黑体" w:hAnsi="黑体" w:eastAsia="黑体"/>
                <w:kern w:val="0"/>
                <w:szCs w:val="21"/>
              </w:rPr>
            </w:pPr>
            <w:r>
              <w:rPr>
                <w:rFonts w:hint="eastAsia" w:ascii="黑体" w:hAnsi="黑体" w:eastAsia="黑体"/>
                <w:kern w:val="0"/>
                <w:szCs w:val="21"/>
              </w:rPr>
              <w:t>详见招标文件采购需求</w:t>
            </w:r>
          </w:p>
        </w:tc>
      </w:tr>
    </w:tbl>
    <w:p w14:paraId="3813B76D">
      <w:pPr>
        <w:tabs>
          <w:tab w:val="left" w:pos="284"/>
        </w:tabs>
        <w:spacing w:line="360" w:lineRule="auto"/>
        <w:rPr>
          <w:rFonts w:hint="default" w:ascii="黑体" w:hAnsi="黑体" w:eastAsia="黑体"/>
          <w:color w:val="000000" w:themeColor="text1"/>
          <w:szCs w:val="21"/>
          <w:lang w:val="en-US" w:eastAsia="zh-CN"/>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合同履行期限：</w:t>
      </w:r>
      <w:r>
        <w:rPr>
          <w:rFonts w:hint="eastAsia" w:ascii="黑体" w:hAnsi="黑体" w:eastAsia="黑体"/>
          <w:color w:val="000000" w:themeColor="text1"/>
          <w:szCs w:val="21"/>
          <w:lang w:val="en-US" w:eastAsia="zh-CN"/>
          <w14:textFill>
            <w14:solidFill>
              <w14:schemeClr w14:val="tx1"/>
            </w14:solidFill>
          </w14:textFill>
        </w:rPr>
        <w:t>详见各包组用户需求。</w:t>
      </w:r>
    </w:p>
    <w:p w14:paraId="6770A63D">
      <w:pPr>
        <w:tabs>
          <w:tab w:val="left" w:pos="284"/>
        </w:tabs>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本项目（</w:t>
      </w:r>
      <w:r>
        <w:rPr>
          <w:rFonts w:hint="eastAsia" w:ascii="黑体" w:hAnsi="黑体" w:eastAsia="黑体"/>
          <w:color w:val="000000" w:themeColor="text1"/>
          <w:szCs w:val="21"/>
          <w:lang w:val="en-US" w:eastAsia="zh-CN"/>
          <w14:textFill>
            <w14:solidFill>
              <w14:schemeClr w14:val="tx1"/>
            </w14:solidFill>
          </w14:textFill>
        </w:rPr>
        <w:t>不</w:t>
      </w:r>
      <w:r>
        <w:rPr>
          <w:rFonts w:hint="eastAsia" w:ascii="黑体" w:hAnsi="黑体" w:eastAsia="黑体"/>
          <w:color w:val="000000" w:themeColor="text1"/>
          <w:szCs w:val="21"/>
          <w14:textFill>
            <w14:solidFill>
              <w14:schemeClr w14:val="tx1"/>
            </w14:solidFill>
          </w14:textFill>
        </w:rPr>
        <w:t>）接受联合体投标。</w:t>
      </w:r>
    </w:p>
    <w:p w14:paraId="67A66399">
      <w:pPr>
        <w:pStyle w:val="29"/>
        <w:numPr>
          <w:ilvl w:val="0"/>
          <w:numId w:val="2"/>
        </w:numPr>
        <w:tabs>
          <w:tab w:val="left" w:pos="426"/>
        </w:tabs>
        <w:spacing w:line="360" w:lineRule="auto"/>
        <w:ind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申请人的资格要求</w:t>
      </w:r>
      <w:r>
        <w:rPr>
          <w:rFonts w:hint="eastAsia" w:ascii="黑体" w:hAnsi="黑体" w:eastAsia="黑体"/>
          <w:b/>
          <w:color w:val="auto"/>
          <w:szCs w:val="21"/>
          <w:highlight w:val="none"/>
          <w:lang w:eastAsia="zh-CN"/>
        </w:rPr>
        <w:t>（</w:t>
      </w:r>
      <w:r>
        <w:rPr>
          <w:rFonts w:hint="eastAsia" w:ascii="黑体" w:hAnsi="黑体" w:eastAsia="黑体"/>
          <w:b/>
          <w:color w:val="auto"/>
          <w:szCs w:val="21"/>
          <w:highlight w:val="none"/>
          <w:lang w:val="en-US" w:eastAsia="zh-CN"/>
        </w:rPr>
        <w:t>适用于包A/包B</w:t>
      </w:r>
      <w:r>
        <w:rPr>
          <w:rFonts w:hint="eastAsia" w:ascii="黑体" w:hAnsi="黑体" w:eastAsia="黑体"/>
          <w:b/>
          <w:color w:val="auto"/>
          <w:szCs w:val="21"/>
          <w:highlight w:val="none"/>
          <w:lang w:eastAsia="zh-CN"/>
        </w:rPr>
        <w:t>）</w:t>
      </w:r>
    </w:p>
    <w:p w14:paraId="38CBB223">
      <w:pPr>
        <w:pStyle w:val="29"/>
        <w:numPr>
          <w:ilvl w:val="0"/>
          <w:numId w:val="3"/>
        </w:numPr>
        <w:spacing w:line="360" w:lineRule="auto"/>
        <w:ind w:firstLineChars="0"/>
        <w:rPr>
          <w:rFonts w:ascii="黑体" w:hAnsi="黑体" w:eastAsia="黑体"/>
          <w:szCs w:val="21"/>
        </w:rPr>
      </w:pPr>
      <w:r>
        <w:rPr>
          <w:rFonts w:hint="eastAsia" w:ascii="黑体" w:hAnsi="黑体" w:eastAsia="黑体"/>
          <w:szCs w:val="21"/>
        </w:rPr>
        <w:t>投标供应商应具备《中华人民共和国政府采购法》第二十二条规定的条件，提供下列材料：</w:t>
      </w:r>
    </w:p>
    <w:p w14:paraId="6B2CE913">
      <w:pPr>
        <w:pStyle w:val="29"/>
        <w:widowControl/>
        <w:numPr>
          <w:ilvl w:val="0"/>
          <w:numId w:val="4"/>
        </w:numPr>
        <w:shd w:val="clear" w:color="auto" w:fill="FFFFFF"/>
        <w:spacing w:line="360" w:lineRule="auto"/>
        <w:ind w:firstLineChars="0"/>
        <w:textAlignment w:val="baseline"/>
        <w:rPr>
          <w:rFonts w:ascii="黑体" w:hAnsi="黑体" w:eastAsia="黑体" w:cs="宋体"/>
          <w:kern w:val="0"/>
          <w:szCs w:val="21"/>
        </w:rPr>
      </w:pPr>
      <w:r>
        <w:rPr>
          <w:rFonts w:hint="eastAsia" w:ascii="黑体" w:hAnsi="黑体" w:eastAsia="黑体" w:cs="宋体"/>
          <w:kern w:val="0"/>
          <w:szCs w:val="21"/>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34F66BD3">
      <w:pPr>
        <w:pStyle w:val="29"/>
        <w:widowControl/>
        <w:numPr>
          <w:ilvl w:val="0"/>
          <w:numId w:val="4"/>
        </w:numPr>
        <w:shd w:val="clear" w:color="auto" w:fill="FFFFFF"/>
        <w:spacing w:line="360" w:lineRule="auto"/>
        <w:ind w:firstLineChars="0"/>
        <w:textAlignment w:val="baseline"/>
        <w:rPr>
          <w:rFonts w:ascii="黑体" w:hAnsi="黑体" w:eastAsia="黑体" w:cs="宋体"/>
          <w:kern w:val="0"/>
          <w:szCs w:val="21"/>
        </w:rPr>
      </w:pPr>
      <w:r>
        <w:rPr>
          <w:rFonts w:hint="eastAsia" w:ascii="黑体" w:hAnsi="黑体" w:eastAsia="黑体" w:cs="宋体"/>
          <w:kern w:val="0"/>
          <w:szCs w:val="21"/>
        </w:rPr>
        <w:t>有依法缴纳税收和社会保障资金的良好记录，提供资格声明函，详见投标文件格式。</w:t>
      </w:r>
    </w:p>
    <w:p w14:paraId="6C93431C">
      <w:pPr>
        <w:pStyle w:val="29"/>
        <w:widowControl/>
        <w:numPr>
          <w:ilvl w:val="0"/>
          <w:numId w:val="4"/>
        </w:numPr>
        <w:shd w:val="clear" w:color="auto" w:fill="FFFFFF"/>
        <w:spacing w:line="360" w:lineRule="auto"/>
        <w:ind w:firstLineChars="0"/>
        <w:textAlignment w:val="baseline"/>
        <w:rPr>
          <w:rFonts w:ascii="黑体" w:hAnsi="黑体" w:eastAsia="黑体" w:cs="宋体"/>
          <w:kern w:val="0"/>
          <w:szCs w:val="21"/>
        </w:rPr>
      </w:pPr>
      <w:bookmarkStart w:id="4" w:name="_Hlk90659088"/>
      <w:r>
        <w:rPr>
          <w:rFonts w:hint="eastAsia" w:ascii="黑体" w:hAnsi="黑体" w:eastAsia="黑体" w:cs="宋体"/>
          <w:kern w:val="0"/>
          <w:szCs w:val="21"/>
        </w:rPr>
        <w:t>具有良好的商业信誉和健全的财务会计制度</w:t>
      </w:r>
      <w:bookmarkEnd w:id="4"/>
      <w:r>
        <w:rPr>
          <w:rFonts w:hint="eastAsia" w:ascii="黑体" w:hAnsi="黑体" w:eastAsia="黑体" w:cs="宋体"/>
          <w:kern w:val="0"/>
          <w:szCs w:val="21"/>
        </w:rPr>
        <w:t>，提供资格声明函，详见投标文件格式。</w:t>
      </w:r>
    </w:p>
    <w:p w14:paraId="6882719F">
      <w:pPr>
        <w:pStyle w:val="29"/>
        <w:widowControl/>
        <w:numPr>
          <w:ilvl w:val="0"/>
          <w:numId w:val="4"/>
        </w:numPr>
        <w:shd w:val="clear" w:color="auto" w:fill="FFFFFF"/>
        <w:spacing w:line="360" w:lineRule="auto"/>
        <w:ind w:firstLineChars="0"/>
        <w:textAlignment w:val="baseline"/>
        <w:rPr>
          <w:rFonts w:ascii="黑体" w:hAnsi="黑体" w:eastAsia="黑体" w:cs="宋体"/>
          <w:kern w:val="0"/>
          <w:szCs w:val="21"/>
        </w:rPr>
      </w:pPr>
      <w:r>
        <w:rPr>
          <w:rFonts w:hint="eastAsia" w:ascii="黑体" w:hAnsi="黑体" w:eastAsia="黑体" w:cs="宋体"/>
          <w:kern w:val="0"/>
          <w:szCs w:val="21"/>
        </w:rPr>
        <w:t>履行合同所必须的设备和专业技术能力：</w:t>
      </w:r>
      <w:bookmarkStart w:id="5" w:name="_Hlk90659431"/>
      <w:r>
        <w:rPr>
          <w:rFonts w:hint="eastAsia" w:ascii="黑体" w:hAnsi="黑体" w:eastAsia="黑体" w:cs="宋体"/>
          <w:kern w:val="0"/>
          <w:szCs w:val="21"/>
        </w:rPr>
        <w:t>提供资格声明函，详见投标文件格式。</w:t>
      </w:r>
      <w:bookmarkEnd w:id="5"/>
    </w:p>
    <w:p w14:paraId="6F4DC2B1">
      <w:pPr>
        <w:pStyle w:val="29"/>
        <w:widowControl/>
        <w:numPr>
          <w:ilvl w:val="0"/>
          <w:numId w:val="4"/>
        </w:numPr>
        <w:shd w:val="clear" w:color="auto" w:fill="FFFFFF"/>
        <w:spacing w:line="360" w:lineRule="auto"/>
        <w:ind w:firstLineChars="0"/>
        <w:textAlignment w:val="baseline"/>
        <w:rPr>
          <w:rFonts w:ascii="黑体" w:hAnsi="黑体" w:eastAsia="黑体" w:cs="宋体"/>
          <w:kern w:val="0"/>
          <w:szCs w:val="21"/>
        </w:rPr>
      </w:pPr>
      <w:bookmarkStart w:id="6" w:name="_Hlk81177175"/>
      <w:r>
        <w:rPr>
          <w:rFonts w:hint="eastAsia" w:ascii="黑体" w:hAnsi="黑体" w:eastAsia="黑体" w:cs="宋体"/>
          <w:kern w:val="0"/>
          <w:szCs w:val="21"/>
        </w:rPr>
        <w:t>参加采购活动前3年内，在经营活动中没有重大违法记录：重大违法记录，是指供应商因</w:t>
      </w:r>
      <w:r>
        <w:rPr>
          <w:rFonts w:hint="eastAsia" w:ascii="黑体" w:hAnsi="黑体" w:eastAsia="黑体" w:cs="宋体"/>
          <w:color w:val="auto"/>
          <w:kern w:val="0"/>
          <w:szCs w:val="21"/>
        </w:rPr>
        <w:t>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bookmarkEnd w:id="6"/>
      <w:r>
        <w:rPr>
          <w:rFonts w:hint="eastAsia" w:ascii="黑体" w:hAnsi="黑体" w:eastAsia="黑体" w:cs="宋体"/>
          <w:color w:val="auto"/>
          <w:kern w:val="0"/>
          <w:szCs w:val="21"/>
        </w:rPr>
        <w:t>提供资格声明函，详见投标文件格</w:t>
      </w:r>
      <w:r>
        <w:rPr>
          <w:rFonts w:hint="eastAsia" w:ascii="黑体" w:hAnsi="黑体" w:eastAsia="黑体" w:cs="宋体"/>
          <w:kern w:val="0"/>
          <w:szCs w:val="21"/>
        </w:rPr>
        <w:t>式。</w:t>
      </w:r>
    </w:p>
    <w:p w14:paraId="1532E9A7">
      <w:pPr>
        <w:pStyle w:val="29"/>
        <w:widowControl/>
        <w:numPr>
          <w:ilvl w:val="0"/>
          <w:numId w:val="4"/>
        </w:numPr>
        <w:shd w:val="clear" w:color="auto" w:fill="FFFFFF"/>
        <w:spacing w:line="360" w:lineRule="auto"/>
        <w:ind w:firstLineChars="0"/>
        <w:textAlignment w:val="baseline"/>
        <w:rPr>
          <w:rFonts w:ascii="黑体" w:hAnsi="黑体" w:eastAsia="黑体" w:cs="宋体"/>
          <w:kern w:val="0"/>
          <w:szCs w:val="21"/>
        </w:rPr>
      </w:pPr>
      <w:r>
        <w:rPr>
          <w:rFonts w:hint="eastAsia" w:ascii="黑体" w:hAnsi="黑体" w:eastAsia="黑体" w:cs="宋体"/>
          <w:color w:val="auto"/>
          <w:kern w:val="0"/>
          <w:szCs w:val="21"/>
        </w:rPr>
        <w:t>信用记录：供应商未被列入“信用中国”网站(www.creditchina.gov.cn)“失信被执行人或重大税收违法失信主体或政</w:t>
      </w:r>
      <w:r>
        <w:rPr>
          <w:rFonts w:hint="eastAsia" w:ascii="黑体" w:hAnsi="黑体" w:eastAsia="黑体" w:cs="宋体"/>
          <w:kern w:val="0"/>
          <w:szCs w:val="21"/>
        </w:rPr>
        <w:t>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14:paraId="7C55305A">
      <w:pPr>
        <w:pStyle w:val="29"/>
        <w:numPr>
          <w:ilvl w:val="0"/>
          <w:numId w:val="3"/>
        </w:numPr>
        <w:spacing w:line="360" w:lineRule="auto"/>
        <w:ind w:firstLineChars="0"/>
        <w:rPr>
          <w:rFonts w:ascii="黑体" w:hAnsi="黑体" w:eastAsia="黑体" w:cs="宋体"/>
          <w:kern w:val="0"/>
          <w:szCs w:val="21"/>
        </w:rPr>
      </w:pPr>
      <w:r>
        <w:rPr>
          <w:rFonts w:hint="eastAsia" w:ascii="黑体" w:hAnsi="黑体" w:eastAsia="黑体" w:cs="宋体"/>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w:t>
      </w:r>
      <w:bookmarkStart w:id="7" w:name="_Hlk81178057"/>
      <w:r>
        <w:rPr>
          <w:rFonts w:hint="eastAsia" w:ascii="黑体" w:hAnsi="黑体" w:eastAsia="黑体" w:cs="宋体"/>
          <w:kern w:val="0"/>
          <w:szCs w:val="21"/>
        </w:rPr>
        <w:t>提供资格声明函，详见投标文件格式。</w:t>
      </w:r>
      <w:bookmarkEnd w:id="7"/>
    </w:p>
    <w:p w14:paraId="467F874F">
      <w:pPr>
        <w:pStyle w:val="29"/>
        <w:numPr>
          <w:ilvl w:val="0"/>
          <w:numId w:val="3"/>
        </w:numPr>
        <w:spacing w:line="360" w:lineRule="auto"/>
        <w:ind w:firstLineChars="0"/>
        <w:rPr>
          <w:rFonts w:ascii="黑体" w:hAnsi="黑体" w:eastAsia="黑体"/>
          <w:color w:val="auto"/>
          <w:szCs w:val="21"/>
        </w:rPr>
      </w:pPr>
      <w:r>
        <w:rPr>
          <w:rFonts w:hint="eastAsia" w:ascii="黑体" w:hAnsi="黑体" w:eastAsia="黑体"/>
          <w:color w:val="000000" w:themeColor="text1"/>
          <w:szCs w:val="21"/>
          <w14:textFill>
            <w14:solidFill>
              <w14:schemeClr w14:val="tx1"/>
            </w14:solidFill>
          </w14:textFill>
        </w:rPr>
        <w:t>落实政府采购政策需满足的</w:t>
      </w:r>
      <w:r>
        <w:rPr>
          <w:rFonts w:hint="eastAsia" w:ascii="黑体" w:hAnsi="黑体" w:eastAsia="黑体"/>
          <w:color w:val="auto"/>
          <w:szCs w:val="21"/>
        </w:rPr>
        <w:t>资格要求：无</w:t>
      </w:r>
    </w:p>
    <w:p w14:paraId="1835041C">
      <w:pPr>
        <w:pStyle w:val="29"/>
        <w:numPr>
          <w:ilvl w:val="0"/>
          <w:numId w:val="3"/>
        </w:numPr>
        <w:spacing w:line="360" w:lineRule="auto"/>
        <w:ind w:left="426" w:hanging="426" w:firstLineChars="0"/>
        <w:rPr>
          <w:rFonts w:ascii="黑体" w:hAnsi="黑体" w:eastAsia="黑体"/>
          <w:b/>
          <w:bCs/>
          <w:color w:val="auto"/>
          <w:szCs w:val="21"/>
          <w:highlight w:val="none"/>
        </w:rPr>
      </w:pPr>
      <w:r>
        <w:rPr>
          <w:rFonts w:hint="eastAsia" w:ascii="黑体" w:hAnsi="黑体" w:eastAsia="黑体"/>
          <w:color w:val="auto"/>
          <w:szCs w:val="21"/>
        </w:rPr>
        <w:t>本项目的特定资格要求：</w:t>
      </w:r>
      <w:r>
        <w:rPr>
          <w:rFonts w:hint="eastAsia" w:ascii="黑体" w:hAnsi="黑体" w:eastAsia="黑体"/>
          <w:b/>
          <w:bCs/>
          <w:color w:val="auto"/>
          <w:szCs w:val="21"/>
          <w:highlight w:val="none"/>
        </w:rPr>
        <w:t>具备以下任一条件：</w:t>
      </w:r>
    </w:p>
    <w:p w14:paraId="57D1F51B">
      <w:pPr>
        <w:pStyle w:val="29"/>
        <w:numPr>
          <w:ilvl w:val="0"/>
          <w:numId w:val="5"/>
        </w:numPr>
        <w:spacing w:line="360" w:lineRule="auto"/>
        <w:ind w:firstLineChars="0"/>
        <w:rPr>
          <w:rFonts w:ascii="黑体" w:hAnsi="黑体" w:eastAsia="黑体" w:cs="黑体"/>
          <w:b/>
          <w:bCs/>
          <w:color w:val="auto"/>
          <w:szCs w:val="21"/>
          <w:highlight w:val="none"/>
        </w:rPr>
      </w:pPr>
      <w:r>
        <w:rPr>
          <w:rFonts w:hint="eastAsia" w:ascii="黑体" w:hAnsi="黑体" w:eastAsia="黑体"/>
          <w:b/>
          <w:bCs/>
          <w:color w:val="auto"/>
          <w:szCs w:val="21"/>
          <w:highlight w:val="none"/>
        </w:rPr>
        <w:t>如供应商为所投产品生产企业：所投产品为第二类医疗器械或第三类医疗器械，提供监督管理部门签发的有效的《医疗器械生产许可证》，投标产品若属于中国医疗器械注册管理范围内的，则应取得监督管理部门颁发的相应的《中华人民共和国医疗器械注册证》</w:t>
      </w:r>
      <w:r>
        <w:rPr>
          <w:rFonts w:hint="eastAsia" w:ascii="黑体" w:hAnsi="黑体" w:eastAsia="黑体" w:cs="黑体"/>
          <w:b/>
          <w:bCs/>
          <w:color w:val="auto"/>
          <w:szCs w:val="21"/>
          <w:highlight w:val="none"/>
        </w:rPr>
        <w:t>；</w:t>
      </w:r>
    </w:p>
    <w:p w14:paraId="1E8892E6">
      <w:pPr>
        <w:pStyle w:val="29"/>
        <w:numPr>
          <w:ilvl w:val="0"/>
          <w:numId w:val="5"/>
        </w:numPr>
        <w:spacing w:line="360" w:lineRule="auto"/>
        <w:ind w:firstLineChars="0"/>
        <w:rPr>
          <w:rFonts w:ascii="黑体" w:hAnsi="黑体" w:eastAsia="黑体"/>
          <w:color w:val="auto"/>
          <w:szCs w:val="21"/>
        </w:rPr>
      </w:pPr>
      <w:r>
        <w:rPr>
          <w:rFonts w:hint="eastAsia" w:ascii="黑体" w:hAnsi="黑体" w:eastAsia="黑体"/>
          <w:b/>
          <w:bCs/>
          <w:color w:val="auto"/>
          <w:szCs w:val="21"/>
          <w:highlight w:val="none"/>
        </w:rPr>
        <w:t>如供应商为所投产品代理商或授权供应商：第三类医疗器械须提供《医疗器械经营许可证》</w:t>
      </w:r>
      <w:r>
        <w:rPr>
          <w:rFonts w:hint="eastAsia" w:ascii="黑体" w:hAnsi="黑体" w:eastAsia="黑体" w:cs="黑体"/>
          <w:b/>
          <w:bCs/>
          <w:color w:val="auto"/>
          <w:szCs w:val="21"/>
          <w:highlight w:val="none"/>
        </w:rPr>
        <w:t>，</w:t>
      </w:r>
      <w:r>
        <w:rPr>
          <w:rFonts w:hint="eastAsia" w:ascii="黑体" w:hAnsi="黑体" w:eastAsia="黑体"/>
          <w:b/>
          <w:bCs/>
          <w:color w:val="auto"/>
          <w:szCs w:val="21"/>
          <w:highlight w:val="none"/>
        </w:rPr>
        <w:t>投标产品若属于中国医疗器械注册管理范围内的，则同时提供监督管理部门颁发的相应的《中华人民共和国医疗器械注册证》（如国家另有规定，则适用其规定）</w:t>
      </w:r>
      <w:r>
        <w:rPr>
          <w:rFonts w:hint="eastAsia" w:ascii="黑体" w:hAnsi="黑体" w:eastAsia="黑体" w:cs="黑体"/>
          <w:b/>
          <w:bCs/>
          <w:color w:val="auto"/>
          <w:szCs w:val="21"/>
          <w:highlight w:val="none"/>
        </w:rPr>
        <w:t>。</w:t>
      </w:r>
    </w:p>
    <w:p w14:paraId="7827B92A">
      <w:pPr>
        <w:pStyle w:val="29"/>
        <w:numPr>
          <w:ilvl w:val="0"/>
          <w:numId w:val="2"/>
        </w:numPr>
        <w:tabs>
          <w:tab w:val="left" w:pos="426"/>
        </w:tabs>
        <w:spacing w:line="360" w:lineRule="auto"/>
        <w:ind w:firstLineChars="0"/>
        <w:rPr>
          <w:rFonts w:ascii="黑体" w:hAnsi="黑体" w:eastAsia="黑体"/>
          <w:b/>
          <w:color w:val="000000" w:themeColor="text1"/>
          <w:szCs w:val="21"/>
          <w14:textFill>
            <w14:solidFill>
              <w14:schemeClr w14:val="tx1"/>
            </w14:solidFill>
          </w14:textFill>
        </w:rPr>
      </w:pPr>
      <w:bookmarkStart w:id="8" w:name="_Hlk58185024"/>
      <w:bookmarkStart w:id="9" w:name="_Hlk90918431"/>
      <w:r>
        <w:rPr>
          <w:rFonts w:hint="eastAsia" w:ascii="黑体" w:hAnsi="黑体" w:eastAsia="黑体"/>
          <w:b/>
          <w:color w:val="000000" w:themeColor="text1"/>
          <w:szCs w:val="21"/>
          <w14:textFill>
            <w14:solidFill>
              <w14:schemeClr w14:val="tx1"/>
            </w14:solidFill>
          </w14:textFill>
        </w:rPr>
        <w:t>获取招标文件</w:t>
      </w:r>
    </w:p>
    <w:bookmarkEnd w:id="8"/>
    <w:p w14:paraId="26F78196">
      <w:pPr>
        <w:pStyle w:val="29"/>
        <w:spacing w:line="360" w:lineRule="auto"/>
        <w:ind w:left="420" w:firstLine="0" w:firstLineChars="0"/>
        <w:rPr>
          <w:rFonts w:ascii="黑体" w:hAnsi="黑体" w:eastAsia="黑体" w:cs="宋体"/>
          <w:szCs w:val="21"/>
        </w:rPr>
      </w:pPr>
      <w:r>
        <w:rPr>
          <w:rFonts w:hint="eastAsia" w:ascii="黑体" w:hAnsi="黑体" w:eastAsia="黑体" w:cs="宋体"/>
          <w:szCs w:val="21"/>
        </w:rPr>
        <w:t>时间：</w:t>
      </w:r>
      <w:r>
        <w:rPr>
          <w:rFonts w:hint="eastAsia" w:ascii="黑体" w:hAnsi="黑体" w:eastAsia="黑体" w:cs="宋体"/>
          <w:szCs w:val="21"/>
          <w:u w:val="single"/>
          <w:lang w:val="en-US" w:eastAsia="zh-CN"/>
        </w:rPr>
        <w:t>2025</w:t>
      </w:r>
      <w:r>
        <w:rPr>
          <w:rFonts w:hint="eastAsia" w:ascii="黑体" w:hAnsi="黑体" w:eastAsia="黑体" w:cs="宋体"/>
          <w:szCs w:val="21"/>
          <w:u w:val="single"/>
        </w:rPr>
        <w:t>年</w:t>
      </w:r>
      <w:r>
        <w:rPr>
          <w:rFonts w:hint="eastAsia" w:ascii="黑体" w:hAnsi="黑体" w:eastAsia="黑体" w:cs="宋体"/>
          <w:szCs w:val="21"/>
          <w:u w:val="single"/>
          <w:lang w:val="en-US" w:eastAsia="zh-CN"/>
        </w:rPr>
        <w:t>10</w:t>
      </w:r>
      <w:r>
        <w:rPr>
          <w:rFonts w:hint="eastAsia" w:ascii="黑体" w:hAnsi="黑体" w:eastAsia="黑体" w:cs="宋体"/>
          <w:szCs w:val="21"/>
          <w:u w:val="single"/>
        </w:rPr>
        <w:t>月</w:t>
      </w:r>
      <w:r>
        <w:rPr>
          <w:rFonts w:hint="eastAsia" w:ascii="黑体" w:hAnsi="黑体" w:eastAsia="黑体" w:cs="宋体"/>
          <w:szCs w:val="21"/>
          <w:u w:val="single"/>
          <w:lang w:val="en-US" w:eastAsia="zh-CN"/>
        </w:rPr>
        <w:t>17</w:t>
      </w:r>
      <w:r>
        <w:rPr>
          <w:rFonts w:hint="eastAsia" w:ascii="黑体" w:hAnsi="黑体" w:eastAsia="黑体" w:cs="宋体"/>
          <w:szCs w:val="21"/>
          <w:u w:val="single"/>
        </w:rPr>
        <w:t>日</w:t>
      </w:r>
      <w:r>
        <w:rPr>
          <w:rFonts w:hint="eastAsia" w:ascii="黑体" w:hAnsi="黑体" w:eastAsia="黑体" w:cs="宋体"/>
          <w:szCs w:val="21"/>
        </w:rPr>
        <w:t>至</w:t>
      </w:r>
      <w:r>
        <w:rPr>
          <w:rFonts w:hint="eastAsia" w:ascii="黑体" w:hAnsi="黑体" w:eastAsia="黑体" w:cs="宋体"/>
          <w:szCs w:val="21"/>
          <w:u w:val="single"/>
          <w:lang w:val="en-US" w:eastAsia="zh-CN"/>
        </w:rPr>
        <w:t>2025</w:t>
      </w:r>
      <w:r>
        <w:rPr>
          <w:rFonts w:hint="eastAsia" w:ascii="黑体" w:hAnsi="黑体" w:eastAsia="黑体" w:cs="宋体"/>
          <w:szCs w:val="21"/>
          <w:u w:val="single"/>
        </w:rPr>
        <w:t>年</w:t>
      </w:r>
      <w:r>
        <w:rPr>
          <w:rFonts w:hint="eastAsia" w:ascii="黑体" w:hAnsi="黑体" w:eastAsia="黑体" w:cs="宋体"/>
          <w:szCs w:val="21"/>
          <w:u w:val="single"/>
          <w:lang w:val="en-US" w:eastAsia="zh-CN"/>
        </w:rPr>
        <w:t>10</w:t>
      </w:r>
      <w:r>
        <w:rPr>
          <w:rFonts w:hint="eastAsia" w:ascii="黑体" w:hAnsi="黑体" w:eastAsia="黑体" w:cs="宋体"/>
          <w:szCs w:val="21"/>
          <w:u w:val="single"/>
        </w:rPr>
        <w:t>月</w:t>
      </w:r>
      <w:r>
        <w:rPr>
          <w:rFonts w:hint="eastAsia" w:ascii="黑体" w:hAnsi="黑体" w:eastAsia="黑体" w:cs="宋体"/>
          <w:szCs w:val="21"/>
          <w:u w:val="single"/>
          <w:lang w:val="en-US" w:eastAsia="zh-CN"/>
        </w:rPr>
        <w:t>24</w:t>
      </w:r>
      <w:r>
        <w:rPr>
          <w:rFonts w:hint="eastAsia" w:ascii="黑体" w:hAnsi="黑体" w:eastAsia="黑体" w:cs="宋体"/>
          <w:szCs w:val="21"/>
          <w:u w:val="single"/>
        </w:rPr>
        <w:t>日</w:t>
      </w:r>
      <w:r>
        <w:rPr>
          <w:rFonts w:hint="eastAsia" w:ascii="黑体" w:hAnsi="黑体" w:eastAsia="黑体" w:cs="宋体"/>
          <w:iCs/>
          <w:szCs w:val="21"/>
          <w:u w:val="single"/>
        </w:rPr>
        <w:t>（</w:t>
      </w:r>
      <w:r>
        <w:rPr>
          <w:rFonts w:hint="eastAsia" w:ascii="黑体" w:hAnsi="黑体" w:eastAsia="黑体" w:cs="宋体"/>
          <w:szCs w:val="21"/>
          <w:u w:val="single"/>
        </w:rPr>
        <w:t>提供期限自本公告发布之日起不得少于5个工作日</w:t>
      </w:r>
      <w:r>
        <w:rPr>
          <w:rFonts w:hint="eastAsia" w:ascii="黑体" w:hAnsi="黑体" w:eastAsia="黑体" w:cs="宋体"/>
          <w:iCs/>
          <w:szCs w:val="21"/>
          <w:u w:val="single"/>
        </w:rPr>
        <w:t>）</w:t>
      </w:r>
      <w:r>
        <w:rPr>
          <w:rFonts w:hint="eastAsia" w:ascii="黑体" w:hAnsi="黑体" w:eastAsia="黑体" w:cs="宋体"/>
          <w:szCs w:val="21"/>
        </w:rPr>
        <w:t>，每天上午9：00至 12：00，下午2：30至5：30（北京时间，</w:t>
      </w:r>
      <w:r>
        <w:rPr>
          <w:rFonts w:ascii="黑体" w:hAnsi="黑体" w:eastAsia="黑体" w:cs="宋体"/>
          <w:szCs w:val="21"/>
        </w:rPr>
        <w:t>法定节假日</w:t>
      </w:r>
      <w:r>
        <w:rPr>
          <w:rFonts w:hint="eastAsia" w:ascii="黑体" w:hAnsi="黑体" w:eastAsia="黑体" w:cs="宋体"/>
          <w:szCs w:val="21"/>
        </w:rPr>
        <w:t>除外）</w:t>
      </w:r>
    </w:p>
    <w:p w14:paraId="00331EC1">
      <w:pPr>
        <w:pStyle w:val="29"/>
        <w:spacing w:line="360" w:lineRule="auto"/>
        <w:ind w:left="420" w:firstLine="4" w:firstLineChars="2"/>
        <w:rPr>
          <w:rFonts w:ascii="黑体" w:hAnsi="黑体" w:eastAsia="黑体" w:cs="宋体"/>
          <w:szCs w:val="21"/>
        </w:rPr>
      </w:pPr>
      <w:r>
        <w:rPr>
          <w:rFonts w:hint="eastAsia" w:ascii="黑体" w:hAnsi="黑体" w:eastAsia="黑体" w:cs="宋体"/>
          <w:szCs w:val="21"/>
        </w:rPr>
        <w:t>地点：到东莞市东城街道新源路海德琥珀台6栋1703室（有德招标）进行获取或使用微信扫描二维码进行获取（二维码详见招标文件温馨提示）或微信搜索公众号“有德招标东莞分公司”进行获取。</w:t>
      </w:r>
    </w:p>
    <w:p w14:paraId="442F7BA0">
      <w:pPr>
        <w:pStyle w:val="29"/>
        <w:spacing w:line="360" w:lineRule="auto"/>
        <w:ind w:left="420" w:firstLine="0" w:firstLineChars="0"/>
        <w:rPr>
          <w:rFonts w:ascii="黑体" w:hAnsi="黑体" w:eastAsia="黑体" w:cs="宋体"/>
          <w:szCs w:val="21"/>
          <w:u w:val="single"/>
        </w:rPr>
      </w:pPr>
      <w:r>
        <w:rPr>
          <w:rFonts w:hint="eastAsia" w:ascii="黑体" w:hAnsi="黑体" w:eastAsia="黑体" w:cs="宋体"/>
          <w:szCs w:val="21"/>
        </w:rPr>
        <w:t>方式：现场或线上获取</w:t>
      </w:r>
    </w:p>
    <w:p w14:paraId="6CA674BA">
      <w:pPr>
        <w:pStyle w:val="29"/>
        <w:spacing w:line="360" w:lineRule="auto"/>
        <w:ind w:left="420" w:firstLine="0" w:firstLineChars="0"/>
        <w:rPr>
          <w:rFonts w:ascii="黑体" w:hAnsi="黑体" w:eastAsia="黑体" w:cs="宋体"/>
          <w:szCs w:val="21"/>
        </w:rPr>
      </w:pPr>
      <w:r>
        <w:rPr>
          <w:rFonts w:hint="eastAsia" w:ascii="黑体" w:hAnsi="黑体" w:eastAsia="黑体" w:cs="宋体"/>
          <w:szCs w:val="21"/>
        </w:rPr>
        <w:t>售价：￥</w:t>
      </w:r>
      <w:r>
        <w:rPr>
          <w:rFonts w:hint="eastAsia" w:ascii="黑体" w:hAnsi="黑体" w:eastAsia="黑体" w:cs="宋体"/>
          <w:szCs w:val="21"/>
          <w:lang w:val="en-US" w:eastAsia="zh-CN"/>
        </w:rPr>
        <w:t>20</w:t>
      </w:r>
      <w:r>
        <w:rPr>
          <w:rFonts w:hint="eastAsia" w:ascii="黑体" w:hAnsi="黑体" w:eastAsia="黑体" w:cs="宋体"/>
          <w:szCs w:val="21"/>
        </w:rPr>
        <w:t>0元</w:t>
      </w:r>
    </w:p>
    <w:bookmarkEnd w:id="9"/>
    <w:p w14:paraId="48D8F65C">
      <w:pPr>
        <w:pStyle w:val="29"/>
        <w:numPr>
          <w:ilvl w:val="0"/>
          <w:numId w:val="2"/>
        </w:numPr>
        <w:tabs>
          <w:tab w:val="left" w:pos="426"/>
        </w:tabs>
        <w:spacing w:line="360" w:lineRule="auto"/>
        <w:ind w:left="0" w:firstLine="0"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提交投标文件截止时间、开标时间和地点</w:t>
      </w:r>
    </w:p>
    <w:p w14:paraId="46700BC0">
      <w:pPr>
        <w:tabs>
          <w:tab w:val="left" w:pos="284"/>
          <w:tab w:val="left" w:pos="426"/>
        </w:tabs>
        <w:spacing w:line="360" w:lineRule="auto"/>
        <w:ind w:left="420" w:hanging="420" w:hangingChars="200"/>
        <w:rPr>
          <w:rFonts w:ascii="黑体" w:hAnsi="黑体" w:eastAsia="黑体"/>
          <w:szCs w:val="21"/>
        </w:rPr>
      </w:pPr>
      <w:r>
        <w:rPr>
          <w:rFonts w:hint="eastAsia" w:ascii="黑体" w:hAnsi="黑体" w:eastAsia="黑体"/>
          <w:szCs w:val="21"/>
        </w:rPr>
        <w:t xml:space="preserve">    </w:t>
      </w:r>
      <w:r>
        <w:rPr>
          <w:rFonts w:hint="eastAsia" w:ascii="黑体" w:hAnsi="黑体" w:eastAsia="黑体"/>
          <w:szCs w:val="21"/>
          <w:u w:val="single"/>
          <w:lang w:val="en-US" w:eastAsia="zh-CN"/>
        </w:rPr>
        <w:t>2025</w:t>
      </w:r>
      <w:r>
        <w:rPr>
          <w:rFonts w:hint="eastAsia" w:ascii="黑体" w:hAnsi="黑体" w:eastAsia="黑体"/>
          <w:szCs w:val="21"/>
          <w:u w:val="single"/>
        </w:rPr>
        <w:t>年</w:t>
      </w:r>
      <w:r>
        <w:rPr>
          <w:rFonts w:hint="eastAsia" w:ascii="黑体" w:hAnsi="黑体" w:eastAsia="黑体"/>
          <w:szCs w:val="21"/>
          <w:u w:val="single"/>
          <w:lang w:val="en-US" w:eastAsia="zh-CN"/>
        </w:rPr>
        <w:t>11</w:t>
      </w:r>
      <w:r>
        <w:rPr>
          <w:rFonts w:hint="eastAsia" w:ascii="黑体" w:hAnsi="黑体" w:eastAsia="黑体"/>
          <w:szCs w:val="21"/>
          <w:u w:val="single"/>
        </w:rPr>
        <w:t>月</w:t>
      </w:r>
      <w:r>
        <w:rPr>
          <w:rFonts w:hint="eastAsia" w:ascii="黑体" w:hAnsi="黑体" w:eastAsia="黑体"/>
          <w:szCs w:val="21"/>
          <w:u w:val="single"/>
          <w:lang w:val="en-US" w:eastAsia="zh-CN"/>
        </w:rPr>
        <w:t>07</w:t>
      </w:r>
      <w:r>
        <w:rPr>
          <w:rFonts w:hint="eastAsia" w:ascii="黑体" w:hAnsi="黑体" w:eastAsia="黑体"/>
          <w:szCs w:val="21"/>
          <w:u w:val="single"/>
        </w:rPr>
        <w:t>日</w:t>
      </w:r>
      <w:r>
        <w:rPr>
          <w:rFonts w:hint="eastAsia" w:ascii="黑体" w:hAnsi="黑体" w:eastAsia="黑体"/>
          <w:szCs w:val="21"/>
          <w:u w:val="single"/>
          <w:lang w:val="en-US" w:eastAsia="zh-CN"/>
        </w:rPr>
        <w:t>09</w:t>
      </w:r>
      <w:r>
        <w:rPr>
          <w:rFonts w:hint="eastAsia" w:ascii="黑体" w:hAnsi="黑体" w:eastAsia="黑体"/>
          <w:szCs w:val="21"/>
          <w:u w:val="single"/>
        </w:rPr>
        <w:t>点</w:t>
      </w:r>
      <w:r>
        <w:rPr>
          <w:rFonts w:hint="eastAsia" w:ascii="黑体" w:hAnsi="黑体" w:eastAsia="黑体"/>
          <w:szCs w:val="21"/>
          <w:u w:val="single"/>
          <w:lang w:val="en-US" w:eastAsia="zh-CN"/>
        </w:rPr>
        <w:t>30</w:t>
      </w:r>
      <w:r>
        <w:rPr>
          <w:rFonts w:hint="eastAsia" w:ascii="黑体" w:hAnsi="黑体" w:eastAsia="黑体"/>
          <w:szCs w:val="21"/>
          <w:u w:val="single"/>
        </w:rPr>
        <w:t>分</w:t>
      </w:r>
      <w:r>
        <w:rPr>
          <w:rFonts w:hint="eastAsia" w:ascii="黑体" w:hAnsi="黑体" w:eastAsia="黑体"/>
          <w:szCs w:val="21"/>
        </w:rPr>
        <w:t>（北京时间）（自招标文件开始发出之日起至投标人提交投标文件截止之日止，不得少于20日）</w:t>
      </w:r>
    </w:p>
    <w:p w14:paraId="537FA6E8">
      <w:pPr>
        <w:pStyle w:val="29"/>
        <w:tabs>
          <w:tab w:val="left" w:pos="426"/>
        </w:tabs>
        <w:spacing w:line="360" w:lineRule="auto"/>
        <w:ind w:left="420" w:firstLine="0" w:firstLineChars="0"/>
        <w:rPr>
          <w:rFonts w:ascii="黑体" w:hAnsi="黑体" w:eastAsia="黑体"/>
          <w:szCs w:val="21"/>
        </w:rPr>
      </w:pPr>
      <w:r>
        <w:rPr>
          <w:rFonts w:hint="eastAsia" w:ascii="黑体" w:hAnsi="黑体" w:eastAsia="黑体"/>
          <w:szCs w:val="21"/>
        </w:rPr>
        <w:t>地点：东莞市东城街道新源路海德琥珀台6栋1703室</w:t>
      </w:r>
    </w:p>
    <w:p w14:paraId="6332EA2C">
      <w:pPr>
        <w:pStyle w:val="29"/>
        <w:numPr>
          <w:ilvl w:val="0"/>
          <w:numId w:val="2"/>
        </w:numPr>
        <w:tabs>
          <w:tab w:val="left" w:pos="426"/>
        </w:tabs>
        <w:spacing w:line="360" w:lineRule="auto"/>
        <w:ind w:left="-2" w:leftChars="-1" w:firstLine="1"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公告期限</w:t>
      </w:r>
    </w:p>
    <w:p w14:paraId="334E764C">
      <w:pPr>
        <w:pStyle w:val="29"/>
        <w:tabs>
          <w:tab w:val="left" w:pos="426"/>
        </w:tabs>
        <w:spacing w:line="360" w:lineRule="auto"/>
        <w:ind w:left="420" w:firstLine="0" w:firstLineChars="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自本公告发布之日起5个工作日。</w:t>
      </w:r>
    </w:p>
    <w:p w14:paraId="641D130E">
      <w:pPr>
        <w:pStyle w:val="29"/>
        <w:numPr>
          <w:ilvl w:val="0"/>
          <w:numId w:val="2"/>
        </w:numPr>
        <w:tabs>
          <w:tab w:val="left" w:pos="426"/>
        </w:tabs>
        <w:spacing w:line="360" w:lineRule="auto"/>
        <w:ind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其他补充事宜</w:t>
      </w:r>
    </w:p>
    <w:p w14:paraId="764178EC">
      <w:pPr>
        <w:pStyle w:val="29"/>
        <w:keepNext w:val="0"/>
        <w:keepLines w:val="0"/>
        <w:pageBreakBefore w:val="0"/>
        <w:widowControl w:val="0"/>
        <w:numPr>
          <w:ilvl w:val="0"/>
          <w:numId w:val="6"/>
        </w:numPr>
        <w:tabs>
          <w:tab w:val="left" w:pos="709"/>
        </w:tabs>
        <w:kinsoku/>
        <w:wordWrap/>
        <w:overflowPunct/>
        <w:topLinePunct w:val="0"/>
        <w:autoSpaceDE/>
        <w:autoSpaceDN/>
        <w:bidi w:val="0"/>
        <w:adjustRightInd/>
        <w:snapToGrid/>
        <w:spacing w:line="360" w:lineRule="auto"/>
        <w:ind w:left="420" w:firstLineChars="0"/>
        <w:textAlignment w:val="auto"/>
        <w:rPr>
          <w:rFonts w:ascii="黑体" w:hAnsi="黑体" w:eastAsia="黑体"/>
          <w:bCs/>
          <w:color w:val="auto"/>
          <w:szCs w:val="21"/>
        </w:rPr>
      </w:pPr>
      <w:bookmarkStart w:id="10" w:name="_Hlk90919351"/>
      <w:r>
        <w:rPr>
          <w:rFonts w:hint="eastAsia" w:ascii="黑体" w:hAnsi="黑体" w:eastAsia="黑体"/>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w:t>
      </w:r>
      <w:r>
        <w:rPr>
          <w:rFonts w:hint="eastAsia" w:ascii="黑体" w:hAnsi="黑体" w:eastAsia="黑体"/>
          <w:bCs/>
          <w:color w:val="auto"/>
          <w:szCs w:val="21"/>
        </w:rPr>
        <w:t>态环境部 市场监管总局关于调整优化节能产品、环境标志产品政府采购执行机制的通知》（财库〔2019〕9号）、《关于印发〈商品包装政府采购需求标准（试行）〉、〈快递包装政府采购需求标准（试行）〉的通知》等。</w:t>
      </w:r>
    </w:p>
    <w:p w14:paraId="48C8EAFF">
      <w:pPr>
        <w:pStyle w:val="29"/>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0" w:firstLineChars="0"/>
        <w:textAlignment w:val="auto"/>
        <w:rPr>
          <w:rFonts w:ascii="黑体" w:hAnsi="黑体" w:eastAsia="黑体"/>
          <w:bCs/>
          <w:color w:val="auto"/>
          <w:szCs w:val="21"/>
        </w:rPr>
      </w:pPr>
      <w:r>
        <w:rPr>
          <w:rFonts w:hint="eastAsia" w:ascii="黑体" w:hAnsi="黑体" w:eastAsia="黑体"/>
          <w:bCs/>
          <w:color w:val="auto"/>
          <w:szCs w:val="21"/>
        </w:rPr>
        <w:t>本项目采购标的所属行业为</w:t>
      </w:r>
      <w:r>
        <w:rPr>
          <w:rFonts w:hint="eastAsia" w:ascii="黑体" w:hAnsi="黑体" w:eastAsia="黑体"/>
          <w:bCs/>
          <w:color w:val="auto"/>
          <w:szCs w:val="21"/>
          <w:u w:val="single"/>
        </w:rPr>
        <w:t xml:space="preserve"> </w:t>
      </w:r>
      <w:r>
        <w:rPr>
          <w:rFonts w:ascii="黑体" w:hAnsi="黑体" w:eastAsia="黑体"/>
          <w:bCs/>
          <w:color w:val="auto"/>
          <w:szCs w:val="21"/>
          <w:u w:val="single"/>
        </w:rPr>
        <w:t xml:space="preserve"> </w:t>
      </w:r>
      <w:r>
        <w:rPr>
          <w:rFonts w:hint="eastAsia" w:ascii="黑体" w:hAnsi="黑体" w:eastAsia="黑体"/>
          <w:bCs/>
          <w:color w:val="auto"/>
          <w:szCs w:val="21"/>
          <w:u w:val="single"/>
          <w:lang w:val="en-US" w:eastAsia="zh-CN"/>
        </w:rPr>
        <w:t>工业</w:t>
      </w:r>
      <w:r>
        <w:rPr>
          <w:rFonts w:ascii="黑体" w:hAnsi="黑体" w:eastAsia="黑体"/>
          <w:bCs/>
          <w:color w:val="auto"/>
          <w:szCs w:val="21"/>
          <w:u w:val="single"/>
        </w:rPr>
        <w:t xml:space="preserve">  </w:t>
      </w:r>
      <w:r>
        <w:rPr>
          <w:rFonts w:hint="eastAsia" w:ascii="黑体" w:hAnsi="黑体" w:eastAsia="黑体"/>
          <w:bCs/>
          <w:color w:val="auto"/>
          <w:szCs w:val="21"/>
        </w:rPr>
        <w:t>。</w:t>
      </w:r>
    </w:p>
    <w:p w14:paraId="1A968624">
      <w:pPr>
        <w:pStyle w:val="29"/>
        <w:keepNext w:val="0"/>
        <w:keepLines w:val="0"/>
        <w:pageBreakBefore w:val="0"/>
        <w:widowControl w:val="0"/>
        <w:numPr>
          <w:ilvl w:val="0"/>
          <w:numId w:val="6"/>
        </w:numPr>
        <w:tabs>
          <w:tab w:val="left" w:pos="709"/>
        </w:tabs>
        <w:kinsoku/>
        <w:wordWrap/>
        <w:overflowPunct/>
        <w:topLinePunct w:val="0"/>
        <w:autoSpaceDE/>
        <w:autoSpaceDN/>
        <w:bidi w:val="0"/>
        <w:adjustRightInd/>
        <w:snapToGrid/>
        <w:spacing w:line="360" w:lineRule="auto"/>
        <w:ind w:left="420" w:firstLineChars="0"/>
        <w:textAlignment w:val="auto"/>
        <w:rPr>
          <w:rFonts w:ascii="黑体" w:hAnsi="黑体" w:eastAsia="黑体"/>
          <w:bCs/>
          <w:color w:val="auto"/>
          <w:szCs w:val="21"/>
        </w:rPr>
      </w:pPr>
      <w:r>
        <w:rPr>
          <w:rFonts w:hint="eastAsia" w:ascii="黑体" w:hAnsi="黑体" w:eastAsia="黑体"/>
          <w:bCs/>
          <w:color w:val="auto"/>
          <w:szCs w:val="21"/>
        </w:rPr>
        <w:t>招标文件公示/下载媒体</w:t>
      </w:r>
    </w:p>
    <w:p w14:paraId="5DC1B022">
      <w:pPr>
        <w:pStyle w:val="29"/>
        <w:keepNext w:val="0"/>
        <w:keepLines w:val="0"/>
        <w:pageBreakBefore w:val="0"/>
        <w:widowControl w:val="0"/>
        <w:tabs>
          <w:tab w:val="left" w:pos="709"/>
        </w:tabs>
        <w:kinsoku/>
        <w:wordWrap/>
        <w:overflowPunct/>
        <w:topLinePunct w:val="0"/>
        <w:autoSpaceDE/>
        <w:autoSpaceDN/>
        <w:bidi w:val="0"/>
        <w:adjustRightInd/>
        <w:snapToGrid/>
        <w:spacing w:line="360" w:lineRule="auto"/>
        <w:ind w:left="420" w:firstLine="0" w:firstLineChars="0"/>
        <w:textAlignment w:val="auto"/>
        <w:rPr>
          <w:rFonts w:ascii="黑体" w:hAnsi="黑体" w:eastAsia="黑体"/>
          <w:bCs/>
          <w:color w:val="auto"/>
          <w:szCs w:val="21"/>
        </w:rPr>
      </w:pPr>
      <w:r>
        <w:rPr>
          <w:rFonts w:hint="eastAsia" w:ascii="黑体" w:hAnsi="黑体" w:eastAsia="黑体"/>
          <w:color w:val="auto"/>
          <w:spacing w:val="-4"/>
          <w:szCs w:val="21"/>
        </w:rPr>
        <w:t>中国采购与招标网（</w:t>
      </w:r>
      <w:r>
        <w:rPr>
          <w:color w:val="auto"/>
        </w:rPr>
        <w:fldChar w:fldCharType="begin"/>
      </w:r>
      <w:r>
        <w:rPr>
          <w:color w:val="auto"/>
        </w:rPr>
        <w:instrText xml:space="preserve"> HYPERLINK "http://www.chinabidding.com.cn/" </w:instrText>
      </w:r>
      <w:r>
        <w:rPr>
          <w:color w:val="auto"/>
        </w:rPr>
        <w:fldChar w:fldCharType="separate"/>
      </w:r>
      <w:r>
        <w:rPr>
          <w:rStyle w:val="25"/>
          <w:rFonts w:ascii="黑体" w:hAnsi="黑体" w:eastAsia="黑体"/>
          <w:color w:val="auto"/>
        </w:rPr>
        <w:t>http://www.chinabidding.com.cn/</w:t>
      </w:r>
      <w:r>
        <w:rPr>
          <w:rStyle w:val="25"/>
          <w:rFonts w:ascii="黑体" w:hAnsi="黑体" w:eastAsia="黑体"/>
          <w:color w:val="auto"/>
        </w:rPr>
        <w:fldChar w:fldCharType="end"/>
      </w:r>
      <w:r>
        <w:rPr>
          <w:rFonts w:hint="eastAsia" w:ascii="黑体" w:hAnsi="黑体" w:eastAsia="黑体"/>
          <w:color w:val="auto"/>
        </w:rPr>
        <w:t>）、</w:t>
      </w:r>
      <w:r>
        <w:rPr>
          <w:rFonts w:hint="eastAsia" w:ascii="黑体" w:hAnsi="黑体" w:eastAsia="黑体"/>
          <w:bCs/>
          <w:color w:val="auto"/>
          <w:szCs w:val="21"/>
        </w:rPr>
        <w:t>广东有德招标采购有限公司网站</w:t>
      </w:r>
      <w:r>
        <w:rPr>
          <w:rFonts w:hint="eastAsia" w:ascii="黑体" w:hAnsi="黑体" w:eastAsia="黑体"/>
          <w:bCs/>
          <w:color w:val="auto"/>
          <w:szCs w:val="21"/>
          <w:u w:val="single"/>
        </w:rPr>
        <w:t>(http://www.youde.net/)</w:t>
      </w:r>
      <w:r>
        <w:rPr>
          <w:rFonts w:ascii="Calibri" w:hAnsi="Calibri" w:eastAsia="黑体" w:cs="Calibri"/>
          <w:bCs/>
          <w:color w:val="auto"/>
          <w:szCs w:val="21"/>
        </w:rPr>
        <w:t> </w:t>
      </w:r>
    </w:p>
    <w:p w14:paraId="59704373">
      <w:pPr>
        <w:pStyle w:val="29"/>
        <w:keepNext w:val="0"/>
        <w:keepLines w:val="0"/>
        <w:pageBreakBefore w:val="0"/>
        <w:widowControl w:val="0"/>
        <w:numPr>
          <w:ilvl w:val="0"/>
          <w:numId w:val="6"/>
        </w:numPr>
        <w:tabs>
          <w:tab w:val="left" w:pos="709"/>
        </w:tabs>
        <w:kinsoku/>
        <w:wordWrap/>
        <w:overflowPunct/>
        <w:topLinePunct w:val="0"/>
        <w:autoSpaceDE/>
        <w:autoSpaceDN/>
        <w:bidi w:val="0"/>
        <w:adjustRightInd/>
        <w:snapToGrid/>
        <w:spacing w:line="360" w:lineRule="auto"/>
        <w:ind w:left="420" w:firstLineChars="0"/>
        <w:textAlignment w:val="auto"/>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auto"/>
          <w:szCs w:val="21"/>
        </w:rPr>
        <w:t>拟参加本项目的潜在投标人须在规定时间内按</w:t>
      </w:r>
      <w:r>
        <w:rPr>
          <w:rFonts w:hint="eastAsia" w:ascii="黑体" w:hAnsi="黑体" w:eastAsia="黑体"/>
          <w:bCs/>
          <w:color w:val="000000" w:themeColor="text1"/>
          <w:szCs w:val="21"/>
          <w14:textFill>
            <w14:solidFill>
              <w14:schemeClr w14:val="tx1"/>
            </w14:solidFill>
          </w14:textFill>
        </w:rPr>
        <w:t>要求获取招标文件后方可参与本项目的投标。获取招标文件后而不参加投标的潜在投标人，请在开标日期三日前以书面形式通知采购代理机构。</w:t>
      </w:r>
    </w:p>
    <w:p w14:paraId="42D88664">
      <w:pPr>
        <w:pStyle w:val="29"/>
        <w:numPr>
          <w:ilvl w:val="0"/>
          <w:numId w:val="6"/>
        </w:numPr>
        <w:spacing w:line="360" w:lineRule="auto"/>
        <w:ind w:firstLineChars="0"/>
        <w:rPr>
          <w:rFonts w:ascii="黑体" w:hAnsi="黑体" w:eastAsia="黑体"/>
          <w:bCs/>
          <w:color w:val="auto"/>
          <w:szCs w:val="21"/>
        </w:rPr>
      </w:pPr>
      <w:r>
        <w:rPr>
          <w:rFonts w:hint="eastAsia" w:ascii="黑体" w:hAnsi="黑体" w:eastAsia="黑体"/>
          <w:bCs/>
          <w:color w:val="000000" w:themeColor="text1"/>
          <w:szCs w:val="21"/>
          <w14:textFill>
            <w14:solidFill>
              <w14:schemeClr w14:val="tx1"/>
            </w14:solidFill>
          </w14:textFill>
        </w:rPr>
        <w:t>获取招标文件联系人及联系方式：范小姐（0769）23362</w:t>
      </w:r>
      <w:r>
        <w:rPr>
          <w:rFonts w:hint="eastAsia" w:ascii="黑体" w:hAnsi="黑体" w:eastAsia="黑体"/>
          <w:bCs/>
          <w:color w:val="auto"/>
          <w:szCs w:val="21"/>
        </w:rPr>
        <w:t>836</w:t>
      </w:r>
      <w:r>
        <w:rPr>
          <w:rFonts w:ascii="黑体" w:hAnsi="黑体" w:eastAsia="黑体"/>
          <w:bCs/>
          <w:color w:val="auto"/>
          <w:szCs w:val="21"/>
        </w:rPr>
        <w:t xml:space="preserve"> </w:t>
      </w:r>
      <w:bookmarkStart w:id="11" w:name="_Hlk90986682"/>
      <w:r>
        <w:rPr>
          <w:rFonts w:hint="eastAsia" w:ascii="黑体" w:hAnsi="黑体" w:eastAsia="黑体"/>
          <w:bCs/>
          <w:color w:val="auto"/>
          <w:szCs w:val="21"/>
        </w:rPr>
        <w:t>邮箱：</w:t>
      </w:r>
      <w:r>
        <w:rPr>
          <w:color w:val="auto"/>
        </w:rPr>
        <w:t>youdedg@163.com</w:t>
      </w:r>
      <w:r>
        <w:rPr>
          <w:rFonts w:hint="eastAsia" w:ascii="黑体" w:hAnsi="黑体" w:eastAsia="黑体"/>
          <w:bCs/>
          <w:color w:val="auto"/>
          <w:szCs w:val="21"/>
        </w:rPr>
        <w:t>。</w:t>
      </w:r>
      <w:bookmarkEnd w:id="11"/>
    </w:p>
    <w:bookmarkEnd w:id="10"/>
    <w:p w14:paraId="07A88E96">
      <w:pPr>
        <w:pStyle w:val="29"/>
        <w:numPr>
          <w:ilvl w:val="0"/>
          <w:numId w:val="2"/>
        </w:numPr>
        <w:tabs>
          <w:tab w:val="left" w:pos="567"/>
        </w:tabs>
        <w:spacing w:before="156" w:beforeLines="50" w:line="360" w:lineRule="auto"/>
        <w:ind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对本次招标提出询问，请按以下方式联系。</w:t>
      </w:r>
    </w:p>
    <w:p w14:paraId="6872C551">
      <w:pPr>
        <w:pStyle w:val="29"/>
        <w:numPr>
          <w:ilvl w:val="0"/>
          <w:numId w:val="7"/>
        </w:numPr>
        <w:tabs>
          <w:tab w:val="left" w:pos="567"/>
        </w:tabs>
        <w:spacing w:line="360" w:lineRule="auto"/>
        <w:ind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采购人信息</w:t>
      </w:r>
    </w:p>
    <w:p w14:paraId="696BD9A0">
      <w:pPr>
        <w:tabs>
          <w:tab w:val="left" w:pos="567"/>
        </w:tabs>
        <w:spacing w:line="360" w:lineRule="auto"/>
        <w:ind w:left="424" w:leftChars="202"/>
        <w:rPr>
          <w:rFonts w:ascii="黑体" w:hAnsi="黑体" w:eastAsia="黑体"/>
          <w:bCs/>
          <w:color w:val="auto"/>
          <w:szCs w:val="21"/>
          <w:highlight w:val="none"/>
        </w:rPr>
      </w:pPr>
      <w:r>
        <w:rPr>
          <w:rFonts w:hint="eastAsia" w:ascii="黑体" w:hAnsi="黑体" w:eastAsia="黑体"/>
          <w:bCs/>
          <w:color w:val="000000" w:themeColor="text1"/>
          <w:szCs w:val="21"/>
          <w14:textFill>
            <w14:solidFill>
              <w14:schemeClr w14:val="tx1"/>
            </w14:solidFill>
          </w14:textFill>
        </w:rPr>
        <w:t>名称：</w:t>
      </w:r>
      <w:r>
        <w:rPr>
          <w:rFonts w:hint="eastAsia" w:ascii="黑体" w:hAnsi="黑体" w:eastAsia="黑体"/>
          <w:bCs/>
          <w:color w:val="auto"/>
          <w:szCs w:val="21"/>
          <w:highlight w:val="none"/>
        </w:rPr>
        <w:t>东莞市清溪医院　　　　　　　　　　　　</w:t>
      </w:r>
    </w:p>
    <w:p w14:paraId="005314CB">
      <w:pPr>
        <w:tabs>
          <w:tab w:val="left" w:pos="567"/>
        </w:tabs>
        <w:spacing w:line="360" w:lineRule="auto"/>
        <w:ind w:left="424" w:leftChars="202"/>
        <w:rPr>
          <w:rFonts w:ascii="黑体" w:hAnsi="黑体" w:eastAsia="黑体"/>
          <w:bCs/>
          <w:color w:val="auto"/>
          <w:szCs w:val="21"/>
          <w:highlight w:val="none"/>
        </w:rPr>
      </w:pPr>
      <w:r>
        <w:rPr>
          <w:rFonts w:hint="eastAsia" w:ascii="黑体" w:hAnsi="黑体" w:eastAsia="黑体"/>
          <w:bCs/>
          <w:color w:val="auto"/>
          <w:szCs w:val="21"/>
          <w:highlight w:val="none"/>
        </w:rPr>
        <w:t>地址：东莞市清溪镇香芒中路6号　　　　　　　　　　　　</w:t>
      </w:r>
    </w:p>
    <w:p w14:paraId="6A4A7317">
      <w:pPr>
        <w:tabs>
          <w:tab w:val="left" w:pos="567"/>
        </w:tabs>
        <w:spacing w:line="360" w:lineRule="auto"/>
        <w:ind w:left="424" w:leftChars="202"/>
        <w:rPr>
          <w:rFonts w:ascii="黑体" w:hAnsi="黑体" w:eastAsia="黑体"/>
          <w:b/>
          <w:color w:val="000000" w:themeColor="text1"/>
          <w:szCs w:val="21"/>
          <w14:textFill>
            <w14:solidFill>
              <w14:schemeClr w14:val="tx1"/>
            </w14:solidFill>
          </w14:textFill>
        </w:rPr>
      </w:pPr>
      <w:r>
        <w:rPr>
          <w:rFonts w:hint="eastAsia" w:ascii="黑体" w:hAnsi="黑体" w:eastAsia="黑体"/>
          <w:bCs/>
          <w:color w:val="auto"/>
          <w:szCs w:val="21"/>
          <w:highlight w:val="none"/>
        </w:rPr>
        <w:t>联系方式：</w:t>
      </w:r>
      <w:r>
        <w:rPr>
          <w:rFonts w:hint="eastAsia" w:ascii="黑体" w:hAnsi="黑体" w:eastAsia="黑体"/>
          <w:bCs/>
          <w:color w:val="auto"/>
          <w:szCs w:val="21"/>
          <w:highlight w:val="none"/>
          <w:lang w:eastAsia="zh-CN"/>
        </w:rPr>
        <w:t>（</w:t>
      </w:r>
      <w:r>
        <w:rPr>
          <w:rFonts w:hint="eastAsia" w:ascii="黑体" w:hAnsi="黑体" w:eastAsia="黑体"/>
          <w:bCs/>
          <w:color w:val="auto"/>
          <w:szCs w:val="21"/>
          <w:highlight w:val="none"/>
        </w:rPr>
        <w:t>0769</w:t>
      </w:r>
      <w:r>
        <w:rPr>
          <w:rFonts w:hint="eastAsia" w:ascii="黑体" w:hAnsi="黑体" w:eastAsia="黑体"/>
          <w:bCs/>
          <w:color w:val="auto"/>
          <w:szCs w:val="21"/>
          <w:highlight w:val="none"/>
          <w:lang w:eastAsia="zh-CN"/>
        </w:rPr>
        <w:t>）</w:t>
      </w:r>
      <w:r>
        <w:rPr>
          <w:rFonts w:hint="eastAsia" w:ascii="黑体" w:hAnsi="黑体" w:eastAsia="黑体"/>
          <w:bCs/>
          <w:color w:val="auto"/>
          <w:szCs w:val="21"/>
          <w:highlight w:val="none"/>
        </w:rPr>
        <w:t>38828836</w:t>
      </w:r>
      <w:r>
        <w:rPr>
          <w:rFonts w:hint="eastAsia" w:ascii="黑体" w:hAnsi="黑体" w:eastAsia="黑体"/>
          <w:bCs/>
          <w:color w:val="000000" w:themeColor="text1"/>
          <w:szCs w:val="21"/>
          <w14:textFill>
            <w14:solidFill>
              <w14:schemeClr w14:val="tx1"/>
            </w14:solidFill>
          </w14:textFill>
        </w:rPr>
        <w:t>　</w:t>
      </w:r>
      <w:r>
        <w:rPr>
          <w:rFonts w:hint="eastAsia" w:ascii="黑体" w:hAnsi="黑体" w:eastAsia="黑体"/>
          <w:b/>
          <w:color w:val="000000" w:themeColor="text1"/>
          <w:szCs w:val="21"/>
          <w14:textFill>
            <w14:solidFill>
              <w14:schemeClr w14:val="tx1"/>
            </w14:solidFill>
          </w14:textFill>
        </w:rPr>
        <w:t>　　　　　　　　　　</w:t>
      </w:r>
    </w:p>
    <w:p w14:paraId="452E38CF">
      <w:pPr>
        <w:pStyle w:val="29"/>
        <w:numPr>
          <w:ilvl w:val="0"/>
          <w:numId w:val="7"/>
        </w:numPr>
        <w:tabs>
          <w:tab w:val="left" w:pos="567"/>
        </w:tabs>
        <w:spacing w:line="360" w:lineRule="auto"/>
        <w:ind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采购代理机构信息</w:t>
      </w:r>
    </w:p>
    <w:p w14:paraId="194635EB">
      <w:pPr>
        <w:tabs>
          <w:tab w:val="left" w:pos="567"/>
        </w:tabs>
        <w:spacing w:line="360" w:lineRule="auto"/>
        <w:ind w:left="424" w:leftChars="202"/>
        <w:rPr>
          <w:rFonts w:ascii="黑体" w:hAnsi="黑体" w:eastAsia="黑体"/>
          <w:bCs/>
          <w:color w:val="000000" w:themeColor="text1"/>
          <w:szCs w:val="21"/>
          <w14:textFill>
            <w14:solidFill>
              <w14:schemeClr w14:val="tx1"/>
            </w14:solidFill>
          </w14:textFill>
        </w:rPr>
      </w:pPr>
      <w:bookmarkStart w:id="12" w:name="_Hlk90986307"/>
      <w:r>
        <w:rPr>
          <w:rFonts w:hint="eastAsia" w:ascii="黑体" w:hAnsi="黑体" w:eastAsia="黑体"/>
          <w:bCs/>
          <w:color w:val="000000" w:themeColor="text1"/>
          <w:szCs w:val="21"/>
          <w14:textFill>
            <w14:solidFill>
              <w14:schemeClr w14:val="tx1"/>
            </w14:solidFill>
          </w14:textFill>
        </w:rPr>
        <w:t xml:space="preserve">名 </w:t>
      </w:r>
      <w:r>
        <w:rPr>
          <w:rFonts w:ascii="黑体" w:hAnsi="黑体" w:eastAsia="黑体"/>
          <w:bCs/>
          <w:color w:val="000000" w:themeColor="text1"/>
          <w:szCs w:val="21"/>
          <w14:textFill>
            <w14:solidFill>
              <w14:schemeClr w14:val="tx1"/>
            </w14:solidFill>
          </w14:textFill>
        </w:rPr>
        <w:t xml:space="preserve"> </w:t>
      </w:r>
      <w:r>
        <w:rPr>
          <w:rFonts w:hint="eastAsia" w:ascii="黑体" w:hAnsi="黑体" w:eastAsia="黑体"/>
          <w:bCs/>
          <w:color w:val="000000" w:themeColor="text1"/>
          <w:szCs w:val="21"/>
          <w14:textFill>
            <w14:solidFill>
              <w14:schemeClr w14:val="tx1"/>
            </w14:solidFill>
          </w14:textFill>
        </w:rPr>
        <w:t>称：</w:t>
      </w:r>
      <w:bookmarkStart w:id="13" w:name="_Hlk58184619"/>
      <w:r>
        <w:rPr>
          <w:rFonts w:hint="eastAsia" w:ascii="黑体" w:hAnsi="黑体" w:eastAsia="黑体"/>
          <w:bCs/>
          <w:color w:val="000000" w:themeColor="text1"/>
          <w:szCs w:val="21"/>
          <w14:textFill>
            <w14:solidFill>
              <w14:schemeClr w14:val="tx1"/>
            </w14:solidFill>
          </w14:textFill>
        </w:rPr>
        <w:t>广东有德招标采购有限公司</w:t>
      </w:r>
      <w:bookmarkEnd w:id="13"/>
    </w:p>
    <w:p w14:paraId="358F2E3F">
      <w:pPr>
        <w:tabs>
          <w:tab w:val="left" w:pos="567"/>
        </w:tabs>
        <w:spacing w:line="360" w:lineRule="auto"/>
        <w:ind w:left="424" w:leftChars="202"/>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地　址：东莞市东城街道新源路海德琥珀台6栋1703室</w:t>
      </w:r>
    </w:p>
    <w:p w14:paraId="50EDF15D">
      <w:pPr>
        <w:tabs>
          <w:tab w:val="left" w:pos="567"/>
        </w:tabs>
        <w:spacing w:line="360" w:lineRule="auto"/>
        <w:ind w:left="424" w:leftChars="202"/>
        <w:rPr>
          <w:rFonts w:ascii="黑体" w:hAnsi="黑体" w:eastAsia="黑体"/>
          <w:b/>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联系方式：（0769）23362836</w:t>
      </w:r>
    </w:p>
    <w:bookmarkEnd w:id="12"/>
    <w:p w14:paraId="53516BC1">
      <w:pPr>
        <w:pStyle w:val="29"/>
        <w:numPr>
          <w:ilvl w:val="0"/>
          <w:numId w:val="7"/>
        </w:numPr>
        <w:tabs>
          <w:tab w:val="left" w:pos="567"/>
        </w:tabs>
        <w:spacing w:line="360" w:lineRule="auto"/>
        <w:ind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项目联系方式</w:t>
      </w:r>
    </w:p>
    <w:p w14:paraId="759FA553">
      <w:pPr>
        <w:tabs>
          <w:tab w:val="left" w:pos="567"/>
        </w:tabs>
        <w:spacing w:line="360" w:lineRule="auto"/>
        <w:ind w:left="283" w:leftChars="135" w:firstLine="142" w:firstLineChars="68"/>
        <w:rPr>
          <w:rFonts w:hint="default" w:ascii="黑体" w:hAnsi="黑体" w:eastAsia="黑体"/>
          <w:bCs/>
          <w:color w:val="000000" w:themeColor="text1"/>
          <w:szCs w:val="21"/>
          <w:lang w:val="en-US" w:eastAsia="zh-CN"/>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项目联系人：</w:t>
      </w:r>
      <w:r>
        <w:rPr>
          <w:rFonts w:hint="eastAsia" w:ascii="黑体" w:hAnsi="黑体" w:eastAsia="黑体"/>
          <w:bCs/>
          <w:color w:val="000000" w:themeColor="text1"/>
          <w:szCs w:val="21"/>
          <w:lang w:val="en-US" w:eastAsia="zh-CN"/>
          <w14:textFill>
            <w14:solidFill>
              <w14:schemeClr w14:val="tx1"/>
            </w14:solidFill>
          </w14:textFill>
        </w:rPr>
        <w:t>陈佰仪</w:t>
      </w:r>
    </w:p>
    <w:p w14:paraId="089655AB">
      <w:pPr>
        <w:tabs>
          <w:tab w:val="left" w:pos="567"/>
        </w:tabs>
        <w:spacing w:line="360" w:lineRule="auto"/>
        <w:ind w:left="283" w:leftChars="135" w:firstLine="142" w:firstLineChars="68"/>
        <w:rPr>
          <w:rFonts w:hint="default" w:ascii="黑体" w:hAnsi="黑体" w:eastAsia="黑体"/>
          <w:b/>
          <w:color w:val="000000" w:themeColor="text1"/>
          <w:szCs w:val="21"/>
          <w:lang w:val="en-US" w:eastAsia="zh-CN"/>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电　话：（0769）233628</w:t>
      </w:r>
      <w:r>
        <w:rPr>
          <w:rFonts w:hint="eastAsia" w:ascii="黑体" w:hAnsi="黑体" w:eastAsia="黑体"/>
          <w:bCs/>
          <w:color w:val="auto"/>
          <w:szCs w:val="21"/>
        </w:rPr>
        <w:t>36-80</w:t>
      </w:r>
      <w:r>
        <w:rPr>
          <w:rFonts w:hint="eastAsia" w:ascii="黑体" w:hAnsi="黑体" w:eastAsia="黑体"/>
          <w:bCs/>
          <w:color w:val="auto"/>
          <w:szCs w:val="21"/>
          <w:lang w:val="en-US" w:eastAsia="zh-CN"/>
        </w:rPr>
        <w:t>17</w:t>
      </w:r>
    </w:p>
    <w:p w14:paraId="50C68540">
      <w:pPr>
        <w:tabs>
          <w:tab w:val="left" w:pos="567"/>
        </w:tabs>
        <w:spacing w:before="840" w:line="360" w:lineRule="auto"/>
        <w:jc w:val="right"/>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发布人：广东有德招标采购有限公司</w:t>
      </w:r>
    </w:p>
    <w:p w14:paraId="6AF2C4A2">
      <w:pPr>
        <w:tabs>
          <w:tab w:val="left" w:pos="567"/>
        </w:tabs>
        <w:spacing w:before="156" w:line="360" w:lineRule="auto"/>
        <w:jc w:val="right"/>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发布时间：</w:t>
      </w:r>
      <w:r>
        <w:rPr>
          <w:rFonts w:hint="eastAsia" w:ascii="黑体" w:hAnsi="黑体" w:eastAsia="黑体"/>
          <w:b/>
          <w:color w:val="000000" w:themeColor="text1"/>
          <w:szCs w:val="21"/>
          <w:lang w:val="en-US" w:eastAsia="zh-CN"/>
          <w14:textFill>
            <w14:solidFill>
              <w14:schemeClr w14:val="tx1"/>
            </w14:solidFill>
          </w14:textFill>
        </w:rPr>
        <w:t>2025</w:t>
      </w:r>
      <w:r>
        <w:rPr>
          <w:rFonts w:hint="eastAsia" w:ascii="黑体" w:hAnsi="黑体" w:eastAsia="黑体"/>
          <w:b/>
          <w:color w:val="000000" w:themeColor="text1"/>
          <w:szCs w:val="21"/>
          <w14:textFill>
            <w14:solidFill>
              <w14:schemeClr w14:val="tx1"/>
            </w14:solidFill>
          </w14:textFill>
        </w:rPr>
        <w:t>年</w:t>
      </w:r>
      <w:r>
        <w:rPr>
          <w:rFonts w:hint="eastAsia" w:ascii="黑体" w:hAnsi="黑体" w:eastAsia="黑体"/>
          <w:b/>
          <w:color w:val="000000" w:themeColor="text1"/>
          <w:szCs w:val="21"/>
          <w:lang w:val="en-US" w:eastAsia="zh-CN"/>
          <w14:textFill>
            <w14:solidFill>
              <w14:schemeClr w14:val="tx1"/>
            </w14:solidFill>
          </w14:textFill>
        </w:rPr>
        <w:t>10</w:t>
      </w:r>
      <w:r>
        <w:rPr>
          <w:rFonts w:hint="eastAsia" w:ascii="黑体" w:hAnsi="黑体" w:eastAsia="黑体"/>
          <w:b/>
          <w:color w:val="000000" w:themeColor="text1"/>
          <w:szCs w:val="21"/>
          <w14:textFill>
            <w14:solidFill>
              <w14:schemeClr w14:val="tx1"/>
            </w14:solidFill>
          </w14:textFill>
        </w:rPr>
        <w:t>月</w:t>
      </w:r>
      <w:r>
        <w:rPr>
          <w:rFonts w:hint="eastAsia" w:ascii="黑体" w:hAnsi="黑体" w:eastAsia="黑体"/>
          <w:b/>
          <w:color w:val="000000" w:themeColor="text1"/>
          <w:szCs w:val="21"/>
          <w:lang w:val="en-US" w:eastAsia="zh-CN"/>
          <w14:textFill>
            <w14:solidFill>
              <w14:schemeClr w14:val="tx1"/>
            </w14:solidFill>
          </w14:textFill>
        </w:rPr>
        <w:t>17</w:t>
      </w:r>
      <w:r>
        <w:rPr>
          <w:rFonts w:hint="eastAsia" w:ascii="黑体" w:hAnsi="黑体" w:eastAsia="黑体"/>
          <w:b/>
          <w:color w:val="000000" w:themeColor="text1"/>
          <w:szCs w:val="21"/>
          <w14:textFill>
            <w14:solidFill>
              <w14:schemeClr w14:val="tx1"/>
            </w14:solidFill>
          </w14:textFill>
        </w:rPr>
        <w:t>日</w:t>
      </w:r>
    </w:p>
    <w:p w14:paraId="7E6E79A0">
      <w:pPr>
        <w:pStyle w:val="3"/>
        <w:keepNext w:val="0"/>
        <w:keepLines w:val="0"/>
        <w:pageBreakBefore/>
        <w:spacing w:line="360" w:lineRule="auto"/>
        <w:jc w:val="center"/>
        <w:rPr>
          <w:rFonts w:ascii="黑体" w:hAnsi="黑体" w:eastAsia="黑体"/>
          <w:color w:val="000000" w:themeColor="text1"/>
          <w:spacing w:val="20"/>
          <w:sz w:val="32"/>
          <w:szCs w:val="32"/>
          <w14:textFill>
            <w14:solidFill>
              <w14:schemeClr w14:val="tx1"/>
            </w14:solidFill>
          </w14:textFill>
        </w:rPr>
      </w:pPr>
      <w:bookmarkStart w:id="14" w:name="_Toc405313952"/>
      <w:bookmarkStart w:id="15" w:name="_Toc119514286"/>
      <w:bookmarkStart w:id="16" w:name="_Hlk90986704"/>
      <w:r>
        <w:rPr>
          <w:rFonts w:hint="eastAsia" w:ascii="黑体" w:hAnsi="黑体" w:eastAsia="黑体"/>
          <w:color w:val="000000" w:themeColor="text1"/>
          <w:spacing w:val="20"/>
          <w:sz w:val="32"/>
          <w:szCs w:val="32"/>
          <w14:textFill>
            <w14:solidFill>
              <w14:schemeClr w14:val="tx1"/>
            </w14:solidFill>
          </w14:textFill>
        </w:rPr>
        <w:t>第二部分</w:t>
      </w:r>
      <w:r>
        <w:rPr>
          <w:rFonts w:ascii="黑体" w:hAnsi="黑体" w:eastAsia="黑体"/>
          <w:color w:val="000000" w:themeColor="text1"/>
          <w:spacing w:val="20"/>
          <w:sz w:val="32"/>
          <w:szCs w:val="32"/>
          <w14:textFill>
            <w14:solidFill>
              <w14:schemeClr w14:val="tx1"/>
            </w14:solidFill>
          </w14:textFill>
        </w:rPr>
        <w:t xml:space="preserve"> </w:t>
      </w:r>
      <w:r>
        <w:rPr>
          <w:rFonts w:hint="eastAsia" w:ascii="黑体" w:hAnsi="黑体" w:eastAsia="黑体"/>
          <w:color w:val="000000" w:themeColor="text1"/>
          <w:spacing w:val="20"/>
          <w:sz w:val="32"/>
          <w:szCs w:val="32"/>
          <w14:textFill>
            <w14:solidFill>
              <w14:schemeClr w14:val="tx1"/>
            </w14:solidFill>
          </w14:textFill>
        </w:rPr>
        <w:t>采购需求</w:t>
      </w:r>
      <w:bookmarkEnd w:id="14"/>
      <w:bookmarkEnd w:id="15"/>
    </w:p>
    <w:p w14:paraId="5B335DBF">
      <w:pPr>
        <w:spacing w:line="360" w:lineRule="auto"/>
        <w:contextualSpacing/>
        <w:rPr>
          <w:rFonts w:ascii="黑体" w:hAnsi="黑体" w:eastAsia="黑体"/>
          <w:b/>
          <w:color w:val="auto"/>
          <w:szCs w:val="21"/>
          <w:highlight w:val="none"/>
        </w:rPr>
      </w:pPr>
      <w:bookmarkStart w:id="17" w:name="_Hlk90919605"/>
      <w:r>
        <w:rPr>
          <w:rFonts w:hint="eastAsia" w:ascii="黑体" w:hAnsi="黑体" w:eastAsia="黑体"/>
          <w:b/>
          <w:color w:val="auto"/>
          <w:szCs w:val="21"/>
          <w:highlight w:val="none"/>
        </w:rPr>
        <w:t>说明：</w:t>
      </w:r>
    </w:p>
    <w:p w14:paraId="536F4DF9">
      <w:pPr>
        <w:numPr>
          <w:ilvl w:val="0"/>
          <w:numId w:val="8"/>
        </w:numPr>
        <w:spacing w:line="360" w:lineRule="auto"/>
        <w:rPr>
          <w:rFonts w:ascii="黑体" w:hAnsi="黑体" w:eastAsia="黑体"/>
          <w:color w:val="auto"/>
          <w:szCs w:val="21"/>
          <w:highlight w:val="none"/>
        </w:rPr>
      </w:pPr>
      <w:r>
        <w:rPr>
          <w:rFonts w:hint="eastAsia" w:ascii="黑体" w:hAnsi="黑体" w:eastAsia="黑体"/>
          <w:color w:val="auto"/>
          <w:szCs w:val="21"/>
          <w:highlight w:val="none"/>
        </w:rPr>
        <w:t>采购需求中带“◆”符号的内容为采购的核心产品，投标人应在《分项报价表》中清晰列明“货物名称、品牌、规格型号、原产地、价格等”。</w:t>
      </w:r>
    </w:p>
    <w:p w14:paraId="14DE7F45">
      <w:pPr>
        <w:numPr>
          <w:ilvl w:val="0"/>
          <w:numId w:val="8"/>
        </w:numPr>
        <w:spacing w:line="360" w:lineRule="auto"/>
        <w:rPr>
          <w:rFonts w:ascii="黑体" w:hAnsi="黑体" w:eastAsia="黑体"/>
          <w:color w:val="auto"/>
          <w:szCs w:val="21"/>
          <w:highlight w:val="none"/>
        </w:rPr>
      </w:pPr>
      <w:r>
        <w:rPr>
          <w:rFonts w:hint="eastAsia" w:ascii="黑体" w:hAnsi="黑体" w:eastAsia="黑体"/>
          <w:color w:val="auto"/>
          <w:szCs w:val="21"/>
          <w:highlight w:val="none"/>
        </w:rPr>
        <w:t>采购需求中所有列出的相关货物技术要求均不是唯一指定，即投标人可就货物提出替代标准，只要相当于（或优于）规定的货物品质和性能等技术参数要求，并提供满足采购需求要求的证明材料，则视为合格。但凡标有“★”的地方均被视为重要的技术指标要求或性能要求，投标人要特别加以注意，必须对此回答并完全满足这些要求，否则若有一项带“★”的指标未响应或不满足，将按无效投标文件处理。</w:t>
      </w:r>
    </w:p>
    <w:p w14:paraId="2703814C">
      <w:pPr>
        <w:pStyle w:val="29"/>
        <w:numPr>
          <w:ilvl w:val="0"/>
          <w:numId w:val="8"/>
        </w:numPr>
        <w:spacing w:line="360" w:lineRule="auto"/>
        <w:ind w:firstLineChars="0"/>
        <w:rPr>
          <w:rFonts w:ascii="黑体" w:hAnsi="黑体" w:eastAsia="黑体"/>
          <w:color w:val="auto"/>
          <w:szCs w:val="21"/>
          <w:highlight w:val="none"/>
        </w:rPr>
      </w:pPr>
      <w:r>
        <w:rPr>
          <w:rFonts w:hint="eastAsia" w:ascii="黑体" w:hAnsi="黑体" w:eastAsia="黑体"/>
          <w:color w:val="auto"/>
          <w:szCs w:val="21"/>
          <w:highlight w:val="none"/>
        </w:rPr>
        <w:t>带“▲”符号的内容为采购需求重点技术参数，若未能响应，则在评标过程中根据评审内容作扣分处理。</w:t>
      </w:r>
    </w:p>
    <w:p w14:paraId="4C7C6367">
      <w:pPr>
        <w:pStyle w:val="29"/>
        <w:numPr>
          <w:ilvl w:val="0"/>
          <w:numId w:val="8"/>
        </w:numPr>
        <w:spacing w:line="360" w:lineRule="auto"/>
        <w:ind w:firstLineChars="0"/>
        <w:rPr>
          <w:rFonts w:ascii="黑体" w:hAnsi="黑体" w:eastAsia="黑体"/>
          <w:color w:val="auto"/>
          <w:szCs w:val="21"/>
          <w:highlight w:val="none"/>
        </w:rPr>
      </w:pPr>
      <w:r>
        <w:rPr>
          <w:rFonts w:hint="eastAsia" w:ascii="黑体" w:hAnsi="黑体" w:eastAsia="黑体"/>
          <w:color w:val="auto"/>
          <w:szCs w:val="21"/>
          <w:highlight w:val="none"/>
        </w:rPr>
        <w:t>节能、环境标志产品：本项目采购产品中，属于政府强制采购节能产品，投标人需提供所投产品有效的节能产品认证证书复印件加盖投标人公章，不满足的将作为无效投标处理；属于政府优先采购的节能产品，投标人需提供所投产品有效的节能产品认证证书复印件加盖投标人公章；属于政府优先采购的环境标志产品，投标人需提供所投产品有效的环境标志产品产品认证证书复印件加盖投标人公章。节能、环境标志产品实施优先采购的具体规定见第五部分《评标方法、步骤、标准》。</w:t>
      </w:r>
    </w:p>
    <w:p w14:paraId="759E524F">
      <w:pPr>
        <w:pStyle w:val="29"/>
        <w:numPr>
          <w:ilvl w:val="0"/>
          <w:numId w:val="8"/>
        </w:numPr>
        <w:spacing w:line="360" w:lineRule="auto"/>
        <w:ind w:firstLineChars="0"/>
        <w:rPr>
          <w:rFonts w:ascii="黑体" w:hAnsi="黑体" w:eastAsia="黑体"/>
          <w:b/>
          <w:szCs w:val="21"/>
        </w:rPr>
      </w:pPr>
      <w:r>
        <w:rPr>
          <w:rFonts w:hint="eastAsia" w:ascii="黑体" w:hAnsi="黑体" w:eastAsia="黑体"/>
          <w:color w:val="auto"/>
          <w:szCs w:val="21"/>
          <w:highlight w:val="none"/>
        </w:rPr>
        <w:t>投标报价中不得包含招标文件要求以外的内容，否则，在评标时不予核减。若投标报价有缺漏项的，缺漏项部分的价格视为已包含在投标报价中，中标后不作任何调整。</w:t>
      </w:r>
    </w:p>
    <w:p w14:paraId="26549797">
      <w:pPr>
        <w:pStyle w:val="29"/>
        <w:numPr>
          <w:ilvl w:val="0"/>
          <w:numId w:val="0"/>
        </w:numPr>
        <w:spacing w:line="360" w:lineRule="auto"/>
        <w:ind w:leftChars="0"/>
        <w:rPr>
          <w:rFonts w:hint="default" w:ascii="黑体" w:hAnsi="黑体" w:eastAsia="黑体"/>
          <w:b/>
          <w:bCs/>
          <w:color w:val="auto"/>
          <w:szCs w:val="21"/>
          <w:highlight w:val="none"/>
          <w:lang w:val="en-US"/>
        </w:rPr>
      </w:pPr>
      <w:r>
        <w:rPr>
          <w:rFonts w:hint="eastAsia" w:ascii="黑体" w:hAnsi="黑体" w:eastAsia="黑体"/>
          <w:b/>
          <w:bCs/>
          <w:color w:val="auto"/>
          <w:szCs w:val="21"/>
          <w:highlight w:val="none"/>
          <w:lang w:val="en-US" w:eastAsia="zh-CN"/>
        </w:rPr>
        <w:t>包A：</w:t>
      </w:r>
    </w:p>
    <w:p w14:paraId="072731C0">
      <w:pPr>
        <w:pStyle w:val="29"/>
        <w:numPr>
          <w:ilvl w:val="0"/>
          <w:numId w:val="9"/>
        </w:numPr>
        <w:spacing w:line="360" w:lineRule="auto"/>
        <w:ind w:firstLineChars="0"/>
        <w:contextualSpacing/>
        <w:rPr>
          <w:rFonts w:ascii="黑体" w:hAnsi="黑体" w:eastAsia="黑体"/>
          <w:b/>
          <w:color w:val="auto"/>
          <w:szCs w:val="21"/>
          <w:highlight w:val="none"/>
        </w:rPr>
      </w:pPr>
      <w:r>
        <w:rPr>
          <w:rFonts w:ascii="黑体" w:hAnsi="黑体" w:eastAsia="黑体"/>
          <w:b/>
          <w:color w:val="auto"/>
          <w:szCs w:val="21"/>
          <w:highlight w:val="none"/>
        </w:rPr>
        <w:t>采购标的</w:t>
      </w:r>
    </w:p>
    <w:p w14:paraId="38D088C2">
      <w:pPr>
        <w:pStyle w:val="29"/>
        <w:numPr>
          <w:ilvl w:val="0"/>
          <w:numId w:val="10"/>
        </w:numPr>
        <w:spacing w:line="360" w:lineRule="auto"/>
        <w:ind w:firstLineChars="0"/>
        <w:contextualSpacing/>
        <w:rPr>
          <w:rFonts w:ascii="黑体" w:hAnsi="黑体" w:eastAsia="黑体"/>
          <w:bCs/>
          <w:color w:val="auto"/>
          <w:szCs w:val="21"/>
          <w:highlight w:val="none"/>
        </w:rPr>
      </w:pPr>
      <w:r>
        <w:rPr>
          <w:rFonts w:ascii="黑体" w:hAnsi="黑体" w:eastAsia="黑体"/>
          <w:bCs/>
          <w:color w:val="auto"/>
          <w:szCs w:val="21"/>
          <w:highlight w:val="none"/>
        </w:rPr>
        <w:t>采购</w:t>
      </w:r>
      <w:r>
        <w:rPr>
          <w:rFonts w:hint="eastAsia" w:ascii="黑体" w:hAnsi="黑体" w:eastAsia="黑体"/>
          <w:bCs/>
          <w:color w:val="auto"/>
          <w:szCs w:val="21"/>
          <w:highlight w:val="none"/>
          <w:lang w:val="en-US" w:eastAsia="zh-CN"/>
        </w:rPr>
        <w:t>标的</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3109"/>
        <w:gridCol w:w="1519"/>
        <w:gridCol w:w="1538"/>
        <w:gridCol w:w="1654"/>
      </w:tblGrid>
      <w:tr w14:paraId="51850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pct"/>
            <w:vAlign w:val="center"/>
          </w:tcPr>
          <w:p w14:paraId="2AF2FCF7">
            <w:pPr>
              <w:spacing w:line="360" w:lineRule="auto"/>
              <w:contextualSpacing/>
              <w:jc w:val="center"/>
              <w:rPr>
                <w:rFonts w:ascii="黑体" w:hAnsi="黑体" w:eastAsia="黑体"/>
                <w:bCs/>
                <w:color w:val="auto"/>
                <w:szCs w:val="21"/>
                <w:highlight w:val="none"/>
              </w:rPr>
            </w:pPr>
            <w:r>
              <w:rPr>
                <w:rFonts w:hint="eastAsia" w:ascii="黑体" w:hAnsi="黑体" w:eastAsia="黑体"/>
                <w:bCs/>
                <w:color w:val="auto"/>
                <w:szCs w:val="21"/>
                <w:highlight w:val="none"/>
              </w:rPr>
              <w:t>序号</w:t>
            </w:r>
          </w:p>
        </w:tc>
        <w:tc>
          <w:tcPr>
            <w:tcW w:w="1773" w:type="pct"/>
            <w:vAlign w:val="center"/>
          </w:tcPr>
          <w:p w14:paraId="2F409AD6">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采购标的</w:t>
            </w:r>
          </w:p>
        </w:tc>
        <w:tc>
          <w:tcPr>
            <w:tcW w:w="866" w:type="pct"/>
            <w:vAlign w:val="center"/>
          </w:tcPr>
          <w:p w14:paraId="1C995A49">
            <w:pPr>
              <w:spacing w:line="360" w:lineRule="auto"/>
              <w:contextualSpacing/>
              <w:jc w:val="center"/>
              <w:rPr>
                <w:rFonts w:ascii="黑体" w:hAnsi="黑体" w:eastAsia="黑体"/>
                <w:bCs/>
                <w:color w:val="auto"/>
                <w:szCs w:val="21"/>
                <w:highlight w:val="none"/>
              </w:rPr>
            </w:pPr>
            <w:r>
              <w:rPr>
                <w:rFonts w:hint="eastAsia" w:ascii="黑体" w:hAnsi="黑体" w:eastAsia="黑体"/>
                <w:bCs/>
                <w:color w:val="auto"/>
                <w:szCs w:val="21"/>
                <w:highlight w:val="none"/>
              </w:rPr>
              <w:t>单位</w:t>
            </w:r>
          </w:p>
        </w:tc>
        <w:tc>
          <w:tcPr>
            <w:tcW w:w="877" w:type="pct"/>
            <w:vAlign w:val="center"/>
          </w:tcPr>
          <w:p w14:paraId="3E7CC1C4">
            <w:pPr>
              <w:spacing w:line="360" w:lineRule="auto"/>
              <w:contextualSpacing/>
              <w:jc w:val="center"/>
              <w:rPr>
                <w:rFonts w:ascii="黑体" w:hAnsi="黑体" w:eastAsia="黑体"/>
                <w:bCs/>
                <w:color w:val="auto"/>
                <w:szCs w:val="21"/>
                <w:highlight w:val="none"/>
              </w:rPr>
            </w:pPr>
            <w:r>
              <w:rPr>
                <w:rFonts w:hint="eastAsia" w:ascii="黑体" w:hAnsi="黑体" w:eastAsia="黑体"/>
                <w:bCs/>
                <w:color w:val="auto"/>
                <w:szCs w:val="21"/>
                <w:highlight w:val="none"/>
              </w:rPr>
              <w:t>数量</w:t>
            </w:r>
          </w:p>
        </w:tc>
        <w:tc>
          <w:tcPr>
            <w:tcW w:w="943" w:type="pct"/>
            <w:vAlign w:val="center"/>
          </w:tcPr>
          <w:p w14:paraId="1E8111F2">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所属行业</w:t>
            </w:r>
          </w:p>
        </w:tc>
      </w:tr>
      <w:tr w14:paraId="05E97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pct"/>
            <w:vAlign w:val="center"/>
          </w:tcPr>
          <w:p w14:paraId="283005D4">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1</w:t>
            </w:r>
          </w:p>
        </w:tc>
        <w:tc>
          <w:tcPr>
            <w:tcW w:w="1773" w:type="pct"/>
            <w:vAlign w:val="center"/>
          </w:tcPr>
          <w:p w14:paraId="179FD74D">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根管治疗仪及其配套马达手机等医疗设备一批</w:t>
            </w:r>
          </w:p>
        </w:tc>
        <w:tc>
          <w:tcPr>
            <w:tcW w:w="866" w:type="pct"/>
            <w:vAlign w:val="center"/>
          </w:tcPr>
          <w:p w14:paraId="3FA2D4F9">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批</w:t>
            </w:r>
          </w:p>
        </w:tc>
        <w:tc>
          <w:tcPr>
            <w:tcW w:w="877" w:type="pct"/>
            <w:vAlign w:val="center"/>
          </w:tcPr>
          <w:p w14:paraId="10CAD1CE">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1</w:t>
            </w:r>
          </w:p>
        </w:tc>
        <w:tc>
          <w:tcPr>
            <w:tcW w:w="943" w:type="pct"/>
            <w:vAlign w:val="center"/>
          </w:tcPr>
          <w:p w14:paraId="369EAF93">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工业</w:t>
            </w:r>
          </w:p>
        </w:tc>
      </w:tr>
    </w:tbl>
    <w:p w14:paraId="4D98D6E7">
      <w:pPr>
        <w:pStyle w:val="29"/>
        <w:numPr>
          <w:ilvl w:val="0"/>
          <w:numId w:val="9"/>
        </w:numPr>
        <w:spacing w:before="312" w:beforeLines="100" w:line="360" w:lineRule="auto"/>
        <w:ind w:left="499" w:hanging="499" w:firstLineChars="0"/>
        <w:contextualSpacing/>
        <w:rPr>
          <w:rFonts w:ascii="黑体" w:hAnsi="黑体" w:eastAsia="黑体"/>
          <w:b/>
          <w:color w:val="auto"/>
          <w:szCs w:val="21"/>
          <w:highlight w:val="none"/>
        </w:rPr>
      </w:pPr>
      <w:r>
        <w:rPr>
          <w:rFonts w:ascii="黑体" w:hAnsi="黑体" w:eastAsia="黑体"/>
          <w:b/>
          <w:color w:val="auto"/>
          <w:szCs w:val="21"/>
          <w:highlight w:val="none"/>
        </w:rPr>
        <w:t>商务要求</w:t>
      </w:r>
    </w:p>
    <w:p w14:paraId="2AF32C2A">
      <w:pPr>
        <w:pStyle w:val="29"/>
        <w:numPr>
          <w:ilvl w:val="0"/>
          <w:numId w:val="11"/>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lang w:val="en-US" w:eastAsia="zh-CN"/>
        </w:rPr>
        <w:t>采购清单</w:t>
      </w:r>
    </w:p>
    <w:tbl>
      <w:tblPr>
        <w:tblStyle w:val="2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0"/>
        <w:gridCol w:w="2199"/>
        <w:gridCol w:w="668"/>
        <w:gridCol w:w="1685"/>
        <w:gridCol w:w="810"/>
        <w:gridCol w:w="1636"/>
        <w:gridCol w:w="1164"/>
      </w:tblGrid>
      <w:tr w14:paraId="57194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8" w:hRule="atLeast"/>
        </w:trPr>
        <w:tc>
          <w:tcPr>
            <w:tcW w:w="342" w:type="pct"/>
            <w:vAlign w:val="center"/>
          </w:tcPr>
          <w:p w14:paraId="70BC4398">
            <w:pPr>
              <w:spacing w:line="360" w:lineRule="auto"/>
              <w:contextualSpacing/>
              <w:jc w:val="center"/>
              <w:rPr>
                <w:rFonts w:ascii="黑体" w:hAnsi="黑体" w:eastAsia="黑体"/>
                <w:bCs/>
                <w:color w:val="auto"/>
                <w:szCs w:val="21"/>
                <w:highlight w:val="none"/>
              </w:rPr>
            </w:pPr>
            <w:r>
              <w:rPr>
                <w:rFonts w:hint="eastAsia" w:ascii="黑体" w:hAnsi="黑体" w:eastAsia="黑体"/>
                <w:bCs/>
                <w:color w:val="auto"/>
                <w:szCs w:val="21"/>
                <w:highlight w:val="none"/>
              </w:rPr>
              <w:t>序号</w:t>
            </w:r>
          </w:p>
        </w:tc>
        <w:tc>
          <w:tcPr>
            <w:tcW w:w="1254" w:type="pct"/>
            <w:vAlign w:val="center"/>
          </w:tcPr>
          <w:p w14:paraId="2119746C">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设备名称</w:t>
            </w:r>
          </w:p>
        </w:tc>
        <w:tc>
          <w:tcPr>
            <w:tcW w:w="381" w:type="pct"/>
            <w:vAlign w:val="center"/>
          </w:tcPr>
          <w:p w14:paraId="4F33E985">
            <w:pPr>
              <w:spacing w:line="360" w:lineRule="auto"/>
              <w:contextualSpacing/>
              <w:jc w:val="center"/>
              <w:rPr>
                <w:rFonts w:ascii="黑体" w:hAnsi="黑体" w:eastAsia="黑体"/>
                <w:bCs/>
                <w:color w:val="auto"/>
                <w:szCs w:val="21"/>
                <w:highlight w:val="none"/>
              </w:rPr>
            </w:pPr>
            <w:r>
              <w:rPr>
                <w:rFonts w:hint="eastAsia" w:ascii="黑体" w:hAnsi="黑体" w:eastAsia="黑体"/>
                <w:bCs/>
                <w:color w:val="auto"/>
                <w:szCs w:val="21"/>
                <w:highlight w:val="none"/>
              </w:rPr>
              <w:t>单位</w:t>
            </w:r>
          </w:p>
        </w:tc>
        <w:tc>
          <w:tcPr>
            <w:tcW w:w="961" w:type="pct"/>
            <w:vAlign w:val="center"/>
          </w:tcPr>
          <w:p w14:paraId="0A0034A4">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单项最高限价（元）</w:t>
            </w:r>
          </w:p>
        </w:tc>
        <w:tc>
          <w:tcPr>
            <w:tcW w:w="462" w:type="pct"/>
            <w:vAlign w:val="center"/>
          </w:tcPr>
          <w:p w14:paraId="29169A63">
            <w:pPr>
              <w:spacing w:line="360" w:lineRule="auto"/>
              <w:contextualSpacing/>
              <w:jc w:val="center"/>
              <w:rPr>
                <w:rFonts w:ascii="黑体" w:hAnsi="黑体" w:eastAsia="黑体"/>
                <w:bCs/>
                <w:color w:val="auto"/>
                <w:szCs w:val="21"/>
                <w:highlight w:val="none"/>
              </w:rPr>
            </w:pPr>
            <w:r>
              <w:rPr>
                <w:rFonts w:hint="eastAsia" w:ascii="黑体" w:hAnsi="黑体" w:eastAsia="黑体"/>
                <w:bCs/>
                <w:color w:val="auto"/>
                <w:szCs w:val="21"/>
                <w:highlight w:val="none"/>
              </w:rPr>
              <w:t>数量</w:t>
            </w:r>
          </w:p>
        </w:tc>
        <w:tc>
          <w:tcPr>
            <w:tcW w:w="933" w:type="pct"/>
            <w:vAlign w:val="center"/>
          </w:tcPr>
          <w:p w14:paraId="64282318">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汇总价（元）</w:t>
            </w:r>
          </w:p>
        </w:tc>
        <w:tc>
          <w:tcPr>
            <w:tcW w:w="664" w:type="pct"/>
            <w:vAlign w:val="center"/>
          </w:tcPr>
          <w:p w14:paraId="010EE089">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是否允许进口</w:t>
            </w:r>
          </w:p>
        </w:tc>
      </w:tr>
      <w:tr w14:paraId="6DD8C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342" w:type="pct"/>
            <w:vAlign w:val="center"/>
          </w:tcPr>
          <w:p w14:paraId="00D02961">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1</w:t>
            </w:r>
          </w:p>
        </w:tc>
        <w:tc>
          <w:tcPr>
            <w:tcW w:w="1254" w:type="pct"/>
            <w:vAlign w:val="center"/>
          </w:tcPr>
          <w:p w14:paraId="5A2C26FE">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
                <w:bCs w:val="0"/>
                <w:color w:val="auto"/>
                <w:szCs w:val="21"/>
                <w:highlight w:val="none"/>
                <w:lang w:val="en-US" w:eastAsia="zh-CN"/>
              </w:rPr>
              <w:t>根管治疗仪及其配套马达手机</w:t>
            </w:r>
            <w:r>
              <w:rPr>
                <w:rFonts w:hint="eastAsia" w:ascii="黑体" w:hAnsi="黑体" w:eastAsia="黑体"/>
                <w:b/>
                <w:bCs w:val="0"/>
                <w:color w:val="auto"/>
                <w:szCs w:val="21"/>
                <w:highlight w:val="none"/>
              </w:rPr>
              <w:t>◆</w:t>
            </w:r>
          </w:p>
        </w:tc>
        <w:tc>
          <w:tcPr>
            <w:tcW w:w="381" w:type="pct"/>
            <w:vAlign w:val="center"/>
          </w:tcPr>
          <w:p w14:paraId="008D6663">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台</w:t>
            </w:r>
          </w:p>
        </w:tc>
        <w:tc>
          <w:tcPr>
            <w:tcW w:w="961" w:type="pct"/>
            <w:vAlign w:val="center"/>
          </w:tcPr>
          <w:p w14:paraId="2BF5D6F2">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26,000.00</w:t>
            </w:r>
          </w:p>
        </w:tc>
        <w:tc>
          <w:tcPr>
            <w:tcW w:w="462" w:type="pct"/>
            <w:vAlign w:val="center"/>
          </w:tcPr>
          <w:p w14:paraId="025922E2">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2</w:t>
            </w:r>
          </w:p>
        </w:tc>
        <w:tc>
          <w:tcPr>
            <w:tcW w:w="933" w:type="pct"/>
            <w:vAlign w:val="center"/>
          </w:tcPr>
          <w:p w14:paraId="5BD0498A">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52,000.00</w:t>
            </w:r>
          </w:p>
        </w:tc>
        <w:tc>
          <w:tcPr>
            <w:tcW w:w="664" w:type="pct"/>
            <w:vAlign w:val="center"/>
          </w:tcPr>
          <w:p w14:paraId="337AEB9B">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否</w:t>
            </w:r>
          </w:p>
        </w:tc>
      </w:tr>
      <w:tr w14:paraId="49CAC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342" w:type="pct"/>
            <w:vAlign w:val="center"/>
          </w:tcPr>
          <w:p w14:paraId="0CF56765">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2</w:t>
            </w:r>
          </w:p>
        </w:tc>
        <w:tc>
          <w:tcPr>
            <w:tcW w:w="1254" w:type="pct"/>
            <w:vAlign w:val="center"/>
          </w:tcPr>
          <w:p w14:paraId="401447AF">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高速涡轮手机</w:t>
            </w:r>
          </w:p>
        </w:tc>
        <w:tc>
          <w:tcPr>
            <w:tcW w:w="381" w:type="pct"/>
            <w:vAlign w:val="center"/>
          </w:tcPr>
          <w:p w14:paraId="677CFCE3">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个</w:t>
            </w:r>
          </w:p>
        </w:tc>
        <w:tc>
          <w:tcPr>
            <w:tcW w:w="961" w:type="pct"/>
            <w:vAlign w:val="center"/>
          </w:tcPr>
          <w:p w14:paraId="778045F7">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2,000.00</w:t>
            </w:r>
          </w:p>
        </w:tc>
        <w:tc>
          <w:tcPr>
            <w:tcW w:w="462" w:type="pct"/>
            <w:vAlign w:val="center"/>
          </w:tcPr>
          <w:p w14:paraId="6C0140D5">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55</w:t>
            </w:r>
          </w:p>
        </w:tc>
        <w:tc>
          <w:tcPr>
            <w:tcW w:w="933" w:type="pct"/>
            <w:vAlign w:val="center"/>
          </w:tcPr>
          <w:p w14:paraId="0BDBF596">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110,000.00</w:t>
            </w:r>
          </w:p>
        </w:tc>
        <w:tc>
          <w:tcPr>
            <w:tcW w:w="664" w:type="pct"/>
            <w:vAlign w:val="center"/>
          </w:tcPr>
          <w:p w14:paraId="01F0E059">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否</w:t>
            </w:r>
          </w:p>
        </w:tc>
      </w:tr>
      <w:tr w14:paraId="0C813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342" w:type="pct"/>
            <w:vAlign w:val="center"/>
          </w:tcPr>
          <w:p w14:paraId="49A6CCF3">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3</w:t>
            </w:r>
          </w:p>
        </w:tc>
        <w:tc>
          <w:tcPr>
            <w:tcW w:w="1254" w:type="pct"/>
            <w:vAlign w:val="center"/>
          </w:tcPr>
          <w:p w14:paraId="0B9D2AB2">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仰角手机</w:t>
            </w:r>
          </w:p>
        </w:tc>
        <w:tc>
          <w:tcPr>
            <w:tcW w:w="381" w:type="pct"/>
            <w:vAlign w:val="center"/>
          </w:tcPr>
          <w:p w14:paraId="0ADB13A0">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个</w:t>
            </w:r>
          </w:p>
        </w:tc>
        <w:tc>
          <w:tcPr>
            <w:tcW w:w="961" w:type="pct"/>
            <w:vAlign w:val="center"/>
          </w:tcPr>
          <w:p w14:paraId="1C6EF23B">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5,900.00</w:t>
            </w:r>
          </w:p>
        </w:tc>
        <w:tc>
          <w:tcPr>
            <w:tcW w:w="462" w:type="pct"/>
            <w:vAlign w:val="center"/>
          </w:tcPr>
          <w:p w14:paraId="716A9DE5">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20</w:t>
            </w:r>
          </w:p>
        </w:tc>
        <w:tc>
          <w:tcPr>
            <w:tcW w:w="933" w:type="pct"/>
            <w:vAlign w:val="center"/>
          </w:tcPr>
          <w:p w14:paraId="5622D182">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118,000.00</w:t>
            </w:r>
          </w:p>
        </w:tc>
        <w:tc>
          <w:tcPr>
            <w:tcW w:w="664" w:type="pct"/>
            <w:vAlign w:val="center"/>
          </w:tcPr>
          <w:p w14:paraId="0674660D">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是</w:t>
            </w:r>
          </w:p>
        </w:tc>
      </w:tr>
    </w:tbl>
    <w:p w14:paraId="3E26A716">
      <w:pPr>
        <w:pStyle w:val="29"/>
        <w:numPr>
          <w:ilvl w:val="0"/>
          <w:numId w:val="11"/>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交付时间</w:t>
      </w:r>
    </w:p>
    <w:p w14:paraId="6DC336CC">
      <w:pPr>
        <w:pStyle w:val="29"/>
        <w:numPr>
          <w:ilvl w:val="0"/>
          <w:numId w:val="0"/>
        </w:numPr>
        <w:spacing w:line="360" w:lineRule="auto"/>
        <w:ind w:leftChars="0" w:firstLine="420" w:firstLineChars="200"/>
        <w:contextualSpacing/>
        <w:rPr>
          <w:rFonts w:hint="eastAsia" w:ascii="黑体" w:hAnsi="黑体" w:eastAsia="黑体"/>
          <w:iCs/>
          <w:color w:val="auto"/>
          <w:szCs w:val="21"/>
          <w:highlight w:val="none"/>
          <w:lang w:eastAsia="zh-CN"/>
        </w:rPr>
      </w:pPr>
      <w:r>
        <w:rPr>
          <w:rFonts w:hint="eastAsia" w:ascii="黑体" w:hAnsi="黑体" w:eastAsia="黑体"/>
          <w:iCs/>
          <w:color w:val="auto"/>
          <w:szCs w:val="21"/>
          <w:highlight w:val="none"/>
          <w:lang w:eastAsia="zh-CN"/>
        </w:rPr>
        <w:t>合同签订后，在3</w:t>
      </w:r>
      <w:r>
        <w:rPr>
          <w:rFonts w:hint="eastAsia" w:ascii="黑体" w:hAnsi="黑体" w:eastAsia="黑体"/>
          <w:iCs/>
          <w:color w:val="auto"/>
          <w:szCs w:val="21"/>
          <w:highlight w:val="none"/>
          <w:lang w:val="en-US" w:eastAsia="zh-CN"/>
        </w:rPr>
        <w:t>0</w:t>
      </w:r>
      <w:r>
        <w:rPr>
          <w:rFonts w:hint="eastAsia" w:ascii="黑体" w:hAnsi="黑体" w:eastAsia="黑体"/>
          <w:iCs/>
          <w:color w:val="auto"/>
          <w:szCs w:val="21"/>
          <w:highlight w:val="none"/>
          <w:lang w:eastAsia="zh-CN"/>
        </w:rPr>
        <w:t>天内</w:t>
      </w:r>
      <w:r>
        <w:rPr>
          <w:rFonts w:hint="eastAsia" w:ascii="黑体" w:hAnsi="黑体" w:eastAsia="黑体"/>
          <w:iCs/>
          <w:color w:val="auto"/>
          <w:szCs w:val="21"/>
          <w:highlight w:val="none"/>
          <w:lang w:val="en-US" w:eastAsia="zh-CN"/>
        </w:rPr>
        <w:t>供货、</w:t>
      </w:r>
      <w:r>
        <w:rPr>
          <w:rFonts w:hint="eastAsia" w:ascii="黑体" w:hAnsi="黑体" w:eastAsia="黑体"/>
          <w:iCs/>
          <w:color w:val="auto"/>
          <w:szCs w:val="21"/>
          <w:highlight w:val="none"/>
          <w:lang w:eastAsia="zh-CN"/>
        </w:rPr>
        <w:t>安装调试完成。</w:t>
      </w:r>
    </w:p>
    <w:p w14:paraId="0289C290">
      <w:pPr>
        <w:pStyle w:val="29"/>
        <w:numPr>
          <w:ilvl w:val="0"/>
          <w:numId w:val="11"/>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交付地点</w:t>
      </w:r>
    </w:p>
    <w:p w14:paraId="5EF4A941">
      <w:pPr>
        <w:pStyle w:val="29"/>
        <w:numPr>
          <w:ilvl w:val="0"/>
          <w:numId w:val="0"/>
        </w:numPr>
        <w:spacing w:line="360" w:lineRule="auto"/>
        <w:ind w:leftChars="0" w:firstLine="420" w:firstLineChars="200"/>
        <w:contextualSpacing/>
        <w:rPr>
          <w:rFonts w:hint="default" w:ascii="黑体" w:hAnsi="黑体" w:eastAsia="黑体"/>
          <w:iCs/>
          <w:color w:val="auto"/>
          <w:szCs w:val="21"/>
          <w:highlight w:val="none"/>
          <w:lang w:val="en-US" w:eastAsia="zh-CN"/>
        </w:rPr>
      </w:pPr>
      <w:r>
        <w:rPr>
          <w:rFonts w:hint="eastAsia" w:ascii="黑体" w:hAnsi="黑体" w:eastAsia="黑体"/>
          <w:iCs/>
          <w:color w:val="auto"/>
          <w:szCs w:val="21"/>
          <w:highlight w:val="none"/>
          <w:lang w:val="en-US" w:eastAsia="zh-CN"/>
        </w:rPr>
        <w:t>采购人指定地点。</w:t>
      </w:r>
    </w:p>
    <w:p w14:paraId="0C274571">
      <w:pPr>
        <w:pStyle w:val="29"/>
        <w:numPr>
          <w:ilvl w:val="0"/>
          <w:numId w:val="11"/>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付款条件</w:t>
      </w:r>
    </w:p>
    <w:p w14:paraId="6CB06988">
      <w:pPr>
        <w:pStyle w:val="29"/>
        <w:numPr>
          <w:ilvl w:val="0"/>
          <w:numId w:val="12"/>
        </w:numPr>
        <w:spacing w:line="360" w:lineRule="auto"/>
        <w:ind w:firstLineChars="0"/>
        <w:rPr>
          <w:rFonts w:ascii="黑体" w:hAnsi="黑体" w:eastAsia="黑体"/>
          <w:iCs/>
          <w:color w:val="auto"/>
          <w:szCs w:val="21"/>
          <w:highlight w:val="none"/>
        </w:rPr>
      </w:pPr>
      <w:r>
        <w:rPr>
          <w:rFonts w:hint="eastAsia" w:ascii="黑体" w:hAnsi="黑体" w:eastAsia="黑体"/>
          <w:iCs/>
          <w:color w:val="auto"/>
          <w:szCs w:val="21"/>
          <w:highlight w:val="none"/>
        </w:rPr>
        <w:t>本项目验收合格后，中标人经采购人计算出总金额并开具</w:t>
      </w:r>
      <w:r>
        <w:rPr>
          <w:rFonts w:hint="eastAsia" w:ascii="黑体" w:hAnsi="黑体" w:eastAsia="黑体"/>
          <w:iCs/>
          <w:color w:val="auto"/>
          <w:szCs w:val="21"/>
          <w:highlight w:val="none"/>
          <w:lang w:val="en-US" w:eastAsia="zh-CN"/>
        </w:rPr>
        <w:t>普通</w:t>
      </w:r>
      <w:r>
        <w:rPr>
          <w:rFonts w:hint="eastAsia" w:ascii="黑体" w:hAnsi="黑体" w:eastAsia="黑体"/>
          <w:iCs/>
          <w:color w:val="auto"/>
          <w:szCs w:val="21"/>
          <w:highlight w:val="none"/>
        </w:rPr>
        <w:t>发票，采购人收到发票之日起</w:t>
      </w:r>
      <w:r>
        <w:rPr>
          <w:rFonts w:hint="eastAsia" w:ascii="黑体" w:hAnsi="黑体" w:eastAsia="黑体"/>
          <w:iCs/>
          <w:color w:val="auto"/>
          <w:szCs w:val="21"/>
          <w:highlight w:val="none"/>
          <w:lang w:val="en-US" w:eastAsia="zh-CN"/>
        </w:rPr>
        <w:t>30</w:t>
      </w:r>
      <w:r>
        <w:rPr>
          <w:rFonts w:hint="eastAsia" w:ascii="黑体" w:hAnsi="黑体" w:eastAsia="黑体"/>
          <w:iCs/>
          <w:color w:val="auto"/>
          <w:szCs w:val="21"/>
          <w:highlight w:val="none"/>
        </w:rPr>
        <w:t>日内，向中标人支付合同结算总金额的全额（若中标人未提供相应发票，采购人可拒绝付款）；</w:t>
      </w:r>
    </w:p>
    <w:p w14:paraId="23E702DC">
      <w:pPr>
        <w:pStyle w:val="29"/>
        <w:numPr>
          <w:ilvl w:val="0"/>
          <w:numId w:val="12"/>
        </w:numPr>
        <w:spacing w:line="360" w:lineRule="auto"/>
        <w:ind w:firstLineChars="0"/>
        <w:rPr>
          <w:rFonts w:ascii="黑体" w:hAnsi="黑体" w:eastAsia="黑体"/>
          <w:iCs/>
          <w:color w:val="auto"/>
          <w:szCs w:val="21"/>
          <w:highlight w:val="none"/>
        </w:rPr>
      </w:pPr>
      <w:r>
        <w:rPr>
          <w:rFonts w:hint="eastAsia" w:ascii="黑体" w:hAnsi="黑体" w:eastAsia="黑体"/>
          <w:iCs/>
          <w:color w:val="auto"/>
          <w:szCs w:val="21"/>
          <w:highlight w:val="none"/>
        </w:rPr>
        <w:t>中标人不得委托他人收款；</w:t>
      </w:r>
    </w:p>
    <w:p w14:paraId="385C6AD8">
      <w:pPr>
        <w:pStyle w:val="29"/>
        <w:numPr>
          <w:ilvl w:val="0"/>
          <w:numId w:val="12"/>
        </w:numPr>
        <w:spacing w:line="360" w:lineRule="auto"/>
        <w:ind w:firstLineChars="0"/>
        <w:rPr>
          <w:rFonts w:ascii="黑体" w:hAnsi="黑体" w:eastAsia="黑体"/>
          <w:iCs/>
          <w:color w:val="auto"/>
          <w:szCs w:val="21"/>
          <w:highlight w:val="none"/>
        </w:rPr>
      </w:pPr>
      <w:r>
        <w:rPr>
          <w:rFonts w:hint="eastAsia" w:ascii="黑体" w:hAnsi="黑体" w:eastAsia="黑体"/>
          <w:iCs/>
          <w:color w:val="auto"/>
          <w:szCs w:val="21"/>
          <w:highlight w:val="none"/>
        </w:rPr>
        <w:t>如果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p w14:paraId="6FC1731E">
      <w:pPr>
        <w:pStyle w:val="29"/>
        <w:numPr>
          <w:ilvl w:val="0"/>
          <w:numId w:val="11"/>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包装和运输</w:t>
      </w:r>
    </w:p>
    <w:p w14:paraId="163EF0BB">
      <w:pPr>
        <w:pStyle w:val="29"/>
        <w:numPr>
          <w:ilvl w:val="0"/>
          <w:numId w:val="13"/>
        </w:numPr>
        <w:spacing w:line="360" w:lineRule="auto"/>
        <w:ind w:left="425" w:leftChars="0" w:hanging="425"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设备材料的包装须是制造商原厂包装，其包装均应有良好的防湿、防锈、防潮、防雨、防腐及防碰撞的措施。凡由于包装不良造成的损失和由此产生的费用均由中标人承担；</w:t>
      </w:r>
    </w:p>
    <w:p w14:paraId="35E5690C">
      <w:pPr>
        <w:pStyle w:val="29"/>
        <w:numPr>
          <w:ilvl w:val="0"/>
          <w:numId w:val="13"/>
        </w:numPr>
        <w:spacing w:line="360" w:lineRule="auto"/>
        <w:ind w:left="425" w:leftChars="0" w:hanging="425"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中标人负责将设备材料货到现场过程中的全部运输，包括装卸车、货物现场的搬运。</w:t>
      </w:r>
    </w:p>
    <w:p w14:paraId="5EAEB297">
      <w:pPr>
        <w:pStyle w:val="29"/>
        <w:numPr>
          <w:ilvl w:val="0"/>
          <w:numId w:val="13"/>
        </w:numPr>
        <w:spacing w:line="360" w:lineRule="auto"/>
        <w:ind w:left="425" w:leftChars="0" w:hanging="425"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货物在现场的保管由中标人负责，直至项目验收完毕。</w:t>
      </w:r>
    </w:p>
    <w:p w14:paraId="5C393655">
      <w:pPr>
        <w:pStyle w:val="29"/>
        <w:numPr>
          <w:ilvl w:val="0"/>
          <w:numId w:val="13"/>
        </w:numPr>
        <w:spacing w:line="360" w:lineRule="auto"/>
        <w:ind w:left="425" w:leftChars="0" w:hanging="425"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安装要求：所供设备和材料中标人必须送货上门和负责安装调试。货物及订制所需材料在实施订制及安装前需通知采购人代表查验相关货物的出厂合格证或出厂测试报告、序列号、包装箱号与出厂批号等资料，并可追索查阅。所有随设备的附件必须齐全，以备验收使用。</w:t>
      </w:r>
    </w:p>
    <w:p w14:paraId="2DCA2FAD">
      <w:pPr>
        <w:pStyle w:val="29"/>
        <w:numPr>
          <w:ilvl w:val="0"/>
          <w:numId w:val="13"/>
        </w:numPr>
        <w:spacing w:line="360" w:lineRule="auto"/>
        <w:ind w:left="425" w:leftChars="0" w:hanging="425"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调试要求：中标人必须依照招标文件的要求和投标文件的承诺，将设备、系统安装并调试至正常运行的最佳状态。</w:t>
      </w:r>
    </w:p>
    <w:p w14:paraId="4219082A">
      <w:pPr>
        <w:pStyle w:val="29"/>
        <w:numPr>
          <w:ilvl w:val="0"/>
          <w:numId w:val="11"/>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售后服务（质保期）</w:t>
      </w:r>
    </w:p>
    <w:p w14:paraId="4C1BF67E">
      <w:pPr>
        <w:pStyle w:val="29"/>
        <w:numPr>
          <w:ilvl w:val="0"/>
          <w:numId w:val="14"/>
        </w:numPr>
        <w:spacing w:line="360" w:lineRule="auto"/>
        <w:ind w:firstLineChars="0"/>
        <w:contextualSpacing/>
        <w:rPr>
          <w:rFonts w:ascii="黑体" w:hAnsi="黑体" w:eastAsia="黑体"/>
          <w:b w:val="0"/>
          <w:bCs w:val="0"/>
          <w:iCs/>
          <w:color w:val="auto"/>
          <w:szCs w:val="21"/>
          <w:highlight w:val="none"/>
        </w:rPr>
      </w:pPr>
      <w:r>
        <w:rPr>
          <w:rFonts w:hint="eastAsia" w:ascii="黑体" w:hAnsi="黑体" w:eastAsia="黑体"/>
          <w:b w:val="0"/>
          <w:bCs w:val="0"/>
          <w:iCs/>
          <w:color w:val="auto"/>
          <w:szCs w:val="21"/>
          <w:highlight w:val="none"/>
        </w:rPr>
        <w:t>质保期：自交货完成并验收合格之日起至少3年（若国家或生产厂家对本项目所涉及货物的质保期的规定高于本项目的要求，应按国家或生产厂家的规定执行，所产生的费用已包含在投标人报价中）。</w:t>
      </w:r>
    </w:p>
    <w:p w14:paraId="376E3777">
      <w:pPr>
        <w:pStyle w:val="29"/>
        <w:numPr>
          <w:ilvl w:val="0"/>
          <w:numId w:val="14"/>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日常维护要求：①质保期内中标人必须配置专业的维护团队，团队须提供至少</w:t>
      </w:r>
      <w:r>
        <w:rPr>
          <w:rFonts w:ascii="黑体" w:hAnsi="黑体" w:eastAsia="黑体"/>
          <w:iCs/>
          <w:color w:val="auto"/>
          <w:szCs w:val="21"/>
          <w:highlight w:val="none"/>
        </w:rPr>
        <w:t>1</w:t>
      </w:r>
      <w:r>
        <w:rPr>
          <w:rFonts w:hint="eastAsia" w:ascii="黑体" w:hAnsi="黑体" w:eastAsia="黑体"/>
          <w:iCs/>
          <w:color w:val="auto"/>
          <w:szCs w:val="21"/>
          <w:highlight w:val="none"/>
        </w:rPr>
        <w:t>人作为维护对接人，该人员必须是参加本项目的主要人员，对接人须协助采购人处理本项目的建设和维护工作。②质保期内提供的维护服务内容和方式包括：软件升级、提供技术指导、功能优化与支持服务等内容，服务方式应包括网络支持与现场服务等。③质保期内中标人至少每半年对本项目设备进行全面的巡检（巡检内容包括设备整体检测、设备保养评估、故障隐患排查等），对巡检过程中发现的故障及隐患进行及时处理，并生成巡检报告提交采购人。</w:t>
      </w:r>
    </w:p>
    <w:p w14:paraId="64E4B59A">
      <w:pPr>
        <w:pStyle w:val="29"/>
        <w:numPr>
          <w:ilvl w:val="0"/>
          <w:numId w:val="14"/>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应急维护要求：中标人须提供应急维护方案，且质保期内提供</w:t>
      </w:r>
      <w:r>
        <w:rPr>
          <w:rFonts w:ascii="黑体" w:hAnsi="黑体" w:eastAsia="黑体"/>
          <w:iCs/>
          <w:color w:val="auto"/>
          <w:szCs w:val="21"/>
          <w:highlight w:val="none"/>
        </w:rPr>
        <w:t>24</w:t>
      </w:r>
      <w:r>
        <w:rPr>
          <w:rFonts w:hint="eastAsia" w:ascii="黑体" w:hAnsi="黑体" w:eastAsia="黑体"/>
          <w:iCs/>
          <w:color w:val="auto"/>
          <w:szCs w:val="21"/>
          <w:highlight w:val="none"/>
        </w:rPr>
        <w:t>小时电话服务热线，保证在接到故障电话后即时响应，</w:t>
      </w:r>
      <w:r>
        <w:rPr>
          <w:rFonts w:hint="eastAsia" w:ascii="黑体" w:hAnsi="黑体" w:eastAsia="黑体"/>
          <w:iCs/>
          <w:color w:val="auto"/>
          <w:szCs w:val="21"/>
          <w:highlight w:val="none"/>
          <w:lang w:val="en-US" w:eastAsia="zh-CN"/>
        </w:rPr>
        <w:t>3</w:t>
      </w:r>
      <w:r>
        <w:rPr>
          <w:rFonts w:hint="eastAsia" w:ascii="黑体" w:hAnsi="黑体" w:eastAsia="黑体"/>
          <w:iCs/>
          <w:color w:val="auto"/>
          <w:szCs w:val="21"/>
          <w:highlight w:val="none"/>
        </w:rPr>
        <w:t>小时内到达故障现场，并在</w:t>
      </w:r>
      <w:r>
        <w:rPr>
          <w:rFonts w:ascii="黑体" w:hAnsi="黑体" w:eastAsia="黑体"/>
          <w:iCs/>
          <w:color w:val="auto"/>
          <w:szCs w:val="21"/>
          <w:highlight w:val="none"/>
        </w:rPr>
        <w:t>48</w:t>
      </w:r>
      <w:r>
        <w:rPr>
          <w:rFonts w:hint="eastAsia" w:ascii="黑体" w:hAnsi="黑体" w:eastAsia="黑体"/>
          <w:iCs/>
          <w:color w:val="auto"/>
          <w:szCs w:val="21"/>
          <w:highlight w:val="none"/>
        </w:rPr>
        <w:t>小时内修复设备，如</w:t>
      </w:r>
      <w:r>
        <w:rPr>
          <w:rFonts w:ascii="黑体" w:hAnsi="黑体" w:eastAsia="黑体"/>
          <w:iCs/>
          <w:color w:val="auto"/>
          <w:szCs w:val="21"/>
          <w:highlight w:val="none"/>
        </w:rPr>
        <w:t>48</w:t>
      </w:r>
      <w:r>
        <w:rPr>
          <w:rFonts w:hint="eastAsia" w:ascii="黑体" w:hAnsi="黑体" w:eastAsia="黑体"/>
          <w:iCs/>
          <w:color w:val="auto"/>
          <w:szCs w:val="21"/>
          <w:highlight w:val="none"/>
        </w:rPr>
        <w:t>小时内无法修复的，中标人须提供配套替代货物给采购人使用，直到故障货物修复为止。质保服务方式均为供应商上门服务。</w:t>
      </w:r>
    </w:p>
    <w:p w14:paraId="05FD0897">
      <w:pPr>
        <w:pStyle w:val="29"/>
        <w:numPr>
          <w:ilvl w:val="0"/>
          <w:numId w:val="11"/>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lang w:val="en-US" w:eastAsia="zh-CN"/>
        </w:rPr>
        <w:t>质量保证要求</w:t>
      </w:r>
    </w:p>
    <w:p w14:paraId="4F63FEAE">
      <w:pPr>
        <w:pStyle w:val="29"/>
        <w:numPr>
          <w:ilvl w:val="0"/>
          <w:numId w:val="15"/>
        </w:numPr>
        <w:spacing w:line="360" w:lineRule="auto"/>
        <w:ind w:left="425" w:leftChars="0" w:hanging="425" w:firstLineChars="0"/>
        <w:contextualSpacing/>
        <w:rPr>
          <w:rFonts w:hint="eastAsia" w:ascii="黑体" w:hAnsi="黑体" w:eastAsia="黑体"/>
          <w:iCs/>
          <w:color w:val="auto"/>
          <w:szCs w:val="21"/>
          <w:highlight w:val="none"/>
        </w:rPr>
      </w:pPr>
      <w:r>
        <w:rPr>
          <w:rFonts w:hint="eastAsia" w:ascii="黑体" w:hAnsi="黑体" w:eastAsia="黑体"/>
          <w:iCs/>
          <w:color w:val="auto"/>
          <w:szCs w:val="21"/>
          <w:highlight w:val="none"/>
        </w:rPr>
        <w:t>投标人必须提供符合国家质量检测标准的全新、未使用过的货物(包括所有零配件、专用工具等)，表面无划伤，无碰撞，并提供货物出厂合格证、使用说明书、货物配置清单等相关资料。</w:t>
      </w:r>
    </w:p>
    <w:p w14:paraId="5598B29D">
      <w:pPr>
        <w:pStyle w:val="29"/>
        <w:numPr>
          <w:ilvl w:val="0"/>
          <w:numId w:val="15"/>
        </w:numPr>
        <w:spacing w:line="360" w:lineRule="auto"/>
        <w:ind w:left="425" w:leftChars="0" w:hanging="425" w:firstLineChars="0"/>
        <w:contextualSpacing/>
        <w:rPr>
          <w:rFonts w:hint="eastAsia" w:ascii="黑体" w:hAnsi="黑体" w:eastAsia="黑体"/>
          <w:b/>
          <w:bCs/>
          <w:iCs/>
          <w:color w:val="auto"/>
          <w:szCs w:val="21"/>
          <w:highlight w:val="none"/>
        </w:rPr>
      </w:pPr>
      <w:r>
        <w:rPr>
          <w:rFonts w:hint="eastAsia" w:ascii="黑体" w:hAnsi="黑体" w:eastAsia="黑体"/>
          <w:b/>
          <w:bCs/>
          <w:iCs/>
          <w:color w:val="auto"/>
          <w:szCs w:val="21"/>
          <w:highlight w:val="none"/>
          <w:lang w:val="en-US" w:eastAsia="zh-CN"/>
        </w:rPr>
        <w:t>★投标人</w:t>
      </w:r>
      <w:r>
        <w:rPr>
          <w:rFonts w:hint="eastAsia" w:ascii="黑体" w:hAnsi="黑体" w:eastAsia="黑体"/>
          <w:b/>
          <w:bCs/>
          <w:iCs/>
          <w:color w:val="auto"/>
          <w:szCs w:val="21"/>
          <w:highlight w:val="none"/>
        </w:rPr>
        <w:t>提供的设备出厂日期与安装完成日期间隔必须小于壹年</w:t>
      </w:r>
      <w:r>
        <w:rPr>
          <w:rFonts w:hint="eastAsia" w:ascii="黑体" w:hAnsi="黑体" w:eastAsia="黑体"/>
          <w:b/>
          <w:bCs/>
          <w:iCs/>
          <w:color w:val="auto"/>
          <w:szCs w:val="21"/>
          <w:highlight w:val="none"/>
          <w:lang w:eastAsia="zh-CN"/>
        </w:rPr>
        <w:t>。</w:t>
      </w:r>
    </w:p>
    <w:p w14:paraId="194E6291">
      <w:pPr>
        <w:pStyle w:val="29"/>
        <w:numPr>
          <w:ilvl w:val="0"/>
          <w:numId w:val="11"/>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lang w:val="en-US" w:eastAsia="zh-CN"/>
        </w:rPr>
        <w:t>培训要求</w:t>
      </w:r>
    </w:p>
    <w:p w14:paraId="317B0CAD">
      <w:pPr>
        <w:pStyle w:val="29"/>
        <w:spacing w:line="360" w:lineRule="auto"/>
        <w:contextualSpacing/>
        <w:rPr>
          <w:rFonts w:ascii="黑体" w:hAnsi="黑体" w:eastAsia="黑体"/>
          <w:iCs/>
          <w:color w:val="auto"/>
          <w:szCs w:val="21"/>
          <w:highlight w:val="none"/>
        </w:rPr>
      </w:pPr>
      <w:r>
        <w:rPr>
          <w:rFonts w:hint="eastAsia" w:ascii="黑体" w:hAnsi="黑体" w:eastAsia="黑体"/>
          <w:iCs/>
          <w:color w:val="auto"/>
          <w:szCs w:val="21"/>
          <w:highlight w:val="none"/>
        </w:rPr>
        <w:t>为保证采购人熟悉设备的使用及日常维护，中标人须为采购人提供培训方案，培训方案须包括：①培训内容（设备的基本操作、常见故障排除、系统维护技巧等）；②培训形式（线上或线下或其他方式培训）；③培训人员配置情况；④培训实施计划（培训时长、频次等）。中标人需按照采购人指定的时间、地点向采购人提供培训服务，培训所需全部费用（含培训、交通、食宿等）均由中标人负责。</w:t>
      </w:r>
    </w:p>
    <w:p w14:paraId="057043B5">
      <w:pPr>
        <w:pStyle w:val="29"/>
        <w:numPr>
          <w:ilvl w:val="0"/>
          <w:numId w:val="11"/>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lang w:val="en-US" w:eastAsia="zh-CN"/>
        </w:rPr>
        <w:t>报价要求</w:t>
      </w:r>
    </w:p>
    <w:p w14:paraId="2982E0CD">
      <w:pPr>
        <w:pStyle w:val="29"/>
        <w:spacing w:line="360" w:lineRule="auto"/>
        <w:contextualSpacing/>
        <w:rPr>
          <w:rFonts w:ascii="黑体" w:hAnsi="黑体" w:eastAsia="黑体"/>
          <w:iCs/>
          <w:color w:val="auto"/>
          <w:szCs w:val="21"/>
          <w:highlight w:val="none"/>
        </w:rPr>
      </w:pPr>
      <w:r>
        <w:rPr>
          <w:rFonts w:hint="eastAsia" w:ascii="黑体" w:hAnsi="黑体" w:eastAsia="黑体"/>
          <w:iCs/>
          <w:color w:val="auto"/>
          <w:szCs w:val="21"/>
          <w:highlight w:val="none"/>
        </w:rPr>
        <w:t>投标报价为采购人指定地点的现场交货价，包括但不限于：</w:t>
      </w:r>
    </w:p>
    <w:p w14:paraId="5595EE63">
      <w:pPr>
        <w:pStyle w:val="29"/>
        <w:numPr>
          <w:ilvl w:val="0"/>
          <w:numId w:val="16"/>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货物及标准附件、备品备件、专用工具的价格；</w:t>
      </w:r>
    </w:p>
    <w:p w14:paraId="70C4343F">
      <w:pPr>
        <w:pStyle w:val="29"/>
        <w:numPr>
          <w:ilvl w:val="0"/>
          <w:numId w:val="16"/>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运输、装卸、安装、调试、培训、技术支持、售后服务等费用；</w:t>
      </w:r>
    </w:p>
    <w:p w14:paraId="04EFC3D3">
      <w:pPr>
        <w:pStyle w:val="29"/>
        <w:numPr>
          <w:ilvl w:val="0"/>
          <w:numId w:val="16"/>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必要的保险费用和各项税费。</w:t>
      </w:r>
    </w:p>
    <w:p w14:paraId="3ACF2A85">
      <w:pPr>
        <w:pStyle w:val="29"/>
        <w:numPr>
          <w:ilvl w:val="0"/>
          <w:numId w:val="16"/>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报价要求：固定含税总价，报价不得超过</w:t>
      </w:r>
      <w:r>
        <w:rPr>
          <w:rFonts w:hint="eastAsia" w:ascii="黑体" w:hAnsi="黑体" w:eastAsia="黑体"/>
          <w:iCs/>
          <w:color w:val="auto"/>
          <w:szCs w:val="21"/>
          <w:highlight w:val="none"/>
          <w:lang w:val="en-US" w:eastAsia="zh-CN"/>
        </w:rPr>
        <w:t>项目包组</w:t>
      </w:r>
      <w:r>
        <w:rPr>
          <w:rFonts w:hint="eastAsia" w:ascii="黑体" w:hAnsi="黑体" w:eastAsia="黑体"/>
          <w:iCs/>
          <w:color w:val="auto"/>
          <w:szCs w:val="21"/>
          <w:highlight w:val="none"/>
        </w:rPr>
        <w:t>预算。本项目报价中包括但不限于产品设计、制造、包装、仓储、运输、安装、保险以及</w:t>
      </w:r>
      <w:r>
        <w:rPr>
          <w:rFonts w:hint="eastAsia" w:ascii="黑体" w:hAnsi="黑体" w:eastAsia="黑体"/>
          <w:iCs/>
          <w:color w:val="auto"/>
          <w:szCs w:val="21"/>
          <w:highlight w:val="none"/>
          <w:lang w:val="en-US" w:eastAsia="zh-CN"/>
        </w:rPr>
        <w:t>中标人</w:t>
      </w:r>
      <w:r>
        <w:rPr>
          <w:rFonts w:hint="eastAsia" w:ascii="黑体" w:hAnsi="黑体" w:eastAsia="黑体"/>
          <w:iCs/>
          <w:color w:val="auto"/>
          <w:szCs w:val="21"/>
          <w:highlight w:val="none"/>
        </w:rPr>
        <w:t>进行的安装、调试、试运行、验收、培训、技术服务(包括技术资料、图纸的提供)、质保期保障服务、备品备件发生等全部含税费用。</w:t>
      </w:r>
    </w:p>
    <w:p w14:paraId="472F96D1">
      <w:pPr>
        <w:pStyle w:val="29"/>
        <w:numPr>
          <w:ilvl w:val="0"/>
          <w:numId w:val="11"/>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验收要求</w:t>
      </w:r>
    </w:p>
    <w:p w14:paraId="3633B973">
      <w:pPr>
        <w:pStyle w:val="29"/>
        <w:numPr>
          <w:ilvl w:val="0"/>
          <w:numId w:val="17"/>
        </w:numPr>
        <w:spacing w:line="360" w:lineRule="auto"/>
        <w:ind w:firstLineChars="0"/>
        <w:contextualSpacing/>
        <w:rPr>
          <w:rFonts w:hint="eastAsia" w:ascii="黑体" w:hAnsi="黑体" w:eastAsia="黑体"/>
          <w:iCs/>
          <w:color w:val="auto"/>
          <w:szCs w:val="21"/>
          <w:highlight w:val="none"/>
        </w:rPr>
      </w:pPr>
      <w:r>
        <w:rPr>
          <w:rFonts w:hint="eastAsia" w:ascii="黑体" w:hAnsi="黑体" w:eastAsia="黑体"/>
          <w:iCs/>
          <w:color w:val="auto"/>
          <w:szCs w:val="21"/>
          <w:highlight w:val="none"/>
        </w:rPr>
        <w:t>在合同设备安装调试完成并正常工作30天后，双方共同参加验收。验收标准包括但不限于：（1）设备各项技术参数及性能指标符合本合同附件约定的技术规格；（2）设备能够完成其设计功能，运行稳定无故障；（3）</w:t>
      </w:r>
      <w:r>
        <w:rPr>
          <w:rFonts w:hint="eastAsia" w:ascii="黑体" w:hAnsi="黑体" w:eastAsia="黑体"/>
          <w:iCs/>
          <w:color w:val="auto"/>
          <w:szCs w:val="21"/>
          <w:highlight w:val="none"/>
          <w:lang w:val="en-US" w:eastAsia="zh-CN"/>
        </w:rPr>
        <w:t>采购人</w:t>
      </w:r>
      <w:r>
        <w:rPr>
          <w:rFonts w:hint="eastAsia" w:ascii="黑体" w:hAnsi="黑体" w:eastAsia="黑体"/>
          <w:iCs/>
          <w:color w:val="auto"/>
          <w:szCs w:val="21"/>
          <w:highlight w:val="none"/>
        </w:rPr>
        <w:t>操作人员经培训后能够独立、熟练操作设备。</w:t>
      </w:r>
      <w:r>
        <w:rPr>
          <w:rFonts w:hint="eastAsia" w:ascii="黑体" w:hAnsi="黑体" w:eastAsia="黑体"/>
          <w:iCs/>
          <w:color w:val="auto"/>
          <w:szCs w:val="21"/>
          <w:highlight w:val="none"/>
          <w:lang w:val="en-US" w:eastAsia="zh-CN"/>
        </w:rPr>
        <w:t>采购人</w:t>
      </w:r>
      <w:r>
        <w:rPr>
          <w:rFonts w:hint="eastAsia" w:ascii="黑体" w:hAnsi="黑体" w:eastAsia="黑体"/>
          <w:iCs/>
          <w:color w:val="auto"/>
          <w:szCs w:val="21"/>
          <w:highlight w:val="none"/>
        </w:rPr>
        <w:t>有权根据上述标准判断设备是否达到临床使用满意效果，</w:t>
      </w:r>
      <w:r>
        <w:rPr>
          <w:rFonts w:hint="eastAsia" w:ascii="黑体" w:hAnsi="黑体" w:eastAsia="黑体"/>
          <w:iCs/>
          <w:color w:val="auto"/>
          <w:szCs w:val="21"/>
          <w:highlight w:val="none"/>
          <w:lang w:val="en-US" w:eastAsia="zh-CN"/>
        </w:rPr>
        <w:t>采购人</w:t>
      </w:r>
      <w:r>
        <w:rPr>
          <w:rFonts w:hint="eastAsia" w:ascii="黑体" w:hAnsi="黑体" w:eastAsia="黑体"/>
          <w:iCs/>
          <w:color w:val="auto"/>
          <w:szCs w:val="21"/>
          <w:highlight w:val="none"/>
        </w:rPr>
        <w:t>的验收结论为最终结论。</w:t>
      </w:r>
    </w:p>
    <w:p w14:paraId="3B0CD66B">
      <w:pPr>
        <w:pStyle w:val="29"/>
        <w:numPr>
          <w:ilvl w:val="0"/>
          <w:numId w:val="17"/>
        </w:numPr>
        <w:spacing w:line="360" w:lineRule="auto"/>
        <w:ind w:firstLineChars="0"/>
        <w:contextualSpacing/>
        <w:rPr>
          <w:rFonts w:hint="eastAsia" w:ascii="黑体" w:hAnsi="黑体" w:eastAsia="黑体"/>
          <w:iCs/>
          <w:color w:val="auto"/>
          <w:szCs w:val="21"/>
          <w:highlight w:val="none"/>
        </w:rPr>
      </w:pPr>
      <w:r>
        <w:rPr>
          <w:rFonts w:hint="eastAsia" w:ascii="黑体" w:hAnsi="黑体" w:eastAsia="黑体"/>
          <w:iCs/>
          <w:color w:val="auto"/>
          <w:szCs w:val="21"/>
          <w:highlight w:val="none"/>
        </w:rPr>
        <w:t>验收按国家有关的规定、规范进行。验收时如发现所交付的设备有短装、次品、损坏或其他不符合本合同规定之情形者，由双方签署备忘录。此备忘录可用作补充、缺失和更换损坏部件的有效证据。由此产生的有关费用由</w:t>
      </w:r>
      <w:r>
        <w:rPr>
          <w:rFonts w:hint="eastAsia" w:ascii="黑体" w:hAnsi="黑体" w:eastAsia="黑体"/>
          <w:iCs/>
          <w:color w:val="auto"/>
          <w:szCs w:val="21"/>
          <w:highlight w:val="none"/>
          <w:lang w:val="en-US" w:eastAsia="zh-CN"/>
        </w:rPr>
        <w:t>中标人</w:t>
      </w:r>
      <w:r>
        <w:rPr>
          <w:rFonts w:hint="eastAsia" w:ascii="黑体" w:hAnsi="黑体" w:eastAsia="黑体"/>
          <w:iCs/>
          <w:color w:val="auto"/>
          <w:szCs w:val="21"/>
          <w:highlight w:val="none"/>
        </w:rPr>
        <w:t>承担。</w:t>
      </w:r>
    </w:p>
    <w:p w14:paraId="4D22E505">
      <w:pPr>
        <w:pStyle w:val="29"/>
        <w:numPr>
          <w:ilvl w:val="0"/>
          <w:numId w:val="17"/>
        </w:numPr>
        <w:spacing w:line="360" w:lineRule="auto"/>
        <w:ind w:firstLineChars="0"/>
        <w:contextualSpacing/>
        <w:rPr>
          <w:rFonts w:hint="eastAsia" w:ascii="黑体" w:hAnsi="黑体" w:eastAsia="黑体"/>
          <w:iCs/>
          <w:color w:val="auto"/>
          <w:szCs w:val="21"/>
          <w:highlight w:val="none"/>
        </w:rPr>
      </w:pPr>
      <w:r>
        <w:rPr>
          <w:rFonts w:hint="eastAsia" w:ascii="黑体" w:hAnsi="黑体" w:eastAsia="黑体"/>
          <w:iCs/>
          <w:color w:val="auto"/>
          <w:szCs w:val="21"/>
          <w:highlight w:val="none"/>
        </w:rPr>
        <w:t>如果合同设备运输和安装调试过程中因事故造成货物短缺、损坏，</w:t>
      </w:r>
      <w:r>
        <w:rPr>
          <w:rFonts w:hint="eastAsia" w:ascii="黑体" w:hAnsi="黑体" w:eastAsia="黑体"/>
          <w:iCs/>
          <w:color w:val="auto"/>
          <w:szCs w:val="21"/>
          <w:highlight w:val="none"/>
          <w:lang w:val="en-US" w:eastAsia="zh-CN"/>
        </w:rPr>
        <w:t>中标人</w:t>
      </w:r>
      <w:r>
        <w:rPr>
          <w:rFonts w:hint="eastAsia" w:ascii="黑体" w:hAnsi="黑体" w:eastAsia="黑体"/>
          <w:iCs/>
          <w:color w:val="auto"/>
          <w:szCs w:val="21"/>
          <w:highlight w:val="none"/>
        </w:rPr>
        <w:t>应及时安排换装，以保证合同设备安装调试的成功完成。换货及相关费用由</w:t>
      </w:r>
      <w:r>
        <w:rPr>
          <w:rFonts w:hint="eastAsia" w:ascii="黑体" w:hAnsi="黑体" w:eastAsia="黑体"/>
          <w:iCs/>
          <w:color w:val="auto"/>
          <w:szCs w:val="21"/>
          <w:highlight w:val="none"/>
          <w:lang w:val="en-US" w:eastAsia="zh-CN"/>
        </w:rPr>
        <w:t>中标人</w:t>
      </w:r>
      <w:r>
        <w:rPr>
          <w:rFonts w:hint="eastAsia" w:ascii="黑体" w:hAnsi="黑体" w:eastAsia="黑体"/>
          <w:iCs/>
          <w:color w:val="auto"/>
          <w:szCs w:val="21"/>
          <w:highlight w:val="none"/>
        </w:rPr>
        <w:t>承担。</w:t>
      </w:r>
    </w:p>
    <w:p w14:paraId="5A230343">
      <w:pPr>
        <w:pStyle w:val="29"/>
        <w:numPr>
          <w:ilvl w:val="0"/>
          <w:numId w:val="17"/>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lang w:val="en-US" w:eastAsia="zh-CN"/>
        </w:rPr>
        <w:t>中标人</w:t>
      </w:r>
      <w:r>
        <w:rPr>
          <w:rFonts w:hint="eastAsia" w:ascii="黑体" w:hAnsi="黑体" w:eastAsia="黑体"/>
          <w:iCs/>
          <w:color w:val="auto"/>
          <w:szCs w:val="21"/>
          <w:highlight w:val="none"/>
        </w:rPr>
        <w:t>保证合同项下提供的货物不侵犯任何第三方的专利、商标或版权。否则，</w:t>
      </w:r>
      <w:r>
        <w:rPr>
          <w:rFonts w:hint="eastAsia" w:ascii="黑体" w:hAnsi="黑体" w:eastAsia="黑体"/>
          <w:iCs/>
          <w:color w:val="auto"/>
          <w:szCs w:val="21"/>
          <w:highlight w:val="none"/>
          <w:lang w:val="en-US" w:eastAsia="zh-CN"/>
        </w:rPr>
        <w:t>中标人</w:t>
      </w:r>
      <w:r>
        <w:rPr>
          <w:rFonts w:hint="eastAsia" w:ascii="黑体" w:hAnsi="黑体" w:eastAsia="黑体"/>
          <w:iCs/>
          <w:color w:val="auto"/>
          <w:szCs w:val="21"/>
          <w:highlight w:val="none"/>
        </w:rPr>
        <w:t>须承担对第三方的专利或版权的侵权责任并承担因此而发生的所有费用。</w:t>
      </w:r>
    </w:p>
    <w:p w14:paraId="35585DA5">
      <w:pPr>
        <w:pStyle w:val="29"/>
        <w:numPr>
          <w:ilvl w:val="0"/>
          <w:numId w:val="9"/>
        </w:numPr>
        <w:spacing w:before="312" w:beforeLines="100" w:line="360" w:lineRule="auto"/>
        <w:ind w:left="499" w:hanging="499" w:firstLineChars="0"/>
        <w:contextualSpacing/>
        <w:rPr>
          <w:rFonts w:ascii="黑体" w:hAnsi="黑体" w:eastAsia="黑体"/>
          <w:b/>
          <w:color w:val="auto"/>
          <w:szCs w:val="21"/>
          <w:highlight w:val="none"/>
        </w:rPr>
      </w:pPr>
      <w:r>
        <w:rPr>
          <w:rFonts w:ascii="黑体" w:hAnsi="黑体" w:eastAsia="黑体"/>
          <w:b/>
          <w:color w:val="auto"/>
          <w:szCs w:val="21"/>
          <w:highlight w:val="none"/>
        </w:rPr>
        <w:t>技术要求</w:t>
      </w:r>
    </w:p>
    <w:p w14:paraId="6AFD746E">
      <w:pPr>
        <w:pStyle w:val="29"/>
        <w:numPr>
          <w:ilvl w:val="0"/>
          <w:numId w:val="18"/>
        </w:numPr>
        <w:spacing w:line="360" w:lineRule="auto"/>
        <w:ind w:firstLineChars="0"/>
        <w:contextualSpacing/>
        <w:rPr>
          <w:rFonts w:ascii="黑体" w:hAnsi="黑体" w:eastAsia="黑体"/>
          <w:color w:val="auto"/>
          <w:szCs w:val="21"/>
          <w:highlight w:val="none"/>
        </w:rPr>
      </w:pPr>
      <w:r>
        <w:rPr>
          <w:rFonts w:ascii="黑体" w:hAnsi="黑体" w:eastAsia="黑体"/>
          <w:color w:val="auto"/>
          <w:szCs w:val="21"/>
          <w:highlight w:val="none"/>
        </w:rPr>
        <w:t>基本要求</w:t>
      </w:r>
    </w:p>
    <w:p w14:paraId="6F81FD8D">
      <w:pPr>
        <w:pStyle w:val="29"/>
        <w:numPr>
          <w:ilvl w:val="0"/>
          <w:numId w:val="19"/>
        </w:numPr>
        <w:spacing w:line="360" w:lineRule="auto"/>
        <w:ind w:firstLineChars="0"/>
        <w:contextualSpacing/>
        <w:rPr>
          <w:rFonts w:ascii="黑体" w:hAnsi="黑体" w:eastAsia="黑体"/>
          <w:color w:val="auto"/>
          <w:szCs w:val="21"/>
          <w:highlight w:val="none"/>
        </w:rPr>
      </w:pPr>
      <w:r>
        <w:rPr>
          <w:rFonts w:hint="eastAsia" w:ascii="黑体" w:hAnsi="黑体" w:eastAsia="黑体"/>
          <w:color w:val="auto"/>
          <w:szCs w:val="21"/>
          <w:highlight w:val="none"/>
        </w:rPr>
        <w:t>质量标准：符合国家标准、行业标准、地方标准或者其他标准、规范。</w:t>
      </w:r>
    </w:p>
    <w:p w14:paraId="1154FA17">
      <w:pPr>
        <w:pStyle w:val="29"/>
        <w:numPr>
          <w:ilvl w:val="0"/>
          <w:numId w:val="18"/>
        </w:numPr>
        <w:spacing w:line="360" w:lineRule="auto"/>
        <w:ind w:firstLineChars="0"/>
        <w:contextualSpacing/>
        <w:rPr>
          <w:rFonts w:ascii="黑体" w:hAnsi="黑体" w:eastAsia="黑体"/>
          <w:color w:val="auto"/>
          <w:szCs w:val="21"/>
          <w:highlight w:val="none"/>
        </w:rPr>
      </w:pPr>
      <w:r>
        <w:rPr>
          <w:rFonts w:hint="eastAsia" w:ascii="黑体" w:hAnsi="黑体" w:eastAsia="黑体"/>
          <w:color w:val="auto"/>
          <w:szCs w:val="21"/>
          <w:highlight w:val="none"/>
          <w:lang w:val="en-US" w:eastAsia="zh-CN"/>
        </w:rPr>
        <w:t>货物技术</w:t>
      </w:r>
      <w:r>
        <w:rPr>
          <w:rFonts w:ascii="黑体" w:hAnsi="黑体" w:eastAsia="黑体"/>
          <w:color w:val="auto"/>
          <w:szCs w:val="21"/>
          <w:highlight w:val="none"/>
        </w:rPr>
        <w:t>要求</w:t>
      </w:r>
    </w:p>
    <w:p w14:paraId="4AED5A15">
      <w:pPr>
        <w:pStyle w:val="29"/>
        <w:numPr>
          <w:ilvl w:val="0"/>
          <w:numId w:val="20"/>
        </w:numPr>
        <w:spacing w:line="360" w:lineRule="auto"/>
        <w:ind w:firstLineChars="0"/>
        <w:contextualSpacing/>
        <w:rPr>
          <w:rFonts w:ascii="黑体" w:hAnsi="黑体" w:eastAsia="黑体"/>
          <w:b/>
          <w:bCs/>
          <w:color w:val="auto"/>
          <w:szCs w:val="21"/>
          <w:highlight w:val="none"/>
        </w:rPr>
      </w:pPr>
      <w:r>
        <w:rPr>
          <w:rFonts w:hint="eastAsia" w:ascii="黑体" w:hAnsi="黑体" w:eastAsia="黑体"/>
          <w:b/>
          <w:bCs/>
          <w:color w:val="auto"/>
          <w:szCs w:val="21"/>
          <w:highlight w:val="none"/>
          <w:lang w:val="en-US" w:eastAsia="zh-CN"/>
        </w:rPr>
        <w:t>根管治疗仪及其配套马达手机</w:t>
      </w:r>
    </w:p>
    <w:p w14:paraId="10026E08">
      <w:pPr>
        <w:pStyle w:val="29"/>
        <w:numPr>
          <w:ilvl w:val="0"/>
          <w:numId w:val="21"/>
        </w:numPr>
        <w:spacing w:line="360" w:lineRule="auto"/>
        <w:ind w:left="425" w:leftChars="0" w:hanging="425" w:firstLineChars="0"/>
        <w:contextualSpacing/>
        <w:rPr>
          <w:rFonts w:ascii="黑体" w:hAnsi="黑体" w:eastAsia="黑体"/>
          <w:b w:val="0"/>
          <w:bCs w:val="0"/>
          <w:color w:val="auto"/>
          <w:szCs w:val="21"/>
          <w:highlight w:val="none"/>
        </w:rPr>
      </w:pPr>
      <w:r>
        <w:rPr>
          <w:rFonts w:hint="eastAsia" w:ascii="黑体" w:hAnsi="黑体" w:eastAsia="黑体"/>
          <w:b w:val="0"/>
          <w:bCs w:val="0"/>
          <w:color w:val="auto"/>
          <w:szCs w:val="21"/>
          <w:highlight w:val="none"/>
        </w:rPr>
        <w:t>设备技术参数及配置要求</w:t>
      </w:r>
      <w:r>
        <w:rPr>
          <w:rFonts w:hint="eastAsia" w:ascii="黑体" w:hAnsi="黑体" w:eastAsia="黑体"/>
          <w:b w:val="0"/>
          <w:bCs w:val="0"/>
          <w:color w:val="auto"/>
          <w:szCs w:val="21"/>
          <w:highlight w:val="none"/>
          <w:lang w:eastAsia="zh-CN"/>
        </w:rPr>
        <w:t>；</w:t>
      </w:r>
    </w:p>
    <w:p w14:paraId="3835E334">
      <w:pPr>
        <w:pStyle w:val="29"/>
        <w:numPr>
          <w:ilvl w:val="1"/>
          <w:numId w:val="22"/>
        </w:numPr>
        <w:spacing w:line="360" w:lineRule="auto"/>
        <w:ind w:left="567" w:leftChars="0" w:hanging="567" w:firstLineChars="0"/>
        <w:contextualSpacing/>
        <w:rPr>
          <w:rFonts w:hint="eastAsia" w:ascii="黑体" w:hAnsi="黑体" w:eastAsia="黑体"/>
          <w:b/>
          <w:bCs/>
          <w:color w:val="auto"/>
          <w:szCs w:val="21"/>
          <w:highlight w:val="none"/>
        </w:rPr>
      </w:pPr>
      <w:r>
        <w:rPr>
          <w:rFonts w:hint="eastAsia" w:ascii="黑体" w:hAnsi="黑体" w:eastAsia="黑体"/>
          <w:b/>
          <w:bCs/>
          <w:color w:val="auto"/>
          <w:szCs w:val="21"/>
          <w:highlight w:val="none"/>
        </w:rPr>
        <w:t>▲采用实时反馈技术，对电机输出扭矩实时动态控制，有效预防断针</w:t>
      </w:r>
      <w:r>
        <w:rPr>
          <w:rFonts w:hint="eastAsia" w:ascii="黑体" w:hAnsi="黑体" w:eastAsia="黑体"/>
          <w:b/>
          <w:bCs/>
          <w:color w:val="auto"/>
          <w:szCs w:val="21"/>
          <w:highlight w:val="none"/>
          <w:lang w:eastAsia="zh-CN"/>
        </w:rPr>
        <w:t>；</w:t>
      </w:r>
    </w:p>
    <w:p w14:paraId="57C244B0">
      <w:pPr>
        <w:pStyle w:val="29"/>
        <w:numPr>
          <w:ilvl w:val="1"/>
          <w:numId w:val="22"/>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无线手柄，无线通信，使用不受束缚；</w:t>
      </w:r>
    </w:p>
    <w:p w14:paraId="27A7B269">
      <w:pPr>
        <w:pStyle w:val="29"/>
        <w:numPr>
          <w:ilvl w:val="1"/>
          <w:numId w:val="22"/>
        </w:numPr>
        <w:spacing w:line="360" w:lineRule="auto"/>
        <w:ind w:left="567" w:leftChars="0" w:hanging="567" w:firstLineChars="0"/>
        <w:contextualSpacing/>
        <w:rPr>
          <w:rFonts w:hint="eastAsia" w:ascii="黑体" w:hAnsi="黑体" w:eastAsia="黑体"/>
          <w:b/>
          <w:bCs/>
          <w:color w:val="auto"/>
          <w:szCs w:val="21"/>
          <w:highlight w:val="none"/>
        </w:rPr>
      </w:pPr>
      <w:r>
        <w:rPr>
          <w:rFonts w:hint="eastAsia" w:ascii="黑体" w:hAnsi="黑体" w:eastAsia="黑体"/>
          <w:b/>
          <w:bCs/>
          <w:color w:val="auto"/>
          <w:szCs w:val="21"/>
          <w:highlight w:val="none"/>
        </w:rPr>
        <w:t>▲无线充电，避免传统触点式充电接触不良</w:t>
      </w:r>
      <w:r>
        <w:rPr>
          <w:rFonts w:hint="eastAsia" w:ascii="黑体" w:hAnsi="黑体" w:eastAsia="黑体"/>
          <w:b/>
          <w:bCs/>
          <w:color w:val="auto"/>
          <w:szCs w:val="21"/>
          <w:highlight w:val="none"/>
          <w:lang w:eastAsia="zh-CN"/>
        </w:rPr>
        <w:t>；</w:t>
      </w:r>
    </w:p>
    <w:p w14:paraId="22E9AEA1">
      <w:pPr>
        <w:pStyle w:val="29"/>
        <w:numPr>
          <w:ilvl w:val="1"/>
          <w:numId w:val="22"/>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智能充电模式：底座内置电池作为充电电源；</w:t>
      </w:r>
    </w:p>
    <w:p w14:paraId="68DC8775">
      <w:pPr>
        <w:pStyle w:val="29"/>
        <w:numPr>
          <w:ilvl w:val="1"/>
          <w:numId w:val="22"/>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全触摸按键，使用简单，易于清洁；</w:t>
      </w:r>
      <w:r>
        <w:rPr>
          <w:rFonts w:hint="eastAsia" w:ascii="黑体" w:hAnsi="黑体" w:eastAsia="黑体"/>
          <w:b w:val="0"/>
          <w:bCs w:val="0"/>
          <w:color w:val="auto"/>
          <w:szCs w:val="21"/>
          <w:highlight w:val="none"/>
        </w:rPr>
        <w:tab/>
      </w:r>
    </w:p>
    <w:p w14:paraId="650B3153">
      <w:pPr>
        <w:pStyle w:val="29"/>
        <w:numPr>
          <w:ilvl w:val="1"/>
          <w:numId w:val="22"/>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连续模式-三种智能反转模式；</w:t>
      </w:r>
    </w:p>
    <w:p w14:paraId="38A22E76">
      <w:pPr>
        <w:pStyle w:val="29"/>
        <w:numPr>
          <w:ilvl w:val="1"/>
          <w:numId w:val="22"/>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往复模式-匹配市面上所有单支锉；</w:t>
      </w:r>
    </w:p>
    <w:p w14:paraId="77119728">
      <w:pPr>
        <w:pStyle w:val="29"/>
        <w:numPr>
          <w:ilvl w:val="1"/>
          <w:numId w:val="22"/>
        </w:numPr>
        <w:spacing w:line="360" w:lineRule="auto"/>
        <w:ind w:left="567" w:leftChars="0" w:hanging="567" w:firstLineChars="0"/>
        <w:contextualSpacing/>
        <w:rPr>
          <w:rFonts w:hint="eastAsia" w:ascii="黑体" w:hAnsi="黑体" w:eastAsia="黑体"/>
          <w:b/>
          <w:bCs/>
          <w:color w:val="auto"/>
          <w:szCs w:val="21"/>
          <w:highlight w:val="none"/>
        </w:rPr>
      </w:pPr>
      <w:r>
        <w:rPr>
          <w:rFonts w:hint="eastAsia" w:ascii="黑体" w:hAnsi="黑体" w:eastAsia="黑体"/>
          <w:b/>
          <w:bCs/>
          <w:color w:val="auto"/>
          <w:szCs w:val="21"/>
          <w:highlight w:val="none"/>
        </w:rPr>
        <w:t>▲集成根管长度测量功能，实现根管预备和根管长度测量协同使用；</w:t>
      </w:r>
    </w:p>
    <w:p w14:paraId="5302721C">
      <w:pPr>
        <w:pStyle w:val="29"/>
        <w:numPr>
          <w:ilvl w:val="1"/>
          <w:numId w:val="22"/>
        </w:numPr>
        <w:spacing w:line="360" w:lineRule="auto"/>
        <w:ind w:left="567" w:leftChars="0" w:hanging="567" w:firstLineChars="0"/>
        <w:contextualSpacing/>
        <w:rPr>
          <w:rFonts w:hint="eastAsia" w:ascii="黑体" w:hAnsi="黑体" w:eastAsia="黑体"/>
          <w:b/>
          <w:bCs/>
          <w:color w:val="auto"/>
          <w:szCs w:val="21"/>
          <w:highlight w:val="none"/>
        </w:rPr>
      </w:pPr>
      <w:r>
        <w:rPr>
          <w:rFonts w:hint="eastAsia" w:ascii="黑体" w:hAnsi="黑体" w:eastAsia="黑体"/>
          <w:b/>
          <w:bCs/>
          <w:color w:val="auto"/>
          <w:szCs w:val="21"/>
          <w:highlight w:val="none"/>
        </w:rPr>
        <w:t>▲使用高效无刷电机，低噪音，会用寿命长；</w:t>
      </w:r>
    </w:p>
    <w:p w14:paraId="22741220">
      <w:pPr>
        <w:pStyle w:val="29"/>
        <w:numPr>
          <w:ilvl w:val="1"/>
          <w:numId w:val="22"/>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按运行模式分类：连续运行设备；</w:t>
      </w:r>
    </w:p>
    <w:p w14:paraId="6FC6CDB9">
      <w:pPr>
        <w:pStyle w:val="29"/>
        <w:numPr>
          <w:ilvl w:val="1"/>
          <w:numId w:val="22"/>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按防电击类型分类：带内部电源的Ⅱ类设备；</w:t>
      </w:r>
    </w:p>
    <w:p w14:paraId="58CD8036">
      <w:pPr>
        <w:pStyle w:val="29"/>
        <w:numPr>
          <w:ilvl w:val="1"/>
          <w:numId w:val="22"/>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按防电击程度分类：B型应用部分；</w:t>
      </w:r>
    </w:p>
    <w:p w14:paraId="6C1412FD">
      <w:pPr>
        <w:pStyle w:val="29"/>
        <w:numPr>
          <w:ilvl w:val="1"/>
          <w:numId w:val="22"/>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对进液防护程度：普通器材 (IPX0)</w:t>
      </w:r>
      <w:r>
        <w:rPr>
          <w:rFonts w:hint="eastAsia" w:ascii="黑体" w:hAnsi="黑体" w:eastAsia="黑体"/>
          <w:b w:val="0"/>
          <w:bCs w:val="0"/>
          <w:color w:val="auto"/>
          <w:szCs w:val="21"/>
          <w:highlight w:val="none"/>
          <w:lang w:eastAsia="zh-CN"/>
        </w:rPr>
        <w:t>；</w:t>
      </w:r>
    </w:p>
    <w:p w14:paraId="45B89076">
      <w:pPr>
        <w:pStyle w:val="29"/>
        <w:numPr>
          <w:ilvl w:val="0"/>
          <w:numId w:val="21"/>
        </w:numPr>
        <w:spacing w:line="360" w:lineRule="auto"/>
        <w:ind w:left="425" w:leftChars="0" w:hanging="425"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配置清单</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2"/>
        <w:gridCol w:w="3315"/>
        <w:gridCol w:w="2449"/>
        <w:gridCol w:w="1632"/>
      </w:tblGrid>
      <w:tr w14:paraId="0747B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1262" w:type="dxa"/>
          </w:tcPr>
          <w:p w14:paraId="27DA09FA">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序号</w:t>
            </w:r>
          </w:p>
        </w:tc>
        <w:tc>
          <w:tcPr>
            <w:tcW w:w="3315" w:type="dxa"/>
            <w:vAlign w:val="center"/>
          </w:tcPr>
          <w:p w14:paraId="45715919">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名称</w:t>
            </w:r>
          </w:p>
        </w:tc>
        <w:tc>
          <w:tcPr>
            <w:tcW w:w="2449" w:type="dxa"/>
            <w:vAlign w:val="center"/>
          </w:tcPr>
          <w:p w14:paraId="2C55C799">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单位</w:t>
            </w:r>
          </w:p>
        </w:tc>
        <w:tc>
          <w:tcPr>
            <w:tcW w:w="1632" w:type="dxa"/>
            <w:vAlign w:val="center"/>
          </w:tcPr>
          <w:p w14:paraId="12B1A840">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数量</w:t>
            </w:r>
          </w:p>
        </w:tc>
      </w:tr>
      <w:tr w14:paraId="3102D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1262" w:type="dxa"/>
          </w:tcPr>
          <w:p w14:paraId="6DCFE9D0">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1</w:t>
            </w:r>
          </w:p>
        </w:tc>
        <w:tc>
          <w:tcPr>
            <w:tcW w:w="3315" w:type="dxa"/>
            <w:vAlign w:val="center"/>
          </w:tcPr>
          <w:p w14:paraId="3C6CBA8E">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底座</w:t>
            </w:r>
          </w:p>
        </w:tc>
        <w:tc>
          <w:tcPr>
            <w:tcW w:w="2449" w:type="dxa"/>
            <w:vAlign w:val="center"/>
          </w:tcPr>
          <w:p w14:paraId="799DCBA6">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台</w:t>
            </w:r>
          </w:p>
        </w:tc>
        <w:tc>
          <w:tcPr>
            <w:tcW w:w="1632" w:type="dxa"/>
            <w:vAlign w:val="center"/>
          </w:tcPr>
          <w:p w14:paraId="717ABA11">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1</w:t>
            </w:r>
          </w:p>
        </w:tc>
      </w:tr>
      <w:tr w14:paraId="6BC6B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1262" w:type="dxa"/>
          </w:tcPr>
          <w:p w14:paraId="1775F9F8">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2</w:t>
            </w:r>
          </w:p>
        </w:tc>
        <w:tc>
          <w:tcPr>
            <w:tcW w:w="3315" w:type="dxa"/>
            <w:vAlign w:val="center"/>
          </w:tcPr>
          <w:p w14:paraId="2E0C4BC0">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手柄</w:t>
            </w:r>
          </w:p>
        </w:tc>
        <w:tc>
          <w:tcPr>
            <w:tcW w:w="2449" w:type="dxa"/>
            <w:vAlign w:val="center"/>
          </w:tcPr>
          <w:p w14:paraId="037E789E">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份</w:t>
            </w:r>
          </w:p>
        </w:tc>
        <w:tc>
          <w:tcPr>
            <w:tcW w:w="1632" w:type="dxa"/>
            <w:vAlign w:val="center"/>
          </w:tcPr>
          <w:p w14:paraId="61A06BB5">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1</w:t>
            </w:r>
          </w:p>
        </w:tc>
      </w:tr>
      <w:tr w14:paraId="130A7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1262" w:type="dxa"/>
          </w:tcPr>
          <w:p w14:paraId="30A2C445">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3</w:t>
            </w:r>
          </w:p>
        </w:tc>
        <w:tc>
          <w:tcPr>
            <w:tcW w:w="3315" w:type="dxa"/>
            <w:vAlign w:val="center"/>
          </w:tcPr>
          <w:p w14:paraId="721FEDCE">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弯手机</w:t>
            </w:r>
          </w:p>
        </w:tc>
        <w:tc>
          <w:tcPr>
            <w:tcW w:w="2449" w:type="dxa"/>
            <w:vAlign w:val="center"/>
          </w:tcPr>
          <w:p w14:paraId="131351F4">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台</w:t>
            </w:r>
          </w:p>
        </w:tc>
        <w:tc>
          <w:tcPr>
            <w:tcW w:w="1632" w:type="dxa"/>
            <w:vAlign w:val="center"/>
          </w:tcPr>
          <w:p w14:paraId="0E74D508">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1</w:t>
            </w:r>
          </w:p>
        </w:tc>
      </w:tr>
      <w:tr w14:paraId="0126B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1262" w:type="dxa"/>
          </w:tcPr>
          <w:p w14:paraId="786D1EC5">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4</w:t>
            </w:r>
          </w:p>
        </w:tc>
        <w:tc>
          <w:tcPr>
            <w:tcW w:w="3315" w:type="dxa"/>
            <w:vAlign w:val="center"/>
          </w:tcPr>
          <w:p w14:paraId="1C2529DB">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USB线</w:t>
            </w:r>
          </w:p>
        </w:tc>
        <w:tc>
          <w:tcPr>
            <w:tcW w:w="2449" w:type="dxa"/>
            <w:vAlign w:val="center"/>
          </w:tcPr>
          <w:p w14:paraId="2595A3F6">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根</w:t>
            </w:r>
          </w:p>
        </w:tc>
        <w:tc>
          <w:tcPr>
            <w:tcW w:w="1632" w:type="dxa"/>
            <w:vAlign w:val="center"/>
          </w:tcPr>
          <w:p w14:paraId="2C3897C5">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1</w:t>
            </w:r>
          </w:p>
        </w:tc>
      </w:tr>
      <w:tr w14:paraId="1780C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1262" w:type="dxa"/>
          </w:tcPr>
          <w:p w14:paraId="49D0E36E">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5</w:t>
            </w:r>
          </w:p>
        </w:tc>
        <w:tc>
          <w:tcPr>
            <w:tcW w:w="3315" w:type="dxa"/>
            <w:vAlign w:val="center"/>
          </w:tcPr>
          <w:p w14:paraId="34302C66">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注油嘴</w:t>
            </w:r>
          </w:p>
        </w:tc>
        <w:tc>
          <w:tcPr>
            <w:tcW w:w="2449" w:type="dxa"/>
            <w:vAlign w:val="center"/>
          </w:tcPr>
          <w:p w14:paraId="387E8EE3">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个</w:t>
            </w:r>
          </w:p>
        </w:tc>
        <w:tc>
          <w:tcPr>
            <w:tcW w:w="1632" w:type="dxa"/>
            <w:vAlign w:val="center"/>
          </w:tcPr>
          <w:p w14:paraId="32F0DA9C">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1</w:t>
            </w:r>
          </w:p>
        </w:tc>
      </w:tr>
      <w:tr w14:paraId="01783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1262" w:type="dxa"/>
          </w:tcPr>
          <w:p w14:paraId="5BD665F1">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6</w:t>
            </w:r>
          </w:p>
        </w:tc>
        <w:tc>
          <w:tcPr>
            <w:tcW w:w="3315" w:type="dxa"/>
            <w:vAlign w:val="center"/>
          </w:tcPr>
          <w:p w14:paraId="3A407B0C">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测量线</w:t>
            </w:r>
          </w:p>
        </w:tc>
        <w:tc>
          <w:tcPr>
            <w:tcW w:w="2449" w:type="dxa"/>
            <w:vAlign w:val="center"/>
          </w:tcPr>
          <w:p w14:paraId="511C82A1">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根</w:t>
            </w:r>
          </w:p>
        </w:tc>
        <w:tc>
          <w:tcPr>
            <w:tcW w:w="1632" w:type="dxa"/>
            <w:vAlign w:val="center"/>
          </w:tcPr>
          <w:p w14:paraId="12FF6C01">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1</w:t>
            </w:r>
          </w:p>
        </w:tc>
      </w:tr>
      <w:tr w14:paraId="42BB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1262" w:type="dxa"/>
          </w:tcPr>
          <w:p w14:paraId="00DA45F8">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7</w:t>
            </w:r>
          </w:p>
        </w:tc>
        <w:tc>
          <w:tcPr>
            <w:tcW w:w="3315" w:type="dxa"/>
            <w:vAlign w:val="center"/>
          </w:tcPr>
          <w:p w14:paraId="6778911E">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锉夹</w:t>
            </w:r>
          </w:p>
        </w:tc>
        <w:tc>
          <w:tcPr>
            <w:tcW w:w="2449" w:type="dxa"/>
            <w:vAlign w:val="center"/>
          </w:tcPr>
          <w:p w14:paraId="0EBAB22A">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个</w:t>
            </w:r>
          </w:p>
        </w:tc>
        <w:tc>
          <w:tcPr>
            <w:tcW w:w="1632" w:type="dxa"/>
            <w:vAlign w:val="center"/>
          </w:tcPr>
          <w:p w14:paraId="59CAA60A">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4</w:t>
            </w:r>
          </w:p>
        </w:tc>
      </w:tr>
      <w:tr w14:paraId="0AEDF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1262" w:type="dxa"/>
          </w:tcPr>
          <w:p w14:paraId="2C767EB3">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8</w:t>
            </w:r>
          </w:p>
        </w:tc>
        <w:tc>
          <w:tcPr>
            <w:tcW w:w="3315" w:type="dxa"/>
            <w:vAlign w:val="center"/>
          </w:tcPr>
          <w:p w14:paraId="4E67C3ED">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唇挂钩</w:t>
            </w:r>
          </w:p>
        </w:tc>
        <w:tc>
          <w:tcPr>
            <w:tcW w:w="2449" w:type="dxa"/>
            <w:vAlign w:val="center"/>
          </w:tcPr>
          <w:p w14:paraId="0B9A1059">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个</w:t>
            </w:r>
          </w:p>
        </w:tc>
        <w:tc>
          <w:tcPr>
            <w:tcW w:w="1632" w:type="dxa"/>
            <w:vAlign w:val="center"/>
          </w:tcPr>
          <w:p w14:paraId="60DE48EC">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2</w:t>
            </w:r>
          </w:p>
        </w:tc>
      </w:tr>
      <w:tr w14:paraId="7D679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1262" w:type="dxa"/>
          </w:tcPr>
          <w:p w14:paraId="3F967E32">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9</w:t>
            </w:r>
          </w:p>
        </w:tc>
        <w:tc>
          <w:tcPr>
            <w:tcW w:w="3315" w:type="dxa"/>
            <w:vAlign w:val="center"/>
          </w:tcPr>
          <w:p w14:paraId="72836655">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探针</w:t>
            </w:r>
          </w:p>
        </w:tc>
        <w:tc>
          <w:tcPr>
            <w:tcW w:w="2449" w:type="dxa"/>
            <w:vAlign w:val="center"/>
          </w:tcPr>
          <w:p w14:paraId="2CA27E9B">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个</w:t>
            </w:r>
          </w:p>
        </w:tc>
        <w:tc>
          <w:tcPr>
            <w:tcW w:w="1632" w:type="dxa"/>
            <w:vAlign w:val="center"/>
          </w:tcPr>
          <w:p w14:paraId="67A9EDA5">
            <w:pPr>
              <w:widowControl/>
              <w:spacing w:line="360" w:lineRule="auto"/>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1</w:t>
            </w:r>
          </w:p>
        </w:tc>
      </w:tr>
      <w:tr w14:paraId="57DEB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1262" w:type="dxa"/>
          </w:tcPr>
          <w:p w14:paraId="7F8D8B18">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10</w:t>
            </w:r>
          </w:p>
        </w:tc>
        <w:tc>
          <w:tcPr>
            <w:tcW w:w="3315" w:type="dxa"/>
            <w:vAlign w:val="center"/>
          </w:tcPr>
          <w:p w14:paraId="42E54A0D">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电源适配器</w:t>
            </w:r>
          </w:p>
        </w:tc>
        <w:tc>
          <w:tcPr>
            <w:tcW w:w="2449" w:type="dxa"/>
            <w:vAlign w:val="center"/>
          </w:tcPr>
          <w:p w14:paraId="00B99F1B">
            <w:pPr>
              <w:widowControl/>
              <w:spacing w:line="360" w:lineRule="auto"/>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个</w:t>
            </w:r>
          </w:p>
        </w:tc>
        <w:tc>
          <w:tcPr>
            <w:tcW w:w="1632" w:type="dxa"/>
            <w:vAlign w:val="center"/>
          </w:tcPr>
          <w:p w14:paraId="4DDF6A44">
            <w:pPr>
              <w:widowControl/>
              <w:spacing w:line="360" w:lineRule="auto"/>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1</w:t>
            </w:r>
          </w:p>
        </w:tc>
      </w:tr>
      <w:tr w14:paraId="19D35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262" w:type="dxa"/>
          </w:tcPr>
          <w:p w14:paraId="4099F524">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11</w:t>
            </w:r>
          </w:p>
        </w:tc>
        <w:tc>
          <w:tcPr>
            <w:tcW w:w="3315" w:type="dxa"/>
            <w:vAlign w:val="center"/>
          </w:tcPr>
          <w:p w14:paraId="44186D31">
            <w:pPr>
              <w:pStyle w:val="50"/>
              <w:widowControl/>
              <w:spacing w:line="360" w:lineRule="auto"/>
              <w:ind w:firstLine="0" w:firstLineChars="0"/>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测试器</w:t>
            </w:r>
          </w:p>
        </w:tc>
        <w:tc>
          <w:tcPr>
            <w:tcW w:w="2449" w:type="dxa"/>
            <w:vAlign w:val="center"/>
          </w:tcPr>
          <w:p w14:paraId="319E2E5F">
            <w:pPr>
              <w:widowControl/>
              <w:spacing w:line="360" w:lineRule="auto"/>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个</w:t>
            </w:r>
          </w:p>
        </w:tc>
        <w:tc>
          <w:tcPr>
            <w:tcW w:w="1632" w:type="dxa"/>
            <w:vAlign w:val="center"/>
          </w:tcPr>
          <w:p w14:paraId="21B3D1CA">
            <w:pPr>
              <w:widowControl/>
              <w:spacing w:line="360" w:lineRule="auto"/>
              <w:jc w:val="center"/>
              <w:rPr>
                <w:rFonts w:hint="eastAsia"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1</w:t>
            </w:r>
          </w:p>
        </w:tc>
      </w:tr>
    </w:tbl>
    <w:p w14:paraId="23A37649">
      <w:pPr>
        <w:pStyle w:val="29"/>
        <w:numPr>
          <w:ilvl w:val="0"/>
          <w:numId w:val="20"/>
        </w:numPr>
        <w:spacing w:line="360" w:lineRule="auto"/>
        <w:ind w:firstLineChars="0"/>
        <w:contextualSpacing/>
        <w:rPr>
          <w:rFonts w:ascii="黑体" w:hAnsi="黑体" w:eastAsia="黑体"/>
          <w:b/>
          <w:bCs/>
          <w:color w:val="auto"/>
          <w:szCs w:val="21"/>
          <w:highlight w:val="none"/>
        </w:rPr>
      </w:pPr>
      <w:r>
        <w:rPr>
          <w:rFonts w:hint="eastAsia" w:ascii="黑体" w:hAnsi="黑体" w:eastAsia="黑体"/>
          <w:b/>
          <w:bCs/>
          <w:color w:val="auto"/>
          <w:szCs w:val="21"/>
          <w:highlight w:val="none"/>
        </w:rPr>
        <w:t>高速涡轮手机</w:t>
      </w:r>
    </w:p>
    <w:p w14:paraId="20348B79">
      <w:pPr>
        <w:pStyle w:val="29"/>
        <w:numPr>
          <w:ilvl w:val="0"/>
          <w:numId w:val="23"/>
        </w:numPr>
        <w:spacing w:line="360" w:lineRule="auto"/>
        <w:ind w:left="425" w:leftChars="0" w:hanging="425" w:firstLineChars="0"/>
        <w:contextualSpacing/>
        <w:rPr>
          <w:rFonts w:hint="eastAsia" w:ascii="黑体" w:hAnsi="黑体" w:eastAsia="黑体"/>
          <w:color w:val="auto"/>
          <w:szCs w:val="21"/>
          <w:highlight w:val="none"/>
        </w:rPr>
      </w:pPr>
      <w:r>
        <w:rPr>
          <w:rFonts w:hint="eastAsia" w:ascii="黑体" w:hAnsi="黑体" w:eastAsia="黑体"/>
          <w:color w:val="auto"/>
          <w:szCs w:val="21"/>
          <w:highlight w:val="none"/>
        </w:rPr>
        <w:t>设备用途</w:t>
      </w:r>
      <w:r>
        <w:rPr>
          <w:rFonts w:hint="eastAsia" w:ascii="黑体" w:hAnsi="黑体" w:eastAsia="黑体"/>
          <w:color w:val="auto"/>
          <w:szCs w:val="21"/>
          <w:highlight w:val="none"/>
          <w:lang w:eastAsia="zh-CN"/>
        </w:rPr>
        <w:t>：</w:t>
      </w:r>
      <w:r>
        <w:rPr>
          <w:rFonts w:hint="eastAsia" w:ascii="黑体" w:hAnsi="黑体" w:eastAsia="黑体"/>
          <w:color w:val="auto"/>
          <w:szCs w:val="21"/>
          <w:highlight w:val="none"/>
        </w:rPr>
        <w:t>产品用于口腔科钻、磨牙手术用。</w:t>
      </w:r>
    </w:p>
    <w:p w14:paraId="1C75F5B8">
      <w:pPr>
        <w:pStyle w:val="29"/>
        <w:numPr>
          <w:ilvl w:val="0"/>
          <w:numId w:val="23"/>
        </w:numPr>
        <w:spacing w:line="360" w:lineRule="auto"/>
        <w:ind w:left="425" w:leftChars="0" w:hanging="425" w:firstLineChars="0"/>
        <w:contextualSpacing/>
        <w:rPr>
          <w:rFonts w:hint="eastAsia" w:ascii="黑体" w:hAnsi="黑体" w:eastAsia="黑体"/>
          <w:color w:val="auto"/>
          <w:szCs w:val="21"/>
          <w:highlight w:val="none"/>
        </w:rPr>
      </w:pPr>
      <w:r>
        <w:rPr>
          <w:rFonts w:hint="eastAsia" w:ascii="黑体" w:hAnsi="黑体" w:eastAsia="黑体"/>
          <w:color w:val="auto"/>
          <w:szCs w:val="21"/>
          <w:highlight w:val="none"/>
        </w:rPr>
        <w:t>设备技术参数及配置要求</w:t>
      </w:r>
    </w:p>
    <w:p w14:paraId="18096D50">
      <w:pPr>
        <w:pStyle w:val="29"/>
        <w:numPr>
          <w:ilvl w:val="1"/>
          <w:numId w:val="24"/>
        </w:numPr>
        <w:spacing w:line="360" w:lineRule="auto"/>
        <w:ind w:left="567" w:leftChars="0" w:hanging="567" w:firstLineChars="0"/>
        <w:contextualSpacing/>
        <w:rPr>
          <w:rFonts w:hint="eastAsia" w:ascii="黑体" w:hAnsi="黑体" w:eastAsia="黑体"/>
          <w:b/>
          <w:bCs/>
          <w:color w:val="auto"/>
          <w:szCs w:val="21"/>
          <w:highlight w:val="none"/>
        </w:rPr>
      </w:pPr>
      <w:r>
        <w:rPr>
          <w:rFonts w:hint="eastAsia" w:ascii="黑体" w:hAnsi="黑体" w:eastAsia="黑体"/>
          <w:b/>
          <w:bCs/>
          <w:color w:val="auto"/>
          <w:szCs w:val="21"/>
          <w:highlight w:val="none"/>
        </w:rPr>
        <w:t>▲头部直径：Φ11.2×H13.4mm</w:t>
      </w:r>
      <w:r>
        <w:rPr>
          <w:rFonts w:hint="eastAsia" w:ascii="黑体" w:hAnsi="黑体" w:eastAsia="黑体"/>
          <w:b/>
          <w:bCs/>
          <w:color w:val="auto"/>
          <w:szCs w:val="21"/>
          <w:highlight w:val="none"/>
          <w:lang w:eastAsia="zh-CN"/>
        </w:rPr>
        <w:t>；</w:t>
      </w:r>
    </w:p>
    <w:p w14:paraId="579F2715">
      <w:pPr>
        <w:pStyle w:val="29"/>
        <w:numPr>
          <w:ilvl w:val="1"/>
          <w:numId w:val="24"/>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换针方式：按钮换针式</w:t>
      </w:r>
      <w:r>
        <w:rPr>
          <w:rFonts w:hint="eastAsia" w:ascii="黑体" w:hAnsi="黑体" w:eastAsia="黑体"/>
          <w:b w:val="0"/>
          <w:bCs w:val="0"/>
          <w:color w:val="auto"/>
          <w:szCs w:val="21"/>
          <w:highlight w:val="none"/>
          <w:lang w:eastAsia="zh-CN"/>
        </w:rPr>
        <w:t>；</w:t>
      </w:r>
    </w:p>
    <w:p w14:paraId="7A727FEF">
      <w:pPr>
        <w:pStyle w:val="29"/>
        <w:numPr>
          <w:ilvl w:val="1"/>
          <w:numId w:val="24"/>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转速：350000-450000min-1</w:t>
      </w:r>
      <w:r>
        <w:rPr>
          <w:rFonts w:hint="eastAsia" w:ascii="黑体" w:hAnsi="黑体" w:eastAsia="黑体"/>
          <w:b w:val="0"/>
          <w:bCs w:val="0"/>
          <w:color w:val="auto"/>
          <w:szCs w:val="21"/>
          <w:highlight w:val="none"/>
          <w:lang w:eastAsia="zh-CN"/>
        </w:rPr>
        <w:t>；</w:t>
      </w:r>
    </w:p>
    <w:p w14:paraId="12708A0F">
      <w:pPr>
        <w:pStyle w:val="29"/>
        <w:numPr>
          <w:ilvl w:val="1"/>
          <w:numId w:val="24"/>
        </w:numPr>
        <w:spacing w:line="360" w:lineRule="auto"/>
        <w:ind w:left="567" w:leftChars="0" w:hanging="567" w:firstLineChars="0"/>
        <w:contextualSpacing/>
        <w:rPr>
          <w:rFonts w:hint="eastAsia" w:ascii="黑体" w:hAnsi="黑体" w:eastAsia="黑体"/>
          <w:b/>
          <w:bCs/>
          <w:color w:val="auto"/>
          <w:szCs w:val="21"/>
          <w:highlight w:val="none"/>
        </w:rPr>
      </w:pPr>
      <w:r>
        <w:rPr>
          <w:rFonts w:hint="eastAsia" w:ascii="黑体" w:hAnsi="黑体" w:eastAsia="黑体"/>
          <w:b/>
          <w:bCs/>
          <w:color w:val="auto"/>
          <w:szCs w:val="21"/>
          <w:highlight w:val="none"/>
        </w:rPr>
        <w:t>▲功率：20W</w:t>
      </w:r>
      <w:r>
        <w:rPr>
          <w:rFonts w:hint="eastAsia" w:ascii="黑体" w:hAnsi="黑体" w:eastAsia="黑体"/>
          <w:b/>
          <w:bCs/>
          <w:color w:val="auto"/>
          <w:szCs w:val="21"/>
          <w:highlight w:val="none"/>
          <w:lang w:eastAsia="zh-CN"/>
        </w:rPr>
        <w:t>；</w:t>
      </w:r>
    </w:p>
    <w:p w14:paraId="6AD2B9AA">
      <w:pPr>
        <w:pStyle w:val="29"/>
        <w:numPr>
          <w:ilvl w:val="1"/>
          <w:numId w:val="24"/>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接口：标准4孔</w:t>
      </w:r>
      <w:r>
        <w:rPr>
          <w:rFonts w:hint="eastAsia" w:ascii="黑体" w:hAnsi="黑体" w:eastAsia="黑体"/>
          <w:b w:val="0"/>
          <w:bCs w:val="0"/>
          <w:color w:val="auto"/>
          <w:szCs w:val="21"/>
          <w:highlight w:val="none"/>
          <w:lang w:eastAsia="zh-CN"/>
        </w:rPr>
        <w:t>；</w:t>
      </w:r>
    </w:p>
    <w:p w14:paraId="2511EF50">
      <w:pPr>
        <w:pStyle w:val="29"/>
        <w:numPr>
          <w:ilvl w:val="1"/>
          <w:numId w:val="24"/>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材质：不锈钢机身</w:t>
      </w:r>
      <w:r>
        <w:rPr>
          <w:rFonts w:hint="eastAsia" w:ascii="黑体" w:hAnsi="黑体" w:eastAsia="黑体"/>
          <w:b w:val="0"/>
          <w:bCs w:val="0"/>
          <w:color w:val="auto"/>
          <w:szCs w:val="21"/>
          <w:highlight w:val="none"/>
          <w:lang w:eastAsia="zh-CN"/>
        </w:rPr>
        <w:t>；</w:t>
      </w:r>
    </w:p>
    <w:p w14:paraId="5D03CCA3">
      <w:pPr>
        <w:pStyle w:val="29"/>
        <w:numPr>
          <w:ilvl w:val="1"/>
          <w:numId w:val="24"/>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轴承：陶瓷轴承</w:t>
      </w:r>
      <w:r>
        <w:rPr>
          <w:rFonts w:hint="eastAsia" w:ascii="黑体" w:hAnsi="黑体" w:eastAsia="黑体"/>
          <w:b w:val="0"/>
          <w:bCs w:val="0"/>
          <w:color w:val="auto"/>
          <w:szCs w:val="21"/>
          <w:highlight w:val="none"/>
          <w:lang w:eastAsia="zh-CN"/>
        </w:rPr>
        <w:t>；</w:t>
      </w:r>
    </w:p>
    <w:p w14:paraId="6D2A483E">
      <w:pPr>
        <w:pStyle w:val="29"/>
        <w:numPr>
          <w:ilvl w:val="1"/>
          <w:numId w:val="24"/>
        </w:numPr>
        <w:spacing w:line="360" w:lineRule="auto"/>
        <w:ind w:left="567" w:leftChars="0" w:hanging="567" w:firstLineChars="0"/>
        <w:contextualSpacing/>
        <w:rPr>
          <w:rFonts w:hint="eastAsia" w:ascii="黑体" w:hAnsi="黑体" w:eastAsia="黑体"/>
          <w:b/>
          <w:bCs/>
          <w:color w:val="auto"/>
          <w:szCs w:val="21"/>
          <w:highlight w:val="none"/>
        </w:rPr>
      </w:pPr>
      <w:r>
        <w:rPr>
          <w:rFonts w:hint="eastAsia" w:ascii="黑体" w:hAnsi="黑体" w:eastAsia="黑体"/>
          <w:b/>
          <w:bCs/>
          <w:color w:val="auto"/>
          <w:szCs w:val="21"/>
          <w:highlight w:val="none"/>
        </w:rPr>
        <w:t>▲排污：防回吸卫生机头，逆止阀设计</w:t>
      </w:r>
      <w:r>
        <w:rPr>
          <w:rFonts w:hint="eastAsia" w:ascii="黑体" w:hAnsi="黑体" w:eastAsia="黑体"/>
          <w:b/>
          <w:bCs/>
          <w:color w:val="auto"/>
          <w:szCs w:val="21"/>
          <w:highlight w:val="none"/>
          <w:lang w:eastAsia="zh-CN"/>
        </w:rPr>
        <w:t>；</w:t>
      </w:r>
    </w:p>
    <w:p w14:paraId="5EE17907">
      <w:pPr>
        <w:pStyle w:val="29"/>
        <w:numPr>
          <w:ilvl w:val="1"/>
          <w:numId w:val="24"/>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喷水：单点喷雾</w:t>
      </w:r>
      <w:r>
        <w:rPr>
          <w:rFonts w:hint="eastAsia" w:ascii="黑体" w:hAnsi="黑体" w:eastAsia="黑体"/>
          <w:b w:val="0"/>
          <w:bCs w:val="0"/>
          <w:color w:val="auto"/>
          <w:szCs w:val="21"/>
          <w:highlight w:val="none"/>
          <w:lang w:eastAsia="zh-CN"/>
        </w:rPr>
        <w:t>；</w:t>
      </w:r>
    </w:p>
    <w:p w14:paraId="69154A94">
      <w:pPr>
        <w:pStyle w:val="29"/>
        <w:numPr>
          <w:ilvl w:val="0"/>
          <w:numId w:val="23"/>
        </w:numPr>
        <w:spacing w:line="360" w:lineRule="auto"/>
        <w:ind w:left="425" w:leftChars="0" w:hanging="425" w:firstLineChars="0"/>
        <w:contextualSpacing/>
        <w:rPr>
          <w:rFonts w:hint="eastAsia" w:ascii="黑体" w:hAnsi="黑体" w:eastAsia="黑体"/>
          <w:color w:val="auto"/>
          <w:szCs w:val="21"/>
          <w:highlight w:val="none"/>
        </w:rPr>
      </w:pPr>
      <w:r>
        <w:rPr>
          <w:rFonts w:hint="eastAsia" w:ascii="黑体" w:hAnsi="黑体" w:eastAsia="黑体"/>
          <w:color w:val="auto"/>
          <w:szCs w:val="21"/>
          <w:highlight w:val="none"/>
        </w:rPr>
        <w:t>单个配置清单</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85"/>
        <w:gridCol w:w="2887"/>
        <w:gridCol w:w="2887"/>
      </w:tblGrid>
      <w:tr w14:paraId="71912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885" w:type="dxa"/>
            <w:vAlign w:val="center"/>
          </w:tcPr>
          <w:p w14:paraId="5192FE48">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名称</w:t>
            </w:r>
          </w:p>
        </w:tc>
        <w:tc>
          <w:tcPr>
            <w:tcW w:w="2887" w:type="dxa"/>
            <w:vAlign w:val="center"/>
          </w:tcPr>
          <w:p w14:paraId="505F0472">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单位</w:t>
            </w:r>
          </w:p>
        </w:tc>
        <w:tc>
          <w:tcPr>
            <w:tcW w:w="2887" w:type="dxa"/>
            <w:vAlign w:val="center"/>
          </w:tcPr>
          <w:p w14:paraId="6CA18AFA">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数量</w:t>
            </w:r>
          </w:p>
        </w:tc>
      </w:tr>
      <w:tr w14:paraId="3A8DC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885" w:type="dxa"/>
            <w:vAlign w:val="center"/>
          </w:tcPr>
          <w:p w14:paraId="20F6F268">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高速涡轮手机</w:t>
            </w:r>
          </w:p>
        </w:tc>
        <w:tc>
          <w:tcPr>
            <w:tcW w:w="2887" w:type="dxa"/>
            <w:vAlign w:val="center"/>
          </w:tcPr>
          <w:p w14:paraId="6F9C5463">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台</w:t>
            </w:r>
          </w:p>
        </w:tc>
        <w:tc>
          <w:tcPr>
            <w:tcW w:w="2887" w:type="dxa"/>
            <w:vAlign w:val="center"/>
          </w:tcPr>
          <w:p w14:paraId="567B2CEA">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1</w:t>
            </w:r>
          </w:p>
        </w:tc>
      </w:tr>
      <w:tr w14:paraId="196B7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885" w:type="dxa"/>
            <w:vAlign w:val="center"/>
          </w:tcPr>
          <w:p w14:paraId="52BC465C">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说明书</w:t>
            </w:r>
          </w:p>
        </w:tc>
        <w:tc>
          <w:tcPr>
            <w:tcW w:w="2887" w:type="dxa"/>
            <w:vAlign w:val="center"/>
          </w:tcPr>
          <w:p w14:paraId="0C65E096">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份</w:t>
            </w:r>
          </w:p>
        </w:tc>
        <w:tc>
          <w:tcPr>
            <w:tcW w:w="2887" w:type="dxa"/>
            <w:vAlign w:val="center"/>
          </w:tcPr>
          <w:p w14:paraId="1E018811">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1</w:t>
            </w:r>
          </w:p>
        </w:tc>
      </w:tr>
      <w:tr w14:paraId="2BF5A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2885" w:type="dxa"/>
            <w:vAlign w:val="center"/>
          </w:tcPr>
          <w:p w14:paraId="0969419A">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 xml:space="preserve">不锈钢车针棒 </w:t>
            </w:r>
          </w:p>
        </w:tc>
        <w:tc>
          <w:tcPr>
            <w:tcW w:w="2887" w:type="dxa"/>
            <w:vAlign w:val="center"/>
          </w:tcPr>
          <w:p w14:paraId="2F1053CE">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根</w:t>
            </w:r>
          </w:p>
        </w:tc>
        <w:tc>
          <w:tcPr>
            <w:tcW w:w="2887" w:type="dxa"/>
            <w:vAlign w:val="center"/>
          </w:tcPr>
          <w:p w14:paraId="531334C7">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1</w:t>
            </w:r>
          </w:p>
        </w:tc>
      </w:tr>
    </w:tbl>
    <w:p w14:paraId="4CFEBDC5">
      <w:pPr>
        <w:pStyle w:val="29"/>
        <w:numPr>
          <w:ilvl w:val="0"/>
          <w:numId w:val="20"/>
        </w:numPr>
        <w:spacing w:line="360" w:lineRule="auto"/>
        <w:ind w:firstLineChars="0"/>
        <w:contextualSpacing/>
        <w:rPr>
          <w:rFonts w:ascii="黑体" w:hAnsi="黑体" w:eastAsia="黑体"/>
          <w:b/>
          <w:bCs/>
          <w:color w:val="auto"/>
          <w:szCs w:val="21"/>
          <w:highlight w:val="none"/>
        </w:rPr>
      </w:pPr>
      <w:r>
        <w:rPr>
          <w:rFonts w:hint="eastAsia" w:ascii="黑体" w:hAnsi="黑体" w:eastAsia="黑体"/>
          <w:b/>
          <w:bCs/>
          <w:color w:val="auto"/>
          <w:szCs w:val="21"/>
          <w:highlight w:val="none"/>
        </w:rPr>
        <w:t>仰角手机</w:t>
      </w:r>
    </w:p>
    <w:p w14:paraId="72172AFE">
      <w:pPr>
        <w:pStyle w:val="29"/>
        <w:numPr>
          <w:ilvl w:val="0"/>
          <w:numId w:val="25"/>
        </w:numPr>
        <w:spacing w:line="360" w:lineRule="auto"/>
        <w:ind w:left="425" w:leftChars="0" w:hanging="425" w:firstLineChars="0"/>
        <w:contextualSpacing/>
        <w:rPr>
          <w:rFonts w:hint="eastAsia" w:ascii="黑体" w:hAnsi="黑体" w:eastAsia="黑体"/>
          <w:color w:val="auto"/>
          <w:szCs w:val="21"/>
          <w:highlight w:val="none"/>
        </w:rPr>
      </w:pPr>
      <w:r>
        <w:rPr>
          <w:rFonts w:hint="eastAsia" w:ascii="黑体" w:hAnsi="黑体" w:eastAsia="黑体"/>
          <w:color w:val="auto"/>
          <w:szCs w:val="21"/>
          <w:highlight w:val="none"/>
        </w:rPr>
        <w:t>产品用于口腔科钻、磨牙手术用。</w:t>
      </w:r>
    </w:p>
    <w:p w14:paraId="5288C578">
      <w:pPr>
        <w:pStyle w:val="29"/>
        <w:numPr>
          <w:ilvl w:val="0"/>
          <w:numId w:val="25"/>
        </w:numPr>
        <w:spacing w:line="360" w:lineRule="auto"/>
        <w:ind w:left="425" w:leftChars="0" w:hanging="425" w:firstLineChars="0"/>
        <w:contextualSpacing/>
        <w:rPr>
          <w:rFonts w:hint="eastAsia"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设备技术参数及配置要求：</w:t>
      </w:r>
    </w:p>
    <w:p w14:paraId="56384D19">
      <w:pPr>
        <w:pStyle w:val="29"/>
        <w:numPr>
          <w:ilvl w:val="1"/>
          <w:numId w:val="26"/>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手机45°的特殊角度机头，较适用于分离和拔除难以抵达的智齿和阻生齿</w:t>
      </w:r>
      <w:r>
        <w:rPr>
          <w:rFonts w:hint="eastAsia" w:ascii="黑体" w:hAnsi="黑体" w:eastAsia="黑体"/>
          <w:b w:val="0"/>
          <w:bCs w:val="0"/>
          <w:color w:val="auto"/>
          <w:szCs w:val="21"/>
          <w:highlight w:val="none"/>
          <w:lang w:eastAsia="zh-CN"/>
        </w:rPr>
        <w:t>；</w:t>
      </w:r>
    </w:p>
    <w:p w14:paraId="458FD291">
      <w:pPr>
        <w:pStyle w:val="29"/>
        <w:numPr>
          <w:ilvl w:val="1"/>
          <w:numId w:val="26"/>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手机接口为NSK QD快接口</w:t>
      </w:r>
      <w:r>
        <w:rPr>
          <w:rFonts w:hint="eastAsia" w:ascii="黑体" w:hAnsi="黑体" w:eastAsia="黑体"/>
          <w:b w:val="0"/>
          <w:bCs w:val="0"/>
          <w:color w:val="auto"/>
          <w:szCs w:val="21"/>
          <w:highlight w:val="none"/>
          <w:lang w:eastAsia="zh-CN"/>
        </w:rPr>
        <w:t>；</w:t>
      </w:r>
    </w:p>
    <w:p w14:paraId="013B3B89">
      <w:pPr>
        <w:pStyle w:val="29"/>
        <w:numPr>
          <w:ilvl w:val="1"/>
          <w:numId w:val="26"/>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标准机头大小，头部直径：ø11.2×H 13.5 mm，满足大部分手术要求</w:t>
      </w:r>
      <w:r>
        <w:rPr>
          <w:rFonts w:hint="eastAsia" w:ascii="黑体" w:hAnsi="黑体" w:eastAsia="黑体"/>
          <w:b w:val="0"/>
          <w:bCs w:val="0"/>
          <w:color w:val="auto"/>
          <w:szCs w:val="21"/>
          <w:highlight w:val="none"/>
          <w:lang w:eastAsia="zh-CN"/>
        </w:rPr>
        <w:t>；</w:t>
      </w:r>
    </w:p>
    <w:p w14:paraId="2092EC07">
      <w:pPr>
        <w:pStyle w:val="29"/>
        <w:numPr>
          <w:ilvl w:val="1"/>
          <w:numId w:val="26"/>
        </w:numPr>
        <w:spacing w:line="360" w:lineRule="auto"/>
        <w:ind w:left="567" w:leftChars="0" w:hanging="567" w:firstLineChars="0"/>
        <w:contextualSpacing/>
        <w:rPr>
          <w:rFonts w:hint="eastAsia" w:ascii="黑体" w:hAnsi="黑体" w:eastAsia="黑体"/>
          <w:b/>
          <w:bCs/>
          <w:color w:val="auto"/>
          <w:szCs w:val="21"/>
          <w:highlight w:val="none"/>
        </w:rPr>
      </w:pPr>
      <w:r>
        <w:rPr>
          <w:rFonts w:hint="eastAsia" w:ascii="黑体" w:hAnsi="黑体" w:eastAsia="黑体"/>
          <w:b/>
          <w:bCs/>
          <w:color w:val="auto"/>
          <w:szCs w:val="21"/>
          <w:highlight w:val="none"/>
        </w:rPr>
        <w:t>▲纯钛机身，DURACOAT涂层处理</w:t>
      </w:r>
      <w:r>
        <w:rPr>
          <w:rFonts w:hint="eastAsia" w:ascii="黑体" w:hAnsi="黑体" w:eastAsia="黑体"/>
          <w:b/>
          <w:bCs/>
          <w:color w:val="auto"/>
          <w:szCs w:val="21"/>
          <w:highlight w:val="none"/>
          <w:lang w:eastAsia="zh-CN"/>
        </w:rPr>
        <w:t>；</w:t>
      </w:r>
    </w:p>
    <w:p w14:paraId="602DE58C">
      <w:pPr>
        <w:pStyle w:val="29"/>
        <w:numPr>
          <w:ilvl w:val="1"/>
          <w:numId w:val="26"/>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陶瓷轴承</w:t>
      </w:r>
      <w:r>
        <w:rPr>
          <w:rFonts w:hint="eastAsia" w:ascii="黑体" w:hAnsi="黑体" w:eastAsia="黑体"/>
          <w:b w:val="0"/>
          <w:bCs w:val="0"/>
          <w:color w:val="auto"/>
          <w:szCs w:val="21"/>
          <w:highlight w:val="none"/>
          <w:lang w:eastAsia="zh-CN"/>
        </w:rPr>
        <w:t>；</w:t>
      </w:r>
    </w:p>
    <w:p w14:paraId="21DBB6A9">
      <w:pPr>
        <w:pStyle w:val="29"/>
        <w:numPr>
          <w:ilvl w:val="1"/>
          <w:numId w:val="26"/>
        </w:numPr>
        <w:spacing w:line="360" w:lineRule="auto"/>
        <w:ind w:left="567" w:leftChars="0" w:hanging="567" w:firstLineChars="0"/>
        <w:contextualSpacing/>
        <w:rPr>
          <w:rFonts w:hint="eastAsia" w:ascii="黑体" w:hAnsi="黑体" w:eastAsia="黑体"/>
          <w:b/>
          <w:bCs/>
          <w:color w:val="auto"/>
          <w:szCs w:val="21"/>
          <w:highlight w:val="none"/>
        </w:rPr>
      </w:pPr>
      <w:r>
        <w:rPr>
          <w:rFonts w:hint="eastAsia" w:ascii="黑体" w:hAnsi="黑体" w:eastAsia="黑体"/>
          <w:b/>
          <w:bCs/>
          <w:color w:val="auto"/>
          <w:szCs w:val="21"/>
          <w:highlight w:val="none"/>
        </w:rPr>
        <w:t>▲双重感控设计，防回吸卫生机头，软管连接件有逆止阀装置，需为同一品牌保证兼容稳定。转速：370,000-450,000min-1</w:t>
      </w:r>
      <w:r>
        <w:rPr>
          <w:rFonts w:hint="eastAsia" w:ascii="黑体" w:hAnsi="黑体" w:eastAsia="黑体"/>
          <w:b/>
          <w:bCs/>
          <w:color w:val="auto"/>
          <w:szCs w:val="21"/>
          <w:highlight w:val="none"/>
          <w:lang w:eastAsia="zh-CN"/>
        </w:rPr>
        <w:t>；</w:t>
      </w:r>
    </w:p>
    <w:p w14:paraId="083A84DC">
      <w:pPr>
        <w:pStyle w:val="29"/>
        <w:numPr>
          <w:ilvl w:val="1"/>
          <w:numId w:val="26"/>
        </w:numPr>
        <w:spacing w:line="360" w:lineRule="auto"/>
        <w:ind w:left="567" w:leftChars="0" w:hanging="567" w:firstLineChars="0"/>
        <w:contextualSpacing/>
        <w:rPr>
          <w:rFonts w:hint="eastAsia" w:ascii="黑体" w:hAnsi="黑体" w:eastAsia="黑体"/>
          <w:b/>
          <w:bCs/>
          <w:color w:val="auto"/>
          <w:szCs w:val="21"/>
          <w:highlight w:val="none"/>
        </w:rPr>
      </w:pPr>
      <w:r>
        <w:rPr>
          <w:rFonts w:hint="eastAsia" w:ascii="黑体" w:hAnsi="黑体" w:eastAsia="黑体"/>
          <w:b/>
          <w:bCs/>
          <w:color w:val="auto"/>
          <w:szCs w:val="21"/>
          <w:highlight w:val="none"/>
        </w:rPr>
        <w:t>▲驱动气压：0.2 - 0.25MPa(2.- 2.5kgf/cm2)</w:t>
      </w:r>
      <w:r>
        <w:rPr>
          <w:rFonts w:hint="eastAsia" w:ascii="黑体" w:hAnsi="黑体" w:eastAsia="黑体"/>
          <w:b/>
          <w:bCs/>
          <w:color w:val="auto"/>
          <w:szCs w:val="21"/>
          <w:highlight w:val="none"/>
          <w:lang w:eastAsia="zh-CN"/>
        </w:rPr>
        <w:t>；</w:t>
      </w:r>
    </w:p>
    <w:p w14:paraId="09BB2D93">
      <w:pPr>
        <w:pStyle w:val="29"/>
        <w:numPr>
          <w:ilvl w:val="1"/>
          <w:numId w:val="26"/>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上针方式：按钮式夹头</w:t>
      </w:r>
      <w:r>
        <w:rPr>
          <w:rFonts w:hint="eastAsia" w:ascii="黑体" w:hAnsi="黑体" w:eastAsia="黑体"/>
          <w:b w:val="0"/>
          <w:bCs w:val="0"/>
          <w:color w:val="auto"/>
          <w:szCs w:val="21"/>
          <w:highlight w:val="none"/>
          <w:lang w:eastAsia="zh-CN"/>
        </w:rPr>
        <w:t>；</w:t>
      </w:r>
    </w:p>
    <w:p w14:paraId="448F377A">
      <w:pPr>
        <w:pStyle w:val="29"/>
        <w:numPr>
          <w:ilvl w:val="1"/>
          <w:numId w:val="26"/>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车针类型：IS01797-1 ø1.59- 1.60mm外科用长柄针(25mm)</w:t>
      </w:r>
      <w:r>
        <w:rPr>
          <w:rFonts w:hint="eastAsia" w:ascii="黑体" w:hAnsi="黑体" w:eastAsia="黑体"/>
          <w:b w:val="0"/>
          <w:bCs w:val="0"/>
          <w:color w:val="auto"/>
          <w:szCs w:val="21"/>
          <w:highlight w:val="none"/>
          <w:lang w:eastAsia="zh-CN"/>
        </w:rPr>
        <w:t>；</w:t>
      </w:r>
    </w:p>
    <w:p w14:paraId="317C483A">
      <w:pPr>
        <w:pStyle w:val="29"/>
        <w:numPr>
          <w:ilvl w:val="1"/>
          <w:numId w:val="26"/>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光纤：无</w:t>
      </w:r>
      <w:r>
        <w:rPr>
          <w:rFonts w:hint="eastAsia" w:ascii="黑体" w:hAnsi="黑体" w:eastAsia="黑体"/>
          <w:b w:val="0"/>
          <w:bCs w:val="0"/>
          <w:color w:val="auto"/>
          <w:szCs w:val="21"/>
          <w:highlight w:val="none"/>
          <w:lang w:eastAsia="zh-CN"/>
        </w:rPr>
        <w:t>；</w:t>
      </w:r>
    </w:p>
    <w:p w14:paraId="43E8CD39">
      <w:pPr>
        <w:pStyle w:val="29"/>
        <w:numPr>
          <w:ilvl w:val="1"/>
          <w:numId w:val="26"/>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车针最大长度：25mm</w:t>
      </w:r>
      <w:r>
        <w:rPr>
          <w:rFonts w:hint="eastAsia" w:ascii="黑体" w:hAnsi="黑体" w:eastAsia="黑体"/>
          <w:b w:val="0"/>
          <w:bCs w:val="0"/>
          <w:color w:val="auto"/>
          <w:szCs w:val="21"/>
          <w:highlight w:val="none"/>
          <w:lang w:eastAsia="zh-CN"/>
        </w:rPr>
        <w:t>；</w:t>
      </w:r>
    </w:p>
    <w:p w14:paraId="1E37914C">
      <w:pPr>
        <w:pStyle w:val="29"/>
        <w:numPr>
          <w:ilvl w:val="1"/>
          <w:numId w:val="26"/>
        </w:numPr>
        <w:spacing w:line="360" w:lineRule="auto"/>
        <w:ind w:left="567" w:leftChars="0" w:hanging="567" w:firstLineChars="0"/>
        <w:contextualSpacing/>
        <w:rPr>
          <w:rFonts w:hint="eastAsia" w:ascii="黑体" w:hAnsi="黑体" w:eastAsia="黑体"/>
          <w:b/>
          <w:bCs/>
          <w:color w:val="auto"/>
          <w:szCs w:val="21"/>
          <w:highlight w:val="none"/>
        </w:rPr>
      </w:pPr>
      <w:r>
        <w:rPr>
          <w:rFonts w:hint="eastAsia" w:ascii="黑体" w:hAnsi="黑体" w:eastAsia="黑体"/>
          <w:b/>
          <w:bCs/>
          <w:color w:val="auto"/>
          <w:szCs w:val="21"/>
          <w:highlight w:val="none"/>
        </w:rPr>
        <w:t>▲功率：16W</w:t>
      </w:r>
      <w:r>
        <w:rPr>
          <w:rFonts w:hint="eastAsia" w:ascii="黑体" w:hAnsi="黑体" w:eastAsia="黑体"/>
          <w:b/>
          <w:bCs/>
          <w:color w:val="auto"/>
          <w:szCs w:val="21"/>
          <w:highlight w:val="none"/>
          <w:lang w:eastAsia="zh-CN"/>
        </w:rPr>
        <w:t>；</w:t>
      </w:r>
    </w:p>
    <w:p w14:paraId="1A2DD267">
      <w:pPr>
        <w:pStyle w:val="29"/>
        <w:numPr>
          <w:ilvl w:val="1"/>
          <w:numId w:val="26"/>
        </w:numPr>
        <w:spacing w:line="360" w:lineRule="auto"/>
        <w:ind w:left="567" w:leftChars="0" w:hanging="567" w:firstLineChars="0"/>
        <w:contextualSpacing/>
        <w:rPr>
          <w:rFonts w:hint="eastAsia" w:ascii="黑体" w:hAnsi="黑体" w:eastAsia="黑体"/>
          <w:b w:val="0"/>
          <w:bCs w:val="0"/>
          <w:color w:val="auto"/>
          <w:szCs w:val="21"/>
          <w:highlight w:val="none"/>
        </w:rPr>
      </w:pPr>
      <w:r>
        <w:rPr>
          <w:rFonts w:hint="eastAsia" w:ascii="黑体" w:hAnsi="黑体" w:eastAsia="黑体"/>
          <w:b w:val="0"/>
          <w:bCs w:val="0"/>
          <w:color w:val="auto"/>
          <w:szCs w:val="21"/>
          <w:highlight w:val="none"/>
        </w:rPr>
        <w:t>喷雾方式：3点喷雾</w:t>
      </w:r>
      <w:r>
        <w:rPr>
          <w:rFonts w:hint="eastAsia" w:ascii="黑体" w:hAnsi="黑体" w:eastAsia="黑体"/>
          <w:b w:val="0"/>
          <w:bCs w:val="0"/>
          <w:color w:val="auto"/>
          <w:szCs w:val="21"/>
          <w:highlight w:val="none"/>
          <w:lang w:eastAsia="zh-CN"/>
        </w:rPr>
        <w:t>；</w:t>
      </w:r>
    </w:p>
    <w:p w14:paraId="233D9779">
      <w:pPr>
        <w:pStyle w:val="29"/>
        <w:numPr>
          <w:ilvl w:val="0"/>
          <w:numId w:val="25"/>
        </w:numPr>
        <w:spacing w:line="360" w:lineRule="auto"/>
        <w:ind w:left="425" w:leftChars="0" w:hanging="425" w:firstLineChars="0"/>
        <w:contextualSpacing/>
        <w:rPr>
          <w:rFonts w:hint="eastAsia"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单个配置清单：</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91"/>
        <w:gridCol w:w="2894"/>
        <w:gridCol w:w="2894"/>
      </w:tblGrid>
      <w:tr w14:paraId="6CFCD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2891" w:type="dxa"/>
            <w:vAlign w:val="center"/>
          </w:tcPr>
          <w:p w14:paraId="706BAE55">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名称</w:t>
            </w:r>
          </w:p>
        </w:tc>
        <w:tc>
          <w:tcPr>
            <w:tcW w:w="2894" w:type="dxa"/>
            <w:vAlign w:val="center"/>
          </w:tcPr>
          <w:p w14:paraId="49947B26">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单位</w:t>
            </w:r>
          </w:p>
        </w:tc>
        <w:tc>
          <w:tcPr>
            <w:tcW w:w="2894" w:type="dxa"/>
            <w:vAlign w:val="center"/>
          </w:tcPr>
          <w:p w14:paraId="4FA17EF6">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数量</w:t>
            </w:r>
          </w:p>
        </w:tc>
      </w:tr>
      <w:tr w14:paraId="30567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2891" w:type="dxa"/>
            <w:vAlign w:val="center"/>
          </w:tcPr>
          <w:p w14:paraId="05EFCA3C">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高速气涡轮手机</w:t>
            </w:r>
          </w:p>
        </w:tc>
        <w:tc>
          <w:tcPr>
            <w:tcW w:w="2894" w:type="dxa"/>
            <w:vAlign w:val="center"/>
          </w:tcPr>
          <w:p w14:paraId="282CA06C">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台</w:t>
            </w:r>
          </w:p>
        </w:tc>
        <w:tc>
          <w:tcPr>
            <w:tcW w:w="2894" w:type="dxa"/>
            <w:vAlign w:val="center"/>
          </w:tcPr>
          <w:p w14:paraId="13BE12DB">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1</w:t>
            </w:r>
          </w:p>
        </w:tc>
      </w:tr>
      <w:tr w14:paraId="5F817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2891" w:type="dxa"/>
            <w:vAlign w:val="center"/>
          </w:tcPr>
          <w:p w14:paraId="2D67A28F">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说明书</w:t>
            </w:r>
          </w:p>
        </w:tc>
        <w:tc>
          <w:tcPr>
            <w:tcW w:w="2894" w:type="dxa"/>
            <w:vAlign w:val="center"/>
          </w:tcPr>
          <w:p w14:paraId="1E65626B">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份</w:t>
            </w:r>
          </w:p>
        </w:tc>
        <w:tc>
          <w:tcPr>
            <w:tcW w:w="2894" w:type="dxa"/>
            <w:vAlign w:val="center"/>
          </w:tcPr>
          <w:p w14:paraId="7657959C">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1</w:t>
            </w:r>
          </w:p>
        </w:tc>
      </w:tr>
      <w:tr w14:paraId="142E8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2891" w:type="dxa"/>
            <w:vAlign w:val="center"/>
          </w:tcPr>
          <w:p w14:paraId="02A2CB11">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软管连接件</w:t>
            </w:r>
          </w:p>
        </w:tc>
        <w:tc>
          <w:tcPr>
            <w:tcW w:w="2894" w:type="dxa"/>
            <w:vAlign w:val="center"/>
          </w:tcPr>
          <w:p w14:paraId="4B13153B">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个</w:t>
            </w:r>
          </w:p>
        </w:tc>
        <w:tc>
          <w:tcPr>
            <w:tcW w:w="2894" w:type="dxa"/>
            <w:vAlign w:val="center"/>
          </w:tcPr>
          <w:p w14:paraId="07D5D591">
            <w:pPr>
              <w:pStyle w:val="50"/>
              <w:widowControl/>
              <w:spacing w:line="360" w:lineRule="auto"/>
              <w:ind w:firstLine="0" w:firstLineChars="0"/>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1</w:t>
            </w:r>
          </w:p>
        </w:tc>
      </w:tr>
    </w:tbl>
    <w:p w14:paraId="64C0C5D7">
      <w:pPr>
        <w:pStyle w:val="29"/>
        <w:numPr>
          <w:ilvl w:val="0"/>
          <w:numId w:val="20"/>
        </w:numPr>
        <w:spacing w:line="360" w:lineRule="auto"/>
        <w:ind w:firstLineChars="0"/>
        <w:contextualSpacing/>
        <w:rPr>
          <w:rFonts w:ascii="黑体" w:hAnsi="黑体" w:eastAsia="黑体"/>
          <w:color w:val="auto"/>
          <w:szCs w:val="21"/>
          <w:highlight w:val="none"/>
        </w:rPr>
      </w:pPr>
      <w:r>
        <w:rPr>
          <w:rFonts w:ascii="黑体" w:hAnsi="黑体" w:eastAsia="黑体"/>
          <w:color w:val="auto"/>
          <w:szCs w:val="21"/>
          <w:highlight w:val="none"/>
        </w:rPr>
        <w:br w:type="page"/>
      </w:r>
    </w:p>
    <w:p w14:paraId="713E602F">
      <w:pPr>
        <w:pStyle w:val="29"/>
        <w:numPr>
          <w:ilvl w:val="0"/>
          <w:numId w:val="0"/>
        </w:numPr>
        <w:spacing w:line="360" w:lineRule="auto"/>
        <w:ind w:leftChars="0"/>
        <w:contextualSpacing/>
        <w:rPr>
          <w:rFonts w:hint="eastAsia" w:ascii="黑体" w:hAnsi="黑体" w:eastAsia="黑体"/>
          <w:b/>
          <w:bCs/>
          <w:color w:val="auto"/>
          <w:szCs w:val="21"/>
          <w:highlight w:val="none"/>
          <w:lang w:val="en-US" w:eastAsia="zh-CN"/>
        </w:rPr>
      </w:pPr>
      <w:r>
        <w:rPr>
          <w:rFonts w:hint="eastAsia" w:ascii="黑体" w:hAnsi="黑体" w:eastAsia="黑体"/>
          <w:b/>
          <w:bCs/>
          <w:color w:val="auto"/>
          <w:szCs w:val="21"/>
          <w:highlight w:val="none"/>
          <w:lang w:val="en-US" w:eastAsia="zh-CN"/>
        </w:rPr>
        <w:t>包B：</w:t>
      </w:r>
    </w:p>
    <w:p w14:paraId="7FCB15B9">
      <w:pPr>
        <w:pStyle w:val="29"/>
        <w:numPr>
          <w:ilvl w:val="0"/>
          <w:numId w:val="27"/>
        </w:numPr>
        <w:spacing w:line="360" w:lineRule="auto"/>
        <w:ind w:firstLineChars="0"/>
        <w:contextualSpacing/>
        <w:rPr>
          <w:rFonts w:ascii="黑体" w:hAnsi="黑体" w:eastAsia="黑体"/>
          <w:b/>
          <w:color w:val="auto"/>
          <w:szCs w:val="21"/>
          <w:highlight w:val="none"/>
        </w:rPr>
      </w:pPr>
      <w:r>
        <w:rPr>
          <w:rFonts w:ascii="黑体" w:hAnsi="黑体" w:eastAsia="黑体"/>
          <w:b/>
          <w:color w:val="auto"/>
          <w:szCs w:val="21"/>
          <w:highlight w:val="none"/>
        </w:rPr>
        <w:t>采购标的</w:t>
      </w:r>
    </w:p>
    <w:p w14:paraId="4175D624">
      <w:pPr>
        <w:pStyle w:val="29"/>
        <w:numPr>
          <w:ilvl w:val="0"/>
          <w:numId w:val="28"/>
        </w:numPr>
        <w:spacing w:line="360" w:lineRule="auto"/>
        <w:ind w:firstLineChars="0"/>
        <w:contextualSpacing/>
        <w:rPr>
          <w:rFonts w:ascii="黑体" w:hAnsi="黑体" w:eastAsia="黑体"/>
          <w:bCs/>
          <w:color w:val="auto"/>
          <w:szCs w:val="21"/>
          <w:highlight w:val="none"/>
        </w:rPr>
      </w:pPr>
      <w:r>
        <w:rPr>
          <w:rFonts w:ascii="黑体" w:hAnsi="黑体" w:eastAsia="黑体"/>
          <w:bCs/>
          <w:color w:val="auto"/>
          <w:szCs w:val="21"/>
          <w:highlight w:val="none"/>
        </w:rPr>
        <w:t>采购</w:t>
      </w:r>
      <w:r>
        <w:rPr>
          <w:rFonts w:hint="eastAsia" w:ascii="黑体" w:hAnsi="黑体" w:eastAsia="黑体"/>
          <w:bCs/>
          <w:color w:val="auto"/>
          <w:szCs w:val="21"/>
          <w:highlight w:val="none"/>
          <w:lang w:val="en-US" w:eastAsia="zh-CN"/>
        </w:rPr>
        <w:t>标的</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4253"/>
        <w:gridCol w:w="1165"/>
        <w:gridCol w:w="1131"/>
        <w:gridCol w:w="1364"/>
      </w:tblGrid>
      <w:tr w14:paraId="47729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7" w:type="pct"/>
          </w:tcPr>
          <w:p w14:paraId="7B8748B1">
            <w:pPr>
              <w:spacing w:line="360" w:lineRule="auto"/>
              <w:contextualSpacing/>
              <w:jc w:val="center"/>
              <w:rPr>
                <w:rFonts w:ascii="黑体" w:hAnsi="黑体" w:eastAsia="黑体"/>
                <w:bCs/>
                <w:color w:val="auto"/>
                <w:szCs w:val="21"/>
                <w:highlight w:val="none"/>
              </w:rPr>
            </w:pPr>
            <w:r>
              <w:rPr>
                <w:rFonts w:hint="eastAsia" w:ascii="黑体" w:hAnsi="黑体" w:eastAsia="黑体"/>
                <w:bCs/>
                <w:color w:val="auto"/>
                <w:szCs w:val="21"/>
                <w:highlight w:val="none"/>
              </w:rPr>
              <w:t>序号</w:t>
            </w:r>
          </w:p>
        </w:tc>
        <w:tc>
          <w:tcPr>
            <w:tcW w:w="2425" w:type="pct"/>
          </w:tcPr>
          <w:p w14:paraId="0A21B266">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采购标的</w:t>
            </w:r>
          </w:p>
        </w:tc>
        <w:tc>
          <w:tcPr>
            <w:tcW w:w="664" w:type="pct"/>
          </w:tcPr>
          <w:p w14:paraId="21DC32A0">
            <w:pPr>
              <w:spacing w:line="360" w:lineRule="auto"/>
              <w:contextualSpacing/>
              <w:jc w:val="center"/>
              <w:rPr>
                <w:rFonts w:ascii="黑体" w:hAnsi="黑体" w:eastAsia="黑体"/>
                <w:bCs/>
                <w:color w:val="auto"/>
                <w:szCs w:val="21"/>
                <w:highlight w:val="none"/>
              </w:rPr>
            </w:pPr>
            <w:r>
              <w:rPr>
                <w:rFonts w:hint="eastAsia" w:ascii="黑体" w:hAnsi="黑体" w:eastAsia="黑体"/>
                <w:bCs/>
                <w:color w:val="auto"/>
                <w:szCs w:val="21"/>
                <w:highlight w:val="none"/>
              </w:rPr>
              <w:t>单位</w:t>
            </w:r>
          </w:p>
        </w:tc>
        <w:tc>
          <w:tcPr>
            <w:tcW w:w="645" w:type="pct"/>
          </w:tcPr>
          <w:p w14:paraId="739B934E">
            <w:pPr>
              <w:spacing w:line="360" w:lineRule="auto"/>
              <w:contextualSpacing/>
              <w:jc w:val="center"/>
              <w:rPr>
                <w:rFonts w:ascii="黑体" w:hAnsi="黑体" w:eastAsia="黑体"/>
                <w:bCs/>
                <w:color w:val="auto"/>
                <w:szCs w:val="21"/>
                <w:highlight w:val="none"/>
              </w:rPr>
            </w:pPr>
            <w:r>
              <w:rPr>
                <w:rFonts w:hint="eastAsia" w:ascii="黑体" w:hAnsi="黑体" w:eastAsia="黑体"/>
                <w:bCs/>
                <w:color w:val="auto"/>
                <w:szCs w:val="21"/>
                <w:highlight w:val="none"/>
              </w:rPr>
              <w:t>数量</w:t>
            </w:r>
          </w:p>
        </w:tc>
        <w:tc>
          <w:tcPr>
            <w:tcW w:w="778" w:type="pct"/>
          </w:tcPr>
          <w:p w14:paraId="3CE374B0">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所属行业</w:t>
            </w:r>
          </w:p>
        </w:tc>
      </w:tr>
      <w:tr w14:paraId="67960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7" w:type="pct"/>
            <w:vAlign w:val="center"/>
          </w:tcPr>
          <w:p w14:paraId="2A452B8D">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1</w:t>
            </w:r>
          </w:p>
        </w:tc>
        <w:tc>
          <w:tcPr>
            <w:tcW w:w="2425" w:type="pct"/>
            <w:vAlign w:val="center"/>
          </w:tcPr>
          <w:p w14:paraId="5D4BE713">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szCs w:val="21"/>
              </w:rPr>
              <w:t>硬性电子输尿管镜系统</w:t>
            </w:r>
            <w:r>
              <w:rPr>
                <w:rFonts w:hint="eastAsia" w:ascii="黑体" w:hAnsi="黑体" w:eastAsia="黑体"/>
                <w:bCs/>
                <w:color w:val="auto"/>
                <w:szCs w:val="21"/>
                <w:highlight w:val="none"/>
                <w:lang w:val="en-US" w:eastAsia="zh-CN"/>
              </w:rPr>
              <w:t>等医疗设备一批</w:t>
            </w:r>
          </w:p>
        </w:tc>
        <w:tc>
          <w:tcPr>
            <w:tcW w:w="664" w:type="pct"/>
            <w:vAlign w:val="center"/>
          </w:tcPr>
          <w:p w14:paraId="1E69923B">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批</w:t>
            </w:r>
          </w:p>
        </w:tc>
        <w:tc>
          <w:tcPr>
            <w:tcW w:w="645" w:type="pct"/>
            <w:vAlign w:val="center"/>
          </w:tcPr>
          <w:p w14:paraId="083D8431">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1</w:t>
            </w:r>
          </w:p>
        </w:tc>
        <w:tc>
          <w:tcPr>
            <w:tcW w:w="778" w:type="pct"/>
            <w:vAlign w:val="center"/>
          </w:tcPr>
          <w:p w14:paraId="5198B42C">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工业</w:t>
            </w:r>
          </w:p>
        </w:tc>
      </w:tr>
    </w:tbl>
    <w:p w14:paraId="21714BA5">
      <w:pPr>
        <w:pStyle w:val="29"/>
        <w:numPr>
          <w:ilvl w:val="0"/>
          <w:numId w:val="27"/>
        </w:numPr>
        <w:spacing w:before="312" w:beforeLines="100" w:line="360" w:lineRule="auto"/>
        <w:ind w:left="499" w:hanging="499" w:firstLineChars="0"/>
        <w:contextualSpacing/>
        <w:rPr>
          <w:rFonts w:ascii="黑体" w:hAnsi="黑体" w:eastAsia="黑体"/>
          <w:b/>
          <w:color w:val="auto"/>
          <w:szCs w:val="21"/>
          <w:highlight w:val="none"/>
        </w:rPr>
      </w:pPr>
      <w:r>
        <w:rPr>
          <w:rFonts w:ascii="黑体" w:hAnsi="黑体" w:eastAsia="黑体"/>
          <w:b/>
          <w:color w:val="auto"/>
          <w:szCs w:val="21"/>
          <w:highlight w:val="none"/>
        </w:rPr>
        <w:t>商务要求</w:t>
      </w:r>
    </w:p>
    <w:p w14:paraId="1C9D1378">
      <w:pPr>
        <w:pStyle w:val="29"/>
        <w:numPr>
          <w:ilvl w:val="0"/>
          <w:numId w:val="29"/>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lang w:val="en-US" w:eastAsia="zh-CN"/>
        </w:rPr>
        <w:t>采购清单</w:t>
      </w:r>
    </w:p>
    <w:tbl>
      <w:tblPr>
        <w:tblStyle w:val="2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9"/>
        <w:gridCol w:w="1929"/>
        <w:gridCol w:w="933"/>
        <w:gridCol w:w="1587"/>
        <w:gridCol w:w="807"/>
        <w:gridCol w:w="1757"/>
        <w:gridCol w:w="1060"/>
      </w:tblGrid>
      <w:tr w14:paraId="34433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trPr>
        <w:tc>
          <w:tcPr>
            <w:tcW w:w="393" w:type="pct"/>
            <w:vAlign w:val="center"/>
          </w:tcPr>
          <w:p w14:paraId="22F97A68">
            <w:pPr>
              <w:spacing w:line="360" w:lineRule="auto"/>
              <w:contextualSpacing/>
              <w:jc w:val="center"/>
              <w:rPr>
                <w:rFonts w:ascii="黑体" w:hAnsi="黑体" w:eastAsia="黑体"/>
                <w:bCs/>
                <w:color w:val="auto"/>
                <w:szCs w:val="21"/>
                <w:highlight w:val="none"/>
              </w:rPr>
            </w:pPr>
            <w:r>
              <w:rPr>
                <w:rFonts w:hint="eastAsia" w:ascii="黑体" w:hAnsi="黑体" w:eastAsia="黑体"/>
                <w:bCs/>
                <w:color w:val="auto"/>
                <w:szCs w:val="21"/>
                <w:highlight w:val="none"/>
              </w:rPr>
              <w:t>序号</w:t>
            </w:r>
          </w:p>
        </w:tc>
        <w:tc>
          <w:tcPr>
            <w:tcW w:w="1100" w:type="pct"/>
            <w:vAlign w:val="center"/>
          </w:tcPr>
          <w:p w14:paraId="6D887AAA">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设备名称</w:t>
            </w:r>
          </w:p>
        </w:tc>
        <w:tc>
          <w:tcPr>
            <w:tcW w:w="532" w:type="pct"/>
            <w:vAlign w:val="center"/>
          </w:tcPr>
          <w:p w14:paraId="28751EA3">
            <w:pPr>
              <w:spacing w:line="360" w:lineRule="auto"/>
              <w:contextualSpacing/>
              <w:jc w:val="center"/>
              <w:rPr>
                <w:rFonts w:ascii="黑体" w:hAnsi="黑体" w:eastAsia="黑体"/>
                <w:bCs/>
                <w:color w:val="auto"/>
                <w:szCs w:val="21"/>
                <w:highlight w:val="none"/>
              </w:rPr>
            </w:pPr>
            <w:r>
              <w:rPr>
                <w:rFonts w:hint="eastAsia" w:ascii="黑体" w:hAnsi="黑体" w:eastAsia="黑体"/>
                <w:bCs/>
                <w:color w:val="auto"/>
                <w:szCs w:val="21"/>
                <w:highlight w:val="none"/>
              </w:rPr>
              <w:t>单位</w:t>
            </w:r>
          </w:p>
        </w:tc>
        <w:tc>
          <w:tcPr>
            <w:tcW w:w="905" w:type="pct"/>
            <w:vAlign w:val="center"/>
          </w:tcPr>
          <w:p w14:paraId="1237EC7A">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预算价（元）</w:t>
            </w:r>
          </w:p>
        </w:tc>
        <w:tc>
          <w:tcPr>
            <w:tcW w:w="460" w:type="pct"/>
            <w:vAlign w:val="center"/>
          </w:tcPr>
          <w:p w14:paraId="5AFDAF1E">
            <w:pPr>
              <w:spacing w:line="360" w:lineRule="auto"/>
              <w:contextualSpacing/>
              <w:jc w:val="center"/>
              <w:rPr>
                <w:rFonts w:ascii="黑体" w:hAnsi="黑体" w:eastAsia="黑体"/>
                <w:bCs/>
                <w:color w:val="auto"/>
                <w:szCs w:val="21"/>
                <w:highlight w:val="none"/>
              </w:rPr>
            </w:pPr>
            <w:r>
              <w:rPr>
                <w:rFonts w:hint="eastAsia" w:ascii="黑体" w:hAnsi="黑体" w:eastAsia="黑体"/>
                <w:bCs/>
                <w:color w:val="auto"/>
                <w:szCs w:val="21"/>
                <w:highlight w:val="none"/>
              </w:rPr>
              <w:t>数量</w:t>
            </w:r>
          </w:p>
        </w:tc>
        <w:tc>
          <w:tcPr>
            <w:tcW w:w="1002" w:type="pct"/>
            <w:vAlign w:val="center"/>
          </w:tcPr>
          <w:p w14:paraId="3DB283FA">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最高限价（元）</w:t>
            </w:r>
          </w:p>
        </w:tc>
        <w:tc>
          <w:tcPr>
            <w:tcW w:w="604" w:type="pct"/>
            <w:vAlign w:val="center"/>
          </w:tcPr>
          <w:p w14:paraId="40B2E393">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是否允许进口</w:t>
            </w:r>
          </w:p>
        </w:tc>
      </w:tr>
      <w:tr w14:paraId="55535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3" w:type="pct"/>
            <w:vAlign w:val="center"/>
          </w:tcPr>
          <w:p w14:paraId="7C1B2A10">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1</w:t>
            </w:r>
          </w:p>
        </w:tc>
        <w:tc>
          <w:tcPr>
            <w:tcW w:w="1100" w:type="pct"/>
            <w:vAlign w:val="center"/>
          </w:tcPr>
          <w:p w14:paraId="0929F855">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
                <w:bCs w:val="0"/>
                <w:color w:val="auto"/>
                <w:szCs w:val="21"/>
                <w:highlight w:val="none"/>
                <w:lang w:val="en-US" w:eastAsia="zh-CN"/>
              </w:rPr>
              <w:t>硬性电子输尿管镜系统</w:t>
            </w:r>
            <w:r>
              <w:rPr>
                <w:rFonts w:hint="eastAsia" w:ascii="黑体" w:hAnsi="黑体" w:eastAsia="黑体"/>
                <w:b/>
                <w:bCs w:val="0"/>
                <w:color w:val="auto"/>
                <w:szCs w:val="21"/>
                <w:highlight w:val="none"/>
              </w:rPr>
              <w:t>◆</w:t>
            </w:r>
          </w:p>
        </w:tc>
        <w:tc>
          <w:tcPr>
            <w:tcW w:w="532" w:type="pct"/>
            <w:vAlign w:val="center"/>
          </w:tcPr>
          <w:p w14:paraId="34BCA633">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套</w:t>
            </w:r>
          </w:p>
        </w:tc>
        <w:tc>
          <w:tcPr>
            <w:tcW w:w="905" w:type="pct"/>
            <w:vAlign w:val="center"/>
          </w:tcPr>
          <w:p w14:paraId="5FFCCF6E">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295,000.00</w:t>
            </w:r>
          </w:p>
        </w:tc>
        <w:tc>
          <w:tcPr>
            <w:tcW w:w="460" w:type="pct"/>
            <w:vAlign w:val="center"/>
          </w:tcPr>
          <w:p w14:paraId="7265F6DF">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1</w:t>
            </w:r>
          </w:p>
        </w:tc>
        <w:tc>
          <w:tcPr>
            <w:tcW w:w="1002" w:type="pct"/>
            <w:vAlign w:val="center"/>
          </w:tcPr>
          <w:p w14:paraId="380F6F10">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260,000.00</w:t>
            </w:r>
          </w:p>
        </w:tc>
        <w:tc>
          <w:tcPr>
            <w:tcW w:w="604" w:type="pct"/>
            <w:vAlign w:val="center"/>
          </w:tcPr>
          <w:p w14:paraId="4A983CA1">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否</w:t>
            </w:r>
          </w:p>
        </w:tc>
      </w:tr>
      <w:tr w14:paraId="164FF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393" w:type="pct"/>
            <w:vAlign w:val="center"/>
          </w:tcPr>
          <w:p w14:paraId="0DC9EDD3">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2</w:t>
            </w:r>
          </w:p>
        </w:tc>
        <w:tc>
          <w:tcPr>
            <w:tcW w:w="1100" w:type="pct"/>
            <w:vAlign w:val="center"/>
          </w:tcPr>
          <w:p w14:paraId="62CE2420">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呼吸道廓清系统</w:t>
            </w:r>
          </w:p>
        </w:tc>
        <w:tc>
          <w:tcPr>
            <w:tcW w:w="532" w:type="pct"/>
            <w:vAlign w:val="center"/>
          </w:tcPr>
          <w:p w14:paraId="6A2E76B8">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台</w:t>
            </w:r>
          </w:p>
        </w:tc>
        <w:tc>
          <w:tcPr>
            <w:tcW w:w="905" w:type="pct"/>
            <w:vAlign w:val="center"/>
          </w:tcPr>
          <w:p w14:paraId="4A9F79C3">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300,000.00</w:t>
            </w:r>
          </w:p>
        </w:tc>
        <w:tc>
          <w:tcPr>
            <w:tcW w:w="460" w:type="pct"/>
            <w:vAlign w:val="center"/>
          </w:tcPr>
          <w:p w14:paraId="40E34ED7">
            <w:pPr>
              <w:spacing w:line="360" w:lineRule="auto"/>
              <w:contextualSpacing/>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1</w:t>
            </w:r>
          </w:p>
        </w:tc>
        <w:tc>
          <w:tcPr>
            <w:tcW w:w="1002" w:type="pct"/>
            <w:vAlign w:val="center"/>
          </w:tcPr>
          <w:p w14:paraId="1AF1940A">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272,000.00</w:t>
            </w:r>
          </w:p>
        </w:tc>
        <w:tc>
          <w:tcPr>
            <w:tcW w:w="604" w:type="pct"/>
            <w:vAlign w:val="center"/>
          </w:tcPr>
          <w:p w14:paraId="5E4AD1BA">
            <w:pPr>
              <w:spacing w:line="360" w:lineRule="auto"/>
              <w:contextualSpacing/>
              <w:jc w:val="center"/>
              <w:rPr>
                <w:rFonts w:hint="eastAsia"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否</w:t>
            </w:r>
          </w:p>
        </w:tc>
      </w:tr>
    </w:tbl>
    <w:p w14:paraId="6F4DEA44">
      <w:pPr>
        <w:pStyle w:val="29"/>
        <w:numPr>
          <w:ilvl w:val="0"/>
          <w:numId w:val="29"/>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交付时间</w:t>
      </w:r>
    </w:p>
    <w:p w14:paraId="17196BD1">
      <w:pPr>
        <w:pStyle w:val="29"/>
        <w:numPr>
          <w:ilvl w:val="0"/>
          <w:numId w:val="0"/>
        </w:numPr>
        <w:spacing w:line="360" w:lineRule="auto"/>
        <w:ind w:leftChars="0" w:firstLine="420" w:firstLineChars="200"/>
        <w:contextualSpacing/>
        <w:rPr>
          <w:rFonts w:hint="eastAsia" w:ascii="黑体" w:hAnsi="黑体" w:eastAsia="黑体"/>
          <w:iCs/>
          <w:color w:val="auto"/>
          <w:szCs w:val="21"/>
          <w:highlight w:val="none"/>
          <w:lang w:eastAsia="zh-CN"/>
        </w:rPr>
      </w:pPr>
      <w:r>
        <w:rPr>
          <w:rFonts w:hint="eastAsia" w:ascii="黑体" w:hAnsi="黑体" w:eastAsia="黑体"/>
          <w:iCs/>
          <w:color w:val="auto"/>
          <w:szCs w:val="21"/>
          <w:highlight w:val="none"/>
          <w:lang w:eastAsia="zh-CN"/>
        </w:rPr>
        <w:t>合同签订后，30天内</w:t>
      </w:r>
      <w:r>
        <w:rPr>
          <w:rFonts w:hint="eastAsia" w:ascii="黑体" w:hAnsi="黑体" w:eastAsia="黑体"/>
          <w:iCs/>
          <w:color w:val="auto"/>
          <w:szCs w:val="21"/>
          <w:highlight w:val="none"/>
          <w:lang w:val="en-US" w:eastAsia="zh-CN"/>
        </w:rPr>
        <w:t>供货、</w:t>
      </w:r>
      <w:r>
        <w:rPr>
          <w:rFonts w:hint="eastAsia" w:ascii="黑体" w:hAnsi="黑体" w:eastAsia="黑体"/>
          <w:iCs/>
          <w:color w:val="auto"/>
          <w:szCs w:val="21"/>
          <w:highlight w:val="none"/>
          <w:lang w:eastAsia="zh-CN"/>
        </w:rPr>
        <w:t>安装调试完成。</w:t>
      </w:r>
    </w:p>
    <w:p w14:paraId="7888BA77">
      <w:pPr>
        <w:pStyle w:val="29"/>
        <w:numPr>
          <w:ilvl w:val="0"/>
          <w:numId w:val="29"/>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交付地点</w:t>
      </w:r>
    </w:p>
    <w:p w14:paraId="3DB5D645">
      <w:pPr>
        <w:pStyle w:val="29"/>
        <w:numPr>
          <w:ilvl w:val="0"/>
          <w:numId w:val="0"/>
        </w:numPr>
        <w:spacing w:line="360" w:lineRule="auto"/>
        <w:ind w:leftChars="0" w:firstLine="420" w:firstLineChars="200"/>
        <w:contextualSpacing/>
        <w:rPr>
          <w:rFonts w:hint="default" w:ascii="黑体" w:hAnsi="黑体" w:eastAsia="黑体"/>
          <w:iCs/>
          <w:color w:val="auto"/>
          <w:szCs w:val="21"/>
          <w:highlight w:val="none"/>
          <w:lang w:val="en-US" w:eastAsia="zh-CN"/>
        </w:rPr>
      </w:pPr>
      <w:r>
        <w:rPr>
          <w:rFonts w:hint="eastAsia" w:ascii="黑体" w:hAnsi="黑体" w:eastAsia="黑体"/>
          <w:iCs/>
          <w:color w:val="auto"/>
          <w:szCs w:val="21"/>
          <w:highlight w:val="none"/>
          <w:lang w:val="en-US" w:eastAsia="zh-CN"/>
        </w:rPr>
        <w:t>采购人指定地点。</w:t>
      </w:r>
    </w:p>
    <w:p w14:paraId="369CD9EE">
      <w:pPr>
        <w:pStyle w:val="29"/>
        <w:numPr>
          <w:ilvl w:val="0"/>
          <w:numId w:val="29"/>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付款条件</w:t>
      </w:r>
    </w:p>
    <w:p w14:paraId="50AF7265">
      <w:pPr>
        <w:pStyle w:val="29"/>
        <w:numPr>
          <w:ilvl w:val="0"/>
          <w:numId w:val="30"/>
        </w:numPr>
        <w:spacing w:line="360" w:lineRule="auto"/>
        <w:ind w:firstLineChars="0"/>
        <w:rPr>
          <w:rFonts w:ascii="黑体" w:hAnsi="黑体" w:eastAsia="黑体"/>
          <w:iCs/>
          <w:color w:val="auto"/>
          <w:szCs w:val="21"/>
          <w:highlight w:val="none"/>
        </w:rPr>
      </w:pPr>
      <w:r>
        <w:rPr>
          <w:rFonts w:hint="eastAsia" w:ascii="黑体" w:hAnsi="黑体" w:eastAsia="黑体"/>
          <w:iCs/>
          <w:color w:val="auto"/>
          <w:szCs w:val="21"/>
          <w:highlight w:val="none"/>
        </w:rPr>
        <w:t>本项目验收合格后，中标人经采购人计算出总金额并开具</w:t>
      </w:r>
      <w:r>
        <w:rPr>
          <w:rFonts w:hint="eastAsia" w:ascii="黑体" w:hAnsi="黑体" w:eastAsia="黑体"/>
          <w:iCs/>
          <w:color w:val="auto"/>
          <w:szCs w:val="21"/>
          <w:highlight w:val="none"/>
          <w:lang w:val="en-US" w:eastAsia="zh-CN"/>
        </w:rPr>
        <w:t>普通</w:t>
      </w:r>
      <w:r>
        <w:rPr>
          <w:rFonts w:hint="eastAsia" w:ascii="黑体" w:hAnsi="黑体" w:eastAsia="黑体"/>
          <w:iCs/>
          <w:color w:val="auto"/>
          <w:szCs w:val="21"/>
          <w:highlight w:val="none"/>
        </w:rPr>
        <w:t>发票，采购人收到发票之日起</w:t>
      </w:r>
      <w:r>
        <w:rPr>
          <w:rFonts w:hint="eastAsia" w:ascii="黑体" w:hAnsi="黑体" w:eastAsia="黑体"/>
          <w:iCs/>
          <w:color w:val="auto"/>
          <w:szCs w:val="21"/>
          <w:highlight w:val="none"/>
          <w:lang w:val="en-US" w:eastAsia="zh-CN"/>
        </w:rPr>
        <w:t>30</w:t>
      </w:r>
      <w:r>
        <w:rPr>
          <w:rFonts w:hint="eastAsia" w:ascii="黑体" w:hAnsi="黑体" w:eastAsia="黑体"/>
          <w:iCs/>
          <w:color w:val="auto"/>
          <w:szCs w:val="21"/>
          <w:highlight w:val="none"/>
        </w:rPr>
        <w:t>日内，向中标人支付合同结算总金额的全额（若中标人未提供相应发票，采购人可拒绝付款）；</w:t>
      </w:r>
    </w:p>
    <w:p w14:paraId="6A20479D">
      <w:pPr>
        <w:pStyle w:val="29"/>
        <w:numPr>
          <w:ilvl w:val="0"/>
          <w:numId w:val="30"/>
        </w:numPr>
        <w:spacing w:line="360" w:lineRule="auto"/>
        <w:ind w:firstLineChars="0"/>
        <w:rPr>
          <w:rFonts w:ascii="黑体" w:hAnsi="黑体" w:eastAsia="黑体"/>
          <w:iCs/>
          <w:color w:val="auto"/>
          <w:szCs w:val="21"/>
          <w:highlight w:val="none"/>
        </w:rPr>
      </w:pPr>
      <w:r>
        <w:rPr>
          <w:rFonts w:hint="eastAsia" w:ascii="黑体" w:hAnsi="黑体" w:eastAsia="黑体"/>
          <w:iCs/>
          <w:color w:val="auto"/>
          <w:szCs w:val="21"/>
          <w:highlight w:val="none"/>
        </w:rPr>
        <w:t>中标人不得委托他人收款；</w:t>
      </w:r>
    </w:p>
    <w:p w14:paraId="74EFD25D">
      <w:pPr>
        <w:pStyle w:val="29"/>
        <w:numPr>
          <w:ilvl w:val="0"/>
          <w:numId w:val="30"/>
        </w:numPr>
        <w:spacing w:line="360" w:lineRule="auto"/>
        <w:ind w:firstLineChars="0"/>
        <w:rPr>
          <w:rFonts w:ascii="黑体" w:hAnsi="黑体" w:eastAsia="黑体"/>
          <w:iCs/>
          <w:color w:val="auto"/>
          <w:szCs w:val="21"/>
          <w:highlight w:val="none"/>
        </w:rPr>
      </w:pPr>
      <w:r>
        <w:rPr>
          <w:rFonts w:hint="eastAsia" w:ascii="黑体" w:hAnsi="黑体" w:eastAsia="黑体"/>
          <w:iCs/>
          <w:color w:val="auto"/>
          <w:szCs w:val="21"/>
          <w:highlight w:val="none"/>
        </w:rPr>
        <w:t>如果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p w14:paraId="2D5BC7EE">
      <w:pPr>
        <w:pStyle w:val="29"/>
        <w:numPr>
          <w:ilvl w:val="0"/>
          <w:numId w:val="29"/>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包装和运输</w:t>
      </w:r>
    </w:p>
    <w:p w14:paraId="30E36660">
      <w:pPr>
        <w:pStyle w:val="29"/>
        <w:numPr>
          <w:ilvl w:val="0"/>
          <w:numId w:val="31"/>
        </w:numPr>
        <w:spacing w:line="360" w:lineRule="auto"/>
        <w:ind w:left="425" w:leftChars="0" w:hanging="425"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设备材料的包装须是制造商原厂包装，其包装均应有良好的防湿、防锈、防潮、防雨、防腐及防碰撞的措施。凡由于包装不良造成的损失和由此产生的费用均由中标人承担；</w:t>
      </w:r>
    </w:p>
    <w:p w14:paraId="3472BAAB">
      <w:pPr>
        <w:pStyle w:val="29"/>
        <w:numPr>
          <w:ilvl w:val="0"/>
          <w:numId w:val="31"/>
        </w:numPr>
        <w:spacing w:line="360" w:lineRule="auto"/>
        <w:ind w:left="425" w:leftChars="0" w:hanging="425"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中标人负责将设备材料货到现场过程中的全部运输，包括装卸车、货物现场的搬运。</w:t>
      </w:r>
    </w:p>
    <w:p w14:paraId="5DC1EF0F">
      <w:pPr>
        <w:pStyle w:val="29"/>
        <w:numPr>
          <w:ilvl w:val="0"/>
          <w:numId w:val="31"/>
        </w:numPr>
        <w:spacing w:line="360" w:lineRule="auto"/>
        <w:ind w:left="425" w:leftChars="0" w:hanging="425"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货物在现场的保管由中标人负责，直至项目验收完毕。</w:t>
      </w:r>
    </w:p>
    <w:p w14:paraId="3389102D">
      <w:pPr>
        <w:pStyle w:val="29"/>
        <w:numPr>
          <w:ilvl w:val="0"/>
          <w:numId w:val="31"/>
        </w:numPr>
        <w:spacing w:line="360" w:lineRule="auto"/>
        <w:ind w:left="425" w:leftChars="0" w:hanging="425"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安装要求：所供设备和材料中标人必须送货上门和负责安装调试。货物及订制所需材料在实施订制及安装前需通知采购人代表查验相关货物的出厂合格证或出厂测试报告、序列号、包装箱号与出厂批号等资料，并可追索查阅。所有随设备的附件必须齐全，以备验收使用。</w:t>
      </w:r>
    </w:p>
    <w:p w14:paraId="46E8F8D7">
      <w:pPr>
        <w:pStyle w:val="29"/>
        <w:numPr>
          <w:ilvl w:val="0"/>
          <w:numId w:val="31"/>
        </w:numPr>
        <w:spacing w:line="360" w:lineRule="auto"/>
        <w:ind w:left="425" w:leftChars="0" w:hanging="425"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调试要求：中标人必须依照招标文件的要求和投标文件的承诺，将设备、系统安装并调试至正常运行的最佳状态。</w:t>
      </w:r>
    </w:p>
    <w:p w14:paraId="2A1CE991">
      <w:pPr>
        <w:pStyle w:val="29"/>
        <w:numPr>
          <w:ilvl w:val="0"/>
          <w:numId w:val="29"/>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售后服务（质保期）</w:t>
      </w:r>
    </w:p>
    <w:p w14:paraId="06B8A709">
      <w:pPr>
        <w:pStyle w:val="29"/>
        <w:numPr>
          <w:ilvl w:val="0"/>
          <w:numId w:val="32"/>
        </w:numPr>
        <w:spacing w:line="360" w:lineRule="auto"/>
        <w:ind w:firstLineChars="0"/>
        <w:contextualSpacing/>
        <w:rPr>
          <w:rFonts w:ascii="黑体" w:hAnsi="黑体" w:eastAsia="黑体"/>
          <w:b w:val="0"/>
          <w:bCs w:val="0"/>
          <w:iCs/>
          <w:color w:val="auto"/>
          <w:szCs w:val="21"/>
          <w:highlight w:val="none"/>
        </w:rPr>
      </w:pPr>
      <w:r>
        <w:rPr>
          <w:rFonts w:hint="eastAsia" w:ascii="黑体" w:hAnsi="黑体" w:eastAsia="黑体"/>
          <w:b w:val="0"/>
          <w:bCs w:val="0"/>
          <w:iCs/>
          <w:color w:val="auto"/>
          <w:szCs w:val="21"/>
          <w:highlight w:val="none"/>
        </w:rPr>
        <w:t>质保期：自交货完成并验收合格之日起至少3年</w:t>
      </w:r>
      <w:r>
        <w:rPr>
          <w:rFonts w:hint="eastAsia" w:ascii="黑体" w:hAnsi="黑体" w:eastAsia="黑体"/>
          <w:b w:val="0"/>
          <w:bCs w:val="0"/>
          <w:iCs/>
          <w:color w:val="auto"/>
          <w:szCs w:val="21"/>
          <w:highlight w:val="none"/>
          <w:lang w:eastAsia="zh-CN"/>
        </w:rPr>
        <w:t>，</w:t>
      </w:r>
      <w:r>
        <w:rPr>
          <w:rFonts w:hint="eastAsia" w:ascii="黑体" w:hAnsi="黑体" w:eastAsia="黑体"/>
          <w:b w:val="0"/>
          <w:bCs w:val="0"/>
          <w:iCs/>
          <w:color w:val="auto"/>
          <w:szCs w:val="21"/>
          <w:highlight w:val="none"/>
        </w:rPr>
        <w:t>若国家或生产厂家对本项目所涉及货物的质保期的规定高于本项目的要求，应按国家或生产厂家的规定执行，所产生的费用已包含在投标人报价中。</w:t>
      </w:r>
    </w:p>
    <w:p w14:paraId="33612253">
      <w:pPr>
        <w:pStyle w:val="29"/>
        <w:numPr>
          <w:ilvl w:val="0"/>
          <w:numId w:val="32"/>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日常维护要求：①质保期内中标人必须配置专业的维护团队，团队须提供至少</w:t>
      </w:r>
      <w:r>
        <w:rPr>
          <w:rFonts w:ascii="黑体" w:hAnsi="黑体" w:eastAsia="黑体"/>
          <w:iCs/>
          <w:color w:val="auto"/>
          <w:szCs w:val="21"/>
          <w:highlight w:val="none"/>
        </w:rPr>
        <w:t>1</w:t>
      </w:r>
      <w:r>
        <w:rPr>
          <w:rFonts w:hint="eastAsia" w:ascii="黑体" w:hAnsi="黑体" w:eastAsia="黑体"/>
          <w:iCs/>
          <w:color w:val="auto"/>
          <w:szCs w:val="21"/>
          <w:highlight w:val="none"/>
        </w:rPr>
        <w:t>人作为维护对接人，该人员必须是参加本项目的主要人员，对接人须协助采购人处理本项目的建设和维护工作。②质保期内提供的维护服务内容和方式包括：软件升级、提供技术指导、功能优化与支持服务等内容，服务方式应包括网络支持与现场服务等。③质保期内中标人至少每半年对本项目设备进行全面的巡检（巡检内容包括设备整体检测、设备保养评估、故障隐患排查等），对巡检过程中发现的故障及隐患进行及时处理，并生成巡检报告提交采购人。</w:t>
      </w:r>
    </w:p>
    <w:p w14:paraId="4AC57EB7">
      <w:pPr>
        <w:pStyle w:val="29"/>
        <w:numPr>
          <w:ilvl w:val="0"/>
          <w:numId w:val="32"/>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应急维护要求：中标人须提供应急维护方案，且质保期内提供</w:t>
      </w:r>
      <w:r>
        <w:rPr>
          <w:rFonts w:ascii="黑体" w:hAnsi="黑体" w:eastAsia="黑体"/>
          <w:iCs/>
          <w:color w:val="auto"/>
          <w:szCs w:val="21"/>
          <w:highlight w:val="none"/>
        </w:rPr>
        <w:t>24</w:t>
      </w:r>
      <w:r>
        <w:rPr>
          <w:rFonts w:hint="eastAsia" w:ascii="黑体" w:hAnsi="黑体" w:eastAsia="黑体"/>
          <w:iCs/>
          <w:color w:val="auto"/>
          <w:szCs w:val="21"/>
          <w:highlight w:val="none"/>
        </w:rPr>
        <w:t>小时电话服务热线，保证在接到故障电话后即时响应，</w:t>
      </w:r>
      <w:r>
        <w:rPr>
          <w:rFonts w:hint="eastAsia" w:ascii="黑体" w:hAnsi="黑体" w:eastAsia="黑体"/>
          <w:iCs/>
          <w:color w:val="auto"/>
          <w:szCs w:val="21"/>
          <w:highlight w:val="none"/>
          <w:lang w:val="en-US" w:eastAsia="zh-CN"/>
        </w:rPr>
        <w:t>3</w:t>
      </w:r>
      <w:r>
        <w:rPr>
          <w:rFonts w:hint="eastAsia" w:ascii="黑体" w:hAnsi="黑体" w:eastAsia="黑体"/>
          <w:iCs/>
          <w:color w:val="auto"/>
          <w:szCs w:val="21"/>
          <w:highlight w:val="none"/>
        </w:rPr>
        <w:t>小时内到达故障现场，并在</w:t>
      </w:r>
      <w:r>
        <w:rPr>
          <w:rFonts w:ascii="黑体" w:hAnsi="黑体" w:eastAsia="黑体"/>
          <w:iCs/>
          <w:color w:val="auto"/>
          <w:szCs w:val="21"/>
          <w:highlight w:val="none"/>
        </w:rPr>
        <w:t>48</w:t>
      </w:r>
      <w:r>
        <w:rPr>
          <w:rFonts w:hint="eastAsia" w:ascii="黑体" w:hAnsi="黑体" w:eastAsia="黑体"/>
          <w:iCs/>
          <w:color w:val="auto"/>
          <w:szCs w:val="21"/>
          <w:highlight w:val="none"/>
        </w:rPr>
        <w:t>小时内修复设备，如</w:t>
      </w:r>
      <w:r>
        <w:rPr>
          <w:rFonts w:ascii="黑体" w:hAnsi="黑体" w:eastAsia="黑体"/>
          <w:iCs/>
          <w:color w:val="auto"/>
          <w:szCs w:val="21"/>
          <w:highlight w:val="none"/>
        </w:rPr>
        <w:t>48</w:t>
      </w:r>
      <w:r>
        <w:rPr>
          <w:rFonts w:hint="eastAsia" w:ascii="黑体" w:hAnsi="黑体" w:eastAsia="黑体"/>
          <w:iCs/>
          <w:color w:val="auto"/>
          <w:szCs w:val="21"/>
          <w:highlight w:val="none"/>
        </w:rPr>
        <w:t>小时内无法修复的，中标人须提供配套替代货物给采购人使用，直到故障货物修复为止。质保服务方式均为供应商上门服务。</w:t>
      </w:r>
    </w:p>
    <w:p w14:paraId="6BE111F3">
      <w:pPr>
        <w:pStyle w:val="29"/>
        <w:numPr>
          <w:ilvl w:val="0"/>
          <w:numId w:val="29"/>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lang w:val="en-US" w:eastAsia="zh-CN"/>
        </w:rPr>
        <w:t>质量保证要求</w:t>
      </w:r>
    </w:p>
    <w:p w14:paraId="6F4CE8A7">
      <w:pPr>
        <w:pStyle w:val="29"/>
        <w:numPr>
          <w:ilvl w:val="0"/>
          <w:numId w:val="33"/>
        </w:numPr>
        <w:spacing w:line="360" w:lineRule="auto"/>
        <w:ind w:left="425" w:leftChars="0" w:hanging="425" w:firstLineChars="0"/>
        <w:contextualSpacing/>
        <w:rPr>
          <w:rFonts w:hint="eastAsia" w:ascii="黑体" w:hAnsi="黑体" w:eastAsia="黑体"/>
          <w:iCs/>
          <w:color w:val="auto"/>
          <w:szCs w:val="21"/>
          <w:highlight w:val="none"/>
          <w:lang w:val="en-US" w:eastAsia="zh-CN"/>
        </w:rPr>
      </w:pPr>
      <w:r>
        <w:rPr>
          <w:rFonts w:hint="eastAsia" w:ascii="黑体" w:hAnsi="黑体" w:eastAsia="黑体"/>
          <w:iCs/>
          <w:color w:val="auto"/>
          <w:szCs w:val="21"/>
          <w:highlight w:val="none"/>
          <w:lang w:val="en-US" w:eastAsia="zh-CN"/>
        </w:rPr>
        <w:t>投标人必须提供符合国家质量检测标准的全新、未使用过的货物(包括所有零配件、专用工具等)，表面无划伤，无碰撞，并提供货物出厂合格证、使用说明书、货物配置清单等相关资料。</w:t>
      </w:r>
    </w:p>
    <w:p w14:paraId="103ACDAF">
      <w:pPr>
        <w:pStyle w:val="29"/>
        <w:numPr>
          <w:ilvl w:val="0"/>
          <w:numId w:val="33"/>
        </w:numPr>
        <w:spacing w:line="360" w:lineRule="auto"/>
        <w:ind w:left="425" w:leftChars="0" w:hanging="425" w:firstLineChars="0"/>
        <w:contextualSpacing/>
        <w:rPr>
          <w:rFonts w:hint="eastAsia" w:ascii="黑体" w:hAnsi="黑体" w:eastAsia="黑体"/>
          <w:b/>
          <w:bCs/>
          <w:iCs/>
          <w:color w:val="auto"/>
          <w:szCs w:val="21"/>
          <w:highlight w:val="none"/>
        </w:rPr>
      </w:pPr>
      <w:r>
        <w:rPr>
          <w:rFonts w:hint="eastAsia" w:ascii="黑体" w:hAnsi="黑体" w:eastAsia="黑体"/>
          <w:b/>
          <w:bCs/>
          <w:iCs/>
          <w:color w:val="auto"/>
          <w:szCs w:val="21"/>
          <w:highlight w:val="none"/>
          <w:lang w:val="en-US" w:eastAsia="zh-CN"/>
        </w:rPr>
        <w:t>★投标人</w:t>
      </w:r>
      <w:r>
        <w:rPr>
          <w:rFonts w:hint="eastAsia" w:ascii="黑体" w:hAnsi="黑体" w:eastAsia="黑体"/>
          <w:b/>
          <w:bCs/>
          <w:iCs/>
          <w:color w:val="auto"/>
          <w:szCs w:val="21"/>
          <w:highlight w:val="none"/>
        </w:rPr>
        <w:t>提供的设备出厂日期与安装完成日期间隔必须小于壹年</w:t>
      </w:r>
      <w:r>
        <w:rPr>
          <w:rFonts w:hint="eastAsia" w:ascii="黑体" w:hAnsi="黑体" w:eastAsia="黑体"/>
          <w:b/>
          <w:bCs/>
          <w:iCs/>
          <w:color w:val="auto"/>
          <w:szCs w:val="21"/>
          <w:highlight w:val="none"/>
          <w:lang w:eastAsia="zh-CN"/>
        </w:rPr>
        <w:t>。</w:t>
      </w:r>
    </w:p>
    <w:p w14:paraId="3E76041D">
      <w:pPr>
        <w:pStyle w:val="29"/>
        <w:numPr>
          <w:ilvl w:val="0"/>
          <w:numId w:val="29"/>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lang w:val="en-US" w:eastAsia="zh-CN"/>
        </w:rPr>
        <w:t>培训要求</w:t>
      </w:r>
      <w:bookmarkStart w:id="107" w:name="_GoBack"/>
      <w:bookmarkEnd w:id="107"/>
    </w:p>
    <w:p w14:paraId="735527C1">
      <w:pPr>
        <w:pStyle w:val="29"/>
        <w:spacing w:line="360" w:lineRule="auto"/>
        <w:contextualSpacing/>
        <w:rPr>
          <w:rFonts w:ascii="黑体" w:hAnsi="黑体" w:eastAsia="黑体"/>
          <w:iCs/>
          <w:color w:val="auto"/>
          <w:szCs w:val="21"/>
          <w:highlight w:val="none"/>
        </w:rPr>
      </w:pPr>
      <w:r>
        <w:rPr>
          <w:rFonts w:hint="eastAsia" w:ascii="黑体" w:hAnsi="黑体" w:eastAsia="黑体"/>
          <w:iCs/>
          <w:color w:val="auto"/>
          <w:szCs w:val="21"/>
          <w:highlight w:val="none"/>
        </w:rPr>
        <w:t>为保证采购人熟悉设备的使用及日常维护，中标人须为采购人提供培训方案，培训方案须包括：①培训内容（设备的基本操作、常见故障排除、系统维护技巧等）；②培训形式（线上或线下或其他方式培训）；③培训人员配置情况；④培训实施计划（培训时长、频次等）。中标人需按照采购人指定的时间、地点向采购人提供培训服务，培训所需全部费用（含培训、交通、食宿等）均由中标人负责。</w:t>
      </w:r>
    </w:p>
    <w:p w14:paraId="6C4A3F91">
      <w:pPr>
        <w:pStyle w:val="29"/>
        <w:numPr>
          <w:ilvl w:val="0"/>
          <w:numId w:val="29"/>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lang w:val="en-US" w:eastAsia="zh-CN"/>
        </w:rPr>
        <w:t>报价要求</w:t>
      </w:r>
    </w:p>
    <w:p w14:paraId="37BE71F4">
      <w:pPr>
        <w:pStyle w:val="29"/>
        <w:spacing w:line="360" w:lineRule="auto"/>
        <w:contextualSpacing/>
        <w:rPr>
          <w:rFonts w:ascii="黑体" w:hAnsi="黑体" w:eastAsia="黑体"/>
          <w:iCs/>
          <w:color w:val="auto"/>
          <w:szCs w:val="21"/>
          <w:highlight w:val="none"/>
        </w:rPr>
      </w:pPr>
      <w:r>
        <w:rPr>
          <w:rFonts w:hint="eastAsia" w:ascii="黑体" w:hAnsi="黑体" w:eastAsia="黑体"/>
          <w:iCs/>
          <w:color w:val="auto"/>
          <w:szCs w:val="21"/>
          <w:highlight w:val="none"/>
        </w:rPr>
        <w:t>投标报价为采购人指定地点的现场交货价，包括但不限于：</w:t>
      </w:r>
    </w:p>
    <w:p w14:paraId="7DFC2F3C">
      <w:pPr>
        <w:pStyle w:val="29"/>
        <w:numPr>
          <w:ilvl w:val="0"/>
          <w:numId w:val="34"/>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货物及标准附件、备品备件、专用工具的价格；</w:t>
      </w:r>
    </w:p>
    <w:p w14:paraId="35152DEF">
      <w:pPr>
        <w:pStyle w:val="29"/>
        <w:numPr>
          <w:ilvl w:val="0"/>
          <w:numId w:val="34"/>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运输、装卸、安装、调试、培训、技术支持、售后服务等费用；</w:t>
      </w:r>
    </w:p>
    <w:p w14:paraId="56A10C24">
      <w:pPr>
        <w:pStyle w:val="29"/>
        <w:numPr>
          <w:ilvl w:val="0"/>
          <w:numId w:val="34"/>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必要的保险费用和各项税费。</w:t>
      </w:r>
    </w:p>
    <w:p w14:paraId="326B8C97">
      <w:pPr>
        <w:pStyle w:val="29"/>
        <w:numPr>
          <w:ilvl w:val="0"/>
          <w:numId w:val="34"/>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报价要求：固定含税总价，报价不得超过项目包组预算</w:t>
      </w:r>
      <w:r>
        <w:rPr>
          <w:rFonts w:hint="eastAsia" w:ascii="黑体" w:hAnsi="黑体" w:eastAsia="黑体"/>
          <w:iCs/>
          <w:color w:val="auto"/>
          <w:szCs w:val="21"/>
          <w:highlight w:val="none"/>
          <w:lang w:val="en-US" w:eastAsia="zh-CN"/>
        </w:rPr>
        <w:t>和最高限价</w:t>
      </w:r>
      <w:r>
        <w:rPr>
          <w:rFonts w:hint="eastAsia" w:ascii="黑体" w:hAnsi="黑体" w:eastAsia="黑体"/>
          <w:iCs/>
          <w:color w:val="auto"/>
          <w:szCs w:val="21"/>
          <w:highlight w:val="none"/>
        </w:rPr>
        <w:t>。</w:t>
      </w:r>
      <w:r>
        <w:rPr>
          <w:rFonts w:hint="eastAsia" w:ascii="黑体" w:hAnsi="黑体" w:eastAsia="黑体"/>
          <w:iCs/>
          <w:color w:val="auto"/>
          <w:szCs w:val="21"/>
          <w:highlight w:val="none"/>
          <w:lang w:val="en-US" w:eastAsia="zh-CN"/>
        </w:rPr>
        <w:t>投标人须对每个单项设备作出单项报价并不得超过单项最高限价，超过即无效报价。</w:t>
      </w:r>
      <w:r>
        <w:rPr>
          <w:rFonts w:hint="eastAsia" w:ascii="黑体" w:hAnsi="黑体" w:eastAsia="黑体"/>
          <w:iCs/>
          <w:color w:val="auto"/>
          <w:szCs w:val="21"/>
          <w:highlight w:val="none"/>
        </w:rPr>
        <w:t>本项目报价中包括但不限于产品设计、制造、包装、仓储、运输、安装、保险以及中标人进行的安装、调试、试运行、验收、培训、技术服务(包括技术资料、图纸的提供)、质保期保障服务、备品备件发生等全部含税费用。</w:t>
      </w:r>
    </w:p>
    <w:p w14:paraId="23D3F0EE">
      <w:pPr>
        <w:pStyle w:val="29"/>
        <w:numPr>
          <w:ilvl w:val="0"/>
          <w:numId w:val="29"/>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rPr>
        <w:t>验收要求</w:t>
      </w:r>
    </w:p>
    <w:p w14:paraId="6244D015">
      <w:pPr>
        <w:pStyle w:val="29"/>
        <w:numPr>
          <w:ilvl w:val="0"/>
          <w:numId w:val="35"/>
        </w:numPr>
        <w:spacing w:line="360" w:lineRule="auto"/>
        <w:ind w:firstLineChars="0"/>
        <w:contextualSpacing/>
        <w:rPr>
          <w:rFonts w:hint="eastAsia" w:ascii="黑体" w:hAnsi="黑体" w:eastAsia="黑体"/>
          <w:iCs/>
          <w:color w:val="auto"/>
          <w:szCs w:val="21"/>
          <w:highlight w:val="none"/>
        </w:rPr>
      </w:pPr>
      <w:r>
        <w:rPr>
          <w:rFonts w:hint="eastAsia" w:ascii="黑体" w:hAnsi="黑体" w:eastAsia="黑体"/>
          <w:iCs/>
          <w:color w:val="auto"/>
          <w:szCs w:val="21"/>
          <w:highlight w:val="none"/>
        </w:rPr>
        <w:t>在合同设备安装调试完成并正常工作30天后，双方共同参加验收。验收标准包括但不限于：（1）设备各项技术参数及性能指标符合本合同附件约定的技术规格；（2）设备能够完成其设计功能，运行稳定无故障；（3）</w:t>
      </w:r>
      <w:r>
        <w:rPr>
          <w:rFonts w:hint="eastAsia" w:ascii="黑体" w:hAnsi="黑体" w:eastAsia="黑体"/>
          <w:iCs/>
          <w:color w:val="auto"/>
          <w:szCs w:val="21"/>
          <w:highlight w:val="none"/>
          <w:lang w:val="en-US" w:eastAsia="zh-CN"/>
        </w:rPr>
        <w:t>采购人</w:t>
      </w:r>
      <w:r>
        <w:rPr>
          <w:rFonts w:hint="eastAsia" w:ascii="黑体" w:hAnsi="黑体" w:eastAsia="黑体"/>
          <w:iCs/>
          <w:color w:val="auto"/>
          <w:szCs w:val="21"/>
          <w:highlight w:val="none"/>
        </w:rPr>
        <w:t>操作人员经培训后能够独立、熟练操作设备。</w:t>
      </w:r>
      <w:r>
        <w:rPr>
          <w:rFonts w:hint="eastAsia" w:ascii="黑体" w:hAnsi="黑体" w:eastAsia="黑体"/>
          <w:iCs/>
          <w:color w:val="auto"/>
          <w:szCs w:val="21"/>
          <w:highlight w:val="none"/>
          <w:lang w:val="en-US" w:eastAsia="zh-CN"/>
        </w:rPr>
        <w:t>采购人</w:t>
      </w:r>
      <w:r>
        <w:rPr>
          <w:rFonts w:hint="eastAsia" w:ascii="黑体" w:hAnsi="黑体" w:eastAsia="黑体"/>
          <w:iCs/>
          <w:color w:val="auto"/>
          <w:szCs w:val="21"/>
          <w:highlight w:val="none"/>
        </w:rPr>
        <w:t>有权根据上述标准判断设备是否达到临床使用满意效果，</w:t>
      </w:r>
      <w:r>
        <w:rPr>
          <w:rFonts w:hint="eastAsia" w:ascii="黑体" w:hAnsi="黑体" w:eastAsia="黑体"/>
          <w:iCs/>
          <w:color w:val="auto"/>
          <w:szCs w:val="21"/>
          <w:highlight w:val="none"/>
          <w:lang w:val="en-US" w:eastAsia="zh-CN"/>
        </w:rPr>
        <w:t>采购人</w:t>
      </w:r>
      <w:r>
        <w:rPr>
          <w:rFonts w:hint="eastAsia" w:ascii="黑体" w:hAnsi="黑体" w:eastAsia="黑体"/>
          <w:iCs/>
          <w:color w:val="auto"/>
          <w:szCs w:val="21"/>
          <w:highlight w:val="none"/>
        </w:rPr>
        <w:t>的验收结论为最终结论。</w:t>
      </w:r>
    </w:p>
    <w:p w14:paraId="200876F1">
      <w:pPr>
        <w:pStyle w:val="29"/>
        <w:numPr>
          <w:ilvl w:val="0"/>
          <w:numId w:val="35"/>
        </w:numPr>
        <w:spacing w:line="360" w:lineRule="auto"/>
        <w:ind w:firstLineChars="0"/>
        <w:contextualSpacing/>
        <w:rPr>
          <w:rFonts w:hint="eastAsia" w:ascii="黑体" w:hAnsi="黑体" w:eastAsia="黑体"/>
          <w:iCs/>
          <w:color w:val="auto"/>
          <w:szCs w:val="21"/>
          <w:highlight w:val="none"/>
        </w:rPr>
      </w:pPr>
      <w:r>
        <w:rPr>
          <w:rFonts w:hint="eastAsia" w:ascii="黑体" w:hAnsi="黑体" w:eastAsia="黑体"/>
          <w:iCs/>
          <w:color w:val="auto"/>
          <w:szCs w:val="21"/>
          <w:highlight w:val="none"/>
        </w:rPr>
        <w:t>验收按国家有关的规定、规范进行。验收时如发现所交付的设备有短装、次品、损坏或其他不符合本合同规定之情形者，由双方签署备忘录。此备忘录可用作补充、缺失和更换损坏部件的有效证据。由此产生的有关费用由</w:t>
      </w:r>
      <w:r>
        <w:rPr>
          <w:rFonts w:hint="eastAsia" w:ascii="黑体" w:hAnsi="黑体" w:eastAsia="黑体"/>
          <w:iCs/>
          <w:color w:val="auto"/>
          <w:szCs w:val="21"/>
          <w:highlight w:val="none"/>
          <w:lang w:val="en-US" w:eastAsia="zh-CN"/>
        </w:rPr>
        <w:t>中标人</w:t>
      </w:r>
      <w:r>
        <w:rPr>
          <w:rFonts w:hint="eastAsia" w:ascii="黑体" w:hAnsi="黑体" w:eastAsia="黑体"/>
          <w:iCs/>
          <w:color w:val="auto"/>
          <w:szCs w:val="21"/>
          <w:highlight w:val="none"/>
        </w:rPr>
        <w:t>承担。</w:t>
      </w:r>
    </w:p>
    <w:p w14:paraId="4A7DDE1C">
      <w:pPr>
        <w:pStyle w:val="29"/>
        <w:numPr>
          <w:ilvl w:val="0"/>
          <w:numId w:val="35"/>
        </w:numPr>
        <w:spacing w:line="360" w:lineRule="auto"/>
        <w:ind w:firstLineChars="0"/>
        <w:contextualSpacing/>
        <w:rPr>
          <w:rFonts w:hint="eastAsia" w:ascii="黑体" w:hAnsi="黑体" w:eastAsia="黑体"/>
          <w:iCs/>
          <w:color w:val="auto"/>
          <w:szCs w:val="21"/>
          <w:highlight w:val="none"/>
        </w:rPr>
      </w:pPr>
      <w:r>
        <w:rPr>
          <w:rFonts w:hint="eastAsia" w:ascii="黑体" w:hAnsi="黑体" w:eastAsia="黑体"/>
          <w:iCs/>
          <w:color w:val="auto"/>
          <w:szCs w:val="21"/>
          <w:highlight w:val="none"/>
        </w:rPr>
        <w:t>如果合同设备运输和安装调试过程中因事故造成货物短缺、损坏，</w:t>
      </w:r>
      <w:r>
        <w:rPr>
          <w:rFonts w:hint="eastAsia" w:ascii="黑体" w:hAnsi="黑体" w:eastAsia="黑体"/>
          <w:iCs/>
          <w:color w:val="auto"/>
          <w:szCs w:val="21"/>
          <w:highlight w:val="none"/>
          <w:lang w:val="en-US" w:eastAsia="zh-CN"/>
        </w:rPr>
        <w:t>中标人</w:t>
      </w:r>
      <w:r>
        <w:rPr>
          <w:rFonts w:hint="eastAsia" w:ascii="黑体" w:hAnsi="黑体" w:eastAsia="黑体"/>
          <w:iCs/>
          <w:color w:val="auto"/>
          <w:szCs w:val="21"/>
          <w:highlight w:val="none"/>
        </w:rPr>
        <w:t>应及时安排换装，以保证合同设备安装调试的成功完成。换货及相关费用由</w:t>
      </w:r>
      <w:r>
        <w:rPr>
          <w:rFonts w:hint="eastAsia" w:ascii="黑体" w:hAnsi="黑体" w:eastAsia="黑体"/>
          <w:iCs/>
          <w:color w:val="auto"/>
          <w:szCs w:val="21"/>
          <w:highlight w:val="none"/>
          <w:lang w:val="en-US" w:eastAsia="zh-CN"/>
        </w:rPr>
        <w:t>中标人</w:t>
      </w:r>
      <w:r>
        <w:rPr>
          <w:rFonts w:hint="eastAsia" w:ascii="黑体" w:hAnsi="黑体" w:eastAsia="黑体"/>
          <w:iCs/>
          <w:color w:val="auto"/>
          <w:szCs w:val="21"/>
          <w:highlight w:val="none"/>
        </w:rPr>
        <w:t>承担。</w:t>
      </w:r>
    </w:p>
    <w:p w14:paraId="6EE227AD">
      <w:pPr>
        <w:pStyle w:val="29"/>
        <w:numPr>
          <w:ilvl w:val="0"/>
          <w:numId w:val="35"/>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lang w:val="en-US" w:eastAsia="zh-CN"/>
        </w:rPr>
        <w:t>中标人</w:t>
      </w:r>
      <w:r>
        <w:rPr>
          <w:rFonts w:hint="eastAsia" w:ascii="黑体" w:hAnsi="黑体" w:eastAsia="黑体"/>
          <w:iCs/>
          <w:color w:val="auto"/>
          <w:szCs w:val="21"/>
          <w:highlight w:val="none"/>
        </w:rPr>
        <w:t>保证合同项下提供的货物不侵犯任何第三方的专利、商标或版权。否则，</w:t>
      </w:r>
      <w:r>
        <w:rPr>
          <w:rFonts w:hint="eastAsia" w:ascii="黑体" w:hAnsi="黑体" w:eastAsia="黑体"/>
          <w:iCs/>
          <w:color w:val="auto"/>
          <w:szCs w:val="21"/>
          <w:highlight w:val="none"/>
          <w:lang w:val="en-US" w:eastAsia="zh-CN"/>
        </w:rPr>
        <w:t>中标人</w:t>
      </w:r>
      <w:r>
        <w:rPr>
          <w:rFonts w:hint="eastAsia" w:ascii="黑体" w:hAnsi="黑体" w:eastAsia="黑体"/>
          <w:iCs/>
          <w:color w:val="auto"/>
          <w:szCs w:val="21"/>
          <w:highlight w:val="none"/>
        </w:rPr>
        <w:t>须承担对第三方的专利或版权的侵权责任并承担因此而发生的所有费用。</w:t>
      </w:r>
    </w:p>
    <w:p w14:paraId="2A4F8AE7">
      <w:pPr>
        <w:pStyle w:val="29"/>
        <w:numPr>
          <w:ilvl w:val="0"/>
          <w:numId w:val="27"/>
        </w:numPr>
        <w:spacing w:before="312" w:beforeLines="100" w:line="360" w:lineRule="auto"/>
        <w:ind w:left="499" w:hanging="499" w:firstLineChars="0"/>
        <w:contextualSpacing/>
        <w:rPr>
          <w:rFonts w:ascii="黑体" w:hAnsi="黑体" w:eastAsia="黑体"/>
          <w:b/>
          <w:color w:val="auto"/>
          <w:szCs w:val="21"/>
          <w:highlight w:val="none"/>
        </w:rPr>
      </w:pPr>
      <w:r>
        <w:rPr>
          <w:rFonts w:ascii="黑体" w:hAnsi="黑体" w:eastAsia="黑体"/>
          <w:b/>
          <w:color w:val="auto"/>
          <w:szCs w:val="21"/>
          <w:highlight w:val="none"/>
        </w:rPr>
        <w:t>技术要求</w:t>
      </w:r>
    </w:p>
    <w:p w14:paraId="201C0A50">
      <w:pPr>
        <w:pStyle w:val="29"/>
        <w:numPr>
          <w:ilvl w:val="0"/>
          <w:numId w:val="36"/>
        </w:numPr>
        <w:spacing w:line="360" w:lineRule="auto"/>
        <w:ind w:firstLineChars="0"/>
        <w:contextualSpacing/>
        <w:rPr>
          <w:rFonts w:ascii="黑体" w:hAnsi="黑体" w:eastAsia="黑体"/>
          <w:color w:val="auto"/>
          <w:szCs w:val="21"/>
          <w:highlight w:val="none"/>
        </w:rPr>
      </w:pPr>
      <w:r>
        <w:rPr>
          <w:rFonts w:ascii="黑体" w:hAnsi="黑体" w:eastAsia="黑体"/>
          <w:color w:val="auto"/>
          <w:szCs w:val="21"/>
          <w:highlight w:val="none"/>
        </w:rPr>
        <w:t>基本要求</w:t>
      </w:r>
    </w:p>
    <w:p w14:paraId="21751C35">
      <w:pPr>
        <w:pStyle w:val="29"/>
        <w:numPr>
          <w:ilvl w:val="0"/>
          <w:numId w:val="37"/>
        </w:numPr>
        <w:spacing w:line="360" w:lineRule="auto"/>
        <w:ind w:firstLineChars="0"/>
        <w:contextualSpacing/>
        <w:rPr>
          <w:rFonts w:ascii="黑体" w:hAnsi="黑体" w:eastAsia="黑体"/>
          <w:color w:val="auto"/>
          <w:szCs w:val="21"/>
          <w:highlight w:val="none"/>
        </w:rPr>
      </w:pPr>
      <w:r>
        <w:rPr>
          <w:rFonts w:hint="eastAsia" w:ascii="黑体" w:hAnsi="黑体" w:eastAsia="黑体"/>
          <w:color w:val="auto"/>
          <w:szCs w:val="21"/>
          <w:highlight w:val="none"/>
        </w:rPr>
        <w:t>质量标准：符合国家标准、行业标准、地方标准或者其他标准、规范。</w:t>
      </w:r>
    </w:p>
    <w:p w14:paraId="6E5286FB">
      <w:pPr>
        <w:pStyle w:val="29"/>
        <w:numPr>
          <w:ilvl w:val="0"/>
          <w:numId w:val="36"/>
        </w:numPr>
        <w:spacing w:line="360" w:lineRule="auto"/>
        <w:ind w:firstLineChars="0"/>
        <w:contextualSpacing/>
        <w:rPr>
          <w:rFonts w:ascii="黑体" w:hAnsi="黑体" w:eastAsia="黑体"/>
          <w:color w:val="auto"/>
          <w:szCs w:val="21"/>
          <w:highlight w:val="none"/>
        </w:rPr>
      </w:pPr>
      <w:r>
        <w:rPr>
          <w:rFonts w:hint="eastAsia" w:ascii="黑体" w:hAnsi="黑体" w:eastAsia="黑体"/>
          <w:color w:val="auto"/>
          <w:szCs w:val="21"/>
          <w:highlight w:val="none"/>
          <w:lang w:val="en-US" w:eastAsia="zh-CN"/>
        </w:rPr>
        <w:t>货物技术</w:t>
      </w:r>
      <w:r>
        <w:rPr>
          <w:rFonts w:ascii="黑体" w:hAnsi="黑体" w:eastAsia="黑体"/>
          <w:color w:val="auto"/>
          <w:szCs w:val="21"/>
          <w:highlight w:val="none"/>
        </w:rPr>
        <w:t>要求</w:t>
      </w:r>
    </w:p>
    <w:p w14:paraId="541BC83C">
      <w:pPr>
        <w:pStyle w:val="29"/>
        <w:numPr>
          <w:ilvl w:val="0"/>
          <w:numId w:val="38"/>
        </w:numPr>
        <w:spacing w:line="360" w:lineRule="auto"/>
        <w:ind w:left="425" w:leftChars="0" w:hanging="425" w:firstLineChars="0"/>
        <w:contextualSpacing/>
        <w:rPr>
          <w:rFonts w:hint="default" w:ascii="黑体" w:hAnsi="黑体" w:eastAsia="黑体"/>
          <w:b/>
          <w:bCs/>
          <w:color w:val="auto"/>
          <w:szCs w:val="21"/>
          <w:highlight w:val="none"/>
          <w:lang w:val="en-US" w:eastAsia="zh-CN"/>
        </w:rPr>
      </w:pPr>
      <w:r>
        <w:rPr>
          <w:rFonts w:hint="eastAsia" w:ascii="黑体" w:hAnsi="黑体" w:eastAsia="黑体"/>
          <w:b/>
          <w:bCs/>
          <w:color w:val="auto"/>
          <w:szCs w:val="21"/>
          <w:highlight w:val="none"/>
          <w:lang w:val="en-US" w:eastAsia="zh-CN"/>
        </w:rPr>
        <w:t>硬性电子输尿管镜系统</w:t>
      </w:r>
    </w:p>
    <w:p w14:paraId="2D045674">
      <w:pPr>
        <w:pStyle w:val="29"/>
        <w:numPr>
          <w:ilvl w:val="0"/>
          <w:numId w:val="39"/>
        </w:numPr>
        <w:spacing w:line="360" w:lineRule="auto"/>
        <w:ind w:left="425" w:leftChars="0" w:hanging="425"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硬性电子输尿管肾镜（电子成人输尿管镜）1套</w:t>
      </w:r>
    </w:p>
    <w:p w14:paraId="6A94C137">
      <w:pPr>
        <w:pStyle w:val="29"/>
        <w:numPr>
          <w:ilvl w:val="1"/>
          <w:numId w:val="40"/>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成像原理</w:t>
      </w:r>
      <w:r>
        <w:rPr>
          <w:rFonts w:hint="eastAsia" w:ascii="黑体" w:hAnsi="黑体" w:eastAsia="黑体"/>
          <w:b w:val="0"/>
          <w:bCs w:val="0"/>
          <w:color w:val="auto"/>
          <w:szCs w:val="21"/>
          <w:highlight w:val="none"/>
          <w:lang w:val="en-US" w:eastAsia="zh-CN"/>
        </w:rPr>
        <w:t>：</w:t>
      </w:r>
      <w:r>
        <w:rPr>
          <w:rFonts w:hint="default" w:ascii="黑体" w:hAnsi="黑体" w:eastAsia="黑体"/>
          <w:b w:val="0"/>
          <w:bCs w:val="0"/>
          <w:color w:val="auto"/>
          <w:szCs w:val="21"/>
          <w:highlight w:val="none"/>
          <w:lang w:val="en-US" w:eastAsia="zh-CN"/>
        </w:rPr>
        <w:t>电子cmos技术</w:t>
      </w:r>
      <w:r>
        <w:rPr>
          <w:rFonts w:hint="eastAsia" w:ascii="黑体" w:hAnsi="黑体" w:eastAsia="黑体"/>
          <w:b w:val="0"/>
          <w:bCs w:val="0"/>
          <w:color w:val="auto"/>
          <w:szCs w:val="21"/>
          <w:highlight w:val="none"/>
          <w:lang w:val="en-US" w:eastAsia="zh-CN"/>
        </w:rPr>
        <w:t>；</w:t>
      </w:r>
    </w:p>
    <w:p w14:paraId="77339144">
      <w:pPr>
        <w:pStyle w:val="29"/>
        <w:numPr>
          <w:ilvl w:val="1"/>
          <w:numId w:val="40"/>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最大插入部外径≤9.8Fr</w:t>
      </w:r>
      <w:r>
        <w:rPr>
          <w:rFonts w:hint="eastAsia" w:ascii="黑体" w:hAnsi="黑体" w:eastAsia="黑体"/>
          <w:b w:val="0"/>
          <w:bCs w:val="0"/>
          <w:color w:val="auto"/>
          <w:szCs w:val="21"/>
          <w:highlight w:val="none"/>
          <w:lang w:val="en-US" w:eastAsia="zh-CN"/>
        </w:rPr>
        <w:t>；</w:t>
      </w:r>
      <w:r>
        <w:rPr>
          <w:rFonts w:hint="default" w:ascii="黑体" w:hAnsi="黑体" w:eastAsia="黑体"/>
          <w:b w:val="0"/>
          <w:bCs w:val="0"/>
          <w:color w:val="auto"/>
          <w:szCs w:val="21"/>
          <w:highlight w:val="none"/>
          <w:lang w:val="en-US" w:eastAsia="zh-CN"/>
        </w:rPr>
        <w:t>最小插入部外径≤8.0Fr</w:t>
      </w:r>
      <w:r>
        <w:rPr>
          <w:rFonts w:hint="eastAsia" w:ascii="黑体" w:hAnsi="黑体" w:eastAsia="黑体"/>
          <w:b w:val="0"/>
          <w:bCs w:val="0"/>
          <w:color w:val="auto"/>
          <w:szCs w:val="21"/>
          <w:highlight w:val="none"/>
          <w:lang w:val="en-US" w:eastAsia="zh-CN"/>
        </w:rPr>
        <w:t>；</w:t>
      </w:r>
    </w:p>
    <w:p w14:paraId="61BBA672">
      <w:pPr>
        <w:pStyle w:val="29"/>
        <w:numPr>
          <w:ilvl w:val="1"/>
          <w:numId w:val="40"/>
        </w:numPr>
        <w:spacing w:line="360" w:lineRule="auto"/>
        <w:ind w:left="567" w:leftChars="0" w:hanging="567" w:firstLineChars="0"/>
        <w:contextualSpacing/>
        <w:rPr>
          <w:rFonts w:hint="default" w:ascii="黑体" w:hAnsi="黑体" w:eastAsia="黑体"/>
          <w:b/>
          <w:bCs/>
          <w:color w:val="auto"/>
          <w:szCs w:val="21"/>
          <w:highlight w:val="none"/>
          <w:lang w:val="en-US" w:eastAsia="zh-CN"/>
        </w:rPr>
      </w:pPr>
      <w:r>
        <w:rPr>
          <w:rFonts w:hint="default" w:ascii="黑体" w:hAnsi="黑体" w:eastAsia="黑体"/>
          <w:b/>
          <w:bCs/>
          <w:color w:val="auto"/>
          <w:szCs w:val="21"/>
          <w:highlight w:val="none"/>
          <w:lang w:val="en-US" w:eastAsia="zh-CN"/>
        </w:rPr>
        <w:t>▲视向角</w:t>
      </w:r>
      <w:r>
        <w:rPr>
          <w:rFonts w:hint="eastAsia" w:ascii="黑体" w:hAnsi="黑体" w:eastAsia="黑体"/>
          <w:b/>
          <w:bCs/>
          <w:color w:val="auto"/>
          <w:szCs w:val="21"/>
          <w:highlight w:val="none"/>
          <w:lang w:val="en-US" w:eastAsia="zh-CN"/>
        </w:rPr>
        <w:t>：</w:t>
      </w:r>
      <w:r>
        <w:rPr>
          <w:rFonts w:hint="default" w:ascii="黑体" w:hAnsi="黑体" w:eastAsia="黑体"/>
          <w:b/>
          <w:bCs/>
          <w:color w:val="auto"/>
          <w:szCs w:val="21"/>
          <w:highlight w:val="none"/>
          <w:lang w:val="en-US" w:eastAsia="zh-CN"/>
        </w:rPr>
        <w:t>0°，方便直视下观察</w:t>
      </w:r>
      <w:r>
        <w:rPr>
          <w:rFonts w:hint="eastAsia" w:ascii="黑体" w:hAnsi="黑体" w:eastAsia="黑体"/>
          <w:b/>
          <w:bCs/>
          <w:color w:val="auto"/>
          <w:szCs w:val="21"/>
          <w:highlight w:val="none"/>
          <w:lang w:val="en-US" w:eastAsia="zh-CN"/>
        </w:rPr>
        <w:t>；</w:t>
      </w:r>
    </w:p>
    <w:p w14:paraId="089DFC4C">
      <w:pPr>
        <w:pStyle w:val="29"/>
        <w:numPr>
          <w:ilvl w:val="1"/>
          <w:numId w:val="40"/>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视场角≥110°</w:t>
      </w:r>
      <w:r>
        <w:rPr>
          <w:rFonts w:hint="eastAsia" w:ascii="黑体" w:hAnsi="黑体" w:eastAsia="黑体"/>
          <w:b w:val="0"/>
          <w:bCs w:val="0"/>
          <w:color w:val="auto"/>
          <w:szCs w:val="21"/>
          <w:highlight w:val="none"/>
          <w:lang w:val="en-US" w:eastAsia="zh-CN"/>
        </w:rPr>
        <w:t>；</w:t>
      </w:r>
    </w:p>
    <w:p w14:paraId="6906CD4D">
      <w:pPr>
        <w:pStyle w:val="29"/>
        <w:numPr>
          <w:ilvl w:val="1"/>
          <w:numId w:val="40"/>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有效景深范围最小需包含2-50mm</w:t>
      </w:r>
      <w:r>
        <w:rPr>
          <w:rFonts w:hint="eastAsia" w:ascii="黑体" w:hAnsi="黑体" w:eastAsia="黑体"/>
          <w:b w:val="0"/>
          <w:bCs w:val="0"/>
          <w:color w:val="auto"/>
          <w:szCs w:val="21"/>
          <w:highlight w:val="none"/>
          <w:lang w:val="en-US" w:eastAsia="zh-CN"/>
        </w:rPr>
        <w:t>；</w:t>
      </w:r>
    </w:p>
    <w:p w14:paraId="02E11CBB">
      <w:pPr>
        <w:pStyle w:val="29"/>
        <w:numPr>
          <w:ilvl w:val="1"/>
          <w:numId w:val="40"/>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器械工作通道≥5Fr</w:t>
      </w:r>
      <w:r>
        <w:rPr>
          <w:rFonts w:hint="eastAsia" w:ascii="黑体" w:hAnsi="黑体" w:eastAsia="黑体"/>
          <w:b w:val="0"/>
          <w:bCs w:val="0"/>
          <w:color w:val="auto"/>
          <w:szCs w:val="21"/>
          <w:highlight w:val="none"/>
          <w:lang w:val="en-US" w:eastAsia="zh-CN"/>
        </w:rPr>
        <w:t>；</w:t>
      </w:r>
    </w:p>
    <w:p w14:paraId="03A6C3CF">
      <w:pPr>
        <w:pStyle w:val="29"/>
        <w:numPr>
          <w:ilvl w:val="1"/>
          <w:numId w:val="40"/>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工作长度≥430mm</w:t>
      </w:r>
      <w:r>
        <w:rPr>
          <w:rFonts w:hint="eastAsia" w:ascii="黑体" w:hAnsi="黑体" w:eastAsia="黑体"/>
          <w:b w:val="0"/>
          <w:bCs w:val="0"/>
          <w:color w:val="auto"/>
          <w:szCs w:val="21"/>
          <w:highlight w:val="none"/>
          <w:lang w:val="en-US" w:eastAsia="zh-CN"/>
        </w:rPr>
        <w:t>；</w:t>
      </w:r>
    </w:p>
    <w:p w14:paraId="5BD8BB2A">
      <w:pPr>
        <w:pStyle w:val="29"/>
        <w:numPr>
          <w:ilvl w:val="1"/>
          <w:numId w:val="40"/>
        </w:numPr>
        <w:spacing w:line="360" w:lineRule="auto"/>
        <w:ind w:left="567" w:leftChars="0" w:hanging="567" w:firstLineChars="0"/>
        <w:contextualSpacing/>
        <w:rPr>
          <w:rFonts w:hint="default" w:ascii="黑体" w:hAnsi="黑体" w:eastAsia="黑体"/>
          <w:b/>
          <w:bCs/>
          <w:color w:val="auto"/>
          <w:szCs w:val="21"/>
          <w:highlight w:val="none"/>
          <w:lang w:val="en-US" w:eastAsia="zh-CN"/>
        </w:rPr>
      </w:pPr>
      <w:r>
        <w:rPr>
          <w:rFonts w:hint="default" w:ascii="黑体" w:hAnsi="黑体" w:eastAsia="黑体"/>
          <w:b/>
          <w:bCs/>
          <w:color w:val="auto"/>
          <w:szCs w:val="21"/>
          <w:highlight w:val="none"/>
          <w:lang w:val="en-US" w:eastAsia="zh-CN"/>
        </w:rPr>
        <w:t>▲分辨率≥16LP/MM</w:t>
      </w:r>
      <w:r>
        <w:rPr>
          <w:rFonts w:hint="eastAsia" w:ascii="黑体" w:hAnsi="黑体" w:eastAsia="黑体"/>
          <w:b/>
          <w:bCs/>
          <w:color w:val="auto"/>
          <w:szCs w:val="21"/>
          <w:highlight w:val="none"/>
          <w:lang w:val="en-US" w:eastAsia="zh-CN"/>
        </w:rPr>
        <w:t>；</w:t>
      </w:r>
    </w:p>
    <w:p w14:paraId="1E62AD7D">
      <w:pPr>
        <w:pStyle w:val="29"/>
        <w:numPr>
          <w:ilvl w:val="1"/>
          <w:numId w:val="40"/>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 xml:space="preserve">镜体进液防护程度不低于IPX7 </w:t>
      </w:r>
      <w:r>
        <w:rPr>
          <w:rFonts w:hint="eastAsia" w:ascii="黑体" w:hAnsi="黑体" w:eastAsia="黑体"/>
          <w:b w:val="0"/>
          <w:bCs w:val="0"/>
          <w:color w:val="auto"/>
          <w:szCs w:val="21"/>
          <w:highlight w:val="none"/>
          <w:lang w:val="en-US" w:eastAsia="zh-CN"/>
        </w:rPr>
        <w:t>；</w:t>
      </w:r>
    </w:p>
    <w:p w14:paraId="544ADC14">
      <w:pPr>
        <w:pStyle w:val="29"/>
        <w:numPr>
          <w:ilvl w:val="1"/>
          <w:numId w:val="40"/>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灭菌方式</w:t>
      </w:r>
      <w:r>
        <w:rPr>
          <w:rFonts w:hint="eastAsia" w:ascii="黑体" w:hAnsi="黑体" w:eastAsia="黑体"/>
          <w:b w:val="0"/>
          <w:bCs w:val="0"/>
          <w:color w:val="auto"/>
          <w:szCs w:val="21"/>
          <w:highlight w:val="none"/>
          <w:lang w:val="en-US" w:eastAsia="zh-CN"/>
        </w:rPr>
        <w:t>：</w:t>
      </w:r>
      <w:r>
        <w:rPr>
          <w:rFonts w:hint="default" w:ascii="黑体" w:hAnsi="黑体" w:eastAsia="黑体"/>
          <w:b w:val="0"/>
          <w:bCs w:val="0"/>
          <w:color w:val="auto"/>
          <w:szCs w:val="21"/>
          <w:highlight w:val="none"/>
          <w:lang w:val="en-US" w:eastAsia="zh-CN"/>
        </w:rPr>
        <w:t>低温等离子</w:t>
      </w:r>
      <w:r>
        <w:rPr>
          <w:rFonts w:hint="eastAsia" w:ascii="黑体" w:hAnsi="黑体" w:eastAsia="黑体"/>
          <w:b w:val="0"/>
          <w:bCs w:val="0"/>
          <w:color w:val="auto"/>
          <w:szCs w:val="21"/>
          <w:highlight w:val="none"/>
          <w:lang w:val="en-US" w:eastAsia="zh-CN"/>
        </w:rPr>
        <w:t>；</w:t>
      </w:r>
    </w:p>
    <w:p w14:paraId="14C79568">
      <w:pPr>
        <w:pStyle w:val="29"/>
        <w:numPr>
          <w:ilvl w:val="1"/>
          <w:numId w:val="40"/>
        </w:numPr>
        <w:spacing w:line="360" w:lineRule="auto"/>
        <w:ind w:left="567" w:leftChars="0" w:hanging="567" w:firstLineChars="0"/>
        <w:contextualSpacing/>
        <w:rPr>
          <w:rFonts w:hint="default" w:ascii="黑体" w:hAnsi="黑体" w:eastAsia="黑体"/>
          <w:b/>
          <w:bCs/>
          <w:color w:val="auto"/>
          <w:szCs w:val="21"/>
          <w:highlight w:val="none"/>
          <w:lang w:val="en-US" w:eastAsia="zh-CN"/>
        </w:rPr>
      </w:pPr>
      <w:r>
        <w:rPr>
          <w:rFonts w:hint="default" w:ascii="黑体" w:hAnsi="黑体" w:eastAsia="黑体"/>
          <w:b/>
          <w:bCs/>
          <w:color w:val="auto"/>
          <w:szCs w:val="21"/>
          <w:highlight w:val="none"/>
          <w:lang w:val="en-US" w:eastAsia="zh-CN"/>
        </w:rPr>
        <w:t>▲产品使用年限不低于6年</w:t>
      </w:r>
      <w:r>
        <w:rPr>
          <w:rFonts w:hint="eastAsia" w:ascii="黑体" w:hAnsi="黑体" w:eastAsia="黑体"/>
          <w:b/>
          <w:bCs/>
          <w:color w:val="auto"/>
          <w:szCs w:val="21"/>
          <w:highlight w:val="none"/>
          <w:lang w:val="en-US" w:eastAsia="zh-CN"/>
        </w:rPr>
        <w:t>；</w:t>
      </w:r>
    </w:p>
    <w:p w14:paraId="5AC585F5">
      <w:pPr>
        <w:pStyle w:val="29"/>
        <w:numPr>
          <w:ilvl w:val="1"/>
          <w:numId w:val="40"/>
        </w:numPr>
        <w:spacing w:line="360" w:lineRule="auto"/>
        <w:ind w:left="567" w:leftChars="0" w:hanging="567" w:firstLineChars="0"/>
        <w:contextualSpacing/>
        <w:rPr>
          <w:rFonts w:hint="default" w:ascii="黑体" w:hAnsi="黑体" w:eastAsia="黑体"/>
          <w:b/>
          <w:bCs/>
          <w:color w:val="auto"/>
          <w:szCs w:val="21"/>
          <w:highlight w:val="none"/>
          <w:lang w:val="en-US" w:eastAsia="zh-CN"/>
        </w:rPr>
      </w:pPr>
      <w:r>
        <w:rPr>
          <w:rFonts w:hint="default" w:ascii="黑体" w:hAnsi="黑体" w:eastAsia="黑体"/>
          <w:b/>
          <w:bCs/>
          <w:color w:val="auto"/>
          <w:szCs w:val="21"/>
          <w:highlight w:val="none"/>
          <w:lang w:val="en-US" w:eastAsia="zh-CN"/>
        </w:rPr>
        <w:t>▲镜体与视频线连接方式采用分体式设计，减少消毒损耗</w:t>
      </w:r>
      <w:r>
        <w:rPr>
          <w:rFonts w:hint="eastAsia" w:ascii="黑体" w:hAnsi="黑体" w:eastAsia="黑体"/>
          <w:b/>
          <w:bCs/>
          <w:color w:val="auto"/>
          <w:szCs w:val="21"/>
          <w:highlight w:val="none"/>
          <w:lang w:val="en-US" w:eastAsia="zh-CN"/>
        </w:rPr>
        <w:t>；</w:t>
      </w:r>
    </w:p>
    <w:p w14:paraId="19774AE4">
      <w:pPr>
        <w:pStyle w:val="29"/>
        <w:numPr>
          <w:ilvl w:val="0"/>
          <w:numId w:val="39"/>
        </w:numPr>
        <w:spacing w:line="360" w:lineRule="auto"/>
        <w:ind w:left="425" w:leftChars="0" w:hanging="425"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硬性电子输尿管肾镜（电子小儿输尿管镜）1套</w:t>
      </w:r>
      <w:r>
        <w:rPr>
          <w:rFonts w:hint="eastAsia" w:ascii="黑体" w:hAnsi="黑体" w:eastAsia="黑体"/>
          <w:b w:val="0"/>
          <w:bCs w:val="0"/>
          <w:color w:val="auto"/>
          <w:szCs w:val="21"/>
          <w:highlight w:val="none"/>
          <w:lang w:val="en-US" w:eastAsia="zh-CN"/>
        </w:rPr>
        <w:t>；</w:t>
      </w:r>
    </w:p>
    <w:p w14:paraId="72CB5BD2">
      <w:pPr>
        <w:pStyle w:val="29"/>
        <w:numPr>
          <w:ilvl w:val="1"/>
          <w:numId w:val="41"/>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成像原理</w:t>
      </w:r>
      <w:r>
        <w:rPr>
          <w:rFonts w:hint="eastAsia" w:ascii="黑体" w:hAnsi="黑体" w:eastAsia="黑体"/>
          <w:b w:val="0"/>
          <w:bCs w:val="0"/>
          <w:color w:val="auto"/>
          <w:szCs w:val="21"/>
          <w:highlight w:val="none"/>
          <w:lang w:val="en-US" w:eastAsia="zh-CN"/>
        </w:rPr>
        <w:t>：</w:t>
      </w:r>
      <w:r>
        <w:rPr>
          <w:rFonts w:hint="default" w:ascii="黑体" w:hAnsi="黑体" w:eastAsia="黑体"/>
          <w:b w:val="0"/>
          <w:bCs w:val="0"/>
          <w:color w:val="auto"/>
          <w:szCs w:val="21"/>
          <w:highlight w:val="none"/>
          <w:lang w:val="en-US" w:eastAsia="zh-CN"/>
        </w:rPr>
        <w:t>电子cmos技术</w:t>
      </w:r>
      <w:r>
        <w:rPr>
          <w:rFonts w:hint="eastAsia" w:ascii="黑体" w:hAnsi="黑体" w:eastAsia="黑体"/>
          <w:b w:val="0"/>
          <w:bCs w:val="0"/>
          <w:color w:val="auto"/>
          <w:szCs w:val="21"/>
          <w:highlight w:val="none"/>
          <w:lang w:val="en-US" w:eastAsia="zh-CN"/>
        </w:rPr>
        <w:t>；</w:t>
      </w:r>
    </w:p>
    <w:p w14:paraId="708ECA9C">
      <w:pPr>
        <w:pStyle w:val="29"/>
        <w:numPr>
          <w:ilvl w:val="1"/>
          <w:numId w:val="41"/>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最大插入部外径≤7.5Fr</w:t>
      </w:r>
      <w:r>
        <w:rPr>
          <w:rFonts w:hint="eastAsia" w:ascii="黑体" w:hAnsi="黑体" w:eastAsia="黑体"/>
          <w:b w:val="0"/>
          <w:bCs w:val="0"/>
          <w:color w:val="auto"/>
          <w:szCs w:val="21"/>
          <w:highlight w:val="none"/>
          <w:lang w:val="en-US" w:eastAsia="zh-CN"/>
        </w:rPr>
        <w:t>；</w:t>
      </w:r>
      <w:r>
        <w:rPr>
          <w:rFonts w:hint="default" w:ascii="黑体" w:hAnsi="黑体" w:eastAsia="黑体"/>
          <w:b w:val="0"/>
          <w:bCs w:val="0"/>
          <w:color w:val="auto"/>
          <w:szCs w:val="21"/>
          <w:highlight w:val="none"/>
          <w:lang w:val="en-US" w:eastAsia="zh-CN"/>
        </w:rPr>
        <w:t>最小插入部外径≤6.0Fr</w:t>
      </w:r>
      <w:r>
        <w:rPr>
          <w:rFonts w:hint="eastAsia" w:ascii="黑体" w:hAnsi="黑体" w:eastAsia="黑体"/>
          <w:b w:val="0"/>
          <w:bCs w:val="0"/>
          <w:color w:val="auto"/>
          <w:szCs w:val="21"/>
          <w:highlight w:val="none"/>
          <w:lang w:val="en-US" w:eastAsia="zh-CN"/>
        </w:rPr>
        <w:t>；</w:t>
      </w:r>
    </w:p>
    <w:p w14:paraId="64BF4DCB">
      <w:pPr>
        <w:pStyle w:val="29"/>
        <w:numPr>
          <w:ilvl w:val="1"/>
          <w:numId w:val="41"/>
        </w:numPr>
        <w:spacing w:line="360" w:lineRule="auto"/>
        <w:ind w:left="567" w:leftChars="0" w:hanging="567" w:firstLineChars="0"/>
        <w:contextualSpacing/>
        <w:rPr>
          <w:rFonts w:hint="default" w:ascii="黑体" w:hAnsi="黑体" w:eastAsia="黑体"/>
          <w:b/>
          <w:bCs/>
          <w:color w:val="auto"/>
          <w:szCs w:val="21"/>
          <w:highlight w:val="none"/>
          <w:lang w:val="en-US" w:eastAsia="zh-CN"/>
        </w:rPr>
      </w:pPr>
      <w:r>
        <w:rPr>
          <w:rFonts w:hint="default" w:ascii="黑体" w:hAnsi="黑体" w:eastAsia="黑体"/>
          <w:b/>
          <w:bCs/>
          <w:color w:val="auto"/>
          <w:szCs w:val="21"/>
          <w:highlight w:val="none"/>
          <w:lang w:val="en-US" w:eastAsia="zh-CN"/>
        </w:rPr>
        <w:t>▲视向角</w:t>
      </w:r>
      <w:r>
        <w:rPr>
          <w:rFonts w:hint="eastAsia" w:ascii="黑体" w:hAnsi="黑体" w:eastAsia="黑体"/>
          <w:b/>
          <w:bCs/>
          <w:color w:val="auto"/>
          <w:szCs w:val="21"/>
          <w:highlight w:val="none"/>
          <w:lang w:val="en-US" w:eastAsia="zh-CN"/>
        </w:rPr>
        <w:t>：</w:t>
      </w:r>
      <w:r>
        <w:rPr>
          <w:rFonts w:hint="default" w:ascii="黑体" w:hAnsi="黑体" w:eastAsia="黑体"/>
          <w:b/>
          <w:bCs/>
          <w:color w:val="auto"/>
          <w:szCs w:val="21"/>
          <w:highlight w:val="none"/>
          <w:lang w:val="en-US" w:eastAsia="zh-CN"/>
        </w:rPr>
        <w:t>0°，方便直视下观察</w:t>
      </w:r>
      <w:r>
        <w:rPr>
          <w:rFonts w:hint="eastAsia" w:ascii="黑体" w:hAnsi="黑体" w:eastAsia="黑体"/>
          <w:b/>
          <w:bCs/>
          <w:color w:val="auto"/>
          <w:szCs w:val="21"/>
          <w:highlight w:val="none"/>
          <w:lang w:val="en-US" w:eastAsia="zh-CN"/>
        </w:rPr>
        <w:t>；</w:t>
      </w:r>
    </w:p>
    <w:p w14:paraId="47C63F69">
      <w:pPr>
        <w:pStyle w:val="29"/>
        <w:numPr>
          <w:ilvl w:val="1"/>
          <w:numId w:val="41"/>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视场角≥110°</w:t>
      </w:r>
      <w:r>
        <w:rPr>
          <w:rFonts w:hint="eastAsia" w:ascii="黑体" w:hAnsi="黑体" w:eastAsia="黑体"/>
          <w:b w:val="0"/>
          <w:bCs w:val="0"/>
          <w:color w:val="auto"/>
          <w:szCs w:val="21"/>
          <w:highlight w:val="none"/>
          <w:lang w:val="en-US" w:eastAsia="zh-CN"/>
        </w:rPr>
        <w:t>；</w:t>
      </w:r>
    </w:p>
    <w:p w14:paraId="169CE9A3">
      <w:pPr>
        <w:pStyle w:val="29"/>
        <w:numPr>
          <w:ilvl w:val="1"/>
          <w:numId w:val="41"/>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有效景深范围最小需包含2-50mm</w:t>
      </w:r>
      <w:r>
        <w:rPr>
          <w:rFonts w:hint="eastAsia" w:ascii="黑体" w:hAnsi="黑体" w:eastAsia="黑体"/>
          <w:b w:val="0"/>
          <w:bCs w:val="0"/>
          <w:color w:val="auto"/>
          <w:szCs w:val="21"/>
          <w:highlight w:val="none"/>
          <w:lang w:val="en-US" w:eastAsia="zh-CN"/>
        </w:rPr>
        <w:t>；</w:t>
      </w:r>
    </w:p>
    <w:p w14:paraId="1CF3CBCE">
      <w:pPr>
        <w:pStyle w:val="29"/>
        <w:numPr>
          <w:ilvl w:val="1"/>
          <w:numId w:val="41"/>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器械工作通道≤4Fr</w:t>
      </w:r>
      <w:r>
        <w:rPr>
          <w:rFonts w:hint="eastAsia" w:ascii="黑体" w:hAnsi="黑体" w:eastAsia="黑体"/>
          <w:b w:val="0"/>
          <w:bCs w:val="0"/>
          <w:color w:val="auto"/>
          <w:szCs w:val="21"/>
          <w:highlight w:val="none"/>
          <w:lang w:val="en-US" w:eastAsia="zh-CN"/>
        </w:rPr>
        <w:t>；</w:t>
      </w:r>
    </w:p>
    <w:p w14:paraId="5617227C">
      <w:pPr>
        <w:pStyle w:val="29"/>
        <w:numPr>
          <w:ilvl w:val="1"/>
          <w:numId w:val="41"/>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工作长度≥430mm</w:t>
      </w:r>
      <w:r>
        <w:rPr>
          <w:rFonts w:hint="eastAsia" w:ascii="黑体" w:hAnsi="黑体" w:eastAsia="黑体"/>
          <w:b w:val="0"/>
          <w:bCs w:val="0"/>
          <w:color w:val="auto"/>
          <w:szCs w:val="21"/>
          <w:highlight w:val="none"/>
          <w:lang w:val="en-US" w:eastAsia="zh-CN"/>
        </w:rPr>
        <w:t>；</w:t>
      </w:r>
    </w:p>
    <w:p w14:paraId="3B978948">
      <w:pPr>
        <w:pStyle w:val="29"/>
        <w:numPr>
          <w:ilvl w:val="1"/>
          <w:numId w:val="41"/>
        </w:numPr>
        <w:spacing w:line="360" w:lineRule="auto"/>
        <w:ind w:left="567" w:leftChars="0" w:hanging="567" w:firstLineChars="0"/>
        <w:contextualSpacing/>
        <w:rPr>
          <w:rFonts w:hint="default" w:ascii="黑体" w:hAnsi="黑体" w:eastAsia="黑体"/>
          <w:b/>
          <w:bCs/>
          <w:color w:val="auto"/>
          <w:szCs w:val="21"/>
          <w:highlight w:val="none"/>
          <w:lang w:val="en-US" w:eastAsia="zh-CN"/>
        </w:rPr>
      </w:pPr>
      <w:r>
        <w:rPr>
          <w:rFonts w:hint="default" w:ascii="黑体" w:hAnsi="黑体" w:eastAsia="黑体"/>
          <w:b/>
          <w:bCs/>
          <w:color w:val="auto"/>
          <w:szCs w:val="21"/>
          <w:highlight w:val="none"/>
          <w:lang w:val="en-US" w:eastAsia="zh-CN"/>
        </w:rPr>
        <w:t>▲分辨率≥16LP/MM</w:t>
      </w:r>
      <w:r>
        <w:rPr>
          <w:rFonts w:hint="eastAsia" w:ascii="黑体" w:hAnsi="黑体" w:eastAsia="黑体"/>
          <w:b/>
          <w:bCs/>
          <w:color w:val="auto"/>
          <w:szCs w:val="21"/>
          <w:highlight w:val="none"/>
          <w:lang w:val="en-US" w:eastAsia="zh-CN"/>
        </w:rPr>
        <w:t>；</w:t>
      </w:r>
    </w:p>
    <w:p w14:paraId="572D88E0">
      <w:pPr>
        <w:pStyle w:val="29"/>
        <w:numPr>
          <w:ilvl w:val="1"/>
          <w:numId w:val="41"/>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镜体进液防护程度不低于IPX7</w:t>
      </w:r>
      <w:r>
        <w:rPr>
          <w:rFonts w:hint="eastAsia" w:ascii="黑体" w:hAnsi="黑体" w:eastAsia="黑体"/>
          <w:b w:val="0"/>
          <w:bCs w:val="0"/>
          <w:color w:val="auto"/>
          <w:szCs w:val="21"/>
          <w:highlight w:val="none"/>
          <w:lang w:val="en-US" w:eastAsia="zh-CN"/>
        </w:rPr>
        <w:t>；</w:t>
      </w:r>
      <w:r>
        <w:rPr>
          <w:rFonts w:hint="default" w:ascii="黑体" w:hAnsi="黑体" w:eastAsia="黑体"/>
          <w:b w:val="0"/>
          <w:bCs w:val="0"/>
          <w:color w:val="auto"/>
          <w:szCs w:val="21"/>
          <w:highlight w:val="none"/>
          <w:lang w:val="en-US" w:eastAsia="zh-CN"/>
        </w:rPr>
        <w:t xml:space="preserve"> </w:t>
      </w:r>
    </w:p>
    <w:p w14:paraId="09D6B2C3">
      <w:pPr>
        <w:pStyle w:val="29"/>
        <w:numPr>
          <w:ilvl w:val="1"/>
          <w:numId w:val="41"/>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灭菌方式</w:t>
      </w:r>
      <w:r>
        <w:rPr>
          <w:rFonts w:hint="eastAsia" w:ascii="黑体" w:hAnsi="黑体" w:eastAsia="黑体"/>
          <w:b w:val="0"/>
          <w:bCs w:val="0"/>
          <w:color w:val="auto"/>
          <w:szCs w:val="21"/>
          <w:highlight w:val="none"/>
          <w:lang w:val="en-US" w:eastAsia="zh-CN"/>
        </w:rPr>
        <w:t>：</w:t>
      </w:r>
      <w:r>
        <w:rPr>
          <w:rFonts w:hint="default" w:ascii="黑体" w:hAnsi="黑体" w:eastAsia="黑体"/>
          <w:b w:val="0"/>
          <w:bCs w:val="0"/>
          <w:color w:val="auto"/>
          <w:szCs w:val="21"/>
          <w:highlight w:val="none"/>
          <w:lang w:val="en-US" w:eastAsia="zh-CN"/>
        </w:rPr>
        <w:t>低温等离子</w:t>
      </w:r>
      <w:r>
        <w:rPr>
          <w:rFonts w:hint="eastAsia" w:ascii="黑体" w:hAnsi="黑体" w:eastAsia="黑体"/>
          <w:b w:val="0"/>
          <w:bCs w:val="0"/>
          <w:color w:val="auto"/>
          <w:szCs w:val="21"/>
          <w:highlight w:val="none"/>
          <w:lang w:val="en-US" w:eastAsia="zh-CN"/>
        </w:rPr>
        <w:t>；</w:t>
      </w:r>
    </w:p>
    <w:p w14:paraId="154640F3">
      <w:pPr>
        <w:pStyle w:val="29"/>
        <w:numPr>
          <w:ilvl w:val="1"/>
          <w:numId w:val="41"/>
        </w:numPr>
        <w:spacing w:line="360" w:lineRule="auto"/>
        <w:ind w:left="567" w:leftChars="0" w:hanging="567" w:firstLineChars="0"/>
        <w:contextualSpacing/>
        <w:rPr>
          <w:rFonts w:hint="default" w:ascii="黑体" w:hAnsi="黑体" w:eastAsia="黑体"/>
          <w:b/>
          <w:bCs/>
          <w:color w:val="auto"/>
          <w:szCs w:val="21"/>
          <w:highlight w:val="none"/>
          <w:lang w:val="en-US" w:eastAsia="zh-CN"/>
        </w:rPr>
      </w:pPr>
      <w:r>
        <w:rPr>
          <w:rFonts w:hint="default" w:ascii="黑体" w:hAnsi="黑体" w:eastAsia="黑体"/>
          <w:b/>
          <w:bCs/>
          <w:color w:val="auto"/>
          <w:szCs w:val="21"/>
          <w:highlight w:val="none"/>
          <w:lang w:val="en-US" w:eastAsia="zh-CN"/>
        </w:rPr>
        <w:t>▲产品使用年限不低于6年</w:t>
      </w:r>
      <w:r>
        <w:rPr>
          <w:rFonts w:hint="eastAsia" w:ascii="黑体" w:hAnsi="黑体" w:eastAsia="黑体"/>
          <w:b/>
          <w:bCs/>
          <w:color w:val="auto"/>
          <w:szCs w:val="21"/>
          <w:highlight w:val="none"/>
          <w:lang w:val="en-US" w:eastAsia="zh-CN"/>
        </w:rPr>
        <w:t>；</w:t>
      </w:r>
    </w:p>
    <w:p w14:paraId="209310F3">
      <w:pPr>
        <w:pStyle w:val="29"/>
        <w:numPr>
          <w:ilvl w:val="1"/>
          <w:numId w:val="41"/>
        </w:numPr>
        <w:spacing w:line="360" w:lineRule="auto"/>
        <w:ind w:left="567" w:leftChars="0" w:hanging="567" w:firstLineChars="0"/>
        <w:contextualSpacing/>
        <w:rPr>
          <w:rFonts w:hint="default" w:ascii="黑体" w:hAnsi="黑体" w:eastAsia="黑体"/>
          <w:b/>
          <w:bCs/>
          <w:color w:val="auto"/>
          <w:szCs w:val="21"/>
          <w:highlight w:val="none"/>
          <w:lang w:val="en-US" w:eastAsia="zh-CN"/>
        </w:rPr>
      </w:pPr>
      <w:r>
        <w:rPr>
          <w:rFonts w:hint="default" w:ascii="黑体" w:hAnsi="黑体" w:eastAsia="黑体"/>
          <w:b/>
          <w:bCs/>
          <w:color w:val="auto"/>
          <w:szCs w:val="21"/>
          <w:highlight w:val="none"/>
          <w:lang w:val="en-US" w:eastAsia="zh-CN"/>
        </w:rPr>
        <w:t>▲镜体与视频线连接方式采用分体式设计，减少消毒损耗</w:t>
      </w:r>
      <w:r>
        <w:rPr>
          <w:rFonts w:hint="eastAsia" w:ascii="黑体" w:hAnsi="黑体" w:eastAsia="黑体"/>
          <w:b/>
          <w:bCs/>
          <w:color w:val="auto"/>
          <w:szCs w:val="21"/>
          <w:highlight w:val="none"/>
          <w:lang w:val="en-US" w:eastAsia="zh-CN"/>
        </w:rPr>
        <w:t>。</w:t>
      </w:r>
    </w:p>
    <w:p w14:paraId="33E2A2E0">
      <w:pPr>
        <w:pStyle w:val="29"/>
        <w:numPr>
          <w:ilvl w:val="0"/>
          <w:numId w:val="39"/>
        </w:numPr>
        <w:spacing w:line="360" w:lineRule="auto"/>
        <w:ind w:left="425" w:leftChars="0" w:hanging="425"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硬性电子输尿管肾镜（电子精囊镜）1套</w:t>
      </w:r>
    </w:p>
    <w:p w14:paraId="2ABEB92B">
      <w:pPr>
        <w:pStyle w:val="29"/>
        <w:numPr>
          <w:ilvl w:val="1"/>
          <w:numId w:val="42"/>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成像原理</w:t>
      </w:r>
      <w:r>
        <w:rPr>
          <w:rFonts w:hint="eastAsia" w:ascii="黑体" w:hAnsi="黑体" w:eastAsia="黑体"/>
          <w:b w:val="0"/>
          <w:bCs w:val="0"/>
          <w:color w:val="auto"/>
          <w:szCs w:val="21"/>
          <w:highlight w:val="none"/>
          <w:lang w:val="en-US" w:eastAsia="zh-CN"/>
        </w:rPr>
        <w:t>：</w:t>
      </w:r>
      <w:r>
        <w:rPr>
          <w:rFonts w:hint="default" w:ascii="黑体" w:hAnsi="黑体" w:eastAsia="黑体"/>
          <w:b w:val="0"/>
          <w:bCs w:val="0"/>
          <w:color w:val="auto"/>
          <w:szCs w:val="21"/>
          <w:highlight w:val="none"/>
          <w:lang w:val="en-US" w:eastAsia="zh-CN"/>
        </w:rPr>
        <w:t>电子cmos技术</w:t>
      </w:r>
      <w:r>
        <w:rPr>
          <w:rFonts w:hint="eastAsia" w:ascii="黑体" w:hAnsi="黑体" w:eastAsia="黑体"/>
          <w:b w:val="0"/>
          <w:bCs w:val="0"/>
          <w:color w:val="auto"/>
          <w:szCs w:val="21"/>
          <w:highlight w:val="none"/>
          <w:lang w:val="en-US" w:eastAsia="zh-CN"/>
        </w:rPr>
        <w:t>；</w:t>
      </w:r>
    </w:p>
    <w:p w14:paraId="37135B51">
      <w:pPr>
        <w:pStyle w:val="29"/>
        <w:numPr>
          <w:ilvl w:val="1"/>
          <w:numId w:val="42"/>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最大插入部外径≤6.5Fr</w:t>
      </w:r>
      <w:r>
        <w:rPr>
          <w:rFonts w:hint="eastAsia" w:ascii="黑体" w:hAnsi="黑体" w:eastAsia="黑体"/>
          <w:b w:val="0"/>
          <w:bCs w:val="0"/>
          <w:color w:val="auto"/>
          <w:szCs w:val="21"/>
          <w:highlight w:val="none"/>
          <w:lang w:val="en-US" w:eastAsia="zh-CN"/>
        </w:rPr>
        <w:t>；</w:t>
      </w:r>
      <w:r>
        <w:rPr>
          <w:rFonts w:hint="default" w:ascii="黑体" w:hAnsi="黑体" w:eastAsia="黑体"/>
          <w:b w:val="0"/>
          <w:bCs w:val="0"/>
          <w:color w:val="auto"/>
          <w:szCs w:val="21"/>
          <w:highlight w:val="none"/>
          <w:lang w:val="en-US" w:eastAsia="zh-CN"/>
        </w:rPr>
        <w:t>最小插入部外径≤4.5Fr</w:t>
      </w:r>
      <w:r>
        <w:rPr>
          <w:rFonts w:hint="eastAsia" w:ascii="黑体" w:hAnsi="黑体" w:eastAsia="黑体"/>
          <w:b w:val="0"/>
          <w:bCs w:val="0"/>
          <w:color w:val="auto"/>
          <w:szCs w:val="21"/>
          <w:highlight w:val="none"/>
          <w:lang w:val="en-US" w:eastAsia="zh-CN"/>
        </w:rPr>
        <w:t>；</w:t>
      </w:r>
    </w:p>
    <w:p w14:paraId="7F730B4B">
      <w:pPr>
        <w:pStyle w:val="29"/>
        <w:numPr>
          <w:ilvl w:val="1"/>
          <w:numId w:val="42"/>
        </w:numPr>
        <w:spacing w:line="360" w:lineRule="auto"/>
        <w:ind w:left="567" w:leftChars="0" w:hanging="567" w:firstLineChars="0"/>
        <w:contextualSpacing/>
        <w:rPr>
          <w:rFonts w:hint="default" w:ascii="黑体" w:hAnsi="黑体" w:eastAsia="黑体"/>
          <w:b/>
          <w:bCs/>
          <w:color w:val="auto"/>
          <w:szCs w:val="21"/>
          <w:highlight w:val="none"/>
          <w:lang w:val="en-US" w:eastAsia="zh-CN"/>
        </w:rPr>
      </w:pPr>
      <w:r>
        <w:rPr>
          <w:rFonts w:hint="default" w:ascii="黑体" w:hAnsi="黑体" w:eastAsia="黑体"/>
          <w:b/>
          <w:bCs/>
          <w:color w:val="auto"/>
          <w:szCs w:val="21"/>
          <w:highlight w:val="none"/>
          <w:lang w:val="en-US" w:eastAsia="zh-CN"/>
        </w:rPr>
        <w:t>▲视向角</w:t>
      </w:r>
      <w:r>
        <w:rPr>
          <w:rFonts w:hint="eastAsia" w:ascii="黑体" w:hAnsi="黑体" w:eastAsia="黑体"/>
          <w:b/>
          <w:bCs/>
          <w:color w:val="auto"/>
          <w:szCs w:val="21"/>
          <w:highlight w:val="none"/>
          <w:lang w:val="en-US" w:eastAsia="zh-CN"/>
        </w:rPr>
        <w:t>：</w:t>
      </w:r>
      <w:r>
        <w:rPr>
          <w:rFonts w:hint="default" w:ascii="黑体" w:hAnsi="黑体" w:eastAsia="黑体"/>
          <w:b/>
          <w:bCs/>
          <w:color w:val="auto"/>
          <w:szCs w:val="21"/>
          <w:highlight w:val="none"/>
          <w:lang w:val="en-US" w:eastAsia="zh-CN"/>
        </w:rPr>
        <w:t>0°，方便直视下观察</w:t>
      </w:r>
      <w:r>
        <w:rPr>
          <w:rFonts w:hint="eastAsia" w:ascii="黑体" w:hAnsi="黑体" w:eastAsia="黑体"/>
          <w:b/>
          <w:bCs/>
          <w:color w:val="auto"/>
          <w:szCs w:val="21"/>
          <w:highlight w:val="none"/>
          <w:lang w:val="en-US" w:eastAsia="zh-CN"/>
        </w:rPr>
        <w:t>；</w:t>
      </w:r>
    </w:p>
    <w:p w14:paraId="45CC78CA">
      <w:pPr>
        <w:pStyle w:val="29"/>
        <w:numPr>
          <w:ilvl w:val="1"/>
          <w:numId w:val="42"/>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视场角≥110°</w:t>
      </w:r>
      <w:r>
        <w:rPr>
          <w:rFonts w:hint="eastAsia" w:ascii="黑体" w:hAnsi="黑体" w:eastAsia="黑体"/>
          <w:b w:val="0"/>
          <w:bCs w:val="0"/>
          <w:color w:val="auto"/>
          <w:szCs w:val="21"/>
          <w:highlight w:val="none"/>
          <w:lang w:val="en-US" w:eastAsia="zh-CN"/>
        </w:rPr>
        <w:t>；</w:t>
      </w:r>
    </w:p>
    <w:p w14:paraId="43870EDB">
      <w:pPr>
        <w:pStyle w:val="29"/>
        <w:numPr>
          <w:ilvl w:val="1"/>
          <w:numId w:val="42"/>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有效景深范围最小需包含2-50mm</w:t>
      </w:r>
      <w:r>
        <w:rPr>
          <w:rFonts w:hint="eastAsia" w:ascii="黑体" w:hAnsi="黑体" w:eastAsia="黑体"/>
          <w:b w:val="0"/>
          <w:bCs w:val="0"/>
          <w:color w:val="auto"/>
          <w:szCs w:val="21"/>
          <w:highlight w:val="none"/>
          <w:lang w:val="en-US" w:eastAsia="zh-CN"/>
        </w:rPr>
        <w:t>；</w:t>
      </w:r>
    </w:p>
    <w:p w14:paraId="2EEA5462">
      <w:pPr>
        <w:pStyle w:val="29"/>
        <w:numPr>
          <w:ilvl w:val="1"/>
          <w:numId w:val="42"/>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器械工作通道≤3Fr</w:t>
      </w:r>
      <w:r>
        <w:rPr>
          <w:rFonts w:hint="eastAsia" w:ascii="黑体" w:hAnsi="黑体" w:eastAsia="黑体"/>
          <w:b w:val="0"/>
          <w:bCs w:val="0"/>
          <w:color w:val="auto"/>
          <w:szCs w:val="21"/>
          <w:highlight w:val="none"/>
          <w:lang w:val="en-US" w:eastAsia="zh-CN"/>
        </w:rPr>
        <w:t>；</w:t>
      </w:r>
    </w:p>
    <w:p w14:paraId="5B73E6DA">
      <w:pPr>
        <w:pStyle w:val="29"/>
        <w:numPr>
          <w:ilvl w:val="1"/>
          <w:numId w:val="42"/>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工作长度≥430mm</w:t>
      </w:r>
      <w:r>
        <w:rPr>
          <w:rFonts w:hint="eastAsia" w:ascii="黑体" w:hAnsi="黑体" w:eastAsia="黑体"/>
          <w:b w:val="0"/>
          <w:bCs w:val="0"/>
          <w:color w:val="auto"/>
          <w:szCs w:val="21"/>
          <w:highlight w:val="none"/>
          <w:lang w:val="en-US" w:eastAsia="zh-CN"/>
        </w:rPr>
        <w:t>；</w:t>
      </w:r>
    </w:p>
    <w:p w14:paraId="5D8E08CE">
      <w:pPr>
        <w:pStyle w:val="29"/>
        <w:numPr>
          <w:ilvl w:val="1"/>
          <w:numId w:val="42"/>
        </w:numPr>
        <w:spacing w:line="360" w:lineRule="auto"/>
        <w:ind w:left="567" w:leftChars="0" w:hanging="567" w:firstLineChars="0"/>
        <w:contextualSpacing/>
        <w:rPr>
          <w:rFonts w:hint="default" w:ascii="黑体" w:hAnsi="黑体" w:eastAsia="黑体"/>
          <w:b/>
          <w:bCs/>
          <w:color w:val="auto"/>
          <w:szCs w:val="21"/>
          <w:highlight w:val="none"/>
          <w:lang w:val="en-US" w:eastAsia="zh-CN"/>
        </w:rPr>
      </w:pPr>
      <w:r>
        <w:rPr>
          <w:rFonts w:hint="default" w:ascii="黑体" w:hAnsi="黑体" w:eastAsia="黑体"/>
          <w:b/>
          <w:bCs/>
          <w:color w:val="auto"/>
          <w:szCs w:val="21"/>
          <w:highlight w:val="none"/>
          <w:lang w:val="en-US" w:eastAsia="zh-CN"/>
        </w:rPr>
        <w:t>▲分辨率≥16LP/MM</w:t>
      </w:r>
      <w:r>
        <w:rPr>
          <w:rFonts w:hint="eastAsia" w:ascii="黑体" w:hAnsi="黑体" w:eastAsia="黑体"/>
          <w:b/>
          <w:bCs/>
          <w:color w:val="auto"/>
          <w:szCs w:val="21"/>
          <w:highlight w:val="none"/>
          <w:lang w:val="en-US" w:eastAsia="zh-CN"/>
        </w:rPr>
        <w:t>；</w:t>
      </w:r>
    </w:p>
    <w:p w14:paraId="73F00E03">
      <w:pPr>
        <w:pStyle w:val="29"/>
        <w:numPr>
          <w:ilvl w:val="1"/>
          <w:numId w:val="42"/>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镜体进液防护程度不低于IPX7</w:t>
      </w:r>
      <w:r>
        <w:rPr>
          <w:rFonts w:hint="eastAsia" w:ascii="黑体" w:hAnsi="黑体" w:eastAsia="黑体"/>
          <w:b w:val="0"/>
          <w:bCs w:val="0"/>
          <w:color w:val="auto"/>
          <w:szCs w:val="21"/>
          <w:highlight w:val="none"/>
          <w:lang w:val="en-US" w:eastAsia="zh-CN"/>
        </w:rPr>
        <w:t>；</w:t>
      </w:r>
    </w:p>
    <w:p w14:paraId="23346288">
      <w:pPr>
        <w:pStyle w:val="29"/>
        <w:numPr>
          <w:ilvl w:val="1"/>
          <w:numId w:val="42"/>
        </w:numPr>
        <w:spacing w:line="360" w:lineRule="auto"/>
        <w:ind w:left="567" w:leftChars="0" w:hanging="567"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灭菌方式</w:t>
      </w:r>
      <w:r>
        <w:rPr>
          <w:rFonts w:hint="eastAsia" w:ascii="黑体" w:hAnsi="黑体" w:eastAsia="黑体"/>
          <w:b w:val="0"/>
          <w:bCs w:val="0"/>
          <w:color w:val="auto"/>
          <w:szCs w:val="21"/>
          <w:highlight w:val="none"/>
          <w:lang w:val="en-US" w:eastAsia="zh-CN"/>
        </w:rPr>
        <w:t>：</w:t>
      </w:r>
      <w:r>
        <w:rPr>
          <w:rFonts w:hint="default" w:ascii="黑体" w:hAnsi="黑体" w:eastAsia="黑体"/>
          <w:b w:val="0"/>
          <w:bCs w:val="0"/>
          <w:color w:val="auto"/>
          <w:szCs w:val="21"/>
          <w:highlight w:val="none"/>
          <w:lang w:val="en-US" w:eastAsia="zh-CN"/>
        </w:rPr>
        <w:t>低温等离子</w:t>
      </w:r>
      <w:r>
        <w:rPr>
          <w:rFonts w:hint="eastAsia" w:ascii="黑体" w:hAnsi="黑体" w:eastAsia="黑体"/>
          <w:b w:val="0"/>
          <w:bCs w:val="0"/>
          <w:color w:val="auto"/>
          <w:szCs w:val="21"/>
          <w:highlight w:val="none"/>
          <w:lang w:val="en-US" w:eastAsia="zh-CN"/>
        </w:rPr>
        <w:t>；</w:t>
      </w:r>
    </w:p>
    <w:p w14:paraId="70C98C6D">
      <w:pPr>
        <w:pStyle w:val="29"/>
        <w:numPr>
          <w:ilvl w:val="1"/>
          <w:numId w:val="42"/>
        </w:numPr>
        <w:spacing w:line="360" w:lineRule="auto"/>
        <w:ind w:left="567" w:leftChars="0" w:hanging="567" w:firstLineChars="0"/>
        <w:contextualSpacing/>
        <w:rPr>
          <w:rFonts w:hint="default" w:ascii="黑体" w:hAnsi="黑体" w:eastAsia="黑体"/>
          <w:b/>
          <w:bCs/>
          <w:color w:val="auto"/>
          <w:szCs w:val="21"/>
          <w:highlight w:val="none"/>
          <w:lang w:val="en-US" w:eastAsia="zh-CN"/>
        </w:rPr>
      </w:pPr>
      <w:r>
        <w:rPr>
          <w:rFonts w:hint="default" w:ascii="黑体" w:hAnsi="黑体" w:eastAsia="黑体"/>
          <w:b/>
          <w:bCs/>
          <w:color w:val="auto"/>
          <w:szCs w:val="21"/>
          <w:highlight w:val="none"/>
          <w:lang w:val="en-US" w:eastAsia="zh-CN"/>
        </w:rPr>
        <w:t>▲产品使用年限不低于6年</w:t>
      </w:r>
      <w:r>
        <w:rPr>
          <w:rFonts w:hint="eastAsia" w:ascii="黑体" w:hAnsi="黑体" w:eastAsia="黑体"/>
          <w:b/>
          <w:bCs/>
          <w:color w:val="auto"/>
          <w:szCs w:val="21"/>
          <w:highlight w:val="none"/>
          <w:lang w:val="en-US" w:eastAsia="zh-CN"/>
        </w:rPr>
        <w:t>；</w:t>
      </w:r>
    </w:p>
    <w:p w14:paraId="39A0C282">
      <w:pPr>
        <w:pStyle w:val="29"/>
        <w:numPr>
          <w:ilvl w:val="1"/>
          <w:numId w:val="42"/>
        </w:numPr>
        <w:spacing w:line="360" w:lineRule="auto"/>
        <w:ind w:left="567" w:leftChars="0" w:hanging="567" w:firstLineChars="0"/>
        <w:contextualSpacing/>
        <w:rPr>
          <w:rFonts w:hint="default" w:ascii="黑体" w:hAnsi="黑体" w:eastAsia="黑体"/>
          <w:b/>
          <w:bCs/>
          <w:color w:val="auto"/>
          <w:szCs w:val="21"/>
          <w:highlight w:val="none"/>
          <w:lang w:val="en-US" w:eastAsia="zh-CN"/>
        </w:rPr>
      </w:pPr>
      <w:r>
        <w:rPr>
          <w:rFonts w:hint="default" w:ascii="黑体" w:hAnsi="黑体" w:eastAsia="黑体"/>
          <w:b/>
          <w:bCs/>
          <w:color w:val="auto"/>
          <w:szCs w:val="21"/>
          <w:highlight w:val="none"/>
          <w:lang w:val="en-US" w:eastAsia="zh-CN"/>
        </w:rPr>
        <w:t>▲镜体与视频线连接方式采用分体式设计，减少消毒损耗</w:t>
      </w:r>
      <w:r>
        <w:rPr>
          <w:rFonts w:hint="eastAsia" w:ascii="黑体" w:hAnsi="黑体" w:eastAsia="黑体"/>
          <w:b/>
          <w:bCs/>
          <w:color w:val="auto"/>
          <w:szCs w:val="21"/>
          <w:highlight w:val="none"/>
          <w:lang w:val="en-US" w:eastAsia="zh-CN"/>
        </w:rPr>
        <w:t>。</w:t>
      </w:r>
    </w:p>
    <w:p w14:paraId="2CF1180A">
      <w:pPr>
        <w:pStyle w:val="29"/>
        <w:numPr>
          <w:ilvl w:val="0"/>
          <w:numId w:val="39"/>
        </w:numPr>
        <w:spacing w:line="360" w:lineRule="auto"/>
        <w:ind w:left="425" w:leftChars="0" w:hanging="425" w:firstLineChars="0"/>
        <w:contextualSpacing/>
        <w:rPr>
          <w:rFonts w:hint="default" w:ascii="黑体" w:hAnsi="黑体" w:eastAsia="黑体"/>
          <w:b w:val="0"/>
          <w:bCs w:val="0"/>
          <w:color w:val="auto"/>
          <w:szCs w:val="21"/>
          <w:highlight w:val="none"/>
          <w:lang w:val="en-US" w:eastAsia="zh-CN"/>
        </w:rPr>
      </w:pPr>
      <w:r>
        <w:rPr>
          <w:rFonts w:hint="default" w:ascii="黑体" w:hAnsi="黑体" w:eastAsia="黑体"/>
          <w:b w:val="0"/>
          <w:bCs w:val="0"/>
          <w:color w:val="auto"/>
          <w:szCs w:val="21"/>
          <w:highlight w:val="none"/>
          <w:lang w:val="en-US" w:eastAsia="zh-CN"/>
        </w:rPr>
        <w:t>配置清单</w:t>
      </w:r>
    </w:p>
    <w:tbl>
      <w:tblPr>
        <w:tblStyle w:val="20"/>
        <w:tblW w:w="8573" w:type="dxa"/>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6"/>
        <w:gridCol w:w="4970"/>
        <w:gridCol w:w="1218"/>
        <w:gridCol w:w="1229"/>
      </w:tblGrid>
      <w:tr w14:paraId="28BF5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156" w:type="dxa"/>
            <w:vAlign w:val="center"/>
          </w:tcPr>
          <w:p w14:paraId="3B42E030">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序号</w:t>
            </w:r>
          </w:p>
        </w:tc>
        <w:tc>
          <w:tcPr>
            <w:tcW w:w="4970" w:type="dxa"/>
            <w:vAlign w:val="center"/>
          </w:tcPr>
          <w:p w14:paraId="3DB6991C">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名称</w:t>
            </w:r>
          </w:p>
        </w:tc>
        <w:tc>
          <w:tcPr>
            <w:tcW w:w="1218" w:type="dxa"/>
            <w:vAlign w:val="center"/>
          </w:tcPr>
          <w:p w14:paraId="3BDDDFF0">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数量</w:t>
            </w:r>
          </w:p>
        </w:tc>
        <w:tc>
          <w:tcPr>
            <w:tcW w:w="1229" w:type="dxa"/>
            <w:vAlign w:val="center"/>
          </w:tcPr>
          <w:p w14:paraId="5AD7AE14">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单位</w:t>
            </w:r>
          </w:p>
        </w:tc>
      </w:tr>
      <w:tr w14:paraId="277FF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156" w:type="dxa"/>
            <w:vAlign w:val="center"/>
          </w:tcPr>
          <w:p w14:paraId="77DE70D1">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1</w:t>
            </w:r>
          </w:p>
        </w:tc>
        <w:tc>
          <w:tcPr>
            <w:tcW w:w="4970" w:type="dxa"/>
            <w:vAlign w:val="center"/>
          </w:tcPr>
          <w:p w14:paraId="25D5D4D7">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电子内窥镜图像处理器</w:t>
            </w:r>
          </w:p>
        </w:tc>
        <w:tc>
          <w:tcPr>
            <w:tcW w:w="1218" w:type="dxa"/>
            <w:vAlign w:val="center"/>
          </w:tcPr>
          <w:p w14:paraId="4038BCDE">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1</w:t>
            </w:r>
          </w:p>
        </w:tc>
        <w:tc>
          <w:tcPr>
            <w:tcW w:w="1229" w:type="dxa"/>
            <w:vAlign w:val="center"/>
          </w:tcPr>
          <w:p w14:paraId="3AEC6DD9">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套</w:t>
            </w:r>
          </w:p>
        </w:tc>
      </w:tr>
      <w:tr w14:paraId="51A1D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1156" w:type="dxa"/>
            <w:vAlign w:val="center"/>
          </w:tcPr>
          <w:p w14:paraId="3E239D12">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2</w:t>
            </w:r>
          </w:p>
        </w:tc>
        <w:tc>
          <w:tcPr>
            <w:tcW w:w="4970" w:type="dxa"/>
            <w:vAlign w:val="center"/>
          </w:tcPr>
          <w:p w14:paraId="75D441A0">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硬性电子输尿管肾镜（电子成人输尿管镜）</w:t>
            </w:r>
          </w:p>
        </w:tc>
        <w:tc>
          <w:tcPr>
            <w:tcW w:w="1218" w:type="dxa"/>
            <w:vAlign w:val="center"/>
          </w:tcPr>
          <w:p w14:paraId="180DE6F4">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1</w:t>
            </w:r>
          </w:p>
        </w:tc>
        <w:tc>
          <w:tcPr>
            <w:tcW w:w="1229" w:type="dxa"/>
            <w:vAlign w:val="center"/>
          </w:tcPr>
          <w:p w14:paraId="5EF8DD89">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套</w:t>
            </w:r>
          </w:p>
        </w:tc>
      </w:tr>
      <w:tr w14:paraId="10BCC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156" w:type="dxa"/>
            <w:vAlign w:val="center"/>
          </w:tcPr>
          <w:p w14:paraId="4E1E34B8">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3</w:t>
            </w:r>
          </w:p>
        </w:tc>
        <w:tc>
          <w:tcPr>
            <w:tcW w:w="4970" w:type="dxa"/>
            <w:vAlign w:val="center"/>
          </w:tcPr>
          <w:p w14:paraId="5595811A">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硬性电子输尿管肾镜 （电子小儿输尿管镜）</w:t>
            </w:r>
          </w:p>
        </w:tc>
        <w:tc>
          <w:tcPr>
            <w:tcW w:w="1218" w:type="dxa"/>
            <w:vAlign w:val="center"/>
          </w:tcPr>
          <w:p w14:paraId="5D218423">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1</w:t>
            </w:r>
          </w:p>
        </w:tc>
        <w:tc>
          <w:tcPr>
            <w:tcW w:w="1229" w:type="dxa"/>
            <w:vAlign w:val="center"/>
          </w:tcPr>
          <w:p w14:paraId="0510D88C">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套</w:t>
            </w:r>
          </w:p>
        </w:tc>
      </w:tr>
      <w:tr w14:paraId="72D51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156" w:type="dxa"/>
            <w:vAlign w:val="center"/>
          </w:tcPr>
          <w:p w14:paraId="764DEA61">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4</w:t>
            </w:r>
          </w:p>
        </w:tc>
        <w:tc>
          <w:tcPr>
            <w:tcW w:w="4970" w:type="dxa"/>
            <w:vAlign w:val="center"/>
          </w:tcPr>
          <w:p w14:paraId="52BD0D8D">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硬性电子输尿管肾镜（电子精囊镜）</w:t>
            </w:r>
          </w:p>
        </w:tc>
        <w:tc>
          <w:tcPr>
            <w:tcW w:w="1218" w:type="dxa"/>
            <w:vAlign w:val="center"/>
          </w:tcPr>
          <w:p w14:paraId="54B91AF5">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1</w:t>
            </w:r>
          </w:p>
        </w:tc>
        <w:tc>
          <w:tcPr>
            <w:tcW w:w="1229" w:type="dxa"/>
            <w:vAlign w:val="center"/>
          </w:tcPr>
          <w:p w14:paraId="7B03C61B">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套</w:t>
            </w:r>
          </w:p>
        </w:tc>
      </w:tr>
      <w:tr w14:paraId="1B6CD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156" w:type="dxa"/>
            <w:vAlign w:val="center"/>
          </w:tcPr>
          <w:p w14:paraId="4E86B566">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5</w:t>
            </w:r>
          </w:p>
        </w:tc>
        <w:tc>
          <w:tcPr>
            <w:tcW w:w="4970" w:type="dxa"/>
            <w:vAlign w:val="center"/>
          </w:tcPr>
          <w:p w14:paraId="40D92097">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合格证</w:t>
            </w:r>
          </w:p>
        </w:tc>
        <w:tc>
          <w:tcPr>
            <w:tcW w:w="1218" w:type="dxa"/>
            <w:vAlign w:val="center"/>
          </w:tcPr>
          <w:p w14:paraId="27D6D67F">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1</w:t>
            </w:r>
          </w:p>
        </w:tc>
        <w:tc>
          <w:tcPr>
            <w:tcW w:w="1229" w:type="dxa"/>
            <w:vAlign w:val="center"/>
          </w:tcPr>
          <w:p w14:paraId="566C4BDA">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份</w:t>
            </w:r>
          </w:p>
        </w:tc>
      </w:tr>
      <w:tr w14:paraId="21439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156" w:type="dxa"/>
            <w:vAlign w:val="center"/>
          </w:tcPr>
          <w:p w14:paraId="67502A4A">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6</w:t>
            </w:r>
          </w:p>
        </w:tc>
        <w:tc>
          <w:tcPr>
            <w:tcW w:w="4970" w:type="dxa"/>
            <w:vAlign w:val="center"/>
          </w:tcPr>
          <w:p w14:paraId="41D2A3D5">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使用说明书</w:t>
            </w:r>
          </w:p>
        </w:tc>
        <w:tc>
          <w:tcPr>
            <w:tcW w:w="1218" w:type="dxa"/>
            <w:vAlign w:val="center"/>
          </w:tcPr>
          <w:p w14:paraId="2C4F4358">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1</w:t>
            </w:r>
          </w:p>
        </w:tc>
        <w:tc>
          <w:tcPr>
            <w:tcW w:w="1229" w:type="dxa"/>
            <w:vAlign w:val="center"/>
          </w:tcPr>
          <w:p w14:paraId="3C9F7098">
            <w:pPr>
              <w:pStyle w:val="2"/>
              <w:jc w:val="center"/>
              <w:rPr>
                <w:rFonts w:hint="default" w:ascii="黑体" w:hAnsi="黑体" w:eastAsia="黑体" w:cstheme="minorBidi"/>
                <w:b w:val="0"/>
                <w:bCs w:val="0"/>
                <w:color w:val="auto"/>
                <w:kern w:val="2"/>
                <w:sz w:val="21"/>
                <w:szCs w:val="21"/>
                <w:highlight w:val="none"/>
                <w:lang w:val="en-US" w:eastAsia="zh-CN" w:bidi="ar-SA"/>
              </w:rPr>
            </w:pPr>
            <w:r>
              <w:rPr>
                <w:rFonts w:hint="eastAsia" w:ascii="黑体" w:hAnsi="黑体" w:eastAsia="黑体" w:cstheme="minorBidi"/>
                <w:b w:val="0"/>
                <w:bCs w:val="0"/>
                <w:color w:val="auto"/>
                <w:kern w:val="2"/>
                <w:sz w:val="21"/>
                <w:szCs w:val="21"/>
                <w:highlight w:val="none"/>
                <w:lang w:val="en-US" w:eastAsia="zh-CN" w:bidi="ar-SA"/>
              </w:rPr>
              <w:t>份</w:t>
            </w:r>
          </w:p>
        </w:tc>
      </w:tr>
    </w:tbl>
    <w:p w14:paraId="708E77A1">
      <w:pPr>
        <w:pStyle w:val="29"/>
        <w:numPr>
          <w:ilvl w:val="0"/>
          <w:numId w:val="38"/>
        </w:numPr>
        <w:spacing w:line="360" w:lineRule="auto"/>
        <w:ind w:left="425" w:leftChars="0" w:hanging="425" w:firstLineChars="0"/>
        <w:contextualSpacing/>
        <w:rPr>
          <w:rFonts w:hint="default" w:ascii="黑体" w:hAnsi="黑体" w:eastAsia="黑体"/>
          <w:b/>
          <w:bCs/>
          <w:color w:val="auto"/>
          <w:szCs w:val="21"/>
          <w:highlight w:val="none"/>
          <w:lang w:val="en-US" w:eastAsia="zh-CN"/>
        </w:rPr>
      </w:pPr>
      <w:r>
        <w:rPr>
          <w:rFonts w:hint="default" w:ascii="黑体" w:hAnsi="黑体" w:eastAsia="黑体"/>
          <w:b/>
          <w:bCs/>
          <w:color w:val="auto"/>
          <w:szCs w:val="21"/>
          <w:highlight w:val="none"/>
          <w:lang w:val="en-US" w:eastAsia="zh-CN"/>
        </w:rPr>
        <w:t>呼吸道廓清系统</w:t>
      </w:r>
    </w:p>
    <w:p w14:paraId="3582762B">
      <w:pPr>
        <w:pStyle w:val="29"/>
        <w:numPr>
          <w:ilvl w:val="0"/>
          <w:numId w:val="43"/>
        </w:numPr>
        <w:spacing w:line="360" w:lineRule="auto"/>
        <w:ind w:left="425" w:leftChars="0" w:hanging="425" w:firstLineChars="0"/>
        <w:contextualSpacing/>
        <w:rPr>
          <w:rFonts w:ascii="黑体" w:hAnsi="黑体" w:eastAsia="黑体"/>
          <w:color w:val="auto"/>
          <w:szCs w:val="21"/>
          <w:highlight w:val="none"/>
        </w:rPr>
      </w:pPr>
      <w:r>
        <w:rPr>
          <w:rFonts w:hint="eastAsia" w:ascii="黑体" w:hAnsi="黑体" w:eastAsia="黑体"/>
          <w:color w:val="auto"/>
          <w:szCs w:val="21"/>
          <w:highlight w:val="none"/>
        </w:rPr>
        <w:t>设备技术参数及配置要求</w:t>
      </w:r>
    </w:p>
    <w:p w14:paraId="373738C4">
      <w:pPr>
        <w:pStyle w:val="29"/>
        <w:numPr>
          <w:ilvl w:val="1"/>
          <w:numId w:val="44"/>
        </w:numPr>
        <w:spacing w:line="360" w:lineRule="auto"/>
        <w:ind w:left="567" w:leftChars="0" w:hanging="567" w:firstLineChars="0"/>
        <w:contextualSpacing/>
        <w:rPr>
          <w:rFonts w:hint="eastAsia" w:ascii="黑体" w:hAnsi="黑体" w:eastAsia="黑体"/>
          <w:color w:val="auto"/>
          <w:szCs w:val="21"/>
          <w:highlight w:val="none"/>
        </w:rPr>
      </w:pPr>
      <w:r>
        <w:rPr>
          <w:rFonts w:hint="eastAsia" w:ascii="黑体" w:hAnsi="黑体" w:eastAsia="黑体"/>
          <w:color w:val="auto"/>
          <w:szCs w:val="21"/>
          <w:highlight w:val="none"/>
        </w:rPr>
        <w:t xml:space="preserve">提供持续肺内高频振荡、持续呼气正压和雾化功能，促进患者气道分泌物的松动与排出。 </w:t>
      </w:r>
    </w:p>
    <w:p w14:paraId="4E8789BB">
      <w:pPr>
        <w:pStyle w:val="29"/>
        <w:numPr>
          <w:ilvl w:val="1"/>
          <w:numId w:val="44"/>
        </w:numPr>
        <w:spacing w:line="360" w:lineRule="auto"/>
        <w:ind w:left="567" w:leftChars="0" w:hanging="567" w:firstLineChars="0"/>
        <w:contextualSpacing/>
        <w:rPr>
          <w:rFonts w:hint="eastAsia" w:ascii="黑体" w:hAnsi="黑体" w:eastAsia="黑体"/>
          <w:color w:val="auto"/>
          <w:szCs w:val="21"/>
          <w:highlight w:val="none"/>
        </w:rPr>
      </w:pPr>
      <w:r>
        <w:rPr>
          <w:rFonts w:hint="eastAsia" w:ascii="黑体" w:hAnsi="黑体" w:eastAsia="黑体"/>
          <w:color w:val="auto"/>
          <w:szCs w:val="21"/>
          <w:highlight w:val="none"/>
        </w:rPr>
        <w:t xml:space="preserve">包含三种工作模式：肺内连续高频振荡模式、持续呼气期正压模式、喷雾功能。 </w:t>
      </w:r>
    </w:p>
    <w:p w14:paraId="3EE6143F">
      <w:pPr>
        <w:pStyle w:val="29"/>
        <w:numPr>
          <w:ilvl w:val="1"/>
          <w:numId w:val="44"/>
        </w:numPr>
        <w:spacing w:line="360" w:lineRule="auto"/>
        <w:ind w:left="567" w:leftChars="0" w:hanging="567" w:firstLineChars="0"/>
        <w:contextualSpacing/>
        <w:rPr>
          <w:rFonts w:hint="eastAsia" w:ascii="黑体" w:hAnsi="黑体" w:eastAsia="黑体"/>
          <w:b/>
          <w:bCs/>
          <w:color w:val="auto"/>
          <w:szCs w:val="21"/>
          <w:highlight w:val="none"/>
        </w:rPr>
      </w:pPr>
      <w:r>
        <w:rPr>
          <w:rFonts w:hint="eastAsia" w:ascii="黑体" w:hAnsi="黑体" w:eastAsia="黑体"/>
          <w:b/>
          <w:bCs/>
          <w:color w:val="auto"/>
          <w:szCs w:val="21"/>
          <w:highlight w:val="none"/>
        </w:rPr>
        <w:t>▲振荡频率：</w:t>
      </w:r>
    </w:p>
    <w:p w14:paraId="12F67B9E">
      <w:pPr>
        <w:pStyle w:val="29"/>
        <w:numPr>
          <w:ilvl w:val="2"/>
          <w:numId w:val="44"/>
        </w:numPr>
        <w:spacing w:line="360" w:lineRule="auto"/>
        <w:ind w:left="709" w:leftChars="0" w:hanging="709" w:firstLineChars="0"/>
        <w:contextualSpacing/>
        <w:rPr>
          <w:rFonts w:hint="eastAsia" w:ascii="黑体" w:hAnsi="黑体" w:eastAsia="黑体"/>
          <w:b/>
          <w:bCs/>
          <w:color w:val="auto"/>
          <w:szCs w:val="21"/>
          <w:highlight w:val="none"/>
        </w:rPr>
      </w:pPr>
      <w:r>
        <w:rPr>
          <w:rFonts w:hint="eastAsia" w:ascii="黑体" w:hAnsi="黑体" w:eastAsia="黑体"/>
          <w:b/>
          <w:bCs/>
          <w:color w:val="auto"/>
          <w:szCs w:val="21"/>
          <w:highlight w:val="none"/>
        </w:rPr>
        <w:t>高频设置下，输出振动频率在 180～300bpm</w:t>
      </w:r>
      <w:r>
        <w:rPr>
          <w:rFonts w:hint="eastAsia" w:ascii="黑体" w:hAnsi="黑体" w:eastAsia="黑体"/>
          <w:b/>
          <w:bCs/>
          <w:color w:val="auto"/>
          <w:szCs w:val="21"/>
          <w:highlight w:val="none"/>
          <w:lang w:eastAsia="zh-CN"/>
        </w:rPr>
        <w:t>；</w:t>
      </w:r>
    </w:p>
    <w:p w14:paraId="387330B8">
      <w:pPr>
        <w:pStyle w:val="29"/>
        <w:numPr>
          <w:ilvl w:val="2"/>
          <w:numId w:val="44"/>
        </w:numPr>
        <w:spacing w:line="360" w:lineRule="auto"/>
        <w:ind w:left="709" w:leftChars="0" w:hanging="709" w:firstLineChars="0"/>
        <w:contextualSpacing/>
        <w:rPr>
          <w:rFonts w:hint="eastAsia" w:ascii="黑体" w:hAnsi="黑体" w:eastAsia="黑体"/>
          <w:b/>
          <w:bCs/>
          <w:color w:val="auto"/>
          <w:szCs w:val="21"/>
          <w:highlight w:val="none"/>
        </w:rPr>
      </w:pPr>
      <w:r>
        <w:rPr>
          <w:rFonts w:hint="eastAsia" w:ascii="黑体" w:hAnsi="黑体" w:eastAsia="黑体"/>
          <w:b/>
          <w:bCs/>
          <w:color w:val="auto"/>
          <w:szCs w:val="21"/>
          <w:highlight w:val="none"/>
        </w:rPr>
        <w:t>低频设置下，输出振动频率在 100～180bpm</w:t>
      </w:r>
      <w:r>
        <w:rPr>
          <w:rFonts w:hint="eastAsia" w:ascii="黑体" w:hAnsi="黑体" w:eastAsia="黑体"/>
          <w:b/>
          <w:bCs/>
          <w:color w:val="auto"/>
          <w:szCs w:val="21"/>
          <w:highlight w:val="none"/>
          <w:lang w:eastAsia="zh-CN"/>
        </w:rPr>
        <w:t>。</w:t>
      </w:r>
    </w:p>
    <w:p w14:paraId="727C5C63">
      <w:pPr>
        <w:pStyle w:val="29"/>
        <w:numPr>
          <w:ilvl w:val="1"/>
          <w:numId w:val="44"/>
        </w:numPr>
        <w:spacing w:line="360" w:lineRule="auto"/>
        <w:ind w:left="567" w:leftChars="0" w:hanging="567" w:firstLineChars="0"/>
        <w:contextualSpacing/>
        <w:rPr>
          <w:rFonts w:hint="eastAsia" w:ascii="黑体" w:hAnsi="黑体" w:eastAsia="黑体"/>
          <w:b/>
          <w:bCs/>
          <w:color w:val="auto"/>
          <w:szCs w:val="21"/>
          <w:highlight w:val="none"/>
        </w:rPr>
      </w:pPr>
      <w:r>
        <w:rPr>
          <w:rFonts w:hint="eastAsia" w:ascii="黑体" w:hAnsi="黑体" w:eastAsia="黑体"/>
          <w:b/>
          <w:bCs/>
          <w:color w:val="auto"/>
          <w:szCs w:val="21"/>
          <w:highlight w:val="none"/>
        </w:rPr>
        <w:t>▲连续高频振荡模式气道内峰值压力：</w:t>
      </w:r>
    </w:p>
    <w:p w14:paraId="3BFDD9F8">
      <w:pPr>
        <w:pStyle w:val="29"/>
        <w:numPr>
          <w:ilvl w:val="2"/>
          <w:numId w:val="44"/>
        </w:numPr>
        <w:spacing w:line="360" w:lineRule="auto"/>
        <w:ind w:left="709" w:leftChars="0" w:hanging="709" w:firstLineChars="0"/>
        <w:contextualSpacing/>
        <w:rPr>
          <w:rFonts w:hint="eastAsia" w:ascii="黑体" w:hAnsi="黑体" w:eastAsia="黑体"/>
          <w:b/>
          <w:bCs/>
          <w:color w:val="auto"/>
          <w:szCs w:val="21"/>
          <w:highlight w:val="none"/>
        </w:rPr>
      </w:pPr>
      <w:r>
        <w:rPr>
          <w:rFonts w:hint="eastAsia" w:ascii="黑体" w:hAnsi="黑体" w:eastAsia="黑体"/>
          <w:b/>
          <w:bCs/>
          <w:color w:val="auto"/>
          <w:szCs w:val="21"/>
          <w:highlight w:val="none"/>
        </w:rPr>
        <w:t>高频设置下，输出的气道内峰值压力 8～30 cmH2O</w:t>
      </w:r>
      <w:r>
        <w:rPr>
          <w:rFonts w:hint="eastAsia" w:ascii="黑体" w:hAnsi="黑体" w:eastAsia="黑体"/>
          <w:b/>
          <w:bCs/>
          <w:color w:val="auto"/>
          <w:szCs w:val="21"/>
          <w:highlight w:val="none"/>
          <w:lang w:eastAsia="zh-CN"/>
        </w:rPr>
        <w:t>；</w:t>
      </w:r>
      <w:r>
        <w:rPr>
          <w:rFonts w:hint="eastAsia" w:ascii="黑体" w:hAnsi="黑体" w:eastAsia="黑体"/>
          <w:b/>
          <w:bCs/>
          <w:color w:val="auto"/>
          <w:szCs w:val="21"/>
          <w:highlight w:val="none"/>
        </w:rPr>
        <w:t xml:space="preserve">  </w:t>
      </w:r>
    </w:p>
    <w:p w14:paraId="3F45138D">
      <w:pPr>
        <w:pStyle w:val="29"/>
        <w:numPr>
          <w:ilvl w:val="2"/>
          <w:numId w:val="44"/>
        </w:numPr>
        <w:spacing w:line="360" w:lineRule="auto"/>
        <w:ind w:left="709" w:leftChars="0" w:hanging="709" w:firstLineChars="0"/>
        <w:contextualSpacing/>
        <w:rPr>
          <w:rFonts w:hint="eastAsia" w:ascii="黑体" w:hAnsi="黑体" w:eastAsia="黑体"/>
          <w:b/>
          <w:bCs/>
          <w:color w:val="auto"/>
          <w:szCs w:val="21"/>
          <w:highlight w:val="none"/>
        </w:rPr>
      </w:pPr>
      <w:r>
        <w:rPr>
          <w:rFonts w:hint="eastAsia" w:ascii="黑体" w:hAnsi="黑体" w:eastAsia="黑体"/>
          <w:b/>
          <w:bCs/>
          <w:color w:val="auto"/>
          <w:szCs w:val="21"/>
          <w:highlight w:val="none"/>
        </w:rPr>
        <w:t>低频设置下，输出的气道内峰值压力 8～20 cmH2O</w:t>
      </w:r>
      <w:r>
        <w:rPr>
          <w:rFonts w:hint="eastAsia" w:ascii="黑体" w:hAnsi="黑体" w:eastAsia="黑体"/>
          <w:b/>
          <w:bCs/>
          <w:color w:val="auto"/>
          <w:szCs w:val="21"/>
          <w:highlight w:val="none"/>
          <w:lang w:eastAsia="zh-CN"/>
        </w:rPr>
        <w:t>。</w:t>
      </w:r>
    </w:p>
    <w:p w14:paraId="1E7B7469">
      <w:pPr>
        <w:pStyle w:val="29"/>
        <w:numPr>
          <w:ilvl w:val="1"/>
          <w:numId w:val="44"/>
        </w:numPr>
        <w:spacing w:line="360" w:lineRule="auto"/>
        <w:ind w:left="567" w:leftChars="0" w:hanging="567" w:firstLineChars="0"/>
        <w:contextualSpacing/>
        <w:rPr>
          <w:rFonts w:hint="eastAsia" w:ascii="黑体" w:hAnsi="黑体" w:eastAsia="黑体"/>
          <w:color w:val="auto"/>
          <w:szCs w:val="21"/>
          <w:highlight w:val="none"/>
        </w:rPr>
      </w:pPr>
      <w:r>
        <w:rPr>
          <w:rFonts w:hint="eastAsia" w:ascii="黑体" w:hAnsi="黑体" w:eastAsia="黑体"/>
          <w:color w:val="auto"/>
          <w:szCs w:val="21"/>
          <w:highlight w:val="none"/>
        </w:rPr>
        <w:t>工作压力：压力范围：0～60cmH2O。</w:t>
      </w:r>
    </w:p>
    <w:p w14:paraId="33F3A7D0">
      <w:pPr>
        <w:pStyle w:val="29"/>
        <w:numPr>
          <w:ilvl w:val="1"/>
          <w:numId w:val="44"/>
        </w:numPr>
        <w:spacing w:line="360" w:lineRule="auto"/>
        <w:ind w:left="567" w:leftChars="0" w:hanging="567" w:firstLineChars="0"/>
        <w:contextualSpacing/>
        <w:rPr>
          <w:rFonts w:hint="eastAsia" w:ascii="黑体" w:hAnsi="黑体" w:eastAsia="黑体"/>
          <w:color w:val="auto"/>
          <w:szCs w:val="21"/>
          <w:highlight w:val="none"/>
        </w:rPr>
      </w:pPr>
      <w:r>
        <w:rPr>
          <w:rFonts w:hint="eastAsia" w:ascii="黑体" w:hAnsi="黑体" w:eastAsia="黑体"/>
          <w:color w:val="auto"/>
          <w:szCs w:val="21"/>
          <w:highlight w:val="none"/>
        </w:rPr>
        <w:t>持续呼气期正压模式，输出压力≤30 cmH2O。</w:t>
      </w:r>
    </w:p>
    <w:p w14:paraId="3665FC15">
      <w:pPr>
        <w:pStyle w:val="29"/>
        <w:numPr>
          <w:ilvl w:val="1"/>
          <w:numId w:val="44"/>
        </w:numPr>
        <w:spacing w:line="360" w:lineRule="auto"/>
        <w:ind w:left="567" w:leftChars="0" w:hanging="567" w:firstLineChars="0"/>
        <w:contextualSpacing/>
        <w:rPr>
          <w:rFonts w:hint="eastAsia" w:ascii="黑体" w:hAnsi="黑体" w:eastAsia="黑体"/>
          <w:color w:val="auto"/>
          <w:szCs w:val="21"/>
          <w:highlight w:val="none"/>
        </w:rPr>
      </w:pPr>
      <w:r>
        <w:rPr>
          <w:rFonts w:hint="eastAsia" w:ascii="黑体" w:hAnsi="黑体" w:eastAsia="黑体"/>
          <w:color w:val="auto"/>
          <w:szCs w:val="21"/>
          <w:highlight w:val="none"/>
        </w:rPr>
        <w:t>雾化模式同步持续呼气期正压模式，连续肺内高频振荡模式使用，也可进行单独雾化治疗。</w:t>
      </w:r>
    </w:p>
    <w:p w14:paraId="66DA28A7">
      <w:pPr>
        <w:pStyle w:val="29"/>
        <w:numPr>
          <w:ilvl w:val="1"/>
          <w:numId w:val="44"/>
        </w:numPr>
        <w:spacing w:line="360" w:lineRule="auto"/>
        <w:ind w:left="567" w:leftChars="0" w:hanging="567" w:firstLineChars="0"/>
        <w:contextualSpacing/>
        <w:rPr>
          <w:rFonts w:hint="eastAsia" w:ascii="黑体" w:hAnsi="黑体" w:eastAsia="黑体"/>
          <w:color w:val="auto"/>
          <w:szCs w:val="21"/>
          <w:highlight w:val="none"/>
        </w:rPr>
      </w:pPr>
      <w:r>
        <w:rPr>
          <w:rFonts w:hint="eastAsia" w:ascii="黑体" w:hAnsi="黑体" w:eastAsia="黑体"/>
          <w:color w:val="auto"/>
          <w:szCs w:val="21"/>
          <w:highlight w:val="none"/>
        </w:rPr>
        <w:t>可单独使用，可联合呼吸机同步使用。</w:t>
      </w:r>
    </w:p>
    <w:p w14:paraId="6EDA8533">
      <w:pPr>
        <w:pStyle w:val="29"/>
        <w:numPr>
          <w:ilvl w:val="1"/>
          <w:numId w:val="44"/>
        </w:numPr>
        <w:spacing w:line="360" w:lineRule="auto"/>
        <w:ind w:left="567" w:leftChars="0" w:hanging="567" w:firstLineChars="0"/>
        <w:contextualSpacing/>
        <w:rPr>
          <w:rFonts w:hint="eastAsia" w:ascii="黑体" w:hAnsi="黑体" w:eastAsia="黑体"/>
          <w:b/>
          <w:bCs/>
          <w:color w:val="auto"/>
          <w:szCs w:val="21"/>
          <w:highlight w:val="none"/>
        </w:rPr>
      </w:pPr>
      <w:r>
        <w:rPr>
          <w:rFonts w:hint="eastAsia" w:ascii="黑体" w:hAnsi="黑体" w:eastAsia="黑体"/>
          <w:b/>
          <w:bCs/>
          <w:color w:val="auto"/>
          <w:szCs w:val="21"/>
          <w:highlight w:val="none"/>
        </w:rPr>
        <w:t xml:space="preserve">▲主机与台车可分离使用，便于将主机放置于ICU吊塔上进行治疗。 </w:t>
      </w:r>
    </w:p>
    <w:p w14:paraId="2E4D808B">
      <w:pPr>
        <w:pStyle w:val="29"/>
        <w:numPr>
          <w:ilvl w:val="1"/>
          <w:numId w:val="44"/>
        </w:numPr>
        <w:spacing w:line="360" w:lineRule="auto"/>
        <w:ind w:left="567" w:leftChars="0" w:hanging="567" w:firstLineChars="0"/>
        <w:contextualSpacing/>
        <w:rPr>
          <w:rFonts w:hint="eastAsia" w:ascii="黑体" w:hAnsi="黑体" w:eastAsia="黑体"/>
          <w:color w:val="auto"/>
          <w:szCs w:val="21"/>
          <w:highlight w:val="none"/>
        </w:rPr>
      </w:pPr>
      <w:r>
        <w:rPr>
          <w:rFonts w:hint="eastAsia" w:ascii="黑体" w:hAnsi="黑体" w:eastAsia="黑体"/>
          <w:b/>
          <w:bCs/>
          <w:color w:val="auto"/>
          <w:szCs w:val="21"/>
          <w:highlight w:val="none"/>
        </w:rPr>
        <w:t>▲主机重量≤6kg,便于病房内转运。</w:t>
      </w:r>
      <w:r>
        <w:rPr>
          <w:rFonts w:hint="eastAsia" w:ascii="黑体" w:hAnsi="黑体" w:eastAsia="黑体"/>
          <w:color w:val="auto"/>
          <w:szCs w:val="21"/>
          <w:highlight w:val="none"/>
        </w:rPr>
        <w:t xml:space="preserve"> </w:t>
      </w:r>
    </w:p>
    <w:p w14:paraId="65D3FE23">
      <w:pPr>
        <w:pStyle w:val="29"/>
        <w:numPr>
          <w:ilvl w:val="1"/>
          <w:numId w:val="44"/>
        </w:numPr>
        <w:spacing w:line="360" w:lineRule="auto"/>
        <w:ind w:left="567" w:leftChars="0" w:hanging="567" w:firstLineChars="0"/>
        <w:contextualSpacing/>
        <w:rPr>
          <w:rFonts w:hint="eastAsia" w:ascii="黑体" w:hAnsi="黑体" w:eastAsia="黑体"/>
          <w:color w:val="auto"/>
          <w:szCs w:val="21"/>
          <w:highlight w:val="none"/>
        </w:rPr>
      </w:pPr>
      <w:r>
        <w:rPr>
          <w:rFonts w:hint="eastAsia" w:ascii="黑体" w:hAnsi="黑体" w:eastAsia="黑体"/>
          <w:color w:val="auto"/>
          <w:szCs w:val="21"/>
          <w:highlight w:val="none"/>
        </w:rPr>
        <w:t>无需额外设备，可同步进行补充供氧。</w:t>
      </w:r>
    </w:p>
    <w:p w14:paraId="55E63406">
      <w:pPr>
        <w:pStyle w:val="29"/>
        <w:numPr>
          <w:ilvl w:val="1"/>
          <w:numId w:val="44"/>
        </w:numPr>
        <w:spacing w:line="360" w:lineRule="auto"/>
        <w:ind w:left="567" w:leftChars="0" w:hanging="567" w:firstLineChars="0"/>
        <w:contextualSpacing/>
        <w:rPr>
          <w:rFonts w:hint="eastAsia" w:ascii="黑体" w:hAnsi="黑体" w:eastAsia="黑体"/>
          <w:color w:val="auto"/>
          <w:szCs w:val="21"/>
          <w:highlight w:val="none"/>
        </w:rPr>
      </w:pPr>
      <w:r>
        <w:rPr>
          <w:rFonts w:hint="eastAsia" w:ascii="黑体" w:hAnsi="黑体" w:eastAsia="黑体"/>
          <w:color w:val="auto"/>
          <w:szCs w:val="21"/>
          <w:highlight w:val="none"/>
        </w:rPr>
        <w:t>使用期限≧5年。</w:t>
      </w:r>
    </w:p>
    <w:p w14:paraId="405AB80E">
      <w:pPr>
        <w:pStyle w:val="29"/>
        <w:numPr>
          <w:ilvl w:val="0"/>
          <w:numId w:val="43"/>
        </w:numPr>
        <w:spacing w:line="360" w:lineRule="auto"/>
        <w:ind w:left="425" w:leftChars="0" w:hanging="425" w:firstLineChars="0"/>
        <w:contextualSpacing/>
        <w:rPr>
          <w:rFonts w:ascii="黑体" w:hAnsi="黑体" w:eastAsia="黑体"/>
          <w:color w:val="auto"/>
          <w:szCs w:val="21"/>
          <w:highlight w:val="none"/>
        </w:rPr>
      </w:pPr>
      <w:r>
        <w:rPr>
          <w:rFonts w:hint="eastAsia" w:ascii="黑体" w:hAnsi="黑体" w:eastAsia="黑体"/>
          <w:color w:val="auto"/>
          <w:szCs w:val="21"/>
          <w:highlight w:val="none"/>
        </w:rPr>
        <w:t>配置清单</w:t>
      </w:r>
    </w:p>
    <w:tbl>
      <w:tblPr>
        <w:tblStyle w:val="19"/>
        <w:tblW w:w="4997" w:type="pct"/>
        <w:jc w:val="center"/>
        <w:tblBorders>
          <w:top w:val="single" w:color="auto" w:sz="8" w:space="0"/>
          <w:left w:val="single" w:color="auto" w:sz="6" w:space="0"/>
          <w:bottom w:val="single" w:color="auto" w:sz="6" w:space="0"/>
          <w:right w:val="single" w:color="auto" w:sz="8" w:space="0"/>
          <w:insideH w:val="single" w:color="auto" w:sz="8" w:space="0"/>
          <w:insideV w:val="single" w:color="auto" w:sz="6" w:space="0"/>
        </w:tblBorders>
        <w:tblLayout w:type="autofit"/>
        <w:tblCellMar>
          <w:top w:w="0" w:type="dxa"/>
          <w:left w:w="108" w:type="dxa"/>
          <w:bottom w:w="0" w:type="dxa"/>
          <w:right w:w="108" w:type="dxa"/>
        </w:tblCellMar>
      </w:tblPr>
      <w:tblGrid>
        <w:gridCol w:w="1504"/>
        <w:gridCol w:w="5379"/>
        <w:gridCol w:w="1879"/>
      </w:tblGrid>
      <w:tr w14:paraId="145EC45F">
        <w:tblPrEx>
          <w:tblBorders>
            <w:top w:val="single" w:color="auto" w:sz="8" w:space="0"/>
            <w:left w:val="single" w:color="auto" w:sz="6" w:space="0"/>
            <w:bottom w:val="single" w:color="auto" w:sz="6" w:space="0"/>
            <w:right w:val="single" w:color="auto" w:sz="8" w:space="0"/>
            <w:insideH w:val="single" w:color="auto" w:sz="8" w:space="0"/>
            <w:insideV w:val="single" w:color="auto" w:sz="6" w:space="0"/>
          </w:tblBorders>
          <w:tblCellMar>
            <w:top w:w="0" w:type="dxa"/>
            <w:left w:w="108" w:type="dxa"/>
            <w:bottom w:w="0" w:type="dxa"/>
            <w:right w:w="108" w:type="dxa"/>
          </w:tblCellMar>
        </w:tblPrEx>
        <w:trPr>
          <w:trHeight w:val="510" w:hRule="atLeast"/>
          <w:jc w:val="center"/>
        </w:trPr>
        <w:tc>
          <w:tcPr>
            <w:tcW w:w="858" w:type="pct"/>
            <w:tcBorders>
              <w:tl2br w:val="nil"/>
              <w:tr2bl w:val="nil"/>
            </w:tcBorders>
            <w:vAlign w:val="center"/>
          </w:tcPr>
          <w:p w14:paraId="5BF6C098">
            <w:pPr>
              <w:tabs>
                <w:tab w:val="left" w:pos="1578"/>
                <w:tab w:val="left" w:pos="10083"/>
              </w:tabs>
              <w:spacing w:line="360" w:lineRule="auto"/>
              <w:jc w:val="center"/>
              <w:rPr>
                <w:rFonts w:hint="eastAsia" w:ascii="黑体" w:hAnsi="黑体" w:eastAsia="黑体" w:cs="黑体"/>
                <w:b/>
                <w:bCs/>
                <w:szCs w:val="21"/>
              </w:rPr>
            </w:pPr>
            <w:r>
              <w:rPr>
                <w:rFonts w:hint="eastAsia" w:ascii="黑体" w:hAnsi="黑体" w:eastAsia="黑体" w:cs="黑体"/>
                <w:b/>
                <w:bCs/>
                <w:szCs w:val="21"/>
              </w:rPr>
              <w:t>序号</w:t>
            </w:r>
          </w:p>
        </w:tc>
        <w:tc>
          <w:tcPr>
            <w:tcW w:w="3069" w:type="pct"/>
            <w:tcBorders>
              <w:tl2br w:val="nil"/>
              <w:tr2bl w:val="nil"/>
            </w:tcBorders>
            <w:vAlign w:val="center"/>
          </w:tcPr>
          <w:p w14:paraId="24475E83">
            <w:pPr>
              <w:tabs>
                <w:tab w:val="left" w:pos="1578"/>
                <w:tab w:val="left" w:pos="10083"/>
              </w:tabs>
              <w:spacing w:line="360" w:lineRule="auto"/>
              <w:jc w:val="center"/>
              <w:rPr>
                <w:rFonts w:hint="eastAsia" w:ascii="黑体" w:hAnsi="黑体" w:eastAsia="黑体" w:cs="黑体"/>
                <w:b/>
                <w:bCs/>
                <w:szCs w:val="21"/>
              </w:rPr>
            </w:pPr>
            <w:r>
              <w:rPr>
                <w:rFonts w:hint="eastAsia" w:ascii="黑体" w:hAnsi="黑体" w:eastAsia="黑体" w:cs="黑体"/>
                <w:b/>
                <w:bCs/>
                <w:szCs w:val="21"/>
              </w:rPr>
              <w:t>名    称</w:t>
            </w:r>
          </w:p>
        </w:tc>
        <w:tc>
          <w:tcPr>
            <w:tcW w:w="1072" w:type="pct"/>
            <w:tcBorders>
              <w:tl2br w:val="nil"/>
              <w:tr2bl w:val="nil"/>
            </w:tcBorders>
            <w:vAlign w:val="center"/>
          </w:tcPr>
          <w:p w14:paraId="61019284">
            <w:pPr>
              <w:tabs>
                <w:tab w:val="left" w:pos="1578"/>
                <w:tab w:val="left" w:pos="10083"/>
              </w:tabs>
              <w:spacing w:line="360" w:lineRule="auto"/>
              <w:jc w:val="center"/>
              <w:rPr>
                <w:rFonts w:hint="eastAsia" w:ascii="黑体" w:hAnsi="黑体" w:eastAsia="黑体" w:cs="黑体"/>
                <w:b/>
                <w:bCs/>
                <w:szCs w:val="21"/>
              </w:rPr>
            </w:pPr>
            <w:r>
              <w:rPr>
                <w:rFonts w:hint="eastAsia" w:ascii="黑体" w:hAnsi="黑体" w:eastAsia="黑体" w:cs="黑体"/>
                <w:b/>
                <w:bCs/>
                <w:szCs w:val="21"/>
              </w:rPr>
              <w:t>数  量</w:t>
            </w:r>
          </w:p>
        </w:tc>
      </w:tr>
      <w:tr w14:paraId="3DB12D76">
        <w:tblPrEx>
          <w:tblBorders>
            <w:top w:val="single" w:color="auto" w:sz="8" w:space="0"/>
            <w:left w:val="single" w:color="auto" w:sz="6" w:space="0"/>
            <w:bottom w:val="single" w:color="auto" w:sz="6" w:space="0"/>
            <w:right w:val="single" w:color="auto" w:sz="8" w:space="0"/>
            <w:insideH w:val="single" w:color="auto" w:sz="8" w:space="0"/>
            <w:insideV w:val="single" w:color="auto" w:sz="6" w:space="0"/>
          </w:tblBorders>
          <w:tblCellMar>
            <w:top w:w="0" w:type="dxa"/>
            <w:left w:w="108" w:type="dxa"/>
            <w:bottom w:w="0" w:type="dxa"/>
            <w:right w:w="108" w:type="dxa"/>
          </w:tblCellMar>
        </w:tblPrEx>
        <w:trPr>
          <w:trHeight w:val="90" w:hRule="atLeast"/>
          <w:jc w:val="center"/>
        </w:trPr>
        <w:tc>
          <w:tcPr>
            <w:tcW w:w="858" w:type="pct"/>
            <w:tcBorders>
              <w:tl2br w:val="nil"/>
              <w:tr2bl w:val="nil"/>
            </w:tcBorders>
            <w:vAlign w:val="center"/>
          </w:tcPr>
          <w:p w14:paraId="12A03201">
            <w:pPr>
              <w:snapToGrid w:val="0"/>
              <w:spacing w:before="50" w:after="50" w:line="360" w:lineRule="auto"/>
              <w:jc w:val="center"/>
              <w:rPr>
                <w:rFonts w:hint="eastAsia" w:ascii="黑体" w:hAnsi="黑体" w:eastAsia="黑体" w:cs="黑体"/>
                <w:szCs w:val="21"/>
              </w:rPr>
            </w:pPr>
            <w:r>
              <w:rPr>
                <w:rFonts w:hint="eastAsia" w:ascii="黑体" w:hAnsi="黑体" w:eastAsia="黑体" w:cs="黑体"/>
                <w:szCs w:val="21"/>
              </w:rPr>
              <w:t>1</w:t>
            </w:r>
          </w:p>
        </w:tc>
        <w:tc>
          <w:tcPr>
            <w:tcW w:w="3069" w:type="pct"/>
            <w:tcBorders>
              <w:tl2br w:val="nil"/>
              <w:tr2bl w:val="nil"/>
            </w:tcBorders>
            <w:vAlign w:val="center"/>
          </w:tcPr>
          <w:p w14:paraId="26AAFA66">
            <w:pPr>
              <w:snapToGrid w:val="0"/>
              <w:spacing w:before="50" w:after="50" w:line="360" w:lineRule="auto"/>
              <w:jc w:val="center"/>
              <w:rPr>
                <w:rFonts w:hint="eastAsia" w:ascii="黑体" w:hAnsi="黑体" w:eastAsia="黑体" w:cs="黑体"/>
                <w:szCs w:val="21"/>
              </w:rPr>
            </w:pPr>
            <w:r>
              <w:rPr>
                <w:rFonts w:hint="eastAsia" w:ascii="黑体" w:hAnsi="黑体" w:eastAsia="黑体" w:cs="黑体"/>
              </w:rPr>
              <w:t>主机</w:t>
            </w:r>
          </w:p>
        </w:tc>
        <w:tc>
          <w:tcPr>
            <w:tcW w:w="1072" w:type="pct"/>
            <w:tcBorders>
              <w:tl2br w:val="nil"/>
              <w:tr2bl w:val="nil"/>
            </w:tcBorders>
            <w:vAlign w:val="center"/>
          </w:tcPr>
          <w:p w14:paraId="0854F113">
            <w:pPr>
              <w:snapToGrid w:val="0"/>
              <w:spacing w:before="50" w:after="50" w:line="360" w:lineRule="auto"/>
              <w:jc w:val="center"/>
              <w:rPr>
                <w:rFonts w:hint="eastAsia" w:ascii="黑体" w:hAnsi="黑体" w:eastAsia="黑体" w:cs="黑体"/>
                <w:szCs w:val="21"/>
              </w:rPr>
            </w:pPr>
            <w:r>
              <w:rPr>
                <w:rFonts w:hint="eastAsia" w:ascii="黑体" w:hAnsi="黑体" w:eastAsia="黑体" w:cs="黑体"/>
                <w:szCs w:val="21"/>
              </w:rPr>
              <w:t>1台</w:t>
            </w:r>
          </w:p>
        </w:tc>
      </w:tr>
      <w:tr w14:paraId="083A1DFB">
        <w:tblPrEx>
          <w:tblBorders>
            <w:top w:val="single" w:color="auto" w:sz="8" w:space="0"/>
            <w:left w:val="single" w:color="auto" w:sz="6" w:space="0"/>
            <w:bottom w:val="single" w:color="auto" w:sz="6" w:space="0"/>
            <w:right w:val="single" w:color="auto" w:sz="8" w:space="0"/>
            <w:insideH w:val="single" w:color="auto" w:sz="8" w:space="0"/>
            <w:insideV w:val="single" w:color="auto" w:sz="6" w:space="0"/>
          </w:tblBorders>
          <w:tblCellMar>
            <w:top w:w="0" w:type="dxa"/>
            <w:left w:w="108" w:type="dxa"/>
            <w:bottom w:w="0" w:type="dxa"/>
            <w:right w:w="108" w:type="dxa"/>
          </w:tblCellMar>
        </w:tblPrEx>
        <w:trPr>
          <w:trHeight w:val="520" w:hRule="atLeast"/>
          <w:jc w:val="center"/>
        </w:trPr>
        <w:tc>
          <w:tcPr>
            <w:tcW w:w="858" w:type="pct"/>
            <w:tcBorders>
              <w:tl2br w:val="nil"/>
              <w:tr2bl w:val="nil"/>
            </w:tcBorders>
            <w:vAlign w:val="center"/>
          </w:tcPr>
          <w:p w14:paraId="0CCCAF8F">
            <w:pPr>
              <w:snapToGrid w:val="0"/>
              <w:spacing w:before="50" w:after="50" w:line="360" w:lineRule="auto"/>
              <w:jc w:val="center"/>
              <w:rPr>
                <w:rFonts w:hint="eastAsia" w:ascii="黑体" w:hAnsi="黑体" w:eastAsia="黑体" w:cs="黑体"/>
                <w:kern w:val="0"/>
                <w:szCs w:val="21"/>
              </w:rPr>
            </w:pPr>
            <w:r>
              <w:rPr>
                <w:rFonts w:hint="eastAsia" w:ascii="黑体" w:hAnsi="黑体" w:eastAsia="黑体" w:cs="黑体"/>
                <w:kern w:val="0"/>
                <w:szCs w:val="21"/>
              </w:rPr>
              <w:t>2</w:t>
            </w:r>
          </w:p>
        </w:tc>
        <w:tc>
          <w:tcPr>
            <w:tcW w:w="3069" w:type="pct"/>
            <w:tcBorders>
              <w:tl2br w:val="nil"/>
              <w:tr2bl w:val="nil"/>
            </w:tcBorders>
          </w:tcPr>
          <w:p w14:paraId="2377BC4B">
            <w:pPr>
              <w:snapToGrid w:val="0"/>
              <w:spacing w:before="50" w:after="50" w:line="360" w:lineRule="auto"/>
              <w:jc w:val="center"/>
              <w:rPr>
                <w:rFonts w:hint="eastAsia" w:ascii="黑体" w:hAnsi="黑体" w:eastAsia="黑体" w:cs="黑体"/>
                <w:kern w:val="0"/>
                <w:szCs w:val="21"/>
              </w:rPr>
            </w:pPr>
            <w:r>
              <w:rPr>
                <w:rFonts w:hint="eastAsia" w:ascii="黑体" w:hAnsi="黑体" w:eastAsia="黑体" w:cs="黑体"/>
              </w:rPr>
              <w:t>台车</w:t>
            </w:r>
          </w:p>
        </w:tc>
        <w:tc>
          <w:tcPr>
            <w:tcW w:w="1072" w:type="pct"/>
            <w:tcBorders>
              <w:tl2br w:val="nil"/>
              <w:tr2bl w:val="nil"/>
            </w:tcBorders>
            <w:vAlign w:val="center"/>
          </w:tcPr>
          <w:p w14:paraId="437F5DB1">
            <w:pPr>
              <w:snapToGrid w:val="0"/>
              <w:spacing w:before="50" w:after="50" w:line="360" w:lineRule="auto"/>
              <w:jc w:val="center"/>
              <w:rPr>
                <w:rFonts w:hint="eastAsia" w:ascii="黑体" w:hAnsi="黑体" w:eastAsia="黑体" w:cs="黑体"/>
                <w:szCs w:val="21"/>
              </w:rPr>
            </w:pPr>
            <w:r>
              <w:rPr>
                <w:rFonts w:hint="eastAsia" w:ascii="黑体" w:hAnsi="黑体" w:eastAsia="黑体" w:cs="黑体"/>
                <w:color w:val="000000"/>
                <w:szCs w:val="21"/>
              </w:rPr>
              <w:t>1台</w:t>
            </w:r>
          </w:p>
        </w:tc>
      </w:tr>
      <w:tr w14:paraId="0813671A">
        <w:tblPrEx>
          <w:tblBorders>
            <w:top w:val="single" w:color="auto" w:sz="8" w:space="0"/>
            <w:left w:val="single" w:color="auto" w:sz="6" w:space="0"/>
            <w:bottom w:val="single" w:color="auto" w:sz="6" w:space="0"/>
            <w:right w:val="single" w:color="auto" w:sz="8" w:space="0"/>
            <w:insideH w:val="single" w:color="auto" w:sz="8" w:space="0"/>
            <w:insideV w:val="single" w:color="auto" w:sz="6" w:space="0"/>
          </w:tblBorders>
          <w:tblCellMar>
            <w:top w:w="0" w:type="dxa"/>
            <w:left w:w="108" w:type="dxa"/>
            <w:bottom w:w="0" w:type="dxa"/>
            <w:right w:w="108" w:type="dxa"/>
          </w:tblCellMar>
        </w:tblPrEx>
        <w:trPr>
          <w:trHeight w:val="520" w:hRule="atLeast"/>
          <w:jc w:val="center"/>
        </w:trPr>
        <w:tc>
          <w:tcPr>
            <w:tcW w:w="858" w:type="pct"/>
            <w:tcBorders>
              <w:tl2br w:val="nil"/>
              <w:tr2bl w:val="nil"/>
            </w:tcBorders>
            <w:vAlign w:val="center"/>
          </w:tcPr>
          <w:p w14:paraId="70CD90DB">
            <w:pPr>
              <w:snapToGrid w:val="0"/>
              <w:spacing w:before="50" w:after="50" w:line="360" w:lineRule="auto"/>
              <w:jc w:val="center"/>
              <w:rPr>
                <w:rFonts w:hint="eastAsia" w:ascii="黑体" w:hAnsi="黑体" w:eastAsia="黑体" w:cs="黑体"/>
                <w:kern w:val="0"/>
                <w:szCs w:val="21"/>
                <w:lang w:val="en-US" w:eastAsia="zh-CN"/>
              </w:rPr>
            </w:pPr>
            <w:r>
              <w:rPr>
                <w:rFonts w:hint="eastAsia" w:ascii="黑体" w:hAnsi="黑体" w:eastAsia="黑体" w:cs="黑体"/>
                <w:kern w:val="0"/>
                <w:szCs w:val="21"/>
                <w:lang w:val="en-US" w:eastAsia="zh-CN"/>
              </w:rPr>
              <w:t>3</w:t>
            </w:r>
          </w:p>
        </w:tc>
        <w:tc>
          <w:tcPr>
            <w:tcW w:w="3069" w:type="pct"/>
            <w:tcBorders>
              <w:tl2br w:val="nil"/>
              <w:tr2bl w:val="nil"/>
            </w:tcBorders>
          </w:tcPr>
          <w:p w14:paraId="2DB27180">
            <w:pPr>
              <w:snapToGrid w:val="0"/>
              <w:spacing w:before="50" w:after="50" w:line="360" w:lineRule="auto"/>
              <w:jc w:val="center"/>
              <w:rPr>
                <w:rFonts w:hint="eastAsia" w:ascii="黑体" w:hAnsi="黑体" w:eastAsia="黑体" w:cs="黑体"/>
                <w:lang w:val="en-US" w:eastAsia="zh-CN"/>
              </w:rPr>
            </w:pPr>
            <w:r>
              <w:rPr>
                <w:rFonts w:hint="eastAsia" w:ascii="黑体" w:hAnsi="黑体" w:eastAsia="黑体" w:cs="黑体"/>
                <w:lang w:val="en-US" w:eastAsia="zh-CN"/>
              </w:rPr>
              <w:t>墙壁氧主机连接管路</w:t>
            </w:r>
          </w:p>
        </w:tc>
        <w:tc>
          <w:tcPr>
            <w:tcW w:w="1072" w:type="pct"/>
            <w:tcBorders>
              <w:tl2br w:val="nil"/>
              <w:tr2bl w:val="nil"/>
            </w:tcBorders>
            <w:vAlign w:val="center"/>
          </w:tcPr>
          <w:p w14:paraId="1EC9624B">
            <w:pPr>
              <w:snapToGrid w:val="0"/>
              <w:spacing w:before="50" w:after="50" w:line="360" w:lineRule="auto"/>
              <w:jc w:val="center"/>
              <w:rPr>
                <w:rFonts w:hint="eastAsia" w:ascii="黑体" w:hAnsi="黑体" w:eastAsia="黑体" w:cs="黑体"/>
                <w:color w:val="000000"/>
                <w:szCs w:val="21"/>
                <w:lang w:val="en-US" w:eastAsia="zh-CN"/>
              </w:rPr>
            </w:pPr>
            <w:r>
              <w:rPr>
                <w:rFonts w:hint="eastAsia" w:ascii="黑体" w:hAnsi="黑体" w:eastAsia="黑体" w:cs="黑体"/>
                <w:color w:val="000000"/>
                <w:szCs w:val="21"/>
                <w:lang w:val="en-US" w:eastAsia="zh-CN"/>
              </w:rPr>
              <w:t>1条</w:t>
            </w:r>
          </w:p>
        </w:tc>
      </w:tr>
    </w:tbl>
    <w:p w14:paraId="229A13C3">
      <w:pPr>
        <w:pStyle w:val="29"/>
        <w:numPr>
          <w:ilvl w:val="0"/>
          <w:numId w:val="43"/>
        </w:numPr>
        <w:spacing w:line="360" w:lineRule="auto"/>
        <w:ind w:left="425" w:leftChars="0" w:hanging="425" w:firstLineChars="0"/>
        <w:contextualSpacing/>
        <w:rPr>
          <w:rFonts w:hint="eastAsia" w:ascii="黑体" w:hAnsi="黑体" w:eastAsia="黑体"/>
          <w:color w:val="auto"/>
          <w:szCs w:val="21"/>
          <w:highlight w:val="none"/>
        </w:rPr>
      </w:pPr>
      <w:r>
        <w:rPr>
          <w:rFonts w:hint="eastAsia" w:ascii="黑体" w:hAnsi="黑体" w:eastAsia="黑体"/>
          <w:color w:val="auto"/>
          <w:szCs w:val="21"/>
          <w:highlight w:val="none"/>
        </w:rPr>
        <w:t>配套试剂耗材要求：（最终以省集采平台价格为准）</w:t>
      </w:r>
    </w:p>
    <w:tbl>
      <w:tblPr>
        <w:tblStyle w:val="19"/>
        <w:tblW w:w="8763" w:type="dxa"/>
        <w:tblInd w:w="0" w:type="dxa"/>
        <w:tblLayout w:type="fixed"/>
        <w:tblCellMar>
          <w:top w:w="0" w:type="dxa"/>
          <w:left w:w="108" w:type="dxa"/>
          <w:bottom w:w="0" w:type="dxa"/>
          <w:right w:w="108" w:type="dxa"/>
        </w:tblCellMar>
      </w:tblPr>
      <w:tblGrid>
        <w:gridCol w:w="2475"/>
        <w:gridCol w:w="2492"/>
        <w:gridCol w:w="1904"/>
        <w:gridCol w:w="1892"/>
      </w:tblGrid>
      <w:tr w14:paraId="3A4F2F27">
        <w:tblPrEx>
          <w:tblCellMar>
            <w:top w:w="0" w:type="dxa"/>
            <w:left w:w="108" w:type="dxa"/>
            <w:bottom w:w="0" w:type="dxa"/>
            <w:right w:w="108" w:type="dxa"/>
          </w:tblCellMar>
        </w:tblPrEx>
        <w:trPr>
          <w:trHeight w:val="850" w:hRule="atLeast"/>
        </w:trPr>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EE3032">
            <w:pPr>
              <w:snapToGrid w:val="0"/>
              <w:spacing w:before="50" w:after="50" w:line="360" w:lineRule="auto"/>
              <w:jc w:val="center"/>
              <w:rPr>
                <w:rFonts w:hint="eastAsia" w:ascii="黑体" w:hAnsi="黑体" w:eastAsia="黑体" w:cs="黑体"/>
                <w:kern w:val="0"/>
                <w:szCs w:val="21"/>
                <w:lang w:val="en-US" w:eastAsia="zh-CN"/>
              </w:rPr>
            </w:pPr>
            <w:r>
              <w:rPr>
                <w:rFonts w:hint="eastAsia" w:ascii="黑体" w:hAnsi="黑体" w:eastAsia="黑体" w:cs="黑体"/>
                <w:kern w:val="0"/>
                <w:szCs w:val="21"/>
                <w:lang w:val="en-US" w:eastAsia="zh-CN"/>
              </w:rPr>
              <w:t>产品名称</w:t>
            </w:r>
          </w:p>
        </w:tc>
        <w:tc>
          <w:tcPr>
            <w:tcW w:w="24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A01C4CA">
            <w:pPr>
              <w:snapToGrid w:val="0"/>
              <w:spacing w:before="50" w:after="50" w:line="360" w:lineRule="auto"/>
              <w:jc w:val="center"/>
              <w:rPr>
                <w:rFonts w:hint="eastAsia" w:ascii="黑体" w:hAnsi="黑体" w:eastAsia="黑体" w:cs="黑体"/>
                <w:kern w:val="0"/>
                <w:szCs w:val="21"/>
                <w:lang w:val="en-US" w:eastAsia="zh-CN"/>
              </w:rPr>
            </w:pPr>
            <w:r>
              <w:rPr>
                <w:rFonts w:hint="eastAsia" w:ascii="黑体" w:hAnsi="黑体" w:eastAsia="黑体" w:cs="黑体"/>
                <w:kern w:val="0"/>
                <w:szCs w:val="21"/>
                <w:lang w:val="en-US" w:eastAsia="zh-CN"/>
              </w:rPr>
              <w:t>规格型号</w:t>
            </w:r>
          </w:p>
        </w:tc>
        <w:tc>
          <w:tcPr>
            <w:tcW w:w="19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9FCE14E">
            <w:pPr>
              <w:snapToGrid w:val="0"/>
              <w:spacing w:before="50" w:after="50" w:line="360" w:lineRule="auto"/>
              <w:jc w:val="center"/>
              <w:rPr>
                <w:rFonts w:hint="eastAsia" w:ascii="黑体" w:hAnsi="黑体" w:eastAsia="黑体" w:cs="黑体"/>
                <w:kern w:val="0"/>
                <w:szCs w:val="21"/>
                <w:lang w:val="en-US" w:eastAsia="zh-CN"/>
              </w:rPr>
            </w:pPr>
            <w:r>
              <w:rPr>
                <w:rFonts w:hint="eastAsia" w:ascii="黑体" w:hAnsi="黑体" w:eastAsia="黑体" w:cs="黑体"/>
                <w:kern w:val="0"/>
                <w:szCs w:val="21"/>
                <w:lang w:val="en-US" w:eastAsia="zh-CN"/>
              </w:rPr>
              <w:t>最高限价（元）</w:t>
            </w:r>
          </w:p>
        </w:tc>
        <w:tc>
          <w:tcPr>
            <w:tcW w:w="18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2303A2B">
            <w:pPr>
              <w:snapToGrid w:val="0"/>
              <w:spacing w:before="50" w:after="50" w:line="360" w:lineRule="auto"/>
              <w:jc w:val="center"/>
              <w:rPr>
                <w:rFonts w:hint="eastAsia" w:ascii="黑体" w:hAnsi="黑体" w:eastAsia="黑体" w:cs="黑体"/>
                <w:kern w:val="0"/>
                <w:szCs w:val="21"/>
                <w:lang w:val="en-US" w:eastAsia="zh-CN"/>
              </w:rPr>
            </w:pPr>
            <w:r>
              <w:rPr>
                <w:rFonts w:hint="eastAsia" w:ascii="黑体" w:hAnsi="黑体" w:eastAsia="黑体" w:cs="黑体"/>
                <w:kern w:val="0"/>
                <w:szCs w:val="21"/>
                <w:lang w:val="en-US" w:eastAsia="zh-CN"/>
              </w:rPr>
              <w:t>单位</w:t>
            </w:r>
          </w:p>
        </w:tc>
      </w:tr>
      <w:tr w14:paraId="2430EDE9">
        <w:tblPrEx>
          <w:tblCellMar>
            <w:top w:w="0" w:type="dxa"/>
            <w:left w:w="108" w:type="dxa"/>
            <w:bottom w:w="0" w:type="dxa"/>
            <w:right w:w="108" w:type="dxa"/>
          </w:tblCellMar>
        </w:tblPrEx>
        <w:trPr>
          <w:trHeight w:val="784" w:hRule="atLeast"/>
        </w:trPr>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3CCD4">
            <w:pPr>
              <w:snapToGrid w:val="0"/>
              <w:spacing w:before="50" w:after="50" w:line="360" w:lineRule="auto"/>
              <w:jc w:val="center"/>
              <w:rPr>
                <w:rFonts w:hint="eastAsia" w:ascii="黑体" w:hAnsi="黑体" w:eastAsia="黑体" w:cs="黑体"/>
                <w:kern w:val="0"/>
                <w:szCs w:val="21"/>
                <w:lang w:val="en-US" w:eastAsia="zh-CN"/>
              </w:rPr>
            </w:pPr>
            <w:r>
              <w:rPr>
                <w:rFonts w:hint="eastAsia" w:ascii="黑体" w:hAnsi="黑体" w:eastAsia="黑体" w:cs="黑体"/>
                <w:kern w:val="0"/>
                <w:szCs w:val="21"/>
                <w:lang w:val="en-US" w:eastAsia="zh-CN"/>
              </w:rPr>
              <w:t>单病人使用呼吸治疗管路组</w:t>
            </w:r>
          </w:p>
        </w:tc>
        <w:tc>
          <w:tcPr>
            <w:tcW w:w="2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DC814">
            <w:pPr>
              <w:snapToGrid w:val="0"/>
              <w:spacing w:before="50" w:after="50" w:line="360" w:lineRule="auto"/>
              <w:jc w:val="center"/>
              <w:rPr>
                <w:rFonts w:hint="default" w:ascii="黑体" w:hAnsi="黑体" w:eastAsia="黑体" w:cs="黑体"/>
                <w:kern w:val="0"/>
                <w:szCs w:val="21"/>
                <w:lang w:val="en-US" w:eastAsia="zh-CN"/>
              </w:rPr>
            </w:pPr>
            <w:r>
              <w:rPr>
                <w:rFonts w:hint="eastAsia" w:ascii="黑体" w:hAnsi="黑体" w:eastAsia="黑体" w:cs="黑体"/>
                <w:kern w:val="0"/>
                <w:szCs w:val="21"/>
                <w:lang w:val="en-US" w:eastAsia="zh-CN"/>
              </w:rPr>
              <w:t>各型号</w:t>
            </w:r>
          </w:p>
        </w:tc>
        <w:tc>
          <w:tcPr>
            <w:tcW w:w="1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5F892">
            <w:pPr>
              <w:snapToGrid w:val="0"/>
              <w:spacing w:before="50" w:after="50" w:line="360" w:lineRule="auto"/>
              <w:jc w:val="center"/>
              <w:rPr>
                <w:rFonts w:hint="default" w:ascii="黑体" w:hAnsi="黑体" w:eastAsia="黑体" w:cs="黑体"/>
                <w:kern w:val="0"/>
                <w:szCs w:val="21"/>
                <w:lang w:val="en-US" w:eastAsia="zh-CN"/>
              </w:rPr>
            </w:pPr>
            <w:r>
              <w:rPr>
                <w:rFonts w:hint="eastAsia" w:ascii="黑体" w:hAnsi="黑体" w:eastAsia="黑体" w:cs="黑体"/>
                <w:kern w:val="0"/>
                <w:szCs w:val="21"/>
                <w:lang w:val="en-US" w:eastAsia="zh-CN"/>
              </w:rPr>
              <w:t>1500</w:t>
            </w:r>
          </w:p>
        </w:tc>
        <w:tc>
          <w:tcPr>
            <w:tcW w:w="1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EBD6E">
            <w:pPr>
              <w:snapToGrid w:val="0"/>
              <w:spacing w:before="50" w:after="50" w:line="360" w:lineRule="auto"/>
              <w:jc w:val="center"/>
              <w:rPr>
                <w:rFonts w:hint="eastAsia" w:ascii="黑体" w:hAnsi="黑体" w:eastAsia="黑体" w:cs="黑体"/>
                <w:kern w:val="0"/>
                <w:szCs w:val="21"/>
                <w:lang w:val="en-US" w:eastAsia="zh-CN"/>
              </w:rPr>
            </w:pPr>
            <w:r>
              <w:rPr>
                <w:rFonts w:hint="eastAsia" w:ascii="黑体" w:hAnsi="黑体" w:eastAsia="黑体" w:cs="黑体"/>
                <w:kern w:val="0"/>
                <w:szCs w:val="21"/>
                <w:lang w:val="en-US" w:eastAsia="zh-CN"/>
              </w:rPr>
              <w:t>套</w:t>
            </w:r>
          </w:p>
        </w:tc>
      </w:tr>
    </w:tbl>
    <w:p w14:paraId="45323C68">
      <w:pPr>
        <w:pStyle w:val="29"/>
        <w:numPr>
          <w:ilvl w:val="0"/>
          <w:numId w:val="0"/>
        </w:numPr>
        <w:spacing w:line="360" w:lineRule="auto"/>
        <w:ind w:leftChars="0"/>
        <w:contextualSpacing/>
        <w:rPr>
          <w:rFonts w:ascii="黑体" w:hAnsi="黑体" w:eastAsia="黑体"/>
          <w:color w:val="auto"/>
          <w:szCs w:val="21"/>
          <w:highlight w:val="none"/>
        </w:rPr>
      </w:pPr>
    </w:p>
    <w:p w14:paraId="337E0F97">
      <w:pPr>
        <w:pStyle w:val="29"/>
        <w:numPr>
          <w:ilvl w:val="0"/>
          <w:numId w:val="0"/>
        </w:numPr>
        <w:spacing w:line="360" w:lineRule="auto"/>
        <w:ind w:leftChars="0"/>
        <w:contextualSpacing/>
        <w:rPr>
          <w:rFonts w:ascii="黑体" w:hAnsi="黑体" w:eastAsia="黑体"/>
          <w:color w:val="auto"/>
          <w:szCs w:val="21"/>
          <w:highlight w:val="none"/>
        </w:rPr>
      </w:pPr>
    </w:p>
    <w:bookmarkEnd w:id="16"/>
    <w:bookmarkEnd w:id="17"/>
    <w:p w14:paraId="2CBC1C98">
      <w:pPr>
        <w:pStyle w:val="3"/>
        <w:keepNext w:val="0"/>
        <w:keepLines w:val="0"/>
        <w:pageBreakBefore/>
        <w:spacing w:before="300" w:after="240" w:line="360" w:lineRule="auto"/>
        <w:jc w:val="center"/>
        <w:rPr>
          <w:rFonts w:ascii="黑体" w:hAnsi="黑体" w:eastAsia="黑体"/>
          <w:color w:val="000000" w:themeColor="text1"/>
          <w:spacing w:val="20"/>
          <w:sz w:val="32"/>
          <w:szCs w:val="32"/>
          <w14:textFill>
            <w14:solidFill>
              <w14:schemeClr w14:val="tx1"/>
            </w14:solidFill>
          </w14:textFill>
        </w:rPr>
      </w:pPr>
      <w:bookmarkStart w:id="18" w:name="_Toc391627749"/>
      <w:bookmarkStart w:id="19" w:name="_Toc405313953"/>
      <w:bookmarkStart w:id="20" w:name="_Toc119514287"/>
      <w:r>
        <w:rPr>
          <w:rFonts w:hint="eastAsia" w:ascii="黑体" w:hAnsi="黑体" w:eastAsia="黑体"/>
          <w:color w:val="000000" w:themeColor="text1"/>
          <w:spacing w:val="20"/>
          <w:sz w:val="32"/>
          <w:szCs w:val="32"/>
          <w14:textFill>
            <w14:solidFill>
              <w14:schemeClr w14:val="tx1"/>
            </w14:solidFill>
          </w14:textFill>
        </w:rPr>
        <w:t>第三部分</w:t>
      </w:r>
      <w:bookmarkEnd w:id="18"/>
      <w:bookmarkEnd w:id="19"/>
      <w:r>
        <w:rPr>
          <w:rFonts w:hint="eastAsia" w:ascii="黑体" w:hAnsi="黑体" w:eastAsia="黑体"/>
          <w:color w:val="000000" w:themeColor="text1"/>
          <w:spacing w:val="20"/>
          <w:sz w:val="32"/>
          <w:szCs w:val="32"/>
          <w14:textFill>
            <w14:solidFill>
              <w14:schemeClr w14:val="tx1"/>
            </w14:solidFill>
          </w14:textFill>
        </w:rPr>
        <w:t xml:space="preserve"> 投标人须知前附表</w:t>
      </w:r>
      <w:bookmarkEnd w:id="20"/>
    </w:p>
    <w:p w14:paraId="47A1BF92">
      <w:pPr>
        <w:tabs>
          <w:tab w:val="left" w:pos="426"/>
        </w:tabs>
        <w:spacing w:after="156" w:afterLines="50"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本表的条款项号是与投标须知条款项号对应的，或增加的条款，是对第四部分《投标人须知》的补充、修改和完善，如果有矛盾的话，应以本表为准。</w:t>
      </w:r>
    </w:p>
    <w:tbl>
      <w:tblPr>
        <w:tblStyle w:val="19"/>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133"/>
        <w:gridCol w:w="7634"/>
      </w:tblGrid>
      <w:tr w14:paraId="0A3E90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233F2167">
            <w:pPr>
              <w:spacing w:line="360" w:lineRule="exact"/>
              <w:ind w:right="-183"/>
              <w:jc w:val="left"/>
              <w:rPr>
                <w:rFonts w:ascii="黑体" w:hAnsi="黑体" w:eastAsia="黑体"/>
                <w:color w:val="000000" w:themeColor="text1"/>
                <w:szCs w:val="21"/>
                <w:lang w:val="zh-CN"/>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条款项号</w:t>
            </w:r>
          </w:p>
        </w:tc>
        <w:tc>
          <w:tcPr>
            <w:tcW w:w="4353" w:type="pct"/>
            <w:tcBorders>
              <w:top w:val="single" w:color="auto" w:sz="4" w:space="0"/>
              <w:left w:val="single" w:color="auto" w:sz="4" w:space="0"/>
              <w:bottom w:val="single" w:color="auto" w:sz="4" w:space="0"/>
              <w:right w:val="single" w:color="auto" w:sz="4" w:space="0"/>
            </w:tcBorders>
            <w:vAlign w:val="center"/>
          </w:tcPr>
          <w:p w14:paraId="47F12C55">
            <w:pPr>
              <w:spacing w:line="360" w:lineRule="exact"/>
              <w:ind w:right="-183"/>
              <w:jc w:val="center"/>
              <w:rPr>
                <w:rFonts w:ascii="黑体" w:hAnsi="黑体" w:eastAsia="黑体"/>
                <w:color w:val="000000" w:themeColor="text1"/>
                <w:spacing w:val="20"/>
                <w:szCs w:val="21"/>
                <w14:textFill>
                  <w14:solidFill>
                    <w14:schemeClr w14:val="tx1"/>
                  </w14:solidFill>
                </w14:textFill>
              </w:rPr>
            </w:pPr>
            <w:r>
              <w:rPr>
                <w:rFonts w:hint="eastAsia" w:ascii="黑体" w:hAnsi="黑体" w:eastAsia="黑体"/>
                <w:color w:val="000000" w:themeColor="text1"/>
                <w:spacing w:val="20"/>
                <w:szCs w:val="21"/>
                <w14:textFill>
                  <w14:solidFill>
                    <w14:schemeClr w14:val="tx1"/>
                  </w14:solidFill>
                </w14:textFill>
              </w:rPr>
              <w:t>对应或增加的条款内容</w:t>
            </w:r>
          </w:p>
        </w:tc>
      </w:tr>
      <w:tr w14:paraId="4808C4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7"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1D365287">
            <w:pPr>
              <w:spacing w:line="360" w:lineRule="exact"/>
              <w:ind w:right="-183"/>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对第四部分《投标人须知》的修改及补充：</w:t>
            </w:r>
          </w:p>
        </w:tc>
      </w:tr>
      <w:tr w14:paraId="4FF80A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137022E9">
            <w:pPr>
              <w:spacing w:line="360" w:lineRule="exact"/>
              <w:ind w:right="-183"/>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一</w:t>
            </w:r>
            <w:r>
              <w:rPr>
                <w:rFonts w:ascii="黑体" w:hAnsi="黑体" w:eastAsia="黑体"/>
                <w:color w:val="000000" w:themeColor="text1"/>
                <w:szCs w:val="21"/>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说明</w:t>
            </w:r>
          </w:p>
        </w:tc>
      </w:tr>
      <w:tr w14:paraId="3D730E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6"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14:paraId="79B6CF3F">
            <w:pPr>
              <w:spacing w:line="380" w:lineRule="exact"/>
              <w:jc w:val="left"/>
              <w:rPr>
                <w:rFonts w:ascii="黑体" w:hAnsi="黑体" w:eastAsia="黑体"/>
                <w:szCs w:val="21"/>
                <w:lang w:val="zh-CN"/>
              </w:rPr>
            </w:pPr>
            <w:r>
              <w:rPr>
                <w:rFonts w:ascii="黑体" w:hAnsi="黑体" w:eastAsia="黑体"/>
                <w:szCs w:val="21"/>
                <w:lang w:val="zh-CN"/>
              </w:rPr>
              <w:t>2</w:t>
            </w:r>
            <w:r>
              <w:rPr>
                <w:rFonts w:hint="eastAsia" w:ascii="黑体" w:hAnsi="黑体" w:eastAsia="黑体"/>
                <w:szCs w:val="21"/>
                <w:lang w:val="zh-CN"/>
              </w:rPr>
              <w:t>.2</w:t>
            </w:r>
          </w:p>
        </w:tc>
        <w:tc>
          <w:tcPr>
            <w:tcW w:w="4353" w:type="pct"/>
            <w:tcBorders>
              <w:top w:val="single" w:color="auto" w:sz="4" w:space="0"/>
              <w:left w:val="single" w:color="auto" w:sz="6" w:space="0"/>
              <w:bottom w:val="single" w:color="auto" w:sz="4" w:space="0"/>
              <w:right w:val="single" w:color="auto" w:sz="4" w:space="0"/>
            </w:tcBorders>
            <w:vAlign w:val="center"/>
          </w:tcPr>
          <w:p w14:paraId="7539976C">
            <w:pPr>
              <w:spacing w:line="360" w:lineRule="exact"/>
              <w:ind w:right="-183"/>
              <w:rPr>
                <w:rFonts w:ascii="黑体" w:hAnsi="黑体" w:eastAsia="黑体"/>
                <w:color w:val="auto"/>
                <w:szCs w:val="21"/>
              </w:rPr>
            </w:pPr>
            <w:r>
              <w:rPr>
                <w:rFonts w:hint="eastAsia" w:ascii="黑体" w:hAnsi="黑体" w:eastAsia="黑体"/>
                <w:color w:val="auto"/>
                <w:szCs w:val="21"/>
              </w:rPr>
              <w:t>资金来源：</w:t>
            </w:r>
            <w:r>
              <w:rPr>
                <w:rFonts w:hint="eastAsia" w:ascii="黑体" w:hAnsi="黑体" w:eastAsia="黑体"/>
                <w:color w:val="auto"/>
                <w:szCs w:val="21"/>
                <w:lang w:val="en-US" w:eastAsia="zh-CN"/>
              </w:rPr>
              <w:t>自筹</w:t>
            </w:r>
            <w:r>
              <w:rPr>
                <w:rFonts w:hint="eastAsia" w:ascii="黑体" w:hAnsi="黑体" w:eastAsia="黑体"/>
                <w:color w:val="auto"/>
                <w:szCs w:val="21"/>
              </w:rPr>
              <w:t>资金</w:t>
            </w:r>
          </w:p>
        </w:tc>
      </w:tr>
      <w:tr w14:paraId="6AD4F7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6"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14:paraId="40866595">
            <w:pPr>
              <w:spacing w:line="380" w:lineRule="exact"/>
              <w:jc w:val="left"/>
              <w:rPr>
                <w:rFonts w:ascii="黑体" w:hAnsi="黑体" w:eastAsia="黑体"/>
                <w:szCs w:val="21"/>
                <w:lang w:val="zh-CN"/>
              </w:rPr>
            </w:pPr>
            <w:r>
              <w:rPr>
                <w:rFonts w:hint="eastAsia" w:ascii="黑体" w:hAnsi="黑体" w:eastAsia="黑体"/>
                <w:szCs w:val="21"/>
                <w:lang w:val="zh-CN"/>
              </w:rPr>
              <w:t>2</w:t>
            </w:r>
            <w:r>
              <w:rPr>
                <w:rFonts w:ascii="黑体" w:hAnsi="黑体" w:eastAsia="黑体"/>
                <w:szCs w:val="21"/>
                <w:lang w:val="zh-CN"/>
              </w:rPr>
              <w:t>.3</w:t>
            </w:r>
          </w:p>
        </w:tc>
        <w:tc>
          <w:tcPr>
            <w:tcW w:w="4353" w:type="pct"/>
            <w:tcBorders>
              <w:top w:val="single" w:color="auto" w:sz="4" w:space="0"/>
              <w:left w:val="single" w:color="auto" w:sz="6" w:space="0"/>
              <w:bottom w:val="single" w:color="auto" w:sz="4" w:space="0"/>
              <w:right w:val="single" w:color="auto" w:sz="4" w:space="0"/>
            </w:tcBorders>
            <w:vAlign w:val="center"/>
          </w:tcPr>
          <w:p w14:paraId="7EF3D23A">
            <w:pPr>
              <w:spacing w:line="360" w:lineRule="exact"/>
              <w:ind w:right="-183"/>
              <w:rPr>
                <w:rFonts w:ascii="黑体" w:hAnsi="黑体" w:eastAsia="黑体"/>
                <w:color w:val="auto"/>
                <w:szCs w:val="21"/>
              </w:rPr>
            </w:pPr>
            <w:r>
              <w:rPr>
                <w:rFonts w:hint="eastAsia" w:ascii="黑体" w:hAnsi="黑体" w:eastAsia="黑体"/>
                <w:color w:val="auto"/>
                <w:szCs w:val="21"/>
              </w:rPr>
              <w:t>项目属性：货物类</w:t>
            </w:r>
          </w:p>
        </w:tc>
      </w:tr>
      <w:tr w14:paraId="6B7553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08"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14:paraId="01EE363B">
            <w:pPr>
              <w:spacing w:line="380" w:lineRule="exact"/>
              <w:jc w:val="left"/>
              <w:rPr>
                <w:rFonts w:ascii="黑体" w:hAnsi="黑体" w:eastAsia="黑体"/>
                <w:szCs w:val="21"/>
                <w:lang w:val="zh-CN"/>
              </w:rPr>
            </w:pPr>
            <w:r>
              <w:rPr>
                <w:rFonts w:ascii="黑体" w:hAnsi="黑体" w:eastAsia="黑体"/>
                <w:szCs w:val="21"/>
                <w:lang w:val="zh-CN"/>
              </w:rPr>
              <w:t>3</w:t>
            </w:r>
            <w:r>
              <w:rPr>
                <w:rFonts w:hint="eastAsia" w:ascii="黑体" w:hAnsi="黑体" w:eastAsia="黑体"/>
                <w:szCs w:val="21"/>
                <w:lang w:val="zh-CN"/>
              </w:rPr>
              <w:t>.1</w:t>
            </w:r>
          </w:p>
        </w:tc>
        <w:tc>
          <w:tcPr>
            <w:tcW w:w="4353" w:type="pct"/>
            <w:tcBorders>
              <w:top w:val="single" w:color="auto" w:sz="4" w:space="0"/>
              <w:left w:val="single" w:color="auto" w:sz="6" w:space="0"/>
              <w:bottom w:val="single" w:color="auto" w:sz="4" w:space="0"/>
              <w:right w:val="single" w:color="auto" w:sz="4" w:space="0"/>
            </w:tcBorders>
            <w:vAlign w:val="center"/>
          </w:tcPr>
          <w:p w14:paraId="43FEB9D3">
            <w:pPr>
              <w:keepNext w:val="0"/>
              <w:keepLines w:val="0"/>
              <w:pageBreakBefore w:val="0"/>
              <w:widowControl w:val="0"/>
              <w:kinsoku/>
              <w:wordWrap/>
              <w:overflowPunct/>
              <w:topLinePunct w:val="0"/>
              <w:autoSpaceDE/>
              <w:autoSpaceDN/>
              <w:bidi w:val="0"/>
              <w:adjustRightInd/>
              <w:snapToGrid/>
              <w:spacing w:line="360" w:lineRule="auto"/>
              <w:ind w:right="-183"/>
              <w:textAlignment w:val="auto"/>
              <w:rPr>
                <w:rFonts w:ascii="黑体" w:hAnsi="黑体" w:eastAsia="黑体"/>
                <w:color w:val="auto"/>
                <w:szCs w:val="21"/>
                <w:highlight w:val="none"/>
                <w:u w:val="single"/>
              </w:rPr>
            </w:pPr>
            <w:r>
              <w:rPr>
                <w:rFonts w:ascii="黑体" w:hAnsi="黑体" w:eastAsia="黑体"/>
                <w:color w:val="auto"/>
                <w:szCs w:val="21"/>
                <w:highlight w:val="none"/>
              </w:rPr>
              <w:t>“采购人”是指：</w:t>
            </w:r>
            <w:r>
              <w:rPr>
                <w:rFonts w:hint="eastAsia" w:ascii="黑体" w:hAnsi="黑体" w:eastAsia="黑体"/>
                <w:color w:val="auto"/>
                <w:szCs w:val="21"/>
                <w:highlight w:val="none"/>
              </w:rPr>
              <w:t>东莞市清溪医院</w:t>
            </w:r>
          </w:p>
          <w:p w14:paraId="260C87B3">
            <w:pPr>
              <w:keepNext w:val="0"/>
              <w:keepLines w:val="0"/>
              <w:pageBreakBefore w:val="0"/>
              <w:widowControl w:val="0"/>
              <w:kinsoku/>
              <w:wordWrap/>
              <w:overflowPunct/>
              <w:topLinePunct w:val="0"/>
              <w:autoSpaceDE/>
              <w:autoSpaceDN/>
              <w:bidi w:val="0"/>
              <w:adjustRightInd/>
              <w:snapToGrid/>
              <w:spacing w:line="360" w:lineRule="auto"/>
              <w:ind w:right="-183" w:firstLine="105" w:firstLineChars="50"/>
              <w:textAlignment w:val="auto"/>
              <w:rPr>
                <w:rFonts w:hint="eastAsia" w:ascii="黑体" w:hAnsi="黑体" w:eastAsia="黑体"/>
                <w:color w:val="auto"/>
                <w:szCs w:val="21"/>
                <w:highlight w:val="none"/>
                <w:lang w:val="en-US" w:eastAsia="zh-CN"/>
              </w:rPr>
            </w:pPr>
            <w:r>
              <w:rPr>
                <w:rFonts w:hint="eastAsia" w:ascii="黑体" w:hAnsi="黑体" w:eastAsia="黑体"/>
                <w:color w:val="auto"/>
                <w:szCs w:val="21"/>
                <w:highlight w:val="none"/>
              </w:rPr>
              <w:t>采购人联系人：</w:t>
            </w:r>
            <w:r>
              <w:rPr>
                <w:rFonts w:hint="eastAsia" w:ascii="黑体" w:hAnsi="黑体" w:eastAsia="黑体"/>
                <w:color w:val="auto"/>
                <w:szCs w:val="21"/>
                <w:highlight w:val="none"/>
                <w:lang w:val="en-US" w:eastAsia="zh-CN"/>
              </w:rPr>
              <w:t>李小姐</w:t>
            </w:r>
          </w:p>
          <w:p w14:paraId="059739E2">
            <w:pPr>
              <w:keepNext w:val="0"/>
              <w:keepLines w:val="0"/>
              <w:pageBreakBefore w:val="0"/>
              <w:widowControl w:val="0"/>
              <w:kinsoku/>
              <w:wordWrap/>
              <w:overflowPunct/>
              <w:topLinePunct w:val="0"/>
              <w:autoSpaceDE/>
              <w:autoSpaceDN/>
              <w:bidi w:val="0"/>
              <w:adjustRightInd/>
              <w:snapToGrid/>
              <w:spacing w:line="360" w:lineRule="auto"/>
              <w:ind w:right="-183" w:firstLine="105" w:firstLineChars="50"/>
              <w:textAlignment w:val="auto"/>
              <w:rPr>
                <w:rFonts w:ascii="黑体" w:hAnsi="黑体" w:eastAsia="黑体"/>
                <w:color w:val="auto"/>
                <w:szCs w:val="21"/>
                <w:highlight w:val="none"/>
              </w:rPr>
            </w:pPr>
            <w:r>
              <w:rPr>
                <w:rFonts w:hint="eastAsia" w:ascii="黑体" w:hAnsi="黑体" w:eastAsia="黑体"/>
                <w:color w:val="auto"/>
                <w:szCs w:val="21"/>
                <w:highlight w:val="none"/>
              </w:rPr>
              <w:t>电</w:t>
            </w:r>
            <w:r>
              <w:rPr>
                <w:rFonts w:ascii="黑体" w:hAnsi="黑体" w:eastAsia="黑体"/>
                <w:color w:val="auto"/>
                <w:szCs w:val="21"/>
                <w:highlight w:val="none"/>
              </w:rPr>
              <w:t xml:space="preserve">  </w:t>
            </w:r>
            <w:r>
              <w:rPr>
                <w:rFonts w:hint="eastAsia" w:ascii="黑体" w:hAnsi="黑体" w:eastAsia="黑体"/>
                <w:color w:val="auto"/>
                <w:szCs w:val="21"/>
                <w:highlight w:val="none"/>
              </w:rPr>
              <w:t>话：</w:t>
            </w:r>
            <w:r>
              <w:rPr>
                <w:rFonts w:hint="eastAsia" w:ascii="黑体" w:hAnsi="黑体" w:eastAsia="黑体"/>
                <w:color w:val="auto"/>
                <w:szCs w:val="21"/>
                <w:highlight w:val="none"/>
                <w:lang w:eastAsia="zh-CN"/>
              </w:rPr>
              <w:t>（</w:t>
            </w:r>
            <w:r>
              <w:rPr>
                <w:rFonts w:hint="eastAsia" w:ascii="黑体" w:hAnsi="黑体" w:eastAsia="黑体"/>
                <w:color w:val="auto"/>
                <w:szCs w:val="21"/>
                <w:highlight w:val="none"/>
              </w:rPr>
              <w:t>0769</w:t>
            </w:r>
            <w:r>
              <w:rPr>
                <w:rFonts w:hint="eastAsia" w:ascii="黑体" w:hAnsi="黑体" w:eastAsia="黑体"/>
                <w:color w:val="auto"/>
                <w:szCs w:val="21"/>
                <w:highlight w:val="none"/>
                <w:lang w:eastAsia="zh-CN"/>
              </w:rPr>
              <w:t>）</w:t>
            </w:r>
            <w:r>
              <w:rPr>
                <w:rFonts w:hint="eastAsia" w:ascii="黑体" w:hAnsi="黑体" w:eastAsia="黑体"/>
                <w:color w:val="auto"/>
                <w:szCs w:val="21"/>
                <w:highlight w:val="none"/>
              </w:rPr>
              <w:t>38828836</w:t>
            </w:r>
          </w:p>
          <w:p w14:paraId="349F5E01">
            <w:pPr>
              <w:spacing w:line="360" w:lineRule="exact"/>
              <w:ind w:right="-183" w:firstLine="105" w:firstLineChars="50"/>
              <w:rPr>
                <w:rFonts w:ascii="黑体" w:hAnsi="黑体" w:eastAsia="黑体"/>
                <w:color w:val="auto"/>
                <w:szCs w:val="21"/>
              </w:rPr>
            </w:pPr>
            <w:r>
              <w:rPr>
                <w:rFonts w:hint="eastAsia" w:ascii="黑体" w:hAnsi="黑体" w:eastAsia="黑体"/>
                <w:color w:val="auto"/>
                <w:szCs w:val="21"/>
                <w:highlight w:val="none"/>
              </w:rPr>
              <w:t>地</w:t>
            </w:r>
            <w:r>
              <w:rPr>
                <w:rFonts w:ascii="黑体" w:hAnsi="黑体" w:eastAsia="黑体"/>
                <w:color w:val="auto"/>
                <w:szCs w:val="21"/>
                <w:highlight w:val="none"/>
              </w:rPr>
              <w:t xml:space="preserve">  </w:t>
            </w:r>
            <w:r>
              <w:rPr>
                <w:rFonts w:hint="eastAsia" w:ascii="黑体" w:hAnsi="黑体" w:eastAsia="黑体"/>
                <w:color w:val="auto"/>
                <w:szCs w:val="21"/>
                <w:highlight w:val="none"/>
              </w:rPr>
              <w:t>址：东莞市清溪镇香芒中路6号</w:t>
            </w:r>
          </w:p>
        </w:tc>
      </w:tr>
      <w:tr w14:paraId="5C8B40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14:paraId="1D99CEF7">
            <w:pPr>
              <w:spacing w:line="380" w:lineRule="exact"/>
              <w:jc w:val="left"/>
              <w:rPr>
                <w:rFonts w:ascii="黑体" w:hAnsi="黑体" w:eastAsia="黑体"/>
                <w:szCs w:val="21"/>
                <w:lang w:val="zh-CN"/>
              </w:rPr>
            </w:pPr>
            <w:bookmarkStart w:id="21" w:name="_Hlk119327990"/>
            <w:r>
              <w:rPr>
                <w:rFonts w:ascii="黑体" w:hAnsi="黑体" w:eastAsia="黑体"/>
                <w:szCs w:val="21"/>
                <w:lang w:val="zh-CN"/>
              </w:rPr>
              <w:t>3</w:t>
            </w:r>
            <w:r>
              <w:rPr>
                <w:rFonts w:hint="eastAsia" w:ascii="黑体" w:hAnsi="黑体" w:eastAsia="黑体"/>
                <w:szCs w:val="21"/>
                <w:lang w:val="zh-CN"/>
              </w:rPr>
              <w:t>.</w:t>
            </w:r>
            <w:r>
              <w:rPr>
                <w:rFonts w:ascii="黑体" w:hAnsi="黑体" w:eastAsia="黑体"/>
                <w:szCs w:val="21"/>
                <w:lang w:val="zh-CN"/>
              </w:rPr>
              <w:t>2</w:t>
            </w:r>
          </w:p>
        </w:tc>
        <w:tc>
          <w:tcPr>
            <w:tcW w:w="4353" w:type="pct"/>
            <w:tcBorders>
              <w:top w:val="single" w:color="auto" w:sz="4" w:space="0"/>
              <w:left w:val="single" w:color="auto" w:sz="6" w:space="0"/>
              <w:bottom w:val="single" w:color="auto" w:sz="4" w:space="0"/>
              <w:right w:val="single" w:color="auto" w:sz="4" w:space="0"/>
            </w:tcBorders>
            <w:vAlign w:val="center"/>
          </w:tcPr>
          <w:p w14:paraId="30A59D2B">
            <w:pPr>
              <w:spacing w:line="360" w:lineRule="exact"/>
              <w:ind w:right="-183"/>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“采购代理机构”是指：</w:t>
            </w:r>
            <w:r>
              <w:rPr>
                <w:rFonts w:hint="eastAsia" w:ascii="黑体" w:hAnsi="黑体" w:eastAsia="黑体"/>
                <w:color w:val="000000" w:themeColor="text1"/>
                <w:szCs w:val="21"/>
                <w14:textFill>
                  <w14:solidFill>
                    <w14:schemeClr w14:val="tx1"/>
                  </w14:solidFill>
                </w14:textFill>
              </w:rPr>
              <w:t>广东有德招标采购有限公司</w:t>
            </w:r>
          </w:p>
        </w:tc>
      </w:tr>
      <w:bookmarkEnd w:id="21"/>
      <w:tr w14:paraId="3CE820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6"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6531A732">
            <w:pPr>
              <w:spacing w:line="360" w:lineRule="exact"/>
              <w:ind w:right="-183"/>
              <w:rPr>
                <w:rFonts w:ascii="黑体" w:hAnsi="黑体" w:eastAsia="黑体"/>
                <w:szCs w:val="21"/>
              </w:rPr>
            </w:pPr>
            <w:r>
              <w:rPr>
                <w:rFonts w:hint="eastAsia" w:ascii="黑体" w:hAnsi="黑体" w:eastAsia="黑体"/>
                <w:szCs w:val="21"/>
              </w:rPr>
              <w:t>二</w:t>
            </w:r>
            <w:r>
              <w:rPr>
                <w:rFonts w:ascii="黑体" w:hAnsi="黑体" w:eastAsia="黑体"/>
                <w:szCs w:val="21"/>
              </w:rPr>
              <w:t xml:space="preserve"> </w:t>
            </w:r>
            <w:r>
              <w:rPr>
                <w:rFonts w:hint="eastAsia" w:ascii="黑体" w:hAnsi="黑体" w:eastAsia="黑体"/>
                <w:szCs w:val="21"/>
              </w:rPr>
              <w:t>招标文件</w:t>
            </w:r>
          </w:p>
        </w:tc>
      </w:tr>
      <w:tr w14:paraId="6F85C3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30401B91">
            <w:pPr>
              <w:spacing w:line="360" w:lineRule="exact"/>
              <w:ind w:right="-183"/>
              <w:jc w:val="left"/>
              <w:rPr>
                <w:rFonts w:ascii="黑体" w:hAnsi="黑体" w:eastAsia="黑体"/>
                <w:szCs w:val="21"/>
              </w:rPr>
            </w:pPr>
            <w:r>
              <w:rPr>
                <w:rFonts w:ascii="黑体" w:hAnsi="黑体" w:eastAsia="黑体"/>
                <w:szCs w:val="21"/>
              </w:rPr>
              <w:t>8</w:t>
            </w:r>
            <w:r>
              <w:rPr>
                <w:rFonts w:hint="eastAsia" w:ascii="黑体" w:hAnsi="黑体" w:eastAsia="黑体"/>
                <w:szCs w:val="21"/>
              </w:rPr>
              <w:t>.1</w:t>
            </w:r>
          </w:p>
        </w:tc>
        <w:tc>
          <w:tcPr>
            <w:tcW w:w="4353" w:type="pct"/>
            <w:tcBorders>
              <w:top w:val="single" w:color="auto" w:sz="4" w:space="0"/>
              <w:left w:val="single" w:color="auto" w:sz="4" w:space="0"/>
              <w:bottom w:val="single" w:color="auto" w:sz="4" w:space="0"/>
              <w:right w:val="single" w:color="auto" w:sz="4" w:space="0"/>
            </w:tcBorders>
            <w:vAlign w:val="center"/>
          </w:tcPr>
          <w:p w14:paraId="266E4625">
            <w:pPr>
              <w:spacing w:line="360" w:lineRule="exact"/>
              <w:ind w:right="-183"/>
              <w:rPr>
                <w:rFonts w:ascii="黑体" w:hAnsi="黑体" w:eastAsia="黑体"/>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答疑会或现场考察：本项目不集中举行答疑会或现场考察</w:t>
            </w:r>
          </w:p>
        </w:tc>
      </w:tr>
      <w:tr w14:paraId="7D057D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79A2FE5F">
            <w:pPr>
              <w:spacing w:line="360" w:lineRule="exact"/>
              <w:ind w:right="-183"/>
              <w:rPr>
                <w:rFonts w:ascii="黑体" w:hAnsi="黑体" w:eastAsia="黑体"/>
                <w:bCs/>
                <w:szCs w:val="21"/>
              </w:rPr>
            </w:pPr>
            <w:r>
              <w:rPr>
                <w:rFonts w:hint="eastAsia" w:ascii="黑体" w:hAnsi="黑体" w:eastAsia="黑体"/>
                <w:bCs/>
                <w:szCs w:val="21"/>
              </w:rPr>
              <w:t>三</w:t>
            </w:r>
            <w:r>
              <w:rPr>
                <w:rFonts w:ascii="黑体" w:hAnsi="黑体" w:eastAsia="黑体"/>
                <w:bCs/>
                <w:szCs w:val="21"/>
              </w:rPr>
              <w:t xml:space="preserve"> </w:t>
            </w:r>
            <w:r>
              <w:rPr>
                <w:rFonts w:hint="eastAsia" w:ascii="黑体" w:hAnsi="黑体" w:eastAsia="黑体"/>
                <w:bCs/>
                <w:szCs w:val="21"/>
              </w:rPr>
              <w:t>投标文件的编制</w:t>
            </w:r>
          </w:p>
        </w:tc>
      </w:tr>
      <w:tr w14:paraId="7AD95D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56B6C0C3">
            <w:pPr>
              <w:spacing w:line="360" w:lineRule="exact"/>
              <w:ind w:right="-183"/>
              <w:jc w:val="left"/>
              <w:rPr>
                <w:rFonts w:ascii="黑体" w:hAnsi="黑体" w:eastAsia="黑体"/>
                <w:szCs w:val="21"/>
              </w:rPr>
            </w:pPr>
            <w:r>
              <w:rPr>
                <w:rFonts w:hint="eastAsia" w:ascii="黑体" w:hAnsi="黑体" w:eastAsia="黑体"/>
                <w:szCs w:val="21"/>
              </w:rPr>
              <w:t>1</w:t>
            </w:r>
            <w:r>
              <w:rPr>
                <w:rFonts w:ascii="黑体" w:hAnsi="黑体" w:eastAsia="黑体"/>
                <w:szCs w:val="21"/>
              </w:rPr>
              <w:t>2.5</w:t>
            </w:r>
          </w:p>
        </w:tc>
        <w:tc>
          <w:tcPr>
            <w:tcW w:w="4353" w:type="pct"/>
            <w:tcBorders>
              <w:top w:val="single" w:color="auto" w:sz="4" w:space="0"/>
              <w:left w:val="single" w:color="auto" w:sz="4" w:space="0"/>
              <w:bottom w:val="single" w:color="auto" w:sz="4" w:space="0"/>
              <w:right w:val="single" w:color="auto" w:sz="4" w:space="0"/>
            </w:tcBorders>
            <w:vAlign w:val="center"/>
          </w:tcPr>
          <w:p w14:paraId="3C0DDCB8">
            <w:pPr>
              <w:spacing w:line="360" w:lineRule="exact"/>
              <w:ind w:right="-183"/>
              <w:rPr>
                <w:rFonts w:ascii="黑体" w:hAnsi="黑体" w:eastAsia="黑体"/>
                <w:bCs/>
                <w:color w:val="000000" w:themeColor="text1"/>
                <w:spacing w:val="-4"/>
                <w:szCs w:val="21"/>
                <w14:textFill>
                  <w14:solidFill>
                    <w14:schemeClr w14:val="tx1"/>
                  </w14:solidFill>
                </w14:textFill>
              </w:rPr>
            </w:pPr>
            <w:r>
              <w:rPr>
                <w:rFonts w:hint="eastAsia" w:ascii="黑体" w:hAnsi="黑体" w:eastAsia="黑体"/>
                <w:bCs/>
                <w:color w:val="000000" w:themeColor="text1"/>
                <w:spacing w:val="-4"/>
                <w:szCs w:val="21"/>
                <w14:textFill>
                  <w14:solidFill>
                    <w14:schemeClr w14:val="tx1"/>
                  </w14:solidFill>
                </w14:textFill>
              </w:rPr>
              <w:t>投标人所报的投标价在合同执行过程中是固定不变的，不得以任何理由予以变更</w:t>
            </w:r>
          </w:p>
        </w:tc>
      </w:tr>
      <w:tr w14:paraId="2C54EC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6"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7FE6DAD6">
            <w:pPr>
              <w:spacing w:line="360" w:lineRule="exact"/>
              <w:ind w:right="-183"/>
              <w:jc w:val="left"/>
              <w:rPr>
                <w:rFonts w:ascii="黑体" w:hAnsi="黑体" w:eastAsia="黑体"/>
                <w:szCs w:val="21"/>
              </w:rPr>
            </w:pPr>
            <w:r>
              <w:rPr>
                <w:rFonts w:ascii="黑体" w:hAnsi="黑体" w:eastAsia="黑体"/>
                <w:szCs w:val="21"/>
              </w:rPr>
              <w:t>12.6</w:t>
            </w:r>
          </w:p>
        </w:tc>
        <w:tc>
          <w:tcPr>
            <w:tcW w:w="4353" w:type="pct"/>
            <w:tcBorders>
              <w:top w:val="single" w:color="auto" w:sz="4" w:space="0"/>
              <w:left w:val="single" w:color="auto" w:sz="4" w:space="0"/>
              <w:bottom w:val="single" w:color="auto" w:sz="4" w:space="0"/>
              <w:right w:val="single" w:color="auto" w:sz="4" w:space="0"/>
            </w:tcBorders>
            <w:vAlign w:val="center"/>
          </w:tcPr>
          <w:p w14:paraId="5666443E">
            <w:pPr>
              <w:spacing w:line="360" w:lineRule="exact"/>
              <w:ind w:right="-183"/>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pacing w:val="-4"/>
                <w:szCs w:val="21"/>
                <w14:textFill>
                  <w14:solidFill>
                    <w14:schemeClr w14:val="tx1"/>
                  </w14:solidFill>
                </w14:textFill>
              </w:rPr>
              <w:t>不允许有备选方案</w:t>
            </w:r>
          </w:p>
        </w:tc>
      </w:tr>
      <w:tr w14:paraId="1437D2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50F41750">
            <w:pPr>
              <w:spacing w:line="360" w:lineRule="exact"/>
              <w:ind w:right="-183"/>
              <w:jc w:val="left"/>
              <w:rPr>
                <w:rFonts w:ascii="黑体" w:hAnsi="黑体" w:eastAsia="黑体"/>
                <w:szCs w:val="21"/>
              </w:rPr>
            </w:pPr>
            <w:r>
              <w:rPr>
                <w:rFonts w:ascii="黑体" w:hAnsi="黑体" w:eastAsia="黑体"/>
                <w:szCs w:val="21"/>
              </w:rPr>
              <w:t>12.7</w:t>
            </w:r>
          </w:p>
        </w:tc>
        <w:tc>
          <w:tcPr>
            <w:tcW w:w="4353" w:type="pct"/>
            <w:tcBorders>
              <w:top w:val="single" w:color="auto" w:sz="4" w:space="0"/>
              <w:left w:val="single" w:color="auto" w:sz="4" w:space="0"/>
              <w:bottom w:val="single" w:color="auto" w:sz="4" w:space="0"/>
              <w:right w:val="single" w:color="auto" w:sz="4" w:space="0"/>
            </w:tcBorders>
            <w:vAlign w:val="center"/>
          </w:tcPr>
          <w:p w14:paraId="3F2F4A07">
            <w:pPr>
              <w:spacing w:line="360" w:lineRule="exact"/>
              <w:ind w:right="-183"/>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pacing w:val="-4"/>
                <w:szCs w:val="21"/>
                <w14:textFill>
                  <w14:solidFill>
                    <w14:schemeClr w14:val="tx1"/>
                  </w14:solidFill>
                </w14:textFill>
              </w:rPr>
              <w:t>不允许附加条件报价</w:t>
            </w:r>
          </w:p>
        </w:tc>
      </w:tr>
      <w:tr w14:paraId="619EE2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3CA4770A">
            <w:pPr>
              <w:spacing w:line="360" w:lineRule="exact"/>
              <w:ind w:right="-183"/>
              <w:jc w:val="left"/>
              <w:rPr>
                <w:rFonts w:ascii="黑体" w:hAnsi="黑体" w:eastAsia="黑体"/>
                <w:bCs/>
                <w:spacing w:val="-4"/>
                <w:szCs w:val="21"/>
              </w:rPr>
            </w:pPr>
            <w:r>
              <w:rPr>
                <w:rFonts w:ascii="黑体" w:hAnsi="黑体" w:eastAsia="黑体"/>
                <w:bCs/>
                <w:spacing w:val="-4"/>
                <w:szCs w:val="21"/>
              </w:rPr>
              <w:t>17</w:t>
            </w:r>
            <w:r>
              <w:rPr>
                <w:rFonts w:hint="eastAsia" w:ascii="黑体" w:hAnsi="黑体" w:eastAsia="黑体"/>
                <w:bCs/>
                <w:spacing w:val="-4"/>
                <w:szCs w:val="21"/>
              </w:rPr>
              <w:t>.1</w:t>
            </w:r>
          </w:p>
        </w:tc>
        <w:tc>
          <w:tcPr>
            <w:tcW w:w="4353" w:type="pct"/>
            <w:tcBorders>
              <w:top w:val="single" w:color="auto" w:sz="4" w:space="0"/>
              <w:left w:val="single" w:color="auto" w:sz="4" w:space="0"/>
              <w:bottom w:val="single" w:color="auto" w:sz="4" w:space="0"/>
              <w:right w:val="single" w:color="auto" w:sz="4" w:space="0"/>
            </w:tcBorders>
            <w:vAlign w:val="center"/>
          </w:tcPr>
          <w:p w14:paraId="0C778E68">
            <w:pPr>
              <w:spacing w:line="360" w:lineRule="exact"/>
              <w:ind w:right="-183"/>
              <w:rPr>
                <w:rFonts w:hint="default" w:ascii="黑体" w:hAnsi="黑体" w:eastAsia="黑体"/>
                <w:bCs/>
                <w:color w:val="000000" w:themeColor="text1"/>
                <w:spacing w:val="-4"/>
                <w:szCs w:val="21"/>
                <w:lang w:val="en-US" w:eastAsia="zh-CN"/>
                <w14:textFill>
                  <w14:solidFill>
                    <w14:schemeClr w14:val="tx1"/>
                  </w14:solidFill>
                </w14:textFill>
              </w:rPr>
            </w:pPr>
            <w:r>
              <w:rPr>
                <w:rFonts w:hint="eastAsia" w:ascii="黑体" w:hAnsi="黑体" w:eastAsia="黑体"/>
                <w:bCs/>
                <w:color w:val="000000" w:themeColor="text1"/>
                <w:spacing w:val="-4"/>
                <w:szCs w:val="21"/>
                <w14:textFill>
                  <w14:solidFill>
                    <w14:schemeClr w14:val="tx1"/>
                  </w14:solidFill>
                </w14:textFill>
              </w:rPr>
              <w:t>投标人投标时须</w:t>
            </w:r>
            <w:r>
              <w:rPr>
                <w:rFonts w:ascii="黑体" w:hAnsi="黑体" w:eastAsia="黑体"/>
                <w:bCs/>
                <w:color w:val="000000" w:themeColor="text1"/>
                <w:spacing w:val="-4"/>
                <w:szCs w:val="21"/>
                <w14:textFill>
                  <w14:solidFill>
                    <w14:schemeClr w14:val="tx1"/>
                  </w14:solidFill>
                </w14:textFill>
              </w:rPr>
              <w:t>附有</w:t>
            </w:r>
            <w:r>
              <w:rPr>
                <w:rFonts w:hint="eastAsia" w:ascii="黑体" w:hAnsi="黑体" w:eastAsia="黑体"/>
                <w:bCs/>
                <w:color w:val="000000" w:themeColor="text1"/>
                <w:spacing w:val="-4"/>
                <w:szCs w:val="21"/>
                <w14:textFill>
                  <w14:solidFill>
                    <w14:schemeClr w14:val="tx1"/>
                  </w14:solidFill>
                </w14:textFill>
              </w:rPr>
              <w:t>投标保证金为：</w:t>
            </w:r>
            <w:r>
              <w:rPr>
                <w:rFonts w:hint="eastAsia" w:ascii="黑体" w:hAnsi="黑体" w:eastAsia="黑体"/>
                <w:bCs/>
                <w:color w:val="000000" w:themeColor="text1"/>
                <w:spacing w:val="-4"/>
                <w:szCs w:val="21"/>
                <w:u w:val="single"/>
                <w:lang w:val="en-US" w:eastAsia="zh-CN"/>
                <w14:textFill>
                  <w14:solidFill>
                    <w14:schemeClr w14:val="tx1"/>
                  </w14:solidFill>
                </w14:textFill>
              </w:rPr>
              <w:t>本项目不设投标保证金</w:t>
            </w:r>
          </w:p>
        </w:tc>
      </w:tr>
      <w:tr w14:paraId="6CFE01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5"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43A972D6">
            <w:pPr>
              <w:spacing w:line="380" w:lineRule="exact"/>
              <w:jc w:val="left"/>
              <w:rPr>
                <w:rFonts w:ascii="黑体" w:hAnsi="黑体" w:eastAsia="黑体"/>
                <w:color w:val="7030A0"/>
                <w:szCs w:val="21"/>
                <w:lang w:val="zh-CN"/>
              </w:rPr>
            </w:pPr>
            <w:r>
              <w:rPr>
                <w:rFonts w:ascii="黑体" w:hAnsi="黑体" w:eastAsia="黑体"/>
                <w:szCs w:val="21"/>
                <w:lang w:val="zh-CN"/>
              </w:rPr>
              <w:t>18</w:t>
            </w:r>
            <w:r>
              <w:rPr>
                <w:rFonts w:hint="eastAsia" w:ascii="黑体" w:hAnsi="黑体" w:eastAsia="黑体"/>
                <w:szCs w:val="21"/>
                <w:lang w:val="zh-CN"/>
              </w:rPr>
              <w:t>.1</w:t>
            </w:r>
          </w:p>
        </w:tc>
        <w:tc>
          <w:tcPr>
            <w:tcW w:w="4353" w:type="pct"/>
            <w:tcBorders>
              <w:top w:val="single" w:color="auto" w:sz="4" w:space="0"/>
              <w:left w:val="single" w:color="auto" w:sz="4" w:space="0"/>
              <w:bottom w:val="single" w:color="auto" w:sz="4" w:space="0"/>
              <w:right w:val="single" w:color="auto" w:sz="4" w:space="0"/>
            </w:tcBorders>
            <w:vAlign w:val="center"/>
          </w:tcPr>
          <w:p w14:paraId="56A75894">
            <w:pPr>
              <w:spacing w:line="380" w:lineRule="exact"/>
              <w:ind w:right="-40"/>
              <w:rPr>
                <w:rFonts w:ascii="黑体" w:hAnsi="黑体" w:eastAsia="黑体"/>
                <w:color w:val="000000" w:themeColor="text1"/>
                <w:szCs w:val="21"/>
                <w:lang w:val="zh-CN"/>
                <w14:textFill>
                  <w14:solidFill>
                    <w14:schemeClr w14:val="tx1"/>
                  </w14:solidFill>
                </w14:textFill>
              </w:rPr>
            </w:pPr>
            <w:r>
              <w:rPr>
                <w:rFonts w:hint="eastAsia" w:ascii="黑体" w:hAnsi="黑体" w:eastAsia="黑体"/>
                <w:color w:val="000000" w:themeColor="text1"/>
                <w:szCs w:val="21"/>
                <w:lang w:val="zh-CN"/>
                <w14:textFill>
                  <w14:solidFill>
                    <w14:schemeClr w14:val="tx1"/>
                  </w14:solidFill>
                </w14:textFill>
              </w:rPr>
              <w:t>投标有效期：递交投标文件截止日后</w:t>
            </w:r>
            <w:r>
              <w:rPr>
                <w:rFonts w:ascii="黑体" w:hAnsi="黑体" w:eastAsia="黑体"/>
                <w:color w:val="000000" w:themeColor="text1"/>
                <w:szCs w:val="21"/>
                <w:u w:val="single"/>
                <w:lang w:val="zh-CN"/>
                <w14:textFill>
                  <w14:solidFill>
                    <w14:schemeClr w14:val="tx1"/>
                  </w14:solidFill>
                </w14:textFill>
              </w:rPr>
              <w:t xml:space="preserve"> 90 </w:t>
            </w:r>
            <w:r>
              <w:rPr>
                <w:rFonts w:hint="eastAsia" w:ascii="黑体" w:hAnsi="黑体" w:eastAsia="黑体"/>
                <w:color w:val="000000" w:themeColor="text1"/>
                <w:szCs w:val="21"/>
                <w:lang w:val="zh-CN"/>
                <w14:textFill>
                  <w14:solidFill>
                    <w14:schemeClr w14:val="tx1"/>
                  </w14:solidFill>
                </w14:textFill>
              </w:rPr>
              <w:t>天</w:t>
            </w:r>
          </w:p>
        </w:tc>
      </w:tr>
      <w:tr w14:paraId="30A4A6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9"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67914B7D">
            <w:pPr>
              <w:spacing w:line="380" w:lineRule="exact"/>
              <w:jc w:val="left"/>
              <w:rPr>
                <w:rFonts w:ascii="黑体" w:hAnsi="黑体" w:eastAsia="黑体"/>
                <w:szCs w:val="21"/>
                <w:lang w:val="zh-CN"/>
              </w:rPr>
            </w:pPr>
            <w:r>
              <w:rPr>
                <w:rFonts w:ascii="黑体" w:hAnsi="黑体" w:eastAsia="黑体"/>
                <w:szCs w:val="21"/>
                <w:lang w:val="zh-CN"/>
              </w:rPr>
              <w:t>19</w:t>
            </w:r>
            <w:r>
              <w:rPr>
                <w:rFonts w:hint="eastAsia" w:ascii="黑体" w:hAnsi="黑体" w:eastAsia="黑体"/>
                <w:szCs w:val="21"/>
                <w:lang w:val="zh-CN"/>
              </w:rPr>
              <w:t>.1</w:t>
            </w:r>
          </w:p>
        </w:tc>
        <w:tc>
          <w:tcPr>
            <w:tcW w:w="4353" w:type="pct"/>
            <w:tcBorders>
              <w:top w:val="single" w:color="auto" w:sz="4" w:space="0"/>
              <w:left w:val="single" w:color="auto" w:sz="4" w:space="0"/>
              <w:bottom w:val="single" w:color="auto" w:sz="4" w:space="0"/>
              <w:right w:val="single" w:color="auto" w:sz="4" w:space="0"/>
            </w:tcBorders>
            <w:vAlign w:val="center"/>
          </w:tcPr>
          <w:p w14:paraId="4C09D7B2">
            <w:pPr>
              <w:spacing w:line="380" w:lineRule="exact"/>
              <w:ind w:right="-4"/>
              <w:rPr>
                <w:rFonts w:ascii="黑体" w:hAnsi="黑体" w:eastAsia="黑体"/>
                <w:szCs w:val="21"/>
                <w:lang w:val="zh-CN"/>
              </w:rPr>
            </w:pPr>
            <w:r>
              <w:rPr>
                <w:rFonts w:hint="eastAsia" w:ascii="黑体" w:hAnsi="黑体" w:eastAsia="黑体"/>
                <w:szCs w:val="21"/>
                <w:lang w:val="zh-CN"/>
              </w:rPr>
              <w:t>投标文件份数：</w:t>
            </w:r>
            <w:r>
              <w:rPr>
                <w:rFonts w:ascii="黑体" w:hAnsi="黑体" w:eastAsia="黑体"/>
                <w:szCs w:val="21"/>
                <w:lang w:val="zh-CN"/>
              </w:rPr>
              <w:t>正本一份，副</w:t>
            </w:r>
            <w:r>
              <w:rPr>
                <w:rFonts w:ascii="黑体" w:hAnsi="黑体" w:eastAsia="黑体"/>
                <w:szCs w:val="21"/>
                <w:highlight w:val="none"/>
                <w:lang w:val="zh-CN"/>
              </w:rPr>
              <w:t>本</w:t>
            </w:r>
            <w:r>
              <w:rPr>
                <w:rFonts w:hint="eastAsia" w:ascii="黑体" w:hAnsi="黑体" w:eastAsia="黑体"/>
                <w:szCs w:val="21"/>
                <w:highlight w:val="none"/>
                <w:lang w:val="zh-CN"/>
              </w:rPr>
              <w:t>五</w:t>
            </w:r>
            <w:r>
              <w:rPr>
                <w:rFonts w:ascii="黑体" w:hAnsi="黑体" w:eastAsia="黑体"/>
                <w:szCs w:val="21"/>
                <w:highlight w:val="none"/>
                <w:lang w:val="zh-CN"/>
              </w:rPr>
              <w:t>份</w:t>
            </w:r>
            <w:r>
              <w:rPr>
                <w:rFonts w:ascii="黑体" w:hAnsi="黑体" w:eastAsia="黑体"/>
                <w:szCs w:val="21"/>
                <w:lang w:val="zh-CN"/>
              </w:rPr>
              <w:t>，电子文件</w:t>
            </w:r>
            <w:r>
              <w:rPr>
                <w:rFonts w:hint="eastAsia" w:ascii="黑体" w:hAnsi="黑体" w:eastAsia="黑体"/>
                <w:szCs w:val="21"/>
                <w:lang w:val="zh-CN"/>
              </w:rPr>
              <w:t>一</w:t>
            </w:r>
            <w:r>
              <w:rPr>
                <w:rFonts w:ascii="黑体" w:hAnsi="黑体" w:eastAsia="黑体"/>
                <w:szCs w:val="21"/>
                <w:lang w:val="zh-CN"/>
              </w:rPr>
              <w:t>份</w:t>
            </w:r>
            <w:r>
              <w:rPr>
                <w:rFonts w:hint="eastAsia" w:ascii="黑体" w:hAnsi="黑体" w:eastAsia="黑体"/>
                <w:szCs w:val="21"/>
                <w:lang w:val="zh-CN"/>
              </w:rPr>
              <w:t>，唱标信封一个。</w:t>
            </w:r>
          </w:p>
        </w:tc>
      </w:tr>
      <w:tr w14:paraId="08A6CA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37A67A18">
            <w:pPr>
              <w:spacing w:line="380" w:lineRule="exact"/>
              <w:ind w:right="-4"/>
              <w:rPr>
                <w:rFonts w:ascii="黑体" w:hAnsi="黑体" w:eastAsia="黑体"/>
                <w:szCs w:val="21"/>
                <w:lang w:val="zh-CN"/>
              </w:rPr>
            </w:pPr>
            <w:r>
              <w:rPr>
                <w:rFonts w:hint="eastAsia" w:ascii="黑体" w:hAnsi="黑体" w:eastAsia="黑体"/>
                <w:szCs w:val="21"/>
                <w:lang w:val="zh-CN"/>
              </w:rPr>
              <w:t>五</w:t>
            </w:r>
            <w:r>
              <w:rPr>
                <w:rFonts w:ascii="黑体" w:hAnsi="黑体" w:eastAsia="黑体"/>
                <w:szCs w:val="21"/>
                <w:lang w:val="zh-CN"/>
              </w:rPr>
              <w:t xml:space="preserve"> </w:t>
            </w:r>
            <w:r>
              <w:rPr>
                <w:rFonts w:hint="eastAsia" w:ascii="黑体" w:hAnsi="黑体" w:eastAsia="黑体"/>
                <w:szCs w:val="21"/>
                <w:lang w:val="zh-CN"/>
              </w:rPr>
              <w:t>开标与评标准则</w:t>
            </w:r>
          </w:p>
        </w:tc>
      </w:tr>
      <w:tr w14:paraId="783749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01A709ED">
            <w:pPr>
              <w:spacing w:line="380" w:lineRule="exact"/>
              <w:ind w:right="-4"/>
              <w:jc w:val="left"/>
              <w:rPr>
                <w:rFonts w:ascii="黑体" w:hAnsi="黑体" w:eastAsia="黑体"/>
                <w:szCs w:val="21"/>
                <w:lang w:val="zh-CN"/>
              </w:rPr>
            </w:pPr>
            <w:r>
              <w:rPr>
                <w:rFonts w:hint="eastAsia" w:ascii="黑体" w:hAnsi="黑体" w:eastAsia="黑体"/>
                <w:szCs w:val="21"/>
                <w:lang w:val="zh-CN"/>
              </w:rPr>
              <w:t>2</w:t>
            </w:r>
            <w:r>
              <w:rPr>
                <w:rFonts w:ascii="黑体" w:hAnsi="黑体" w:eastAsia="黑体"/>
                <w:szCs w:val="21"/>
                <w:lang w:val="zh-CN"/>
              </w:rPr>
              <w:t>5.2</w:t>
            </w:r>
          </w:p>
        </w:tc>
        <w:tc>
          <w:tcPr>
            <w:tcW w:w="4353" w:type="pct"/>
            <w:tcBorders>
              <w:top w:val="single" w:color="auto" w:sz="4" w:space="0"/>
              <w:left w:val="single" w:color="auto" w:sz="4" w:space="0"/>
              <w:bottom w:val="single" w:color="auto" w:sz="4" w:space="0"/>
              <w:right w:val="single" w:color="auto" w:sz="4" w:space="0"/>
            </w:tcBorders>
            <w:vAlign w:val="center"/>
          </w:tcPr>
          <w:p w14:paraId="003479F5">
            <w:pPr>
              <w:spacing w:line="380" w:lineRule="exact"/>
              <w:ind w:right="-4"/>
              <w:rPr>
                <w:rFonts w:ascii="黑体" w:hAnsi="黑体" w:eastAsia="黑体"/>
                <w:szCs w:val="21"/>
                <w:lang w:val="zh-CN"/>
              </w:rPr>
            </w:pPr>
            <w:r>
              <w:rPr>
                <w:rFonts w:hint="eastAsia" w:ascii="黑体" w:hAnsi="黑体" w:eastAsia="黑体"/>
                <w:szCs w:val="21"/>
                <w:lang w:val="zh-CN"/>
              </w:rPr>
              <w:t>评标委员会由采购人代表和评审专家组成，成员人数为5人。</w:t>
            </w:r>
          </w:p>
        </w:tc>
      </w:tr>
      <w:tr w14:paraId="1EA0A1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49275554">
            <w:pPr>
              <w:spacing w:line="380" w:lineRule="exact"/>
              <w:ind w:right="-4"/>
              <w:jc w:val="left"/>
              <w:rPr>
                <w:rFonts w:ascii="黑体" w:hAnsi="黑体" w:eastAsia="黑体"/>
                <w:szCs w:val="21"/>
                <w:lang w:val="zh-CN"/>
              </w:rPr>
            </w:pPr>
            <w:r>
              <w:rPr>
                <w:rFonts w:ascii="黑体" w:hAnsi="黑体" w:eastAsia="黑体"/>
                <w:szCs w:val="21"/>
                <w:lang w:val="zh-CN"/>
              </w:rPr>
              <w:t>25</w:t>
            </w:r>
            <w:r>
              <w:rPr>
                <w:rFonts w:hint="eastAsia" w:ascii="黑体" w:hAnsi="黑体" w:eastAsia="黑体"/>
                <w:szCs w:val="21"/>
                <w:lang w:val="zh-CN"/>
              </w:rPr>
              <w:t>.5</w:t>
            </w:r>
          </w:p>
        </w:tc>
        <w:tc>
          <w:tcPr>
            <w:tcW w:w="4353" w:type="pct"/>
            <w:tcBorders>
              <w:top w:val="single" w:color="auto" w:sz="4" w:space="0"/>
              <w:left w:val="single" w:color="auto" w:sz="4" w:space="0"/>
              <w:bottom w:val="single" w:color="auto" w:sz="4" w:space="0"/>
              <w:right w:val="single" w:color="auto" w:sz="4" w:space="0"/>
            </w:tcBorders>
            <w:vAlign w:val="center"/>
          </w:tcPr>
          <w:p w14:paraId="05015182">
            <w:pPr>
              <w:spacing w:line="380" w:lineRule="exact"/>
              <w:ind w:right="-4"/>
              <w:rPr>
                <w:rFonts w:ascii="黑体" w:hAnsi="黑体" w:eastAsia="黑体"/>
                <w:szCs w:val="21"/>
                <w:lang w:val="zh-CN"/>
              </w:rPr>
            </w:pPr>
            <w:r>
              <w:rPr>
                <w:rFonts w:hint="eastAsia" w:ascii="黑体" w:hAnsi="黑体" w:eastAsia="黑体"/>
                <w:szCs w:val="21"/>
                <w:lang w:val="zh-CN"/>
              </w:rPr>
              <w:t>评标方法：采用综合评分法，详见第五部分。</w:t>
            </w:r>
          </w:p>
        </w:tc>
      </w:tr>
      <w:tr w14:paraId="77F9B3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7C0F749D">
            <w:pPr>
              <w:spacing w:line="380" w:lineRule="exact"/>
              <w:jc w:val="left"/>
              <w:rPr>
                <w:rFonts w:ascii="黑体" w:hAnsi="黑体" w:eastAsia="黑体"/>
                <w:szCs w:val="21"/>
                <w:lang w:val="zh-CN"/>
              </w:rPr>
            </w:pPr>
            <w:r>
              <w:rPr>
                <w:rFonts w:hint="eastAsia" w:ascii="黑体" w:hAnsi="黑体" w:eastAsia="黑体"/>
                <w:szCs w:val="21"/>
                <w:lang w:val="zh-CN"/>
              </w:rPr>
              <w:t>六</w:t>
            </w:r>
            <w:r>
              <w:rPr>
                <w:rFonts w:ascii="黑体" w:hAnsi="黑体" w:eastAsia="黑体"/>
                <w:szCs w:val="21"/>
                <w:lang w:val="zh-CN"/>
              </w:rPr>
              <w:t xml:space="preserve"> </w:t>
            </w:r>
            <w:r>
              <w:rPr>
                <w:rFonts w:hint="eastAsia" w:ascii="黑体" w:hAnsi="黑体" w:eastAsia="黑体"/>
                <w:szCs w:val="21"/>
                <w:lang w:val="zh-CN"/>
              </w:rPr>
              <w:t>授予合同</w:t>
            </w:r>
          </w:p>
        </w:tc>
      </w:tr>
      <w:tr w14:paraId="142FFB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416746AE">
            <w:pPr>
              <w:spacing w:line="380" w:lineRule="exact"/>
              <w:ind w:right="-4"/>
              <w:jc w:val="left"/>
              <w:rPr>
                <w:rFonts w:ascii="黑体" w:hAnsi="黑体" w:eastAsia="黑体"/>
                <w:szCs w:val="21"/>
                <w:lang w:val="zh-CN"/>
              </w:rPr>
            </w:pPr>
            <w:r>
              <w:rPr>
                <w:rFonts w:ascii="黑体" w:hAnsi="黑体" w:eastAsia="黑体"/>
                <w:szCs w:val="21"/>
                <w:lang w:val="zh-CN"/>
              </w:rPr>
              <w:t>3</w:t>
            </w:r>
            <w:r>
              <w:rPr>
                <w:rFonts w:hint="eastAsia" w:ascii="黑体" w:hAnsi="黑体" w:eastAsia="黑体"/>
                <w:szCs w:val="21"/>
                <w:lang w:val="zh-CN"/>
              </w:rPr>
              <w:t>2.1</w:t>
            </w:r>
          </w:p>
        </w:tc>
        <w:tc>
          <w:tcPr>
            <w:tcW w:w="4353" w:type="pct"/>
            <w:tcBorders>
              <w:top w:val="single" w:color="auto" w:sz="4" w:space="0"/>
              <w:left w:val="single" w:color="auto" w:sz="4" w:space="0"/>
              <w:bottom w:val="single" w:color="auto" w:sz="4" w:space="0"/>
              <w:right w:val="single" w:color="auto" w:sz="4" w:space="0"/>
            </w:tcBorders>
            <w:vAlign w:val="center"/>
          </w:tcPr>
          <w:p w14:paraId="320F68B0">
            <w:pPr>
              <w:spacing w:line="380" w:lineRule="exact"/>
              <w:ind w:right="-4"/>
              <w:rPr>
                <w:rFonts w:ascii="黑体" w:hAnsi="黑体" w:eastAsia="黑体"/>
                <w:szCs w:val="21"/>
                <w:lang w:val="zh-CN"/>
              </w:rPr>
            </w:pPr>
            <w:r>
              <w:rPr>
                <w:rFonts w:hint="eastAsia" w:ascii="黑体" w:hAnsi="黑体" w:eastAsia="黑体"/>
                <w:szCs w:val="21"/>
                <w:lang w:val="zh-CN"/>
              </w:rPr>
              <w:t>合同签订时间：自《中标通知书》发出之日起30日内。</w:t>
            </w:r>
          </w:p>
        </w:tc>
      </w:tr>
      <w:tr w14:paraId="02F8FC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646" w:type="pct"/>
            <w:tcBorders>
              <w:top w:val="single" w:color="auto" w:sz="4" w:space="0"/>
              <w:left w:val="single" w:color="auto" w:sz="4" w:space="0"/>
              <w:right w:val="single" w:color="auto" w:sz="4" w:space="0"/>
            </w:tcBorders>
            <w:vAlign w:val="center"/>
          </w:tcPr>
          <w:p w14:paraId="0FDDEB2F">
            <w:pPr>
              <w:spacing w:line="380" w:lineRule="exact"/>
              <w:ind w:right="-4"/>
              <w:jc w:val="left"/>
              <w:rPr>
                <w:rFonts w:ascii="黑体" w:hAnsi="黑体" w:eastAsia="黑体"/>
                <w:color w:val="auto"/>
                <w:szCs w:val="21"/>
                <w:highlight w:val="none"/>
                <w:lang w:val="zh-CN"/>
              </w:rPr>
            </w:pPr>
            <w:r>
              <w:rPr>
                <w:rFonts w:ascii="黑体" w:hAnsi="黑体" w:eastAsia="黑体"/>
                <w:color w:val="auto"/>
                <w:szCs w:val="21"/>
                <w:highlight w:val="none"/>
                <w:lang w:val="zh-CN"/>
              </w:rPr>
              <w:t>3</w:t>
            </w:r>
            <w:r>
              <w:rPr>
                <w:rFonts w:hint="eastAsia" w:ascii="黑体" w:hAnsi="黑体" w:eastAsia="黑体"/>
                <w:color w:val="auto"/>
                <w:szCs w:val="21"/>
                <w:highlight w:val="none"/>
                <w:lang w:val="zh-CN"/>
              </w:rPr>
              <w:t>5.1</w:t>
            </w:r>
          </w:p>
        </w:tc>
        <w:tc>
          <w:tcPr>
            <w:tcW w:w="4353" w:type="pct"/>
            <w:tcBorders>
              <w:top w:val="single" w:color="auto" w:sz="4" w:space="0"/>
              <w:left w:val="single" w:color="auto" w:sz="4" w:space="0"/>
              <w:bottom w:val="single" w:color="auto" w:sz="4" w:space="0"/>
              <w:right w:val="single" w:color="auto" w:sz="4" w:space="0"/>
            </w:tcBorders>
            <w:vAlign w:val="center"/>
          </w:tcPr>
          <w:p w14:paraId="4F942FC2">
            <w:pPr>
              <w:spacing w:line="380" w:lineRule="exact"/>
              <w:ind w:right="-4"/>
              <w:rPr>
                <w:rFonts w:ascii="黑体" w:hAnsi="黑体" w:eastAsia="黑体"/>
                <w:color w:val="auto"/>
                <w:szCs w:val="21"/>
                <w:highlight w:val="none"/>
                <w:lang w:val="zh-CN"/>
              </w:rPr>
            </w:pPr>
            <w:r>
              <w:rPr>
                <w:rFonts w:hint="eastAsia" w:ascii="黑体" w:hAnsi="黑体" w:eastAsia="黑体"/>
                <w:color w:val="auto"/>
                <w:szCs w:val="21"/>
                <w:highlight w:val="none"/>
                <w:lang w:val="zh-CN"/>
              </w:rPr>
              <w:t>履约担保：</w:t>
            </w:r>
            <w:r>
              <w:rPr>
                <w:rFonts w:hint="eastAsia" w:ascii="黑体" w:hAnsi="黑体" w:eastAsia="黑体"/>
                <w:color w:val="auto"/>
                <w:szCs w:val="21"/>
                <w:highlight w:val="none"/>
                <w:u w:val="single"/>
                <w:lang w:val="en-US" w:eastAsia="zh-CN"/>
              </w:rPr>
              <w:t>本项目不设履约担保</w:t>
            </w:r>
            <w:r>
              <w:rPr>
                <w:rFonts w:hint="eastAsia" w:ascii="黑体" w:hAnsi="黑体" w:eastAsia="黑体"/>
                <w:color w:val="auto"/>
                <w:szCs w:val="21"/>
                <w:highlight w:val="none"/>
                <w:lang w:val="zh-CN"/>
              </w:rPr>
              <w:t>。</w:t>
            </w:r>
          </w:p>
        </w:tc>
      </w:tr>
    </w:tbl>
    <w:p w14:paraId="4C3CE93C">
      <w:pPr>
        <w:pStyle w:val="3"/>
        <w:keepNext w:val="0"/>
        <w:keepLines w:val="0"/>
        <w:pageBreakBefore/>
        <w:spacing w:before="300" w:after="240" w:line="360" w:lineRule="auto"/>
        <w:jc w:val="center"/>
        <w:rPr>
          <w:rFonts w:ascii="黑体" w:hAnsi="黑体" w:eastAsia="黑体"/>
          <w:color w:val="000000" w:themeColor="text1"/>
          <w:spacing w:val="20"/>
          <w:sz w:val="32"/>
          <w:szCs w:val="32"/>
          <w14:textFill>
            <w14:solidFill>
              <w14:schemeClr w14:val="tx1"/>
            </w14:solidFill>
          </w14:textFill>
        </w:rPr>
      </w:pPr>
      <w:bookmarkStart w:id="22" w:name="_Toc391627750"/>
      <w:bookmarkStart w:id="23" w:name="_Toc119514288"/>
      <w:bookmarkStart w:id="24" w:name="_Toc405313954"/>
      <w:r>
        <w:rPr>
          <w:rFonts w:hint="eastAsia" w:ascii="黑体" w:hAnsi="黑体" w:eastAsia="黑体"/>
          <w:color w:val="000000" w:themeColor="text1"/>
          <w:spacing w:val="20"/>
          <w:sz w:val="32"/>
          <w:szCs w:val="32"/>
          <w14:textFill>
            <w14:solidFill>
              <w14:schemeClr w14:val="tx1"/>
            </w14:solidFill>
          </w14:textFill>
        </w:rPr>
        <w:t>第四部分 投标人须知</w:t>
      </w:r>
      <w:bookmarkEnd w:id="22"/>
      <w:bookmarkEnd w:id="23"/>
      <w:bookmarkEnd w:id="24"/>
    </w:p>
    <w:p w14:paraId="7C957613">
      <w:pPr>
        <w:pStyle w:val="29"/>
        <w:numPr>
          <w:ilvl w:val="0"/>
          <w:numId w:val="45"/>
        </w:numPr>
        <w:spacing w:before="312" w:beforeLines="100" w:line="360" w:lineRule="auto"/>
        <w:ind w:firstLineChars="0"/>
        <w:rPr>
          <w:rFonts w:ascii="黑体" w:hAnsi="黑体" w:eastAsia="黑体"/>
          <w:b/>
          <w:bCs/>
          <w:sz w:val="24"/>
          <w:szCs w:val="24"/>
        </w:rPr>
      </w:pPr>
      <w:r>
        <w:rPr>
          <w:rFonts w:hint="eastAsia" w:ascii="黑体" w:hAnsi="黑体" w:eastAsia="黑体"/>
          <w:b/>
          <w:bCs/>
          <w:sz w:val="24"/>
          <w:szCs w:val="24"/>
        </w:rPr>
        <w:t>说明</w:t>
      </w:r>
    </w:p>
    <w:p w14:paraId="138BDEDB">
      <w:pPr>
        <w:pStyle w:val="29"/>
        <w:numPr>
          <w:ilvl w:val="0"/>
          <w:numId w:val="46"/>
        </w:numPr>
        <w:spacing w:line="360" w:lineRule="auto"/>
        <w:ind w:firstLineChars="0"/>
        <w:rPr>
          <w:rFonts w:ascii="黑体" w:hAnsi="黑体" w:eastAsia="黑体"/>
          <w:b/>
        </w:rPr>
      </w:pPr>
      <w:r>
        <w:rPr>
          <w:rFonts w:hint="eastAsia" w:ascii="黑体" w:hAnsi="黑体" w:eastAsia="黑体"/>
          <w:b/>
        </w:rPr>
        <w:t>总则</w:t>
      </w:r>
    </w:p>
    <w:p w14:paraId="44344AF4">
      <w:pPr>
        <w:spacing w:line="360" w:lineRule="auto"/>
        <w:ind w:firstLine="420" w:firstLineChars="200"/>
        <w:rPr>
          <w:rFonts w:ascii="黑体" w:hAnsi="黑体" w:eastAsia="黑体"/>
          <w:bCs/>
        </w:rPr>
      </w:pPr>
      <w:r>
        <w:rPr>
          <w:rFonts w:hint="eastAsia" w:ascii="黑体" w:hAnsi="黑体" w:eastAsia="黑体"/>
          <w:bCs/>
        </w:rPr>
        <w:t>采购人、采购代理机构及投标人进行的本次采购活动</w:t>
      </w:r>
      <w:r>
        <w:rPr>
          <w:rFonts w:hint="eastAsia" w:ascii="黑体" w:hAnsi="黑体" w:eastAsia="黑体"/>
          <w:bCs/>
          <w:lang w:val="en-US" w:eastAsia="zh-CN"/>
        </w:rPr>
        <w:t>参考</w:t>
      </w:r>
      <w:r>
        <w:rPr>
          <w:rFonts w:hint="eastAsia" w:ascii="黑体" w:hAnsi="黑体" w:eastAsia="黑体"/>
          <w:bCs/>
        </w:rPr>
        <w:t>《</w:t>
      </w:r>
      <w:bookmarkStart w:id="25" w:name="_Hlk75725950"/>
      <w:r>
        <w:rPr>
          <w:rFonts w:hint="eastAsia" w:ascii="黑体" w:hAnsi="黑体" w:eastAsia="黑体"/>
          <w:bCs/>
        </w:rPr>
        <w:t>中华人民共和国</w:t>
      </w:r>
      <w:bookmarkEnd w:id="25"/>
      <w:r>
        <w:rPr>
          <w:rFonts w:hint="eastAsia" w:ascii="黑体" w:hAnsi="黑体" w:eastAsia="黑体"/>
          <w:bCs/>
        </w:rPr>
        <w:t xml:space="preserve">政府采购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 </w:t>
      </w:r>
    </w:p>
    <w:p w14:paraId="557AC80A">
      <w:pPr>
        <w:spacing w:line="360" w:lineRule="auto"/>
        <w:ind w:firstLine="420" w:firstLineChars="200"/>
        <w:rPr>
          <w:rFonts w:ascii="黑体" w:hAnsi="黑体" w:eastAsia="黑体"/>
          <w:bCs/>
        </w:rPr>
      </w:pPr>
      <w:r>
        <w:rPr>
          <w:rFonts w:hint="eastAsia" w:ascii="黑体" w:hAnsi="黑体" w:eastAsia="黑体"/>
          <w:bCs/>
        </w:rPr>
        <w:t>本次公开招标项目，是以招标公告的方式邀请非特定的投标人参加投标。</w:t>
      </w:r>
    </w:p>
    <w:p w14:paraId="58B70354">
      <w:pPr>
        <w:pStyle w:val="29"/>
        <w:numPr>
          <w:ilvl w:val="0"/>
          <w:numId w:val="46"/>
        </w:numPr>
        <w:spacing w:line="360" w:lineRule="auto"/>
        <w:ind w:firstLineChars="0"/>
        <w:rPr>
          <w:rFonts w:ascii="黑体" w:hAnsi="黑体" w:eastAsia="黑体"/>
          <w:b/>
          <w:color w:val="auto"/>
        </w:rPr>
      </w:pPr>
      <w:r>
        <w:rPr>
          <w:rFonts w:hint="eastAsia" w:ascii="黑体" w:hAnsi="黑体" w:eastAsia="黑体"/>
          <w:b/>
          <w:color w:val="auto"/>
        </w:rPr>
        <w:t>适用范围</w:t>
      </w:r>
    </w:p>
    <w:p w14:paraId="00079286">
      <w:pPr>
        <w:pStyle w:val="29"/>
        <w:numPr>
          <w:ilvl w:val="0"/>
          <w:numId w:val="47"/>
        </w:numPr>
        <w:spacing w:line="360" w:lineRule="auto"/>
        <w:ind w:firstLineChars="0"/>
        <w:rPr>
          <w:rFonts w:ascii="黑体" w:hAnsi="黑体" w:eastAsia="黑体"/>
          <w:color w:val="auto"/>
        </w:rPr>
      </w:pPr>
      <w:r>
        <w:rPr>
          <w:rFonts w:hint="eastAsia" w:ascii="黑体" w:hAnsi="黑体" w:eastAsia="黑体"/>
          <w:color w:val="auto"/>
        </w:rPr>
        <w:t>本招标文件仅适用于本次招标公告中所涉及的项目和内容。</w:t>
      </w:r>
    </w:p>
    <w:p w14:paraId="3D8CCC76">
      <w:pPr>
        <w:pStyle w:val="29"/>
        <w:numPr>
          <w:ilvl w:val="0"/>
          <w:numId w:val="47"/>
        </w:numPr>
        <w:spacing w:line="360" w:lineRule="auto"/>
        <w:ind w:firstLineChars="0"/>
        <w:rPr>
          <w:rFonts w:ascii="黑体" w:hAnsi="黑体" w:eastAsia="黑体"/>
          <w:b/>
          <w:color w:val="auto"/>
          <w:u w:val="single"/>
        </w:rPr>
      </w:pPr>
      <w:r>
        <w:rPr>
          <w:rFonts w:hint="eastAsia" w:ascii="黑体" w:hAnsi="黑体" w:eastAsia="黑体"/>
          <w:color w:val="auto"/>
        </w:rPr>
        <w:t>资金来源：</w:t>
      </w:r>
      <w:r>
        <w:rPr>
          <w:rFonts w:hint="eastAsia" w:ascii="黑体" w:hAnsi="黑体" w:eastAsia="黑体"/>
          <w:b/>
          <w:color w:val="auto"/>
          <w:u w:val="single"/>
        </w:rPr>
        <w:t>（详见投标人须知前附表）</w:t>
      </w:r>
      <w:r>
        <w:rPr>
          <w:rFonts w:hint="eastAsia" w:ascii="黑体" w:hAnsi="黑体" w:eastAsia="黑体"/>
          <w:color w:val="auto"/>
        </w:rPr>
        <w:t>。</w:t>
      </w:r>
    </w:p>
    <w:p w14:paraId="46D35E9E">
      <w:pPr>
        <w:pStyle w:val="29"/>
        <w:numPr>
          <w:ilvl w:val="0"/>
          <w:numId w:val="47"/>
        </w:numPr>
        <w:ind w:firstLineChars="0"/>
        <w:rPr>
          <w:rFonts w:ascii="黑体" w:hAnsi="黑体" w:eastAsia="黑体"/>
          <w:b/>
          <w:color w:val="auto"/>
        </w:rPr>
      </w:pPr>
      <w:r>
        <w:rPr>
          <w:rFonts w:hint="eastAsia" w:ascii="黑体" w:hAnsi="黑体" w:eastAsia="黑体"/>
          <w:b/>
          <w:color w:val="auto"/>
        </w:rPr>
        <w:t>项目属性：《详见投标人须知前附表》。</w:t>
      </w:r>
    </w:p>
    <w:p w14:paraId="5D8CA408">
      <w:pPr>
        <w:pStyle w:val="29"/>
        <w:numPr>
          <w:ilvl w:val="0"/>
          <w:numId w:val="46"/>
        </w:numPr>
        <w:spacing w:before="312" w:beforeLines="100" w:line="360" w:lineRule="auto"/>
        <w:ind w:firstLineChars="0"/>
        <w:rPr>
          <w:rFonts w:ascii="黑体" w:hAnsi="黑体" w:eastAsia="黑体"/>
          <w:b/>
          <w:color w:val="auto"/>
        </w:rPr>
      </w:pPr>
      <w:r>
        <w:rPr>
          <w:rFonts w:hint="eastAsia" w:ascii="黑体" w:hAnsi="黑体" w:eastAsia="黑体"/>
          <w:b/>
          <w:color w:val="auto"/>
        </w:rPr>
        <w:t>定义</w:t>
      </w:r>
    </w:p>
    <w:p w14:paraId="777DB439">
      <w:pPr>
        <w:pStyle w:val="29"/>
        <w:numPr>
          <w:ilvl w:val="0"/>
          <w:numId w:val="48"/>
        </w:numPr>
        <w:tabs>
          <w:tab w:val="left" w:pos="426"/>
        </w:tabs>
        <w:spacing w:line="360" w:lineRule="auto"/>
        <w:ind w:left="426" w:hanging="426" w:firstLineChars="0"/>
        <w:rPr>
          <w:rFonts w:ascii="黑体" w:hAnsi="黑体" w:eastAsia="黑体"/>
        </w:rPr>
      </w:pPr>
      <w:r>
        <w:rPr>
          <w:rFonts w:ascii="黑体" w:hAnsi="黑体" w:eastAsia="黑体"/>
        </w:rPr>
        <w:t>采购人</w:t>
      </w:r>
      <w:r>
        <w:rPr>
          <w:rFonts w:hint="eastAsia" w:ascii="黑体" w:hAnsi="黑体" w:eastAsia="黑体"/>
        </w:rPr>
        <w:t>：是采购活动当事人之一，负责项目的整体规划、技术方案可行性设计论证与实施，作为合同采购方（用户）的主体承担质疑回复、履行合同、验收与评价等义务。</w:t>
      </w:r>
      <w:r>
        <w:rPr>
          <w:rFonts w:ascii="黑体" w:hAnsi="黑体" w:eastAsia="黑体"/>
        </w:rPr>
        <w:t xml:space="preserve"> </w:t>
      </w:r>
    </w:p>
    <w:p w14:paraId="10295190">
      <w:pPr>
        <w:pStyle w:val="29"/>
        <w:numPr>
          <w:ilvl w:val="0"/>
          <w:numId w:val="48"/>
        </w:numPr>
        <w:tabs>
          <w:tab w:val="left" w:pos="426"/>
        </w:tabs>
        <w:spacing w:line="360" w:lineRule="auto"/>
        <w:ind w:left="426" w:hanging="426" w:firstLineChars="0"/>
        <w:rPr>
          <w:rFonts w:ascii="黑体" w:hAnsi="黑体" w:eastAsia="黑体"/>
        </w:rPr>
      </w:pPr>
      <w:r>
        <w:rPr>
          <w:rFonts w:hint="eastAsia" w:ascii="黑体" w:hAnsi="黑体" w:eastAsia="黑体"/>
        </w:rPr>
        <w:t>采购代理机构：负责整个采购活动的组织，依法负责编制和发布招标文件，对招标文件拥有最终的解释权，不以任何身份出任评标委员会成员。</w:t>
      </w:r>
    </w:p>
    <w:p w14:paraId="30D8F35A">
      <w:pPr>
        <w:pStyle w:val="29"/>
        <w:numPr>
          <w:ilvl w:val="0"/>
          <w:numId w:val="48"/>
        </w:numPr>
        <w:tabs>
          <w:tab w:val="left" w:pos="426"/>
        </w:tabs>
        <w:spacing w:line="360" w:lineRule="auto"/>
        <w:ind w:hanging="941" w:firstLineChars="0"/>
        <w:rPr>
          <w:rFonts w:ascii="黑体" w:hAnsi="黑体" w:eastAsia="黑体"/>
        </w:rPr>
      </w:pPr>
      <w:r>
        <w:rPr>
          <w:rFonts w:hint="eastAsia" w:ascii="黑体" w:hAnsi="黑体" w:eastAsia="黑体"/>
        </w:rPr>
        <w:t>投标人：是响应招标参加投标竞争的法人或其他组织或自然人。</w:t>
      </w:r>
    </w:p>
    <w:p w14:paraId="30143B91">
      <w:pPr>
        <w:pStyle w:val="29"/>
        <w:numPr>
          <w:ilvl w:val="0"/>
          <w:numId w:val="48"/>
        </w:numPr>
        <w:tabs>
          <w:tab w:val="left" w:pos="426"/>
        </w:tabs>
        <w:spacing w:line="360" w:lineRule="auto"/>
        <w:ind w:left="426" w:hanging="426" w:firstLineChars="0"/>
        <w:rPr>
          <w:rFonts w:ascii="黑体" w:hAnsi="黑体" w:eastAsia="黑体"/>
        </w:rPr>
      </w:pPr>
      <w:r>
        <w:rPr>
          <w:rFonts w:hint="eastAsia" w:ascii="黑体" w:hAnsi="黑体" w:eastAsia="黑体"/>
        </w:rPr>
        <w:t xml:space="preserve">评标委员会：是指根据《中华人民共和国政府采购法》等法律法规规定，由采购人代表和有关专家组成以确定中标供应商或者推荐中标候选人的临时组织。 </w:t>
      </w:r>
    </w:p>
    <w:p w14:paraId="0DFC9DEA">
      <w:pPr>
        <w:pStyle w:val="29"/>
        <w:numPr>
          <w:ilvl w:val="0"/>
          <w:numId w:val="48"/>
        </w:numPr>
        <w:tabs>
          <w:tab w:val="left" w:pos="426"/>
        </w:tabs>
        <w:spacing w:line="360" w:lineRule="auto"/>
        <w:ind w:left="426" w:hanging="426" w:firstLineChars="0"/>
        <w:rPr>
          <w:rFonts w:ascii="黑体" w:hAnsi="黑体" w:eastAsia="黑体"/>
        </w:rPr>
      </w:pPr>
      <w:r>
        <w:rPr>
          <w:rFonts w:hint="eastAsia" w:ascii="黑体" w:hAnsi="黑体" w:eastAsia="黑体"/>
        </w:rPr>
        <w:t>中标人：是指经评标委员会评审确定的对招标文件做出实质性响应，经采购人按照规定在评标委员会推荐的中标候选人中确定的或评标委员会受采购人委托直接确认的投标人。</w:t>
      </w:r>
    </w:p>
    <w:p w14:paraId="2F42C1CC">
      <w:pPr>
        <w:pStyle w:val="29"/>
        <w:numPr>
          <w:ilvl w:val="0"/>
          <w:numId w:val="48"/>
        </w:numPr>
        <w:tabs>
          <w:tab w:val="left" w:pos="426"/>
        </w:tabs>
        <w:spacing w:line="360" w:lineRule="auto"/>
        <w:ind w:hanging="941" w:firstLineChars="0"/>
        <w:rPr>
          <w:rFonts w:ascii="黑体" w:hAnsi="黑体" w:eastAsia="黑体"/>
        </w:rPr>
      </w:pPr>
      <w:r>
        <w:rPr>
          <w:rFonts w:ascii="黑体" w:hAnsi="黑体" w:eastAsia="黑体"/>
        </w:rPr>
        <w:t>合格的投标人</w:t>
      </w:r>
      <w:r>
        <w:rPr>
          <w:rFonts w:hint="eastAsia" w:ascii="黑体" w:hAnsi="黑体" w:eastAsia="黑体"/>
        </w:rPr>
        <w:t>是指：详见《第一部分投标邀请》申请人的资格要求</w:t>
      </w:r>
    </w:p>
    <w:p w14:paraId="2F1173E5">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合格的货物和服务</w:t>
      </w:r>
    </w:p>
    <w:p w14:paraId="4B97E84A">
      <w:pPr>
        <w:pStyle w:val="29"/>
        <w:numPr>
          <w:ilvl w:val="0"/>
          <w:numId w:val="49"/>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货物是指投标人制造或组织符合招标文件要求的货物等。投标的货物必须是其合法生产、合法来源的符合国家有关标准要求的货物，并满足招标文件规定的规格、参数、质量、价格、有效期、售后服务等要求。</w:t>
      </w:r>
    </w:p>
    <w:p w14:paraId="1DB73F65">
      <w:pPr>
        <w:pStyle w:val="29"/>
        <w:numPr>
          <w:ilvl w:val="0"/>
          <w:numId w:val="49"/>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服务是指除货物和工程以外的其他政府采购对象，且满足实质性采购需求。</w:t>
      </w:r>
    </w:p>
    <w:p w14:paraId="1A07B75F">
      <w:pPr>
        <w:pStyle w:val="29"/>
        <w:numPr>
          <w:ilvl w:val="0"/>
          <w:numId w:val="49"/>
        </w:numPr>
        <w:spacing w:line="360" w:lineRule="auto"/>
        <w:ind w:firstLineChars="0"/>
        <w:rPr>
          <w:rFonts w:ascii="黑体" w:hAnsi="黑体" w:eastAsia="黑体"/>
          <w:bCs/>
          <w:color w:val="auto"/>
          <w:szCs w:val="21"/>
        </w:rPr>
      </w:pPr>
      <w:r>
        <w:rPr>
          <w:rFonts w:hint="eastAsia" w:ascii="黑体" w:hAnsi="黑体" w:eastAsia="黑体"/>
          <w:bCs/>
          <w:color w:val="auto"/>
          <w:szCs w:val="21"/>
        </w:rPr>
        <w:t>政府采购应当采购本国产品，确需采购进口产品（是指通过中国海关报关验放进入中国境内且产自关境外的产品）的，</w:t>
      </w:r>
      <w:bookmarkStart w:id="26" w:name="_Toc211763038"/>
      <w:r>
        <w:rPr>
          <w:rFonts w:hint="eastAsia" w:ascii="黑体" w:hAnsi="黑体" w:eastAsia="黑体"/>
          <w:bCs/>
          <w:color w:val="auto"/>
          <w:szCs w:val="21"/>
        </w:rPr>
        <w:t>应当获得财政部门核准。依据《政府采购进口产品管理办法</w:t>
      </w:r>
      <w:bookmarkEnd w:id="26"/>
      <w:r>
        <w:rPr>
          <w:rFonts w:hint="eastAsia" w:ascii="黑体" w:hAnsi="黑体" w:eastAsia="黑体"/>
          <w:bCs/>
          <w:color w:val="auto"/>
          <w:szCs w:val="21"/>
        </w:rPr>
        <w:t>》优先采购向我国企业转让技术、与我国企业签订消化吸收再创新方案的供应商的进口产品。</w:t>
      </w:r>
    </w:p>
    <w:p w14:paraId="75E0BCA0">
      <w:pPr>
        <w:pStyle w:val="29"/>
        <w:numPr>
          <w:ilvl w:val="0"/>
          <w:numId w:val="49"/>
        </w:numPr>
        <w:spacing w:line="360" w:lineRule="auto"/>
        <w:ind w:firstLineChars="0"/>
        <w:rPr>
          <w:rFonts w:ascii="黑体" w:hAnsi="黑体" w:eastAsia="黑体"/>
          <w:bCs/>
          <w:color w:val="auto"/>
          <w:szCs w:val="21"/>
        </w:rPr>
      </w:pPr>
      <w:r>
        <w:rPr>
          <w:rFonts w:hint="eastAsia" w:ascii="黑体" w:hAnsi="黑体" w:eastAsia="黑体"/>
          <w:bCs/>
          <w:color w:val="auto"/>
          <w:szCs w:val="21"/>
        </w:rPr>
        <w:t>如本项目采购产品属于实施政府强制采购品目清单范围的节能产品，则投标人所报产品必须获得国家确定的认证机构出具的、处于有效期之内的节能产品认证证书，否则投标无效。</w:t>
      </w:r>
    </w:p>
    <w:p w14:paraId="2114C143">
      <w:pPr>
        <w:pStyle w:val="29"/>
        <w:numPr>
          <w:ilvl w:val="0"/>
          <w:numId w:val="49"/>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auto"/>
          <w:szCs w:val="21"/>
        </w:rPr>
        <w:t>投标人提供的所有服务，其质量、技术等特征必须符合国家、行业现行法律、法规的相关标准和《中华人民共和国政府采购法》的有关规定及采购</w:t>
      </w:r>
      <w:r>
        <w:rPr>
          <w:rFonts w:hint="eastAsia" w:ascii="黑体" w:hAnsi="黑体" w:eastAsia="黑体"/>
          <w:bCs/>
          <w:color w:val="000000" w:themeColor="text1"/>
          <w:szCs w:val="21"/>
          <w14:textFill>
            <w14:solidFill>
              <w14:schemeClr w14:val="tx1"/>
            </w14:solidFill>
          </w14:textFill>
        </w:rPr>
        <w:t>需求。</w:t>
      </w:r>
    </w:p>
    <w:p w14:paraId="3446EC93">
      <w:pPr>
        <w:pStyle w:val="29"/>
        <w:numPr>
          <w:ilvl w:val="0"/>
          <w:numId w:val="49"/>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pacing w:val="-6"/>
          <w:szCs w:val="21"/>
          <w14:textFill>
            <w14:solidFill>
              <w14:schemeClr w14:val="tx1"/>
            </w14:solidFill>
          </w14:textFill>
        </w:rPr>
        <w:t>采购人有权拒绝接受任何不合格的服务，由此产生的费用及相关后果均由投标人自行承担；</w:t>
      </w:r>
    </w:p>
    <w:p w14:paraId="1FEE96F3">
      <w:pPr>
        <w:pStyle w:val="29"/>
        <w:numPr>
          <w:ilvl w:val="0"/>
          <w:numId w:val="49"/>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14:paraId="1F21B010">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投标费用</w:t>
      </w:r>
    </w:p>
    <w:p w14:paraId="6A6C09BC">
      <w:pPr>
        <w:pStyle w:val="29"/>
        <w:numPr>
          <w:ilvl w:val="0"/>
          <w:numId w:val="50"/>
        </w:numPr>
        <w:spacing w:line="360" w:lineRule="auto"/>
        <w:ind w:firstLineChars="0"/>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投标人应承担所</w:t>
      </w:r>
      <w:r>
        <w:rPr>
          <w:rFonts w:ascii="黑体" w:hAnsi="黑体" w:eastAsia="黑体"/>
          <w:bCs/>
          <w:color w:val="auto"/>
          <w:szCs w:val="21"/>
        </w:rPr>
        <w:t>有与准备和参加投标有关的费用。不论投标的结果如何，采购代理机构和采购人均无义务和责任承担</w:t>
      </w:r>
      <w:r>
        <w:rPr>
          <w:rFonts w:hint="eastAsia" w:ascii="黑体" w:hAnsi="黑体" w:eastAsia="黑体"/>
          <w:bCs/>
          <w:color w:val="auto"/>
          <w:szCs w:val="21"/>
        </w:rPr>
        <w:t>相关</w:t>
      </w:r>
      <w:r>
        <w:rPr>
          <w:rFonts w:ascii="黑体" w:hAnsi="黑体" w:eastAsia="黑体"/>
          <w:bCs/>
          <w:color w:val="auto"/>
          <w:szCs w:val="21"/>
        </w:rPr>
        <w:t>费用</w:t>
      </w:r>
      <w:r>
        <w:rPr>
          <w:rFonts w:hint="eastAsia" w:ascii="黑体" w:hAnsi="黑体" w:eastAsia="黑体"/>
          <w:bCs/>
          <w:color w:val="000000" w:themeColor="text1"/>
          <w:szCs w:val="21"/>
          <w14:textFill>
            <w14:solidFill>
              <w14:schemeClr w14:val="tx1"/>
            </w14:solidFill>
          </w14:textFill>
        </w:rPr>
        <w:t>。</w:t>
      </w:r>
    </w:p>
    <w:p w14:paraId="4DBE6CC7">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投标保证金</w:t>
      </w:r>
    </w:p>
    <w:p w14:paraId="46BA6EC0">
      <w:pPr>
        <w:pStyle w:val="29"/>
        <w:numPr>
          <w:ilvl w:val="0"/>
          <w:numId w:val="51"/>
        </w:numPr>
        <w:spacing w:line="360" w:lineRule="auto"/>
        <w:ind w:firstLineChars="0"/>
        <w:rPr>
          <w:rFonts w:ascii="黑体" w:hAnsi="黑体" w:eastAsia="黑体"/>
          <w:bCs/>
          <w:szCs w:val="21"/>
        </w:rPr>
      </w:pPr>
      <w:r>
        <w:rPr>
          <w:rFonts w:hint="eastAsia" w:ascii="黑体" w:hAnsi="黑体" w:eastAsia="黑体"/>
          <w:bCs/>
          <w:szCs w:val="21"/>
          <w:lang w:val="en-US" w:eastAsia="zh-CN"/>
        </w:rPr>
        <w:t>本项目不设投标保证金。</w:t>
      </w:r>
    </w:p>
    <w:p w14:paraId="793798A8">
      <w:pPr>
        <w:pStyle w:val="29"/>
        <w:numPr>
          <w:ilvl w:val="0"/>
          <w:numId w:val="45"/>
        </w:numPr>
        <w:spacing w:before="312" w:beforeLines="100" w:line="360" w:lineRule="auto"/>
        <w:ind w:firstLineChars="0"/>
        <w:rPr>
          <w:rFonts w:ascii="黑体" w:hAnsi="黑体" w:eastAsia="黑体"/>
          <w:b/>
          <w:bCs/>
          <w:color w:val="000000" w:themeColor="text1"/>
          <w:sz w:val="24"/>
          <w:szCs w:val="24"/>
          <w14:textFill>
            <w14:solidFill>
              <w14:schemeClr w14:val="tx1"/>
            </w14:solidFill>
          </w14:textFill>
        </w:rPr>
      </w:pPr>
      <w:r>
        <w:rPr>
          <w:rFonts w:hint="eastAsia" w:ascii="黑体" w:hAnsi="黑体" w:eastAsia="黑体"/>
          <w:b/>
          <w:bCs/>
          <w:color w:val="000000" w:themeColor="text1"/>
          <w:sz w:val="24"/>
          <w:szCs w:val="24"/>
          <w14:textFill>
            <w14:solidFill>
              <w14:schemeClr w14:val="tx1"/>
            </w14:solidFill>
          </w14:textFill>
        </w:rPr>
        <w:t>招标文件</w:t>
      </w:r>
      <w:bookmarkStart w:id="27" w:name="_Toc357676115"/>
    </w:p>
    <w:p w14:paraId="64E86E39">
      <w:pPr>
        <w:pStyle w:val="29"/>
        <w:numPr>
          <w:ilvl w:val="0"/>
          <w:numId w:val="46"/>
        </w:numPr>
        <w:spacing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招标文件的编制依据与构成</w:t>
      </w:r>
      <w:bookmarkEnd w:id="27"/>
    </w:p>
    <w:p w14:paraId="43D97106">
      <w:pPr>
        <w:pStyle w:val="29"/>
        <w:numPr>
          <w:ilvl w:val="0"/>
          <w:numId w:val="52"/>
        </w:numPr>
        <w:spacing w:line="360" w:lineRule="auto"/>
        <w:ind w:firstLineChars="0"/>
        <w:rPr>
          <w:rFonts w:ascii="黑体" w:hAnsi="黑体" w:eastAsia="黑体"/>
          <w:bCs/>
          <w:szCs w:val="21"/>
        </w:rPr>
      </w:pPr>
      <w:r>
        <w:rPr>
          <w:rFonts w:hint="eastAsia" w:ascii="黑体" w:hAnsi="黑体" w:eastAsia="黑体"/>
          <w:bCs/>
          <w:szCs w:val="21"/>
        </w:rPr>
        <w:t>本招标文件的编制</w:t>
      </w:r>
      <w:r>
        <w:rPr>
          <w:rFonts w:hint="eastAsia" w:ascii="黑体" w:hAnsi="黑体" w:eastAsia="黑体"/>
          <w:bCs/>
          <w:szCs w:val="21"/>
          <w:lang w:val="en-US" w:eastAsia="zh-CN"/>
        </w:rPr>
        <w:t>参考</w:t>
      </w:r>
      <w:r>
        <w:rPr>
          <w:rFonts w:hint="eastAsia" w:ascii="黑体" w:hAnsi="黑体" w:eastAsia="黑体"/>
          <w:bCs/>
          <w:szCs w:val="21"/>
        </w:rPr>
        <w:t>是</w:t>
      </w:r>
      <w:r>
        <w:rPr>
          <w:rFonts w:hint="eastAsia" w:ascii="黑体" w:hAnsi="黑体" w:eastAsia="黑体"/>
          <w:szCs w:val="21"/>
        </w:rPr>
        <w:t>《中华人民共和国政府采购法》、《中华人民共和国政府采购法实施条例》、财政部《政府采购货物和服务招标投标管理办法》</w:t>
      </w:r>
      <w:r>
        <w:rPr>
          <w:rFonts w:hint="eastAsia" w:ascii="黑体" w:hAnsi="黑体" w:eastAsia="黑体"/>
          <w:bCs/>
          <w:szCs w:val="21"/>
        </w:rPr>
        <w:t>等法律法规。</w:t>
      </w:r>
    </w:p>
    <w:p w14:paraId="07D1D7BD">
      <w:pPr>
        <w:pStyle w:val="29"/>
        <w:numPr>
          <w:ilvl w:val="0"/>
          <w:numId w:val="52"/>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szCs w:val="21"/>
        </w:rPr>
        <w:t>要求提供的服务、采购过程和合同条件在招标文件中均有说明。招标文件以中文文字编写。招标文件由下列文件以及在</w:t>
      </w:r>
      <w:r>
        <w:rPr>
          <w:rFonts w:hint="eastAsia" w:ascii="黑体" w:hAnsi="黑体" w:eastAsia="黑体"/>
          <w:bCs/>
          <w:color w:val="000000" w:themeColor="text1"/>
          <w:szCs w:val="21"/>
          <w14:textFill>
            <w14:solidFill>
              <w14:schemeClr w14:val="tx1"/>
            </w14:solidFill>
          </w14:textFill>
        </w:rPr>
        <w:t>招标过程中发出的澄清、修改和补充文件组成，组成内容如下：</w:t>
      </w:r>
    </w:p>
    <w:p w14:paraId="184E17FF">
      <w:pPr>
        <w:spacing w:line="360" w:lineRule="auto"/>
        <w:ind w:firstLine="424" w:firstLineChars="202"/>
        <w:rPr>
          <w:rFonts w:ascii="黑体" w:hAnsi="黑体" w:eastAsia="黑体"/>
          <w:bCs/>
          <w:szCs w:val="21"/>
        </w:rPr>
      </w:pPr>
      <w:r>
        <w:rPr>
          <w:rFonts w:hint="eastAsia" w:ascii="黑体" w:hAnsi="黑体" w:eastAsia="黑体"/>
          <w:bCs/>
          <w:szCs w:val="21"/>
        </w:rPr>
        <w:t>第一部分</w:t>
      </w:r>
      <w:r>
        <w:rPr>
          <w:rFonts w:ascii="黑体" w:hAnsi="黑体" w:eastAsia="黑体"/>
          <w:bCs/>
          <w:szCs w:val="21"/>
        </w:rPr>
        <w:t xml:space="preserve"> </w:t>
      </w:r>
      <w:r>
        <w:rPr>
          <w:rFonts w:hint="eastAsia" w:ascii="黑体" w:hAnsi="黑体" w:eastAsia="黑体"/>
          <w:bCs/>
          <w:szCs w:val="21"/>
        </w:rPr>
        <w:t>投标邀请</w:t>
      </w:r>
    </w:p>
    <w:p w14:paraId="06FB5D2B">
      <w:pPr>
        <w:spacing w:line="360" w:lineRule="auto"/>
        <w:ind w:firstLine="424" w:firstLineChars="202"/>
        <w:rPr>
          <w:rFonts w:ascii="黑体" w:hAnsi="黑体" w:eastAsia="黑体"/>
          <w:bCs/>
          <w:szCs w:val="21"/>
        </w:rPr>
      </w:pPr>
      <w:r>
        <w:rPr>
          <w:rFonts w:hint="eastAsia" w:ascii="黑体" w:hAnsi="黑体" w:eastAsia="黑体"/>
          <w:bCs/>
          <w:szCs w:val="21"/>
        </w:rPr>
        <w:t>第二部分</w:t>
      </w:r>
      <w:r>
        <w:rPr>
          <w:rFonts w:ascii="黑体" w:hAnsi="黑体" w:eastAsia="黑体"/>
          <w:bCs/>
          <w:szCs w:val="21"/>
        </w:rPr>
        <w:t xml:space="preserve"> </w:t>
      </w:r>
      <w:r>
        <w:rPr>
          <w:rFonts w:hint="eastAsia" w:ascii="黑体" w:hAnsi="黑体" w:eastAsia="黑体"/>
          <w:bCs/>
          <w:szCs w:val="21"/>
        </w:rPr>
        <w:t>采购需求</w:t>
      </w:r>
    </w:p>
    <w:p w14:paraId="7431F1B1">
      <w:pPr>
        <w:spacing w:line="360" w:lineRule="auto"/>
        <w:ind w:firstLine="424" w:firstLineChars="202"/>
        <w:rPr>
          <w:rFonts w:ascii="黑体" w:hAnsi="黑体" w:eastAsia="黑体"/>
          <w:bCs/>
          <w:szCs w:val="21"/>
        </w:rPr>
      </w:pPr>
      <w:r>
        <w:rPr>
          <w:rFonts w:hint="eastAsia" w:ascii="黑体" w:hAnsi="黑体" w:eastAsia="黑体"/>
          <w:bCs/>
          <w:szCs w:val="21"/>
        </w:rPr>
        <w:t>第三部分</w:t>
      </w:r>
      <w:r>
        <w:rPr>
          <w:rFonts w:ascii="黑体" w:hAnsi="黑体" w:eastAsia="黑体"/>
          <w:bCs/>
          <w:szCs w:val="21"/>
        </w:rPr>
        <w:t xml:space="preserve"> </w:t>
      </w:r>
      <w:r>
        <w:rPr>
          <w:rFonts w:hint="eastAsia" w:ascii="黑体" w:hAnsi="黑体" w:eastAsia="黑体"/>
          <w:bCs/>
          <w:szCs w:val="21"/>
        </w:rPr>
        <w:t>投标人须知前附表</w:t>
      </w:r>
    </w:p>
    <w:p w14:paraId="730C8E0B">
      <w:pPr>
        <w:spacing w:line="360" w:lineRule="auto"/>
        <w:ind w:firstLine="424" w:firstLineChars="202"/>
        <w:rPr>
          <w:rFonts w:ascii="黑体" w:hAnsi="黑体" w:eastAsia="黑体"/>
          <w:bCs/>
          <w:szCs w:val="21"/>
        </w:rPr>
      </w:pPr>
      <w:r>
        <w:rPr>
          <w:rFonts w:hint="eastAsia" w:ascii="黑体" w:hAnsi="黑体" w:eastAsia="黑体"/>
          <w:bCs/>
          <w:szCs w:val="21"/>
        </w:rPr>
        <w:t>第四部分 投标人须知</w:t>
      </w:r>
    </w:p>
    <w:p w14:paraId="3CABCE68">
      <w:pPr>
        <w:spacing w:line="360" w:lineRule="auto"/>
        <w:ind w:firstLine="424" w:firstLineChars="202"/>
        <w:rPr>
          <w:rFonts w:ascii="黑体" w:hAnsi="黑体" w:eastAsia="黑体"/>
          <w:bCs/>
          <w:szCs w:val="21"/>
        </w:rPr>
      </w:pPr>
      <w:r>
        <w:rPr>
          <w:rFonts w:hint="eastAsia" w:ascii="黑体" w:hAnsi="黑体" w:eastAsia="黑体"/>
          <w:bCs/>
          <w:szCs w:val="21"/>
        </w:rPr>
        <w:t>第五部分</w:t>
      </w:r>
      <w:r>
        <w:rPr>
          <w:rFonts w:ascii="黑体" w:hAnsi="黑体" w:eastAsia="黑体"/>
          <w:bCs/>
          <w:szCs w:val="21"/>
        </w:rPr>
        <w:t xml:space="preserve"> </w:t>
      </w:r>
      <w:r>
        <w:rPr>
          <w:rFonts w:hint="eastAsia" w:ascii="黑体" w:hAnsi="黑体" w:eastAsia="黑体"/>
          <w:bCs/>
          <w:szCs w:val="21"/>
        </w:rPr>
        <w:t>评标方法、步骤、标准</w:t>
      </w:r>
    </w:p>
    <w:p w14:paraId="261A3391">
      <w:pPr>
        <w:spacing w:line="360" w:lineRule="auto"/>
        <w:ind w:firstLine="424" w:firstLineChars="202"/>
        <w:rPr>
          <w:rFonts w:ascii="黑体" w:hAnsi="黑体" w:eastAsia="黑体"/>
          <w:bCs/>
          <w:szCs w:val="21"/>
        </w:rPr>
      </w:pPr>
      <w:r>
        <w:rPr>
          <w:rFonts w:hint="eastAsia" w:ascii="黑体" w:hAnsi="黑体" w:eastAsia="黑体"/>
          <w:bCs/>
          <w:szCs w:val="21"/>
        </w:rPr>
        <w:t>第六部分</w:t>
      </w:r>
      <w:r>
        <w:rPr>
          <w:rFonts w:ascii="黑体" w:hAnsi="黑体" w:eastAsia="黑体"/>
          <w:bCs/>
          <w:szCs w:val="21"/>
        </w:rPr>
        <w:t xml:space="preserve"> </w:t>
      </w:r>
      <w:r>
        <w:rPr>
          <w:rFonts w:hint="eastAsia" w:ascii="黑体" w:hAnsi="黑体" w:eastAsia="黑体"/>
          <w:bCs/>
          <w:szCs w:val="21"/>
        </w:rPr>
        <w:t>合同书格式</w:t>
      </w:r>
    </w:p>
    <w:p w14:paraId="5638F59A">
      <w:pPr>
        <w:spacing w:line="360" w:lineRule="auto"/>
        <w:ind w:firstLine="424" w:firstLineChars="202"/>
        <w:rPr>
          <w:rFonts w:ascii="黑体" w:hAnsi="黑体" w:eastAsia="黑体"/>
          <w:bCs/>
          <w:szCs w:val="21"/>
        </w:rPr>
      </w:pPr>
      <w:r>
        <w:rPr>
          <w:rFonts w:hint="eastAsia" w:ascii="黑体" w:hAnsi="黑体" w:eastAsia="黑体"/>
          <w:bCs/>
          <w:szCs w:val="21"/>
        </w:rPr>
        <w:t>第七部分</w:t>
      </w:r>
      <w:r>
        <w:rPr>
          <w:rFonts w:ascii="黑体" w:hAnsi="黑体" w:eastAsia="黑体"/>
          <w:bCs/>
          <w:szCs w:val="21"/>
        </w:rPr>
        <w:t xml:space="preserve"> </w:t>
      </w:r>
      <w:r>
        <w:rPr>
          <w:rFonts w:hint="eastAsia" w:ascii="黑体" w:hAnsi="黑体" w:eastAsia="黑体"/>
          <w:bCs/>
          <w:szCs w:val="21"/>
        </w:rPr>
        <w:t>投标文件格式</w:t>
      </w:r>
    </w:p>
    <w:p w14:paraId="6232EA10">
      <w:pPr>
        <w:pStyle w:val="29"/>
        <w:numPr>
          <w:ilvl w:val="0"/>
          <w:numId w:val="52"/>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应认真阅读、并充分理解招标文件的全部内容（包括所有的补充、修改内容重要事项、格式、条款和服务要求等）。投标人没有按照招标文件要求提交全部资料，或者投标文件没有对招标文件在各方面都作出实质性响应是投标人的风险，有可能导致其投标被拒绝，或被认定为无效投标或被确定为投标无效。</w:t>
      </w:r>
    </w:p>
    <w:p w14:paraId="564A4ED6">
      <w:pPr>
        <w:pStyle w:val="29"/>
        <w:numPr>
          <w:ilvl w:val="0"/>
          <w:numId w:val="52"/>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本招标文件的解释权归“广东有德招标采购有限公司”所有。</w:t>
      </w:r>
    </w:p>
    <w:p w14:paraId="7BBF5E93">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招标文件的答疑、澄清或修改</w:t>
      </w:r>
    </w:p>
    <w:p w14:paraId="779C30C0">
      <w:pPr>
        <w:pStyle w:val="29"/>
        <w:numPr>
          <w:ilvl w:val="0"/>
          <w:numId w:val="53"/>
        </w:numPr>
        <w:spacing w:line="360" w:lineRule="auto"/>
        <w:ind w:firstLineChars="0"/>
        <w:rPr>
          <w:rFonts w:ascii="黑体" w:hAnsi="黑体" w:eastAsia="黑体"/>
          <w:bCs/>
          <w:szCs w:val="21"/>
        </w:rPr>
      </w:pPr>
      <w:r>
        <w:rPr>
          <w:rFonts w:hint="eastAsia" w:ascii="黑体" w:hAnsi="黑体" w:eastAsia="黑体"/>
          <w:bCs/>
          <w:szCs w:val="21"/>
        </w:rPr>
        <w:t>除非</w:t>
      </w:r>
      <w:r>
        <w:rPr>
          <w:rFonts w:hint="eastAsia" w:ascii="黑体" w:hAnsi="黑体" w:eastAsia="黑体"/>
          <w:b/>
          <w:bCs/>
          <w:szCs w:val="21"/>
          <w:u w:val="single"/>
        </w:rPr>
        <w:t>投标人须知前附表</w:t>
      </w:r>
      <w:r>
        <w:rPr>
          <w:rFonts w:ascii="黑体" w:hAnsi="黑体" w:eastAsia="黑体"/>
          <w:b/>
          <w:bCs/>
          <w:szCs w:val="21"/>
          <w:u w:val="single"/>
        </w:rPr>
        <w:t xml:space="preserve"> </w:t>
      </w:r>
      <w:r>
        <w:rPr>
          <w:rFonts w:hint="eastAsia" w:ascii="黑体" w:hAnsi="黑体" w:eastAsia="黑体"/>
          <w:bCs/>
          <w:szCs w:val="21"/>
        </w:rPr>
        <w:t>中另有规定，不举行项目集中答疑会或现场考察，如举行集中答疑会或现场考察的，则按以下规定：</w:t>
      </w:r>
    </w:p>
    <w:p w14:paraId="3E071FA0">
      <w:pPr>
        <w:pStyle w:val="29"/>
        <w:numPr>
          <w:ilvl w:val="2"/>
          <w:numId w:val="46"/>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在</w:t>
      </w:r>
      <w:r>
        <w:rPr>
          <w:rFonts w:ascii="黑体" w:hAnsi="黑体" w:eastAsia="黑体"/>
          <w:bCs/>
          <w:color w:val="000000" w:themeColor="text1"/>
          <w:szCs w:val="21"/>
          <w:u w:val="single"/>
          <w14:textFill>
            <w14:solidFill>
              <w14:schemeClr w14:val="tx1"/>
            </w14:solidFill>
          </w14:textFill>
        </w:rPr>
        <w:t xml:space="preserve"> </w:t>
      </w:r>
      <w:r>
        <w:rPr>
          <w:rFonts w:hint="eastAsia" w:ascii="黑体" w:hAnsi="黑体" w:eastAsia="黑体"/>
          <w:b/>
          <w:bCs/>
          <w:color w:val="000000" w:themeColor="text1"/>
          <w:szCs w:val="21"/>
          <w:u w:val="single"/>
          <w14:textFill>
            <w14:solidFill>
              <w14:schemeClr w14:val="tx1"/>
            </w14:solidFill>
          </w14:textFill>
        </w:rPr>
        <w:t>投标人须知前附表</w:t>
      </w:r>
      <w:r>
        <w:rPr>
          <w:rFonts w:ascii="黑体" w:hAnsi="黑体" w:eastAsia="黑体"/>
          <w:b/>
          <w:bCs/>
          <w:color w:val="000000" w:themeColor="text1"/>
          <w:szCs w:val="21"/>
          <w:u w:val="single"/>
          <w14:textFill>
            <w14:solidFill>
              <w14:schemeClr w14:val="tx1"/>
            </w14:solidFill>
          </w14:textFill>
        </w:rPr>
        <w:t xml:space="preserve"> </w:t>
      </w:r>
      <w:r>
        <w:rPr>
          <w:rFonts w:hint="eastAsia" w:ascii="黑体" w:hAnsi="黑体" w:eastAsia="黑体"/>
          <w:bCs/>
          <w:color w:val="000000" w:themeColor="text1"/>
          <w:szCs w:val="21"/>
          <w14:textFill>
            <w14:solidFill>
              <w14:schemeClr w14:val="tx1"/>
            </w14:solidFill>
          </w14:textFill>
        </w:rPr>
        <w:t>中规定的日期、时间和地点组织公开答疑会或现场考察。</w:t>
      </w:r>
    </w:p>
    <w:p w14:paraId="325509ED">
      <w:pPr>
        <w:pStyle w:val="29"/>
        <w:numPr>
          <w:ilvl w:val="2"/>
          <w:numId w:val="46"/>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潜在投标人对本项目提出的疑问，需在答疑会或现场考察召开日前至少一个工作日将问题清单以书面形式（加盖公章）提交至采购代理机构，潜在投标人代表于上述的时间和地点出席答疑会或现场考察。</w:t>
      </w:r>
    </w:p>
    <w:p w14:paraId="036AA9E9">
      <w:pPr>
        <w:pStyle w:val="29"/>
        <w:numPr>
          <w:ilvl w:val="2"/>
          <w:numId w:val="46"/>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已获取招标文件的投标人如不出席答疑会或现场考察视为对招标文件所有内容无任何异议。</w:t>
      </w:r>
    </w:p>
    <w:p w14:paraId="2E04F6D5">
      <w:pPr>
        <w:pStyle w:val="29"/>
        <w:numPr>
          <w:ilvl w:val="2"/>
          <w:numId w:val="46"/>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投标人在规定的时间内未对招标文件提出澄清或疑问的，采购代理机构将视其为无异议。</w:t>
      </w:r>
    </w:p>
    <w:p w14:paraId="0F7E2325">
      <w:pPr>
        <w:pStyle w:val="29"/>
        <w:numPr>
          <w:ilvl w:val="2"/>
          <w:numId w:val="46"/>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对招标文件中描述有歧义或前后不一致的地方，评标委员会有权进行评判，但对同一条款的评判应适用于每个投标人。</w:t>
      </w:r>
    </w:p>
    <w:p w14:paraId="75170D24">
      <w:pPr>
        <w:pStyle w:val="29"/>
        <w:numPr>
          <w:ilvl w:val="0"/>
          <w:numId w:val="53"/>
        </w:numPr>
        <w:spacing w:line="360" w:lineRule="auto"/>
        <w:ind w:firstLineChars="0"/>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r>
        <w:rPr>
          <w:rFonts w:hint="eastAsia" w:ascii="黑体" w:hAnsi="黑体" w:eastAsia="黑体"/>
          <w:bCs/>
          <w:color w:val="000000" w:themeColor="text1"/>
          <w:szCs w:val="21"/>
          <w14:textFill>
            <w14:solidFill>
              <w14:schemeClr w14:val="tx1"/>
            </w14:solidFill>
          </w14:textFill>
        </w:rPr>
        <w:t>。</w:t>
      </w:r>
    </w:p>
    <w:p w14:paraId="106021F5">
      <w:pPr>
        <w:pStyle w:val="29"/>
        <w:numPr>
          <w:ilvl w:val="0"/>
          <w:numId w:val="53"/>
        </w:numPr>
        <w:spacing w:line="360" w:lineRule="auto"/>
        <w:ind w:firstLineChars="0"/>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招标文件的</w:t>
      </w:r>
      <w:r>
        <w:rPr>
          <w:rFonts w:hint="eastAsia" w:ascii="黑体" w:hAnsi="黑体" w:eastAsia="黑体"/>
          <w:bCs/>
          <w:color w:val="000000" w:themeColor="text1"/>
          <w:szCs w:val="21"/>
          <w14:textFill>
            <w14:solidFill>
              <w14:schemeClr w14:val="tx1"/>
            </w14:solidFill>
          </w14:textFill>
        </w:rPr>
        <w:t>澄清或</w:t>
      </w:r>
      <w:r>
        <w:rPr>
          <w:rFonts w:ascii="黑体" w:hAnsi="黑体" w:eastAsia="黑体"/>
          <w:bCs/>
          <w:color w:val="000000" w:themeColor="text1"/>
          <w:szCs w:val="21"/>
          <w14:textFill>
            <w14:solidFill>
              <w14:schemeClr w14:val="tx1"/>
            </w14:solidFill>
          </w14:textFill>
        </w:rPr>
        <w:t>修改内容作为招标文件的组成部分，具有约束作用</w:t>
      </w:r>
      <w:r>
        <w:rPr>
          <w:rFonts w:hint="eastAsia" w:ascii="黑体" w:hAnsi="黑体" w:eastAsia="黑体"/>
          <w:bCs/>
          <w:color w:val="000000" w:themeColor="text1"/>
          <w:szCs w:val="21"/>
          <w14:textFill>
            <w14:solidFill>
              <w14:schemeClr w14:val="tx1"/>
            </w14:solidFill>
          </w14:textFill>
        </w:rPr>
        <w:t>。</w:t>
      </w:r>
      <w:r>
        <w:rPr>
          <w:rFonts w:ascii="黑体" w:hAnsi="黑体" w:eastAsia="黑体"/>
          <w:bCs/>
          <w:color w:val="000000" w:themeColor="text1"/>
          <w:szCs w:val="21"/>
          <w14:textFill>
            <w14:solidFill>
              <w14:schemeClr w14:val="tx1"/>
            </w14:solidFill>
          </w14:textFill>
        </w:rPr>
        <w:t>当招标文件、招标文件的澄清</w:t>
      </w:r>
      <w:r>
        <w:rPr>
          <w:rFonts w:hint="eastAsia" w:ascii="黑体" w:hAnsi="黑体" w:eastAsia="黑体"/>
          <w:bCs/>
          <w:color w:val="000000" w:themeColor="text1"/>
          <w:szCs w:val="21"/>
          <w14:textFill>
            <w14:solidFill>
              <w14:schemeClr w14:val="tx1"/>
            </w14:solidFill>
          </w14:textFill>
        </w:rPr>
        <w:t>或</w:t>
      </w:r>
      <w:r>
        <w:rPr>
          <w:rFonts w:ascii="黑体" w:hAnsi="黑体" w:eastAsia="黑体"/>
          <w:bCs/>
          <w:color w:val="000000" w:themeColor="text1"/>
          <w:szCs w:val="21"/>
          <w14:textFill>
            <w14:solidFill>
              <w14:schemeClr w14:val="tx1"/>
            </w14:solidFill>
          </w14:textFill>
        </w:rPr>
        <w:t>修改等在同一内容的表述上不一致时，以最后发出的书面文件为准。</w:t>
      </w:r>
    </w:p>
    <w:p w14:paraId="53035B7E">
      <w:pPr>
        <w:pStyle w:val="29"/>
        <w:numPr>
          <w:ilvl w:val="0"/>
          <w:numId w:val="53"/>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招标期间，投标人有义务上网查看，公告一经上网发布，即视为送达。</w:t>
      </w:r>
      <w:r>
        <w:rPr>
          <w:rFonts w:ascii="黑体" w:hAnsi="黑体" w:eastAsia="黑体"/>
          <w:bCs/>
          <w:color w:val="000000" w:themeColor="text1"/>
          <w:szCs w:val="21"/>
          <w14:textFill>
            <w14:solidFill>
              <w14:schemeClr w14:val="tx1"/>
            </w14:solidFill>
          </w14:textFill>
        </w:rPr>
        <w:t>投标人应于收到该</w:t>
      </w:r>
      <w:r>
        <w:rPr>
          <w:rFonts w:hint="eastAsia" w:ascii="黑体" w:hAnsi="黑体" w:eastAsia="黑体"/>
          <w:bCs/>
          <w:color w:val="000000" w:themeColor="text1"/>
          <w:szCs w:val="21"/>
          <w14:textFill>
            <w14:solidFill>
              <w14:schemeClr w14:val="tx1"/>
            </w14:solidFill>
          </w14:textFill>
        </w:rPr>
        <w:t>澄清或</w:t>
      </w:r>
      <w:r>
        <w:rPr>
          <w:rFonts w:ascii="黑体" w:hAnsi="黑体" w:eastAsia="黑体"/>
          <w:bCs/>
          <w:color w:val="000000" w:themeColor="text1"/>
          <w:szCs w:val="21"/>
          <w14:textFill>
            <w14:solidFill>
              <w14:schemeClr w14:val="tx1"/>
            </w14:solidFill>
          </w14:textFill>
        </w:rPr>
        <w:t>修改文件的</w:t>
      </w:r>
      <w:r>
        <w:rPr>
          <w:rFonts w:hint="eastAsia" w:ascii="黑体" w:hAnsi="黑体" w:eastAsia="黑体"/>
          <w:bCs/>
          <w:color w:val="000000" w:themeColor="text1"/>
          <w:szCs w:val="21"/>
          <w14:textFill>
            <w14:solidFill>
              <w14:schemeClr w14:val="tx1"/>
            </w14:solidFill>
          </w14:textFill>
        </w:rPr>
        <w:t>二十四小时</w:t>
      </w:r>
      <w:r>
        <w:rPr>
          <w:rFonts w:ascii="黑体" w:hAnsi="黑体" w:eastAsia="黑体"/>
          <w:bCs/>
          <w:color w:val="000000" w:themeColor="text1"/>
          <w:szCs w:val="21"/>
          <w14:textFill>
            <w14:solidFill>
              <w14:schemeClr w14:val="tx1"/>
            </w14:solidFill>
          </w14:textFill>
        </w:rPr>
        <w:t>内以书面形式给予确认</w:t>
      </w:r>
      <w:r>
        <w:rPr>
          <w:rFonts w:hint="eastAsia" w:ascii="黑体" w:hAnsi="黑体" w:eastAsia="黑体"/>
          <w:bCs/>
          <w:color w:val="000000" w:themeColor="text1"/>
          <w:szCs w:val="21"/>
          <w14:textFill>
            <w14:solidFill>
              <w14:schemeClr w14:val="tx1"/>
            </w14:solidFill>
          </w14:textFill>
        </w:rPr>
        <w:t>。</w:t>
      </w:r>
    </w:p>
    <w:p w14:paraId="42D9C00C">
      <w:pPr>
        <w:pStyle w:val="29"/>
        <w:numPr>
          <w:ilvl w:val="0"/>
          <w:numId w:val="45"/>
        </w:numPr>
        <w:spacing w:before="312" w:beforeLines="100" w:line="360" w:lineRule="auto"/>
        <w:ind w:firstLineChars="0"/>
        <w:rPr>
          <w:rFonts w:ascii="黑体" w:hAnsi="黑体" w:eastAsia="黑体"/>
          <w:b/>
          <w:bCs/>
          <w:color w:val="000000" w:themeColor="text1"/>
          <w:sz w:val="24"/>
          <w:szCs w:val="24"/>
          <w14:textFill>
            <w14:solidFill>
              <w14:schemeClr w14:val="tx1"/>
            </w14:solidFill>
          </w14:textFill>
        </w:rPr>
      </w:pPr>
      <w:r>
        <w:rPr>
          <w:rFonts w:hint="eastAsia" w:ascii="黑体" w:hAnsi="黑体" w:eastAsia="黑体"/>
          <w:b/>
          <w:bCs/>
          <w:color w:val="000000" w:themeColor="text1"/>
          <w:sz w:val="24"/>
          <w:szCs w:val="24"/>
          <w14:textFill>
            <w14:solidFill>
              <w14:schemeClr w14:val="tx1"/>
            </w14:solidFill>
          </w14:textFill>
        </w:rPr>
        <w:t>投标文件的编制</w:t>
      </w:r>
    </w:p>
    <w:p w14:paraId="36A96CF1">
      <w:pPr>
        <w:pStyle w:val="29"/>
        <w:numPr>
          <w:ilvl w:val="0"/>
          <w:numId w:val="46"/>
        </w:numPr>
        <w:spacing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投标的语言</w:t>
      </w:r>
    </w:p>
    <w:p w14:paraId="1CC53890">
      <w:pPr>
        <w:pStyle w:val="29"/>
        <w:numPr>
          <w:ilvl w:val="0"/>
          <w:numId w:val="54"/>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14:paraId="5517AC13">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bookmarkStart w:id="28" w:name="_Toc357676120"/>
      <w:r>
        <w:rPr>
          <w:rFonts w:hint="eastAsia" w:ascii="黑体" w:hAnsi="黑体" w:eastAsia="黑体"/>
          <w:b/>
          <w:color w:val="000000" w:themeColor="text1"/>
          <w14:textFill>
            <w14:solidFill>
              <w14:schemeClr w14:val="tx1"/>
            </w14:solidFill>
          </w14:textFill>
        </w:rPr>
        <w:t>投标文件的构成</w:t>
      </w:r>
      <w:bookmarkEnd w:id="28"/>
    </w:p>
    <w:p w14:paraId="083144D9">
      <w:pPr>
        <w:pStyle w:val="29"/>
        <w:numPr>
          <w:ilvl w:val="0"/>
          <w:numId w:val="55"/>
        </w:numPr>
        <w:spacing w:line="360" w:lineRule="auto"/>
        <w:ind w:firstLineChars="0"/>
        <w:rPr>
          <w:rFonts w:ascii="黑体" w:hAnsi="黑体" w:eastAsia="黑体"/>
          <w:bCs/>
          <w:szCs w:val="21"/>
        </w:rPr>
      </w:pPr>
      <w:r>
        <w:rPr>
          <w:rFonts w:hint="eastAsia" w:ascii="黑体" w:hAnsi="黑体" w:eastAsia="黑体"/>
          <w:bCs/>
          <w:szCs w:val="21"/>
        </w:rPr>
        <w:t>投标人编写的投标文件，编排顺序参见投标文件格式。投标文件的构成应符合法律法规及招标文件的要求。</w:t>
      </w:r>
    </w:p>
    <w:p w14:paraId="652AFA8B">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投标文件的编写</w:t>
      </w:r>
    </w:p>
    <w:p w14:paraId="3CDA8BCD">
      <w:pPr>
        <w:pStyle w:val="29"/>
        <w:numPr>
          <w:ilvl w:val="0"/>
          <w:numId w:val="56"/>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投标人应完整、真实、准确地填写招标文件中提供的投标函、开标一览表、分项报价表（如适用）以及招标文件中规定的其它所有内容。</w:t>
      </w:r>
    </w:p>
    <w:p w14:paraId="27320121">
      <w:pPr>
        <w:pStyle w:val="29"/>
        <w:numPr>
          <w:ilvl w:val="0"/>
          <w:numId w:val="56"/>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14:paraId="446217AB">
      <w:pPr>
        <w:pStyle w:val="29"/>
        <w:numPr>
          <w:ilvl w:val="0"/>
          <w:numId w:val="56"/>
        </w:numPr>
        <w:spacing w:line="360" w:lineRule="auto"/>
        <w:ind w:left="567" w:hanging="567" w:firstLineChars="0"/>
        <w:rPr>
          <w:rFonts w:ascii="黑体" w:hAnsi="黑体" w:eastAsia="黑体"/>
          <w:bCs/>
          <w:szCs w:val="21"/>
        </w:rPr>
      </w:pPr>
      <w:r>
        <w:rPr>
          <w:rFonts w:hint="eastAsia" w:ascii="黑体" w:hAnsi="黑体" w:eastAsia="黑体"/>
          <w:bCs/>
          <w:szCs w:val="21"/>
        </w:rPr>
        <w:t>投标人必须对投标文件所提供的全部资料的真实性承担法律责任，并无条件接受采购人和政府采购监督管理部门对其中任何资料进行核实（核对原件）的要求。</w:t>
      </w:r>
    </w:p>
    <w:p w14:paraId="0232DC4F">
      <w:pPr>
        <w:pStyle w:val="29"/>
        <w:numPr>
          <w:ilvl w:val="0"/>
          <w:numId w:val="56"/>
        </w:numPr>
        <w:spacing w:line="360" w:lineRule="auto"/>
        <w:ind w:left="567" w:hanging="567" w:firstLineChars="0"/>
        <w:rPr>
          <w:rFonts w:ascii="黑体" w:hAnsi="黑体" w:eastAsia="黑体"/>
          <w:bCs/>
          <w:szCs w:val="21"/>
        </w:rPr>
      </w:pPr>
      <w:r>
        <w:rPr>
          <w:rFonts w:hint="eastAsia" w:ascii="黑体" w:hAnsi="黑体" w:eastAsia="黑体"/>
          <w:bCs/>
          <w:szCs w:val="21"/>
        </w:rPr>
        <w:t>如果因为投标人的投标文件只填写和提供了本招标文件要求的部分内容和附件，或没有提供招标文件中所要求的全部资料及数据，由此造成的后果和责任由投标人承担。</w:t>
      </w:r>
    </w:p>
    <w:p w14:paraId="743A665D">
      <w:pPr>
        <w:pStyle w:val="29"/>
        <w:numPr>
          <w:ilvl w:val="0"/>
          <w:numId w:val="46"/>
        </w:numPr>
        <w:spacing w:before="312" w:beforeLines="100" w:line="360" w:lineRule="auto"/>
        <w:ind w:firstLineChars="0"/>
        <w:rPr>
          <w:rFonts w:ascii="黑体" w:hAnsi="黑体" w:eastAsia="黑体"/>
          <w:b/>
        </w:rPr>
      </w:pPr>
      <w:r>
        <w:rPr>
          <w:rFonts w:hint="eastAsia" w:ascii="黑体" w:hAnsi="黑体" w:eastAsia="黑体"/>
          <w:b/>
        </w:rPr>
        <w:t>投标报价</w:t>
      </w:r>
    </w:p>
    <w:p w14:paraId="7F75E94E">
      <w:pPr>
        <w:pStyle w:val="29"/>
        <w:numPr>
          <w:ilvl w:val="0"/>
          <w:numId w:val="57"/>
        </w:numPr>
        <w:spacing w:line="360" w:lineRule="auto"/>
        <w:ind w:left="567" w:hanging="567" w:firstLineChars="0"/>
        <w:rPr>
          <w:rFonts w:ascii="黑体" w:hAnsi="黑体" w:eastAsia="黑体"/>
          <w:bCs/>
          <w:szCs w:val="21"/>
        </w:rPr>
      </w:pPr>
      <w:r>
        <w:rPr>
          <w:rFonts w:hint="eastAsia" w:ascii="黑体" w:hAnsi="黑体" w:eastAsia="黑体"/>
          <w:bCs/>
          <w:szCs w:val="21"/>
        </w:rPr>
        <w:t>投标人应按照“第二部分　采购需求”中采购项目服务要求规定的内容、责任范围进行报价。并按《开标一览表》及《分项报价表》（如适用）的要求报出总价和分项价格。</w:t>
      </w:r>
    </w:p>
    <w:p w14:paraId="69845F47">
      <w:pPr>
        <w:pStyle w:val="29"/>
        <w:numPr>
          <w:ilvl w:val="0"/>
          <w:numId w:val="57"/>
        </w:numPr>
        <w:spacing w:line="360" w:lineRule="auto"/>
        <w:ind w:left="567" w:hanging="567" w:firstLineChars="0"/>
        <w:rPr>
          <w:rFonts w:ascii="黑体" w:hAnsi="黑体" w:eastAsia="黑体"/>
          <w:bCs/>
          <w:szCs w:val="21"/>
        </w:rPr>
      </w:pPr>
      <w:r>
        <w:rPr>
          <w:rFonts w:hint="eastAsia" w:ascii="黑体" w:hAnsi="黑体" w:eastAsia="黑体"/>
          <w:bCs/>
          <w:szCs w:val="21"/>
        </w:rPr>
        <w:t>投标分项报价表内容应包含：</w:t>
      </w:r>
    </w:p>
    <w:p w14:paraId="16481012">
      <w:pPr>
        <w:pStyle w:val="29"/>
        <w:numPr>
          <w:ilvl w:val="2"/>
          <w:numId w:val="58"/>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招标文件要求全部货物及服务所需的费用；</w:t>
      </w:r>
    </w:p>
    <w:p w14:paraId="659D3DE1">
      <w:pPr>
        <w:pStyle w:val="29"/>
        <w:numPr>
          <w:ilvl w:val="2"/>
          <w:numId w:val="58"/>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投标报价包含履行合同所有相关内容所需的费用；</w:t>
      </w:r>
    </w:p>
    <w:p w14:paraId="5C5BDB8B">
      <w:pPr>
        <w:pStyle w:val="29"/>
        <w:numPr>
          <w:ilvl w:val="2"/>
          <w:numId w:val="58"/>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投标报价均应包含所有的税费；</w:t>
      </w:r>
    </w:p>
    <w:p w14:paraId="4B025889">
      <w:pPr>
        <w:pStyle w:val="29"/>
        <w:numPr>
          <w:ilvl w:val="2"/>
          <w:numId w:val="58"/>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其他一切隐含及不可预见的费用。</w:t>
      </w:r>
    </w:p>
    <w:p w14:paraId="340B4EF8">
      <w:pPr>
        <w:pStyle w:val="29"/>
        <w:numPr>
          <w:ilvl w:val="0"/>
          <w:numId w:val="57"/>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投标报价为本次招标内容的总价包干，投标报价即为合同价，不得在中标后提出任何增加费用要求，投标人在投标时应充分考虑相关风险性因素。</w:t>
      </w:r>
    </w:p>
    <w:p w14:paraId="30E159B6">
      <w:pPr>
        <w:pStyle w:val="29"/>
        <w:numPr>
          <w:ilvl w:val="0"/>
          <w:numId w:val="57"/>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投标人在中标并签署合同后，服务期限内出现的任何遗漏，均由中标人负责，采购人将不再支付任何费用。</w:t>
      </w:r>
    </w:p>
    <w:p w14:paraId="503B57E2">
      <w:pPr>
        <w:pStyle w:val="29"/>
        <w:numPr>
          <w:ilvl w:val="0"/>
          <w:numId w:val="57"/>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除</w:t>
      </w:r>
      <w:r>
        <w:rPr>
          <w:rFonts w:ascii="黑体" w:hAnsi="黑体" w:eastAsia="黑体"/>
          <w:bCs/>
          <w:color w:val="000000" w:themeColor="text1"/>
          <w:szCs w:val="21"/>
          <w:u w:val="single"/>
          <w14:textFill>
            <w14:solidFill>
              <w14:schemeClr w14:val="tx1"/>
            </w14:solidFill>
          </w14:textFill>
        </w:rPr>
        <w:t xml:space="preserve"> </w:t>
      </w:r>
      <w:r>
        <w:rPr>
          <w:rFonts w:hint="eastAsia" w:ascii="黑体" w:hAnsi="黑体" w:eastAsia="黑体"/>
          <w:b/>
          <w:bCs/>
          <w:color w:val="000000" w:themeColor="text1"/>
          <w:szCs w:val="21"/>
          <w:u w:val="single"/>
          <w14:textFill>
            <w14:solidFill>
              <w14:schemeClr w14:val="tx1"/>
            </w14:solidFill>
          </w14:textFill>
        </w:rPr>
        <w:t>投标人须知前附表</w:t>
      </w:r>
      <w:r>
        <w:rPr>
          <w:rFonts w:ascii="黑体" w:hAnsi="黑体" w:eastAsia="黑体"/>
          <w:b/>
          <w:bCs/>
          <w:color w:val="000000" w:themeColor="text1"/>
          <w:szCs w:val="21"/>
          <w:u w:val="single"/>
          <w14:textFill>
            <w14:solidFill>
              <w14:schemeClr w14:val="tx1"/>
            </w14:solidFill>
          </w14:textFill>
        </w:rPr>
        <w:t xml:space="preserve"> </w:t>
      </w:r>
      <w:r>
        <w:rPr>
          <w:rFonts w:hint="eastAsia" w:ascii="黑体" w:hAnsi="黑体" w:eastAsia="黑体"/>
          <w:bCs/>
          <w:color w:val="000000" w:themeColor="text1"/>
          <w:szCs w:val="21"/>
          <w14:textFill>
            <w14:solidFill>
              <w14:schemeClr w14:val="tx1"/>
            </w14:solidFill>
          </w14:textFill>
        </w:rPr>
        <w:t>中另有规定</w:t>
      </w:r>
      <w:r>
        <w:rPr>
          <w:rFonts w:hint="eastAsia" w:ascii="黑体" w:hAnsi="黑体" w:eastAsia="黑体"/>
          <w:bCs/>
          <w:color w:val="7030A0"/>
          <w:szCs w:val="21"/>
        </w:rPr>
        <w:t>外</w:t>
      </w:r>
      <w:r>
        <w:rPr>
          <w:rFonts w:hint="eastAsia" w:ascii="黑体" w:hAnsi="黑体" w:eastAsia="黑体"/>
          <w:bCs/>
          <w:color w:val="000000" w:themeColor="text1"/>
          <w:szCs w:val="21"/>
          <w14:textFill>
            <w14:solidFill>
              <w14:schemeClr w14:val="tx1"/>
            </w14:solidFill>
          </w14:textFill>
        </w:rPr>
        <w:t>，投标人所报的投标价在合同执行过程中是固定不变的，不得以任何理由予以变更。任何包含价格调整要求的投标被认为是非实质性响应投标而予以拒绝。</w:t>
      </w:r>
    </w:p>
    <w:p w14:paraId="0FA75EDC">
      <w:pPr>
        <w:pStyle w:val="29"/>
        <w:numPr>
          <w:ilvl w:val="0"/>
          <w:numId w:val="57"/>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除</w:t>
      </w:r>
      <w:r>
        <w:rPr>
          <w:rFonts w:ascii="黑体" w:hAnsi="黑体" w:eastAsia="黑体"/>
          <w:bCs/>
          <w:color w:val="000000" w:themeColor="text1"/>
          <w:szCs w:val="21"/>
          <w:u w:val="single"/>
          <w14:textFill>
            <w14:solidFill>
              <w14:schemeClr w14:val="tx1"/>
            </w14:solidFill>
          </w14:textFill>
        </w:rPr>
        <w:t xml:space="preserve"> </w:t>
      </w:r>
      <w:r>
        <w:rPr>
          <w:rFonts w:hint="eastAsia" w:ascii="黑体" w:hAnsi="黑体" w:eastAsia="黑体"/>
          <w:b/>
          <w:bCs/>
          <w:color w:val="000000" w:themeColor="text1"/>
          <w:szCs w:val="21"/>
          <w:u w:val="single"/>
          <w14:textFill>
            <w14:solidFill>
              <w14:schemeClr w14:val="tx1"/>
            </w14:solidFill>
          </w14:textFill>
        </w:rPr>
        <w:t>投标人须知前附表</w:t>
      </w:r>
      <w:r>
        <w:rPr>
          <w:rFonts w:ascii="黑体" w:hAnsi="黑体" w:eastAsia="黑体"/>
          <w:b/>
          <w:bCs/>
          <w:color w:val="000000" w:themeColor="text1"/>
          <w:szCs w:val="21"/>
          <w:u w:val="single"/>
          <w14:textFill>
            <w14:solidFill>
              <w14:schemeClr w14:val="tx1"/>
            </w14:solidFill>
          </w14:textFill>
        </w:rPr>
        <w:t xml:space="preserve"> </w:t>
      </w:r>
      <w:r>
        <w:rPr>
          <w:rFonts w:hint="eastAsia" w:ascii="黑体" w:hAnsi="黑体" w:eastAsia="黑体"/>
          <w:bCs/>
          <w:color w:val="000000" w:themeColor="text1"/>
          <w:szCs w:val="21"/>
          <w14:textFill>
            <w14:solidFill>
              <w14:schemeClr w14:val="tx1"/>
            </w14:solidFill>
          </w14:textFill>
        </w:rPr>
        <w:t>中允许有备选方案外，本次招标不接受选择性报价，否则将被视为无效投标。</w:t>
      </w:r>
    </w:p>
    <w:p w14:paraId="22EEC4A9">
      <w:pPr>
        <w:pStyle w:val="29"/>
        <w:numPr>
          <w:ilvl w:val="0"/>
          <w:numId w:val="57"/>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除</w:t>
      </w:r>
      <w:r>
        <w:rPr>
          <w:rFonts w:ascii="黑体" w:hAnsi="黑体" w:eastAsia="黑体"/>
          <w:bCs/>
          <w:color w:val="000000" w:themeColor="text1"/>
          <w:szCs w:val="21"/>
          <w:u w:val="single"/>
          <w14:textFill>
            <w14:solidFill>
              <w14:schemeClr w14:val="tx1"/>
            </w14:solidFill>
          </w14:textFill>
        </w:rPr>
        <w:t xml:space="preserve"> </w:t>
      </w:r>
      <w:r>
        <w:rPr>
          <w:rFonts w:hint="eastAsia" w:ascii="黑体" w:hAnsi="黑体" w:eastAsia="黑体"/>
          <w:b/>
          <w:bCs/>
          <w:color w:val="000000" w:themeColor="text1"/>
          <w:szCs w:val="21"/>
          <w:u w:val="single"/>
          <w14:textFill>
            <w14:solidFill>
              <w14:schemeClr w14:val="tx1"/>
            </w14:solidFill>
          </w14:textFill>
        </w:rPr>
        <w:t>投标须知前附表</w:t>
      </w:r>
      <w:r>
        <w:rPr>
          <w:rFonts w:ascii="黑体" w:hAnsi="黑体" w:eastAsia="黑体"/>
          <w:b/>
          <w:bCs/>
          <w:color w:val="000000" w:themeColor="text1"/>
          <w:szCs w:val="21"/>
          <w:u w:val="single"/>
          <w14:textFill>
            <w14:solidFill>
              <w14:schemeClr w14:val="tx1"/>
            </w14:solidFill>
          </w14:textFill>
        </w:rPr>
        <w:t xml:space="preserve"> </w:t>
      </w:r>
      <w:r>
        <w:rPr>
          <w:rFonts w:hint="eastAsia" w:ascii="黑体" w:hAnsi="黑体" w:eastAsia="黑体"/>
          <w:bCs/>
          <w:color w:val="000000" w:themeColor="text1"/>
          <w:szCs w:val="21"/>
          <w14:textFill>
            <w14:solidFill>
              <w14:schemeClr w14:val="tx1"/>
            </w14:solidFill>
          </w14:textFill>
        </w:rPr>
        <w:t>另有规定外，本次招标不接受具有附加条件的报价，否则将被视为无效投标。</w:t>
      </w:r>
    </w:p>
    <w:p w14:paraId="3CFB5DB6">
      <w:pPr>
        <w:pStyle w:val="29"/>
        <w:numPr>
          <w:ilvl w:val="0"/>
          <w:numId w:val="57"/>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
          <w:bCs/>
          <w:color w:val="000000" w:themeColor="text1"/>
          <w:spacing w:val="-6"/>
          <w:szCs w:val="21"/>
          <w14:textFill>
            <w14:solidFill>
              <w14:schemeClr w14:val="tx1"/>
            </w14:solidFill>
          </w14:textFill>
        </w:rPr>
        <w:t>投标人的投标报价高于采购预算或最高单价限价的，该投标人的投标文件将被视为非响应性报价作无效投标处理。</w:t>
      </w:r>
    </w:p>
    <w:p w14:paraId="1246F28D">
      <w:pPr>
        <w:pStyle w:val="29"/>
        <w:numPr>
          <w:ilvl w:val="0"/>
          <w:numId w:val="57"/>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中标人向采购代理机构交纳中标服务费，中标服务费不在投标报价中单列。</w:t>
      </w:r>
    </w:p>
    <w:p w14:paraId="46D3C01F">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投标货币</w:t>
      </w:r>
    </w:p>
    <w:p w14:paraId="447E483E">
      <w:pPr>
        <w:pStyle w:val="29"/>
        <w:numPr>
          <w:ilvl w:val="0"/>
          <w:numId w:val="59"/>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投标货币以人民币标价，以其它货币标价的投标将予以拒绝。</w:t>
      </w:r>
    </w:p>
    <w:p w14:paraId="3BA64A57">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联合体投标</w:t>
      </w:r>
    </w:p>
    <w:p w14:paraId="757EC0F2">
      <w:pPr>
        <w:pStyle w:val="29"/>
        <w:numPr>
          <w:ilvl w:val="0"/>
          <w:numId w:val="60"/>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除非</w:t>
      </w:r>
      <w:r>
        <w:rPr>
          <w:rFonts w:hint="eastAsia" w:ascii="黑体" w:hAnsi="黑体" w:eastAsia="黑体"/>
          <w:b/>
          <w:bCs/>
          <w:color w:val="000000" w:themeColor="text1"/>
          <w:szCs w:val="21"/>
          <w:u w:val="single"/>
          <w14:textFill>
            <w14:solidFill>
              <w14:schemeClr w14:val="tx1"/>
            </w14:solidFill>
          </w14:textFill>
        </w:rPr>
        <w:t>投标邀请</w:t>
      </w:r>
      <w:r>
        <w:rPr>
          <w:rFonts w:hint="eastAsia" w:ascii="黑体" w:hAnsi="黑体" w:eastAsia="黑体"/>
          <w:bCs/>
          <w:color w:val="000000" w:themeColor="text1"/>
          <w:szCs w:val="21"/>
          <w14:textFill>
            <w14:solidFill>
              <w14:schemeClr w14:val="tx1"/>
            </w14:solidFill>
          </w14:textFill>
        </w:rPr>
        <w:t>中另有规定，不接受联合体投标。如果投标邀请中规定允许联合体投标的，则必须满足：</w:t>
      </w:r>
    </w:p>
    <w:p w14:paraId="5FAFEC17">
      <w:pPr>
        <w:pStyle w:val="29"/>
        <w:numPr>
          <w:ilvl w:val="0"/>
          <w:numId w:val="61"/>
        </w:numPr>
        <w:spacing w:line="360" w:lineRule="auto"/>
        <w:ind w:left="709" w:hanging="709"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14:paraId="7B011A66">
      <w:pPr>
        <w:pStyle w:val="29"/>
        <w:numPr>
          <w:ilvl w:val="0"/>
          <w:numId w:val="61"/>
        </w:numPr>
        <w:spacing w:line="360" w:lineRule="auto"/>
        <w:ind w:left="709" w:hanging="709" w:firstLineChars="0"/>
        <w:rPr>
          <w:rFonts w:ascii="黑体" w:hAnsi="黑体" w:eastAsia="黑体"/>
          <w:bCs/>
          <w:szCs w:val="21"/>
        </w:rPr>
      </w:pPr>
      <w:r>
        <w:rPr>
          <w:rFonts w:hint="eastAsia" w:ascii="黑体" w:hAnsi="黑体" w:eastAsia="黑体"/>
          <w:bCs/>
          <w:szCs w:val="21"/>
        </w:rPr>
        <w:t>联合体各方签订共同投标协议书后，不得再以自己名义单独在同一项目（采购包）中投标，也不得组成新的联合体参加同一项目（采购包）投标，若违反规定则其参与的所有投标将视为无效投标；</w:t>
      </w:r>
    </w:p>
    <w:p w14:paraId="745EB868">
      <w:pPr>
        <w:pStyle w:val="29"/>
        <w:numPr>
          <w:ilvl w:val="0"/>
          <w:numId w:val="61"/>
        </w:numPr>
        <w:spacing w:line="360" w:lineRule="auto"/>
        <w:ind w:left="709" w:hanging="709"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联合体投标的，可以由联合体中的一方或者共同提交投标保证金，以一方名义提交投标保证金的，对联合体各方均具有约束力；</w:t>
      </w:r>
    </w:p>
    <w:p w14:paraId="70D569A3">
      <w:pPr>
        <w:pStyle w:val="29"/>
        <w:numPr>
          <w:ilvl w:val="0"/>
          <w:numId w:val="61"/>
        </w:numPr>
        <w:spacing w:line="360" w:lineRule="auto"/>
        <w:ind w:left="709" w:hanging="709"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联合体中有同类资质的投标人按照联合体分工承担相同工作的，按照资质等级较低的投标人确定资质等级。</w:t>
      </w:r>
    </w:p>
    <w:p w14:paraId="464275CB">
      <w:pPr>
        <w:pStyle w:val="29"/>
        <w:numPr>
          <w:ilvl w:val="0"/>
          <w:numId w:val="61"/>
        </w:numPr>
        <w:spacing w:line="360" w:lineRule="auto"/>
        <w:ind w:left="709" w:hanging="709"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联合体各方应当共同与采购人签订采购合同，就采购合同约定的事项对采购人承担连带责任。</w:t>
      </w:r>
    </w:p>
    <w:p w14:paraId="42F31AD6">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bookmarkStart w:id="29" w:name="_Toc357676125"/>
      <w:r>
        <w:rPr>
          <w:rFonts w:hint="eastAsia" w:ascii="黑体" w:hAnsi="黑体" w:eastAsia="黑体"/>
          <w:b/>
          <w:color w:val="000000" w:themeColor="text1"/>
          <w14:textFill>
            <w14:solidFill>
              <w14:schemeClr w14:val="tx1"/>
            </w14:solidFill>
          </w14:textFill>
        </w:rPr>
        <w:t>关于中小微企业投标</w:t>
      </w:r>
    </w:p>
    <w:p w14:paraId="359D5FDF">
      <w:pPr>
        <w:pStyle w:val="29"/>
        <w:numPr>
          <w:ilvl w:val="0"/>
          <w:numId w:val="62"/>
        </w:numPr>
        <w:spacing w:line="360" w:lineRule="auto"/>
        <w:ind w:left="567" w:hanging="567" w:firstLineChars="0"/>
        <w:rPr>
          <w:rFonts w:ascii="黑体" w:hAnsi="黑体" w:eastAsia="黑体"/>
          <w:bCs/>
        </w:rPr>
      </w:pPr>
      <w:r>
        <w:rPr>
          <w:rFonts w:hint="eastAsia" w:ascii="黑体" w:hAnsi="黑体" w:eastAsia="黑体"/>
          <w:bCs/>
        </w:rPr>
        <w:t>中小微企业响应是指在政府采购活动中，供应商提供的货物均由中小微企业制造、工程均由中小微企业承建或者服务均由中小微企业承接，并在投标文件中提供《中小企业声明函》。</w:t>
      </w:r>
    </w:p>
    <w:p w14:paraId="7EADD604">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证明投标人合格和资格的文件</w:t>
      </w:r>
      <w:bookmarkEnd w:id="29"/>
    </w:p>
    <w:p w14:paraId="6DF85F85">
      <w:pPr>
        <w:pStyle w:val="29"/>
        <w:numPr>
          <w:ilvl w:val="0"/>
          <w:numId w:val="63"/>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14:paraId="6C756C1F">
      <w:pPr>
        <w:pStyle w:val="29"/>
        <w:numPr>
          <w:ilvl w:val="0"/>
          <w:numId w:val="63"/>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投标人提交的资格证明文件应证明其满足本须知定义的合格投标人。</w:t>
      </w:r>
    </w:p>
    <w:p w14:paraId="6C5B86C0">
      <w:pPr>
        <w:pStyle w:val="29"/>
        <w:numPr>
          <w:ilvl w:val="0"/>
          <w:numId w:val="46"/>
        </w:numPr>
        <w:spacing w:before="312" w:beforeLines="100" w:line="360" w:lineRule="auto"/>
        <w:ind w:firstLineChars="0"/>
        <w:rPr>
          <w:rFonts w:ascii="黑体" w:hAnsi="黑体" w:eastAsia="黑体"/>
          <w:b/>
          <w:color w:val="auto"/>
        </w:rPr>
      </w:pPr>
      <w:r>
        <w:rPr>
          <w:rFonts w:hint="eastAsia" w:ascii="黑体" w:hAnsi="黑体" w:eastAsia="黑体"/>
          <w:b/>
          <w:color w:val="auto"/>
        </w:rPr>
        <w:t>投标担保</w:t>
      </w:r>
      <w:r>
        <w:rPr>
          <w:rFonts w:hint="eastAsia" w:ascii="黑体" w:hAnsi="黑体" w:eastAsia="黑体"/>
          <w:b/>
          <w:color w:val="auto"/>
          <w:lang w:eastAsia="zh-CN"/>
        </w:rPr>
        <w:t>（</w:t>
      </w:r>
      <w:r>
        <w:rPr>
          <w:rFonts w:hint="eastAsia" w:ascii="黑体" w:hAnsi="黑体" w:eastAsia="黑体"/>
          <w:b/>
          <w:color w:val="auto"/>
          <w:lang w:val="en-US" w:eastAsia="zh-CN"/>
        </w:rPr>
        <w:t>本项目不设投标保证金</w:t>
      </w:r>
      <w:r>
        <w:rPr>
          <w:rFonts w:hint="eastAsia" w:ascii="黑体" w:hAnsi="黑体" w:eastAsia="黑体"/>
          <w:b/>
          <w:color w:val="auto"/>
          <w:lang w:eastAsia="zh-CN"/>
        </w:rPr>
        <w:t>）</w:t>
      </w:r>
    </w:p>
    <w:p w14:paraId="0E4D5935">
      <w:pPr>
        <w:pStyle w:val="29"/>
        <w:numPr>
          <w:ilvl w:val="0"/>
          <w:numId w:val="64"/>
        </w:numPr>
        <w:spacing w:line="360" w:lineRule="auto"/>
        <w:ind w:left="567" w:hanging="567" w:firstLineChars="0"/>
        <w:rPr>
          <w:rFonts w:ascii="黑体" w:hAnsi="黑体" w:eastAsia="黑体"/>
          <w:bCs/>
          <w:color w:val="auto"/>
          <w:szCs w:val="21"/>
        </w:rPr>
      </w:pPr>
      <w:r>
        <w:rPr>
          <w:rFonts w:hint="eastAsia" w:ascii="黑体" w:hAnsi="黑体" w:eastAsia="黑体"/>
          <w:bCs/>
          <w:color w:val="auto"/>
          <w:szCs w:val="21"/>
        </w:rPr>
        <w:t>投标人投标时须</w:t>
      </w:r>
      <w:r>
        <w:rPr>
          <w:rFonts w:ascii="黑体" w:hAnsi="黑体" w:eastAsia="黑体"/>
          <w:bCs/>
          <w:color w:val="auto"/>
          <w:szCs w:val="21"/>
        </w:rPr>
        <w:t>附有</w:t>
      </w:r>
      <w:r>
        <w:rPr>
          <w:rFonts w:hint="eastAsia" w:ascii="黑体" w:hAnsi="黑体" w:eastAsia="黑体"/>
          <w:bCs/>
          <w:color w:val="auto"/>
          <w:szCs w:val="21"/>
        </w:rPr>
        <w:t>投标保证金为：</w:t>
      </w:r>
      <w:r>
        <w:rPr>
          <w:rFonts w:hint="eastAsia" w:ascii="黑体" w:hAnsi="黑体" w:eastAsia="黑体"/>
          <w:bCs/>
          <w:color w:val="auto"/>
          <w:szCs w:val="21"/>
          <w:u w:val="single"/>
        </w:rPr>
        <w:t>（</w:t>
      </w:r>
      <w:r>
        <w:rPr>
          <w:rFonts w:hint="eastAsia" w:ascii="黑体" w:hAnsi="黑体" w:eastAsia="黑体"/>
          <w:b/>
          <w:bCs/>
          <w:color w:val="auto"/>
          <w:szCs w:val="21"/>
          <w:u w:val="single"/>
        </w:rPr>
        <w:t>详见投标人须知前附表</w:t>
      </w:r>
      <w:r>
        <w:rPr>
          <w:rFonts w:hint="eastAsia" w:ascii="黑体" w:hAnsi="黑体" w:eastAsia="黑体"/>
          <w:bCs/>
          <w:color w:val="auto"/>
          <w:szCs w:val="21"/>
          <w:u w:val="single"/>
        </w:rPr>
        <w:t>）</w:t>
      </w:r>
      <w:r>
        <w:rPr>
          <w:rFonts w:ascii="黑体" w:hAnsi="黑体" w:eastAsia="黑体"/>
          <w:bCs/>
          <w:color w:val="auto"/>
          <w:szCs w:val="21"/>
          <w:u w:val="single"/>
        </w:rPr>
        <w:t xml:space="preserve"> </w:t>
      </w:r>
      <w:r>
        <w:rPr>
          <w:rFonts w:hint="eastAsia" w:ascii="黑体" w:hAnsi="黑体" w:eastAsia="黑体"/>
          <w:bCs/>
          <w:color w:val="auto"/>
          <w:szCs w:val="21"/>
        </w:rPr>
        <w:t>。</w:t>
      </w:r>
    </w:p>
    <w:p w14:paraId="48640E8F">
      <w:pPr>
        <w:pStyle w:val="29"/>
        <w:numPr>
          <w:ilvl w:val="0"/>
          <w:numId w:val="64"/>
        </w:numPr>
        <w:spacing w:line="360" w:lineRule="auto"/>
        <w:ind w:left="567" w:hanging="567" w:firstLineChars="0"/>
        <w:rPr>
          <w:rFonts w:ascii="黑体" w:hAnsi="黑体" w:eastAsia="黑体"/>
          <w:bCs/>
          <w:color w:val="auto"/>
          <w:szCs w:val="21"/>
        </w:rPr>
      </w:pPr>
      <w:r>
        <w:rPr>
          <w:rFonts w:hint="eastAsia" w:ascii="黑体" w:hAnsi="黑体" w:eastAsia="黑体"/>
          <w:bCs/>
          <w:color w:val="auto"/>
          <w:szCs w:val="21"/>
        </w:rPr>
        <w:t>投标保证金作为供应商投标的组成部分，与投标文件一同递交。</w:t>
      </w:r>
    </w:p>
    <w:p w14:paraId="1EB0FE1B">
      <w:pPr>
        <w:pStyle w:val="29"/>
        <w:numPr>
          <w:ilvl w:val="0"/>
          <w:numId w:val="64"/>
        </w:numPr>
        <w:spacing w:line="360" w:lineRule="auto"/>
        <w:ind w:left="567" w:hanging="567" w:firstLineChars="0"/>
        <w:rPr>
          <w:rFonts w:ascii="黑体" w:hAnsi="黑体" w:eastAsia="黑体"/>
          <w:bCs/>
          <w:color w:val="auto"/>
          <w:szCs w:val="21"/>
        </w:rPr>
      </w:pPr>
      <w:r>
        <w:rPr>
          <w:rFonts w:hint="eastAsia" w:ascii="黑体" w:hAnsi="黑体" w:eastAsia="黑体"/>
          <w:bCs/>
          <w:color w:val="auto"/>
          <w:szCs w:val="21"/>
        </w:rPr>
        <w:t>投标保证金应当以支票、汇票、本票或者金融机构、担保机构出具的保函等非现金形式提交。投标人与交款人名称必须一致，非投标人缴纳的投标保证金无效。</w:t>
      </w:r>
    </w:p>
    <w:p w14:paraId="35AEAD4E">
      <w:pPr>
        <w:pStyle w:val="29"/>
        <w:numPr>
          <w:ilvl w:val="0"/>
          <w:numId w:val="64"/>
        </w:numPr>
        <w:spacing w:line="360" w:lineRule="auto"/>
        <w:ind w:left="567" w:hanging="567" w:firstLineChars="0"/>
        <w:rPr>
          <w:rFonts w:ascii="黑体" w:hAnsi="黑体" w:eastAsia="黑体"/>
          <w:bCs/>
          <w:color w:val="auto"/>
          <w:szCs w:val="21"/>
        </w:rPr>
      </w:pPr>
      <w:r>
        <w:rPr>
          <w:rFonts w:hint="eastAsia" w:ascii="黑体" w:hAnsi="黑体" w:eastAsia="黑体"/>
          <w:bCs/>
          <w:color w:val="auto"/>
          <w:szCs w:val="21"/>
        </w:rPr>
        <w:t>如项目出现分包情况的，投标人必须按包号分别提交投标保证金并注明包号；</w:t>
      </w:r>
    </w:p>
    <w:p w14:paraId="093B4CA0">
      <w:pPr>
        <w:pStyle w:val="29"/>
        <w:numPr>
          <w:ilvl w:val="0"/>
          <w:numId w:val="64"/>
        </w:numPr>
        <w:spacing w:line="360" w:lineRule="auto"/>
        <w:ind w:left="567" w:hanging="567" w:firstLineChars="0"/>
        <w:rPr>
          <w:rFonts w:ascii="黑体" w:hAnsi="黑体" w:eastAsia="黑体"/>
          <w:bCs/>
          <w:color w:val="auto"/>
          <w:szCs w:val="21"/>
        </w:rPr>
      </w:pPr>
      <w:r>
        <w:rPr>
          <w:rFonts w:hint="eastAsia" w:ascii="黑体" w:hAnsi="黑体" w:eastAsia="黑体"/>
          <w:bCs/>
          <w:color w:val="auto"/>
          <w:szCs w:val="21"/>
        </w:rPr>
        <w:t>提交保证金时应符合下列规定：</w:t>
      </w:r>
    </w:p>
    <w:p w14:paraId="42F74DF2">
      <w:pPr>
        <w:pStyle w:val="29"/>
        <w:numPr>
          <w:ilvl w:val="0"/>
          <w:numId w:val="65"/>
        </w:numPr>
        <w:spacing w:line="360" w:lineRule="auto"/>
        <w:ind w:left="709" w:hanging="709"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auto"/>
          <w:szCs w:val="21"/>
        </w:rPr>
        <w:t>投标保证金以转账形式递交的，请务必按</w:t>
      </w:r>
      <w:r>
        <w:rPr>
          <w:rFonts w:hint="eastAsia" w:ascii="黑体" w:hAnsi="黑体" w:eastAsia="黑体"/>
          <w:bCs/>
          <w:color w:val="000000" w:themeColor="text1"/>
          <w:szCs w:val="21"/>
          <w14:textFill>
            <w14:solidFill>
              <w14:schemeClr w14:val="tx1"/>
            </w14:solidFill>
          </w14:textFill>
        </w:rPr>
        <w:t>以下信息填写汇款单：</w:t>
      </w:r>
      <w:r>
        <w:rPr>
          <w:rFonts w:hint="eastAsia" w:ascii="黑体" w:hAnsi="黑体" w:eastAsia="黑体"/>
          <w:bCs/>
          <w:color w:val="000000" w:themeColor="text1"/>
          <w:szCs w:val="21"/>
          <w:u w:val="single"/>
          <w14:textFill>
            <w14:solidFill>
              <w14:schemeClr w14:val="tx1"/>
            </w14:solidFill>
          </w14:textFill>
        </w:rPr>
        <w:t>（</w:t>
      </w:r>
      <w:r>
        <w:rPr>
          <w:rFonts w:hint="eastAsia" w:ascii="黑体" w:hAnsi="黑体" w:eastAsia="黑体"/>
          <w:b/>
          <w:bCs/>
          <w:color w:val="000000" w:themeColor="text1"/>
          <w:szCs w:val="21"/>
          <w:u w:val="single"/>
          <w14:textFill>
            <w14:solidFill>
              <w14:schemeClr w14:val="tx1"/>
            </w14:solidFill>
          </w14:textFill>
        </w:rPr>
        <w:t>详见投标人须知前附表</w:t>
      </w:r>
      <w:r>
        <w:rPr>
          <w:rFonts w:hint="eastAsia" w:ascii="黑体" w:hAnsi="黑体" w:eastAsia="黑体"/>
          <w:bCs/>
          <w:color w:val="000000" w:themeColor="text1"/>
          <w:szCs w:val="21"/>
          <w:u w:val="single"/>
          <w14:textFill>
            <w14:solidFill>
              <w14:schemeClr w14:val="tx1"/>
            </w14:solidFill>
          </w14:textFill>
        </w:rPr>
        <w:t>）</w:t>
      </w:r>
      <w:r>
        <w:rPr>
          <w:rFonts w:hint="eastAsia" w:ascii="黑体" w:hAnsi="黑体" w:eastAsia="黑体"/>
          <w:bCs/>
          <w:color w:val="000000" w:themeColor="text1"/>
          <w:szCs w:val="21"/>
          <w14:textFill>
            <w14:solidFill>
              <w14:schemeClr w14:val="tx1"/>
            </w14:solidFill>
          </w14:textFill>
        </w:rPr>
        <w:t>账户上；</w:t>
      </w:r>
    </w:p>
    <w:p w14:paraId="2476231E">
      <w:pPr>
        <w:pStyle w:val="29"/>
        <w:numPr>
          <w:ilvl w:val="0"/>
          <w:numId w:val="65"/>
        </w:numPr>
        <w:spacing w:line="360" w:lineRule="auto"/>
        <w:ind w:left="709" w:hanging="709"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采用《政府采购投标担保函》递交的，投标担保函有效期应与投标有效期一致。</w:t>
      </w:r>
    </w:p>
    <w:p w14:paraId="77BA275E">
      <w:pPr>
        <w:pStyle w:val="29"/>
        <w:numPr>
          <w:ilvl w:val="0"/>
          <w:numId w:val="64"/>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未中标的投标人的投标保证金将在本项目《中标通知书》发出之日起</w:t>
      </w:r>
      <w:r>
        <w:rPr>
          <w:rFonts w:ascii="黑体" w:hAnsi="黑体" w:eastAsia="黑体"/>
          <w:bCs/>
          <w:color w:val="000000" w:themeColor="text1"/>
          <w:szCs w:val="21"/>
          <w14:textFill>
            <w14:solidFill>
              <w14:schemeClr w14:val="tx1"/>
            </w14:solidFill>
          </w14:textFill>
        </w:rPr>
        <w:t>5个工作日内退还。</w:t>
      </w:r>
      <w:r>
        <w:rPr>
          <w:rFonts w:hint="eastAsia" w:ascii="黑体" w:hAnsi="黑体" w:eastAsia="黑体"/>
          <w:bCs/>
          <w:color w:val="000000" w:themeColor="text1"/>
          <w:szCs w:val="21"/>
          <w14:textFill>
            <w14:solidFill>
              <w14:schemeClr w14:val="tx1"/>
            </w14:solidFill>
          </w14:textFill>
        </w:rPr>
        <w:t>中标人的投标保证金自政府采购合同签订之日起</w:t>
      </w:r>
      <w:r>
        <w:rPr>
          <w:rFonts w:ascii="黑体" w:hAnsi="黑体" w:eastAsia="黑体"/>
          <w:bCs/>
          <w:color w:val="000000" w:themeColor="text1"/>
          <w:szCs w:val="21"/>
          <w14:textFill>
            <w14:solidFill>
              <w14:schemeClr w14:val="tx1"/>
            </w14:solidFill>
          </w14:textFill>
        </w:rPr>
        <w:t>5个工作日内退还。</w:t>
      </w:r>
    </w:p>
    <w:p w14:paraId="3B8526D4">
      <w:pPr>
        <w:pStyle w:val="29"/>
        <w:numPr>
          <w:ilvl w:val="0"/>
          <w:numId w:val="64"/>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中标人有下列情形之一的，投标保证金将被没收：</w:t>
      </w:r>
    </w:p>
    <w:p w14:paraId="7E2F5938">
      <w:pPr>
        <w:pStyle w:val="29"/>
        <w:numPr>
          <w:ilvl w:val="0"/>
          <w:numId w:val="66"/>
        </w:numPr>
        <w:spacing w:line="360" w:lineRule="auto"/>
        <w:ind w:firstLineChars="0"/>
        <w:rPr>
          <w:rFonts w:ascii="黑体" w:hAnsi="黑体" w:eastAsia="黑体"/>
          <w:bCs/>
          <w:szCs w:val="21"/>
        </w:rPr>
      </w:pPr>
      <w:r>
        <w:rPr>
          <w:rFonts w:hint="eastAsia" w:ascii="黑体" w:hAnsi="黑体" w:eastAsia="黑体"/>
          <w:bCs/>
          <w:szCs w:val="21"/>
        </w:rPr>
        <w:t>投标人在招标文件中规定的投标有效期内撤销其投标文件；</w:t>
      </w:r>
    </w:p>
    <w:p w14:paraId="754FC69F">
      <w:pPr>
        <w:pStyle w:val="29"/>
        <w:numPr>
          <w:ilvl w:val="0"/>
          <w:numId w:val="66"/>
        </w:numPr>
        <w:spacing w:line="360" w:lineRule="auto"/>
        <w:ind w:firstLineChars="0"/>
        <w:rPr>
          <w:rFonts w:ascii="黑体" w:hAnsi="黑体" w:eastAsia="黑体"/>
          <w:bCs/>
          <w:szCs w:val="21"/>
        </w:rPr>
      </w:pPr>
      <w:r>
        <w:rPr>
          <w:rFonts w:hint="eastAsia" w:ascii="黑体" w:hAnsi="黑体" w:eastAsia="黑体"/>
          <w:bCs/>
          <w:szCs w:val="21"/>
        </w:rPr>
        <w:t>提供虚假材料谋取中标的；</w:t>
      </w:r>
    </w:p>
    <w:p w14:paraId="77BFCE53">
      <w:pPr>
        <w:pStyle w:val="29"/>
        <w:numPr>
          <w:ilvl w:val="0"/>
          <w:numId w:val="66"/>
        </w:numPr>
        <w:spacing w:line="360" w:lineRule="auto"/>
        <w:ind w:firstLineChars="0"/>
        <w:rPr>
          <w:rFonts w:ascii="黑体" w:hAnsi="黑体" w:eastAsia="黑体"/>
          <w:bCs/>
          <w:szCs w:val="21"/>
        </w:rPr>
      </w:pPr>
      <w:r>
        <w:rPr>
          <w:rFonts w:hint="eastAsia" w:ascii="黑体" w:hAnsi="黑体" w:eastAsia="黑体"/>
          <w:bCs/>
          <w:szCs w:val="21"/>
        </w:rPr>
        <w:t>中标后，无正当理由放弃中标资格；</w:t>
      </w:r>
    </w:p>
    <w:p w14:paraId="51D094F1">
      <w:pPr>
        <w:pStyle w:val="29"/>
        <w:numPr>
          <w:ilvl w:val="0"/>
          <w:numId w:val="66"/>
        </w:numPr>
        <w:spacing w:line="360" w:lineRule="auto"/>
        <w:ind w:firstLineChars="0"/>
        <w:rPr>
          <w:rFonts w:ascii="黑体" w:hAnsi="黑体" w:eastAsia="黑体"/>
          <w:bCs/>
          <w:szCs w:val="21"/>
        </w:rPr>
      </w:pPr>
      <w:r>
        <w:rPr>
          <w:rFonts w:hint="eastAsia" w:ascii="黑体" w:hAnsi="黑体" w:eastAsia="黑体"/>
          <w:bCs/>
          <w:szCs w:val="21"/>
        </w:rPr>
        <w:t>中标后，无正当理由不与采购人签订合同；</w:t>
      </w:r>
    </w:p>
    <w:p w14:paraId="797EC11C">
      <w:pPr>
        <w:pStyle w:val="29"/>
        <w:numPr>
          <w:ilvl w:val="0"/>
          <w:numId w:val="66"/>
        </w:numPr>
        <w:spacing w:line="360" w:lineRule="auto"/>
        <w:ind w:firstLineChars="0"/>
        <w:rPr>
          <w:rFonts w:ascii="黑体" w:hAnsi="黑体" w:eastAsia="黑体"/>
          <w:bCs/>
          <w:szCs w:val="21"/>
        </w:rPr>
      </w:pPr>
      <w:r>
        <w:rPr>
          <w:rFonts w:hint="eastAsia" w:ascii="黑体" w:hAnsi="黑体" w:eastAsia="黑体"/>
          <w:bCs/>
          <w:szCs w:val="21"/>
        </w:rPr>
        <w:t>法律法规规定的其它行为。</w:t>
      </w:r>
    </w:p>
    <w:p w14:paraId="0EC35479">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投标有效期</w:t>
      </w:r>
    </w:p>
    <w:p w14:paraId="768C5ED3">
      <w:pPr>
        <w:pStyle w:val="29"/>
        <w:numPr>
          <w:ilvl w:val="0"/>
          <w:numId w:val="67"/>
        </w:numPr>
        <w:spacing w:line="360" w:lineRule="auto"/>
        <w:ind w:left="567" w:hanging="567" w:firstLineChars="0"/>
        <w:rPr>
          <w:rFonts w:ascii="黑体" w:hAnsi="黑体" w:eastAsia="黑体"/>
          <w:bCs/>
          <w:spacing w:val="-2"/>
          <w:szCs w:val="21"/>
        </w:rPr>
      </w:pPr>
      <w:r>
        <w:rPr>
          <w:rFonts w:hint="eastAsia" w:ascii="黑体" w:hAnsi="黑体" w:eastAsia="黑体"/>
          <w:bCs/>
          <w:spacing w:val="-2"/>
          <w:szCs w:val="21"/>
        </w:rPr>
        <w:t>投标</w:t>
      </w:r>
      <w:r>
        <w:rPr>
          <w:rFonts w:hint="eastAsia" w:ascii="黑体" w:hAnsi="黑体" w:eastAsia="黑体"/>
        </w:rPr>
        <w:t>有效期自招标文件规定的</w:t>
      </w:r>
      <w:r>
        <w:rPr>
          <w:rFonts w:hint="eastAsia" w:ascii="黑体" w:hAnsi="黑体" w:eastAsia="黑体"/>
          <w:bCs/>
          <w:spacing w:val="-2"/>
          <w:szCs w:val="21"/>
        </w:rPr>
        <w:t>投标文件</w:t>
      </w:r>
      <w:r>
        <w:rPr>
          <w:rFonts w:hint="eastAsia" w:ascii="黑体" w:hAnsi="黑体" w:eastAsia="黑体"/>
        </w:rPr>
        <w:t>递交截止时间起算</w:t>
      </w:r>
      <w:r>
        <w:rPr>
          <w:rFonts w:hint="eastAsia" w:ascii="黑体" w:hAnsi="黑体" w:eastAsia="黑体"/>
          <w:bCs/>
          <w:spacing w:val="-2"/>
          <w:szCs w:val="21"/>
        </w:rPr>
        <w:t>，并在</w:t>
      </w:r>
      <w:r>
        <w:rPr>
          <w:rFonts w:hint="eastAsia" w:ascii="黑体" w:hAnsi="黑体" w:eastAsia="黑体"/>
          <w:b/>
          <w:szCs w:val="21"/>
          <w:u w:val="single"/>
        </w:rPr>
        <w:t>投标人须知前附表</w:t>
      </w:r>
      <w:r>
        <w:rPr>
          <w:rFonts w:hint="eastAsia" w:ascii="黑体" w:hAnsi="黑体" w:eastAsia="黑体"/>
        </w:rPr>
        <w:t>中所述期限内有效</w:t>
      </w:r>
      <w:r>
        <w:rPr>
          <w:rFonts w:hint="eastAsia" w:ascii="黑体" w:hAnsi="黑体" w:eastAsia="黑体"/>
          <w:bCs/>
          <w:spacing w:val="-2"/>
          <w:szCs w:val="21"/>
        </w:rPr>
        <w:t>。投标有效期</w:t>
      </w:r>
      <w:r>
        <w:rPr>
          <w:rFonts w:hint="eastAsia" w:ascii="黑体" w:hAnsi="黑体" w:eastAsia="黑体"/>
        </w:rPr>
        <w:t>比规定时间短</w:t>
      </w:r>
      <w:r>
        <w:rPr>
          <w:rFonts w:hint="eastAsia" w:ascii="黑体" w:hAnsi="黑体" w:eastAsia="黑体"/>
          <w:bCs/>
          <w:spacing w:val="-2"/>
          <w:szCs w:val="21"/>
        </w:rPr>
        <w:t>的投标将被视为非实质性响应，视为无效投标。</w:t>
      </w:r>
    </w:p>
    <w:p w14:paraId="021EBFB0">
      <w:pPr>
        <w:pStyle w:val="29"/>
        <w:numPr>
          <w:ilvl w:val="0"/>
          <w:numId w:val="67"/>
        </w:numPr>
        <w:spacing w:line="360" w:lineRule="auto"/>
        <w:ind w:left="567" w:hanging="567" w:firstLineChars="0"/>
        <w:rPr>
          <w:rFonts w:ascii="黑体" w:hAnsi="黑体" w:eastAsia="黑体"/>
          <w:bCs/>
          <w:spacing w:val="-2"/>
          <w:szCs w:val="21"/>
        </w:rPr>
      </w:pPr>
      <w:r>
        <w:rPr>
          <w:rFonts w:hint="eastAsia" w:ascii="黑体" w:hAnsi="黑体" w:eastAsia="黑体"/>
          <w:bCs/>
          <w:szCs w:val="21"/>
        </w:rPr>
        <w:t>出现特殊情况需延长投标有效期的，采购人或采购代理机构可于投标有效期满之前要求投标人同意延长有效期，要求与答复均以书面形式通知所有投标人。投标人同意延长的，应相应延长其投标保证金的有效期，但不得要求或被允许修改或撤销其投标文件；投标人可以拒绝延长有效期，但其投标将会被视为无效，拒绝延长有效期的投标人有权收回其投标保证金。</w:t>
      </w:r>
    </w:p>
    <w:p w14:paraId="70AC804D">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bookmarkStart w:id="30" w:name="_Toc357676129"/>
      <w:r>
        <w:rPr>
          <w:rFonts w:hint="eastAsia" w:ascii="黑体" w:hAnsi="黑体" w:eastAsia="黑体"/>
          <w:b/>
          <w:color w:val="000000" w:themeColor="text1"/>
          <w14:textFill>
            <w14:solidFill>
              <w14:schemeClr w14:val="tx1"/>
            </w14:solidFill>
          </w14:textFill>
        </w:rPr>
        <w:t>投标文件的式样和签署</w:t>
      </w:r>
      <w:bookmarkEnd w:id="30"/>
    </w:p>
    <w:p w14:paraId="24C3011D">
      <w:pPr>
        <w:pStyle w:val="29"/>
        <w:numPr>
          <w:ilvl w:val="0"/>
          <w:numId w:val="68"/>
        </w:numPr>
        <w:spacing w:line="360" w:lineRule="auto"/>
        <w:ind w:left="567" w:hanging="567" w:firstLineChars="0"/>
        <w:rPr>
          <w:rFonts w:ascii="黑体" w:hAnsi="黑体" w:eastAsia="黑体"/>
          <w:bCs/>
          <w:szCs w:val="21"/>
        </w:rPr>
      </w:pPr>
      <w:r>
        <w:rPr>
          <w:rFonts w:hint="eastAsia" w:ascii="黑体" w:hAnsi="黑体" w:eastAsia="黑体"/>
          <w:bCs/>
          <w:szCs w:val="21"/>
        </w:rPr>
        <w:t>投标文件的式样：投标人应准备一份投标文件正本、电子文件、唱标信封和</w:t>
      </w:r>
      <w:r>
        <w:rPr>
          <w:rFonts w:ascii="黑体" w:hAnsi="黑体" w:eastAsia="黑体"/>
          <w:bCs/>
          <w:szCs w:val="21"/>
          <w:u w:val="single"/>
        </w:rPr>
        <w:t xml:space="preserve"> </w:t>
      </w:r>
      <w:bookmarkStart w:id="31" w:name="_Hlk81180014"/>
      <w:r>
        <w:rPr>
          <w:rFonts w:hint="eastAsia" w:ascii="黑体" w:hAnsi="黑体" w:eastAsia="黑体"/>
          <w:b/>
          <w:szCs w:val="21"/>
          <w:u w:val="single"/>
        </w:rPr>
        <w:t>详见投标人须知前附表</w:t>
      </w:r>
      <w:r>
        <w:rPr>
          <w:rFonts w:ascii="黑体" w:hAnsi="黑体" w:eastAsia="黑体"/>
          <w:b/>
          <w:szCs w:val="21"/>
          <w:u w:val="single"/>
        </w:rPr>
        <w:t xml:space="preserve"> </w:t>
      </w:r>
      <w:bookmarkEnd w:id="31"/>
      <w:r>
        <w:rPr>
          <w:rFonts w:hint="eastAsia" w:ascii="黑体" w:hAnsi="黑体" w:eastAsia="黑体"/>
          <w:bCs/>
          <w:szCs w:val="21"/>
        </w:rPr>
        <w:t>中规定数目的副本，投标文件的副本可采用正本的复印件。每套投标文件须清楚地标明“正本”或“副本”。若副本与正本不符，以正本为准。</w:t>
      </w:r>
    </w:p>
    <w:p w14:paraId="680E78BE">
      <w:pPr>
        <w:pStyle w:val="29"/>
        <w:numPr>
          <w:ilvl w:val="0"/>
          <w:numId w:val="68"/>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投标文件的签署：</w:t>
      </w:r>
    </w:p>
    <w:p w14:paraId="0E3B0E9B">
      <w:pPr>
        <w:pStyle w:val="29"/>
        <w:numPr>
          <w:ilvl w:val="2"/>
          <w:numId w:val="69"/>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0AAC1446">
      <w:pPr>
        <w:pStyle w:val="29"/>
        <w:numPr>
          <w:ilvl w:val="2"/>
          <w:numId w:val="69"/>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投标文件中的任何重要的插字、涂改和增删，必须由法定代表人或经其正式授权的代表在旁边签署。</w:t>
      </w:r>
    </w:p>
    <w:p w14:paraId="06926B3E">
      <w:pPr>
        <w:pStyle w:val="29"/>
        <w:numPr>
          <w:ilvl w:val="0"/>
          <w:numId w:val="68"/>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cs="Times New Roman"/>
          <w:bCs/>
          <w:color w:val="000000" w:themeColor="text1"/>
          <w:szCs w:val="21"/>
          <w14:textFill>
            <w14:solidFill>
              <w14:schemeClr w14:val="tx1"/>
            </w14:solidFill>
          </w14:textFill>
        </w:rPr>
        <w:t>投标文件的“正本”及所有“副本”的封面及骑缝均须由投标人加盖投标人公章</w:t>
      </w:r>
      <w:r>
        <w:rPr>
          <w:rFonts w:hint="eastAsia" w:ascii="黑体" w:hAnsi="黑体" w:eastAsia="黑体"/>
          <w:bCs/>
          <w:color w:val="000000" w:themeColor="text1"/>
          <w:szCs w:val="21"/>
          <w14:textFill>
            <w14:solidFill>
              <w14:schemeClr w14:val="tx1"/>
            </w14:solidFill>
          </w14:textFill>
        </w:rPr>
        <w:t>。</w:t>
      </w:r>
    </w:p>
    <w:p w14:paraId="3A28EAA3">
      <w:pPr>
        <w:pStyle w:val="29"/>
        <w:numPr>
          <w:ilvl w:val="0"/>
          <w:numId w:val="45"/>
        </w:numPr>
        <w:spacing w:before="312" w:beforeLines="100" w:line="360" w:lineRule="auto"/>
        <w:ind w:firstLineChars="0"/>
        <w:rPr>
          <w:rFonts w:ascii="黑体" w:hAnsi="黑体" w:eastAsia="黑体"/>
          <w:b/>
          <w:bCs/>
          <w:color w:val="000000" w:themeColor="text1"/>
          <w:sz w:val="24"/>
          <w:szCs w:val="24"/>
          <w14:textFill>
            <w14:solidFill>
              <w14:schemeClr w14:val="tx1"/>
            </w14:solidFill>
          </w14:textFill>
        </w:rPr>
      </w:pPr>
      <w:r>
        <w:rPr>
          <w:rFonts w:hint="eastAsia" w:ascii="黑体" w:hAnsi="黑体" w:eastAsia="黑体"/>
          <w:b/>
          <w:bCs/>
          <w:color w:val="000000" w:themeColor="text1"/>
          <w:sz w:val="24"/>
          <w:szCs w:val="24"/>
          <w14:textFill>
            <w14:solidFill>
              <w14:schemeClr w14:val="tx1"/>
            </w14:solidFill>
          </w14:textFill>
        </w:rPr>
        <w:t>投标文件的递交</w:t>
      </w:r>
    </w:p>
    <w:p w14:paraId="4EBE4322">
      <w:pPr>
        <w:pStyle w:val="29"/>
        <w:numPr>
          <w:ilvl w:val="0"/>
          <w:numId w:val="46"/>
        </w:numPr>
        <w:spacing w:line="360" w:lineRule="auto"/>
        <w:ind w:firstLineChars="0"/>
        <w:rPr>
          <w:rFonts w:ascii="黑体" w:hAnsi="黑体" w:eastAsia="黑体"/>
          <w:b/>
          <w:color w:val="000000" w:themeColor="text1"/>
          <w14:textFill>
            <w14:solidFill>
              <w14:schemeClr w14:val="tx1"/>
            </w14:solidFill>
          </w14:textFill>
        </w:rPr>
      </w:pPr>
      <w:bookmarkStart w:id="32" w:name="_Toc357676131"/>
      <w:r>
        <w:rPr>
          <w:rFonts w:hint="eastAsia" w:ascii="黑体" w:hAnsi="黑体" w:eastAsia="黑体"/>
          <w:b/>
          <w:color w:val="000000" w:themeColor="text1"/>
          <w14:textFill>
            <w14:solidFill>
              <w14:schemeClr w14:val="tx1"/>
            </w14:solidFill>
          </w14:textFill>
        </w:rPr>
        <w:t>投标文件的装订、密封和标记</w:t>
      </w:r>
      <w:bookmarkEnd w:id="32"/>
    </w:p>
    <w:p w14:paraId="742259F9">
      <w:pPr>
        <w:pStyle w:val="29"/>
        <w:numPr>
          <w:ilvl w:val="0"/>
          <w:numId w:val="70"/>
        </w:numPr>
        <w:spacing w:line="360" w:lineRule="auto"/>
        <w:ind w:left="567" w:hanging="567" w:firstLineChars="0"/>
        <w:rPr>
          <w:rFonts w:ascii="黑体" w:hAnsi="黑体" w:eastAsia="黑体"/>
          <w:bCs/>
          <w:szCs w:val="21"/>
        </w:rPr>
      </w:pPr>
      <w:r>
        <w:rPr>
          <w:rFonts w:hint="eastAsia" w:ascii="黑体" w:hAnsi="黑体" w:eastAsia="黑体"/>
          <w:bCs/>
          <w:color w:val="000000" w:themeColor="text1"/>
          <w:szCs w:val="21"/>
          <w14:textFill>
            <w14:solidFill>
              <w14:schemeClr w14:val="tx1"/>
            </w14:solidFill>
          </w14:textFill>
        </w:rPr>
        <w:t>投标人应当对投标文件进行装订（所有文件均不允许采用活动夹方式装订），如投标人对</w:t>
      </w:r>
      <w:r>
        <w:rPr>
          <w:rFonts w:hint="eastAsia" w:ascii="黑体" w:hAnsi="黑体" w:eastAsia="黑体"/>
          <w:bCs/>
          <w:szCs w:val="21"/>
        </w:rPr>
        <w:t>招标文件多个包组进行投标的，其投标文件的编制应按每个包的要求分别装订和封装。</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2478"/>
        <w:gridCol w:w="1624"/>
        <w:gridCol w:w="3971"/>
      </w:tblGrid>
      <w:tr w14:paraId="1F3AD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64E29180">
            <w:pPr>
              <w:spacing w:line="360" w:lineRule="auto"/>
              <w:jc w:val="center"/>
              <w:rPr>
                <w:rFonts w:ascii="黑体" w:hAnsi="黑体" w:eastAsia="黑体"/>
                <w:b/>
                <w:szCs w:val="21"/>
              </w:rPr>
            </w:pPr>
            <w:r>
              <w:rPr>
                <w:rFonts w:hint="eastAsia" w:ascii="黑体" w:hAnsi="黑体" w:eastAsia="黑体"/>
                <w:b/>
                <w:szCs w:val="21"/>
              </w:rPr>
              <w:t>序号</w:t>
            </w:r>
          </w:p>
        </w:tc>
        <w:tc>
          <w:tcPr>
            <w:tcW w:w="1413" w:type="pct"/>
            <w:vAlign w:val="center"/>
          </w:tcPr>
          <w:p w14:paraId="62F4D901">
            <w:pPr>
              <w:spacing w:line="360" w:lineRule="auto"/>
              <w:jc w:val="center"/>
              <w:rPr>
                <w:rFonts w:ascii="黑体" w:hAnsi="黑体" w:eastAsia="黑体"/>
                <w:b/>
                <w:szCs w:val="21"/>
              </w:rPr>
            </w:pPr>
            <w:r>
              <w:rPr>
                <w:rFonts w:hint="eastAsia" w:ascii="黑体" w:hAnsi="黑体" w:eastAsia="黑体"/>
                <w:b/>
                <w:szCs w:val="21"/>
              </w:rPr>
              <w:t>文件名称</w:t>
            </w:r>
          </w:p>
        </w:tc>
        <w:tc>
          <w:tcPr>
            <w:tcW w:w="926" w:type="pct"/>
            <w:vAlign w:val="center"/>
          </w:tcPr>
          <w:p w14:paraId="6635DEB7">
            <w:pPr>
              <w:spacing w:line="360" w:lineRule="auto"/>
              <w:jc w:val="center"/>
              <w:rPr>
                <w:rFonts w:ascii="黑体" w:hAnsi="黑体" w:eastAsia="黑体"/>
                <w:b/>
                <w:szCs w:val="21"/>
              </w:rPr>
            </w:pPr>
            <w:r>
              <w:rPr>
                <w:rFonts w:hint="eastAsia" w:ascii="黑体" w:hAnsi="黑体" w:eastAsia="黑体"/>
                <w:b/>
                <w:szCs w:val="21"/>
              </w:rPr>
              <w:t>装订</w:t>
            </w:r>
          </w:p>
        </w:tc>
        <w:tc>
          <w:tcPr>
            <w:tcW w:w="2264" w:type="pct"/>
            <w:vAlign w:val="center"/>
          </w:tcPr>
          <w:p w14:paraId="3BAE0D23">
            <w:pPr>
              <w:spacing w:line="360" w:lineRule="auto"/>
              <w:jc w:val="center"/>
              <w:rPr>
                <w:rFonts w:ascii="黑体" w:hAnsi="黑体" w:eastAsia="黑体"/>
                <w:b/>
                <w:szCs w:val="21"/>
              </w:rPr>
            </w:pPr>
            <w:r>
              <w:rPr>
                <w:rFonts w:hint="eastAsia" w:ascii="黑体" w:hAnsi="黑体" w:eastAsia="黑体"/>
                <w:b/>
                <w:szCs w:val="21"/>
              </w:rPr>
              <w:t>包装</w:t>
            </w:r>
          </w:p>
        </w:tc>
      </w:tr>
      <w:tr w14:paraId="03EC7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3082CF5E">
            <w:pPr>
              <w:spacing w:line="360" w:lineRule="auto"/>
              <w:jc w:val="center"/>
              <w:rPr>
                <w:rFonts w:ascii="黑体" w:hAnsi="黑体" w:eastAsia="黑体"/>
                <w:szCs w:val="21"/>
              </w:rPr>
            </w:pPr>
            <w:r>
              <w:rPr>
                <w:rFonts w:hint="eastAsia" w:ascii="黑体" w:hAnsi="黑体" w:eastAsia="黑体"/>
                <w:szCs w:val="21"/>
              </w:rPr>
              <w:t>1</w:t>
            </w:r>
          </w:p>
        </w:tc>
        <w:tc>
          <w:tcPr>
            <w:tcW w:w="1413" w:type="pct"/>
            <w:vAlign w:val="center"/>
          </w:tcPr>
          <w:p w14:paraId="255A2204">
            <w:pPr>
              <w:spacing w:line="360" w:lineRule="auto"/>
              <w:jc w:val="center"/>
              <w:rPr>
                <w:rFonts w:ascii="黑体" w:hAnsi="黑体" w:eastAsia="黑体"/>
                <w:szCs w:val="21"/>
              </w:rPr>
            </w:pPr>
            <w:r>
              <w:rPr>
                <w:rFonts w:hint="eastAsia" w:ascii="黑体" w:hAnsi="黑体" w:eastAsia="黑体"/>
                <w:szCs w:val="21"/>
              </w:rPr>
              <w:t>投标文件</w:t>
            </w:r>
          </w:p>
        </w:tc>
        <w:tc>
          <w:tcPr>
            <w:tcW w:w="926" w:type="pct"/>
            <w:vAlign w:val="center"/>
          </w:tcPr>
          <w:p w14:paraId="0DD7B744">
            <w:pPr>
              <w:spacing w:line="360" w:lineRule="auto"/>
              <w:jc w:val="center"/>
              <w:rPr>
                <w:rFonts w:ascii="黑体" w:hAnsi="黑体" w:eastAsia="黑体"/>
                <w:szCs w:val="21"/>
              </w:rPr>
            </w:pPr>
            <w:r>
              <w:rPr>
                <w:rFonts w:hint="eastAsia" w:ascii="黑体" w:hAnsi="黑体" w:eastAsia="黑体"/>
                <w:szCs w:val="21"/>
              </w:rPr>
              <w:t>独立装订</w:t>
            </w:r>
          </w:p>
        </w:tc>
        <w:tc>
          <w:tcPr>
            <w:tcW w:w="2264" w:type="pct"/>
            <w:vAlign w:val="center"/>
          </w:tcPr>
          <w:p w14:paraId="279E6DF1">
            <w:pPr>
              <w:spacing w:line="360" w:lineRule="auto"/>
              <w:jc w:val="center"/>
              <w:rPr>
                <w:rFonts w:ascii="黑体" w:hAnsi="黑体" w:eastAsia="黑体"/>
                <w:szCs w:val="21"/>
              </w:rPr>
            </w:pPr>
            <w:r>
              <w:rPr>
                <w:rFonts w:hint="eastAsia" w:ascii="黑体" w:hAnsi="黑体" w:eastAsia="黑体"/>
                <w:szCs w:val="21"/>
              </w:rPr>
              <w:t>正本、副本一起密封包装</w:t>
            </w:r>
          </w:p>
        </w:tc>
      </w:tr>
      <w:tr w14:paraId="1A3AA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315D402F">
            <w:pPr>
              <w:spacing w:line="360" w:lineRule="auto"/>
              <w:jc w:val="center"/>
              <w:rPr>
                <w:rFonts w:ascii="黑体" w:hAnsi="黑体" w:eastAsia="黑体"/>
                <w:szCs w:val="21"/>
              </w:rPr>
            </w:pPr>
            <w:r>
              <w:rPr>
                <w:rFonts w:ascii="黑体" w:hAnsi="黑体" w:eastAsia="黑体"/>
                <w:szCs w:val="21"/>
              </w:rPr>
              <w:t>2</w:t>
            </w:r>
          </w:p>
        </w:tc>
        <w:tc>
          <w:tcPr>
            <w:tcW w:w="1413" w:type="pct"/>
            <w:vAlign w:val="center"/>
          </w:tcPr>
          <w:p w14:paraId="61740644">
            <w:pPr>
              <w:spacing w:line="360" w:lineRule="auto"/>
              <w:jc w:val="center"/>
              <w:rPr>
                <w:rFonts w:ascii="黑体" w:hAnsi="黑体" w:eastAsia="黑体"/>
                <w:szCs w:val="21"/>
              </w:rPr>
            </w:pPr>
            <w:r>
              <w:rPr>
                <w:rFonts w:hint="eastAsia" w:ascii="黑体" w:hAnsi="黑体" w:eastAsia="黑体"/>
                <w:szCs w:val="21"/>
              </w:rPr>
              <w:t>唱标信封</w:t>
            </w:r>
          </w:p>
        </w:tc>
        <w:tc>
          <w:tcPr>
            <w:tcW w:w="926" w:type="pct"/>
            <w:vAlign w:val="center"/>
          </w:tcPr>
          <w:p w14:paraId="3B214B93">
            <w:pPr>
              <w:spacing w:line="360" w:lineRule="auto"/>
              <w:jc w:val="center"/>
              <w:rPr>
                <w:rFonts w:ascii="黑体" w:hAnsi="黑体" w:eastAsia="黑体"/>
                <w:szCs w:val="21"/>
              </w:rPr>
            </w:pPr>
            <w:r>
              <w:rPr>
                <w:rFonts w:hint="eastAsia" w:ascii="黑体" w:hAnsi="黑体" w:eastAsia="黑体"/>
                <w:szCs w:val="21"/>
              </w:rPr>
              <w:t>独立装订</w:t>
            </w:r>
          </w:p>
        </w:tc>
        <w:tc>
          <w:tcPr>
            <w:tcW w:w="2264" w:type="pct"/>
            <w:vAlign w:val="center"/>
          </w:tcPr>
          <w:p w14:paraId="075D1D53">
            <w:pPr>
              <w:spacing w:line="360" w:lineRule="auto"/>
              <w:jc w:val="center"/>
              <w:rPr>
                <w:rFonts w:ascii="黑体" w:hAnsi="黑体" w:eastAsia="黑体"/>
                <w:szCs w:val="21"/>
              </w:rPr>
            </w:pPr>
            <w:r>
              <w:rPr>
                <w:rFonts w:hint="eastAsia" w:ascii="黑体" w:hAnsi="黑体" w:eastAsia="黑体"/>
                <w:szCs w:val="21"/>
              </w:rPr>
              <w:t>单独密封包装(内附电子文件)</w:t>
            </w:r>
          </w:p>
        </w:tc>
      </w:tr>
    </w:tbl>
    <w:p w14:paraId="564881D1">
      <w:pPr>
        <w:pStyle w:val="29"/>
        <w:numPr>
          <w:ilvl w:val="0"/>
          <w:numId w:val="70"/>
        </w:numPr>
        <w:spacing w:line="360" w:lineRule="auto"/>
        <w:ind w:left="567" w:hanging="567" w:firstLineChars="0"/>
        <w:rPr>
          <w:rFonts w:ascii="黑体" w:hAnsi="黑体" w:eastAsia="黑体"/>
          <w:bCs/>
          <w:szCs w:val="21"/>
        </w:rPr>
      </w:pPr>
      <w:r>
        <w:rPr>
          <w:rFonts w:hint="eastAsia" w:ascii="黑体" w:hAnsi="黑体" w:eastAsia="黑体"/>
          <w:bCs/>
          <w:szCs w:val="21"/>
        </w:rPr>
        <w:t>电子文件</w:t>
      </w:r>
      <w:bookmarkStart w:id="33" w:name="_Hlk86740118"/>
      <w:r>
        <w:rPr>
          <w:rFonts w:hint="eastAsia" w:ascii="黑体" w:hAnsi="黑体" w:eastAsia="黑体"/>
          <w:bCs/>
          <w:szCs w:val="21"/>
        </w:rPr>
        <w:t>须同时提交以下文件</w:t>
      </w:r>
      <w:bookmarkEnd w:id="33"/>
      <w:r>
        <w:rPr>
          <w:rFonts w:hint="eastAsia" w:ascii="黑体" w:hAnsi="黑体" w:eastAsia="黑体"/>
          <w:bCs/>
          <w:szCs w:val="21"/>
        </w:rPr>
        <w:t>：</w:t>
      </w:r>
      <w:bookmarkStart w:id="34" w:name="_Hlk86740096"/>
      <w:r>
        <w:rPr>
          <w:rFonts w:hint="eastAsia" w:ascii="黑体" w:hAnsi="黑体" w:eastAsia="黑体"/>
          <w:bCs/>
          <w:szCs w:val="21"/>
        </w:rPr>
        <w:t>①可编辑的WORD或 EXCEL 格式文件。②按招标文件要求签署、盖章后的正本投标文件扫描成PDF格式文件。</w:t>
      </w:r>
      <w:r>
        <w:rPr>
          <w:rFonts w:ascii="黑体" w:hAnsi="黑体" w:eastAsia="黑体"/>
          <w:bCs/>
          <w:szCs w:val="21"/>
        </w:rPr>
        <w:t>电子文件</w:t>
      </w:r>
      <w:r>
        <w:rPr>
          <w:rFonts w:hint="eastAsia" w:ascii="黑体" w:hAnsi="黑体" w:eastAsia="黑体"/>
          <w:bCs/>
          <w:szCs w:val="21"/>
        </w:rPr>
        <w:t>由</w:t>
      </w:r>
      <w:r>
        <w:rPr>
          <w:rFonts w:ascii="黑体" w:hAnsi="黑体" w:eastAsia="黑体"/>
          <w:bCs/>
          <w:szCs w:val="21"/>
        </w:rPr>
        <w:t>CD-R光盘</w:t>
      </w:r>
      <w:r>
        <w:rPr>
          <w:rFonts w:hint="eastAsia" w:ascii="黑体" w:hAnsi="黑体" w:eastAsia="黑体"/>
          <w:bCs/>
          <w:szCs w:val="21"/>
        </w:rPr>
        <w:t>或U盘</w:t>
      </w:r>
      <w:r>
        <w:rPr>
          <w:rFonts w:ascii="黑体" w:hAnsi="黑体" w:eastAsia="黑体"/>
          <w:bCs/>
          <w:szCs w:val="21"/>
        </w:rPr>
        <w:t>储存</w:t>
      </w:r>
      <w:bookmarkEnd w:id="34"/>
      <w:r>
        <w:rPr>
          <w:rFonts w:hint="eastAsia" w:ascii="黑体" w:hAnsi="黑体" w:eastAsia="黑体"/>
          <w:bCs/>
          <w:szCs w:val="21"/>
        </w:rPr>
        <w:t>。</w:t>
      </w:r>
    </w:p>
    <w:p w14:paraId="77FC3E50">
      <w:pPr>
        <w:pStyle w:val="29"/>
        <w:numPr>
          <w:ilvl w:val="0"/>
          <w:numId w:val="70"/>
        </w:numPr>
        <w:spacing w:line="360" w:lineRule="auto"/>
        <w:ind w:left="567" w:hanging="567" w:firstLineChars="0"/>
        <w:rPr>
          <w:rFonts w:ascii="黑体" w:hAnsi="黑体" w:eastAsia="黑体"/>
          <w:bCs/>
          <w:szCs w:val="21"/>
        </w:rPr>
      </w:pPr>
      <w:r>
        <w:rPr>
          <w:rFonts w:hint="eastAsia" w:ascii="黑体" w:hAnsi="黑体" w:eastAsia="黑体"/>
          <w:bCs/>
          <w:szCs w:val="21"/>
        </w:rPr>
        <w:t>为方便开标唱标，投标人应将投标函、开标一览表、分项报价表（如适用）、法定代表人身份证明书或法定代表人授权委托书一起密封提交，若联合体投标，应将各方共同签署的《联合体投标协议》一并提交；并在信封上标明“唱标信封”的字样。</w:t>
      </w:r>
    </w:p>
    <w:p w14:paraId="0F93C3ED">
      <w:pPr>
        <w:pStyle w:val="29"/>
        <w:numPr>
          <w:ilvl w:val="0"/>
          <w:numId w:val="46"/>
        </w:numPr>
        <w:spacing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投标文件</w:t>
      </w:r>
      <w:r>
        <w:rPr>
          <w:rFonts w:hint="eastAsia" w:ascii="黑体" w:hAnsi="黑体" w:eastAsia="黑体"/>
          <w:b/>
          <w:bCs/>
          <w:color w:val="000000" w:themeColor="text1"/>
          <w:szCs w:val="21"/>
          <w14:textFill>
            <w14:solidFill>
              <w14:schemeClr w14:val="tx1"/>
            </w14:solidFill>
          </w14:textFill>
        </w:rPr>
        <w:t>包装密封</w:t>
      </w:r>
    </w:p>
    <w:p w14:paraId="32D0250E">
      <w:pPr>
        <w:pStyle w:val="29"/>
        <w:numPr>
          <w:ilvl w:val="0"/>
          <w:numId w:val="71"/>
        </w:numPr>
        <w:tabs>
          <w:tab w:val="left" w:pos="567"/>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投标人应将投标文件密封包装；</w:t>
      </w:r>
    </w:p>
    <w:p w14:paraId="762A4846">
      <w:pPr>
        <w:pStyle w:val="29"/>
        <w:numPr>
          <w:ilvl w:val="0"/>
          <w:numId w:val="71"/>
        </w:numPr>
        <w:tabs>
          <w:tab w:val="left" w:pos="567"/>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不足以造成投标文件可从外包装内散出而导致投标文件泄密的，不认定为投标文件未密封。</w:t>
      </w:r>
    </w:p>
    <w:p w14:paraId="4F239C7D">
      <w:pPr>
        <w:pStyle w:val="29"/>
        <w:numPr>
          <w:ilvl w:val="0"/>
          <w:numId w:val="71"/>
        </w:numPr>
        <w:tabs>
          <w:tab w:val="left" w:pos="567"/>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包装封套均应注明：</w:t>
      </w:r>
    </w:p>
    <w:p w14:paraId="24375961">
      <w:pPr>
        <w:pStyle w:val="29"/>
        <w:spacing w:line="360" w:lineRule="auto"/>
        <w:ind w:left="567" w:firstLine="0" w:firstLineChars="0"/>
        <w:rPr>
          <w:rFonts w:ascii="黑体" w:hAnsi="黑体" w:eastAsia="黑体"/>
          <w:color w:val="000000" w:themeColor="text1"/>
          <w:szCs w:val="21"/>
          <w:u w:val="single"/>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收件人名称：</w:t>
      </w:r>
      <w:r>
        <w:rPr>
          <w:rFonts w:ascii="黑体" w:hAnsi="黑体" w:eastAsia="黑体"/>
          <w:color w:val="000000" w:themeColor="text1"/>
          <w:szCs w:val="21"/>
          <w:u w:val="single"/>
          <w14:textFill>
            <w14:solidFill>
              <w14:schemeClr w14:val="tx1"/>
            </w14:solidFill>
          </w14:textFill>
        </w:rPr>
        <w:t xml:space="preserve">广东有德招标采购有限公司         </w:t>
      </w:r>
    </w:p>
    <w:p w14:paraId="7A6C9C47">
      <w:pPr>
        <w:pStyle w:val="29"/>
        <w:spacing w:line="360" w:lineRule="auto"/>
        <w:ind w:left="567" w:firstLine="0"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投标人名称：</w:t>
      </w:r>
      <w:r>
        <w:rPr>
          <w:rFonts w:ascii="黑体" w:hAnsi="黑体" w:eastAsia="黑体"/>
          <w:color w:val="000000" w:themeColor="text1"/>
          <w:szCs w:val="21"/>
          <w:u w:val="single"/>
          <w14:textFill>
            <w14:solidFill>
              <w14:schemeClr w14:val="tx1"/>
            </w14:solidFill>
          </w14:textFill>
        </w:rPr>
        <w:t xml:space="preserve">                                 </w:t>
      </w:r>
    </w:p>
    <w:p w14:paraId="33B438EB">
      <w:pPr>
        <w:pStyle w:val="29"/>
        <w:spacing w:line="360" w:lineRule="auto"/>
        <w:ind w:left="567" w:firstLine="0"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项目名称：</w:t>
      </w:r>
      <w:r>
        <w:rPr>
          <w:rFonts w:ascii="黑体" w:hAnsi="黑体" w:eastAsia="黑体"/>
          <w:bCs/>
          <w:color w:val="000000" w:themeColor="text1"/>
          <w:szCs w:val="21"/>
          <w:u w:val="single"/>
          <w14:textFill>
            <w14:solidFill>
              <w14:schemeClr w14:val="tx1"/>
            </w14:solidFill>
          </w14:textFill>
        </w:rPr>
        <w:t xml:space="preserve">        （详见投标邀请）         </w:t>
      </w:r>
    </w:p>
    <w:p w14:paraId="23F86338">
      <w:pPr>
        <w:pStyle w:val="29"/>
        <w:spacing w:line="360" w:lineRule="auto"/>
        <w:ind w:left="567" w:firstLine="0"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项目编号：</w:t>
      </w:r>
      <w:r>
        <w:rPr>
          <w:rFonts w:ascii="黑体" w:hAnsi="黑体" w:eastAsia="黑体"/>
          <w:bCs/>
          <w:color w:val="000000" w:themeColor="text1"/>
          <w:szCs w:val="21"/>
          <w:u w:val="single"/>
          <w14:textFill>
            <w14:solidFill>
              <w14:schemeClr w14:val="tx1"/>
            </w14:solidFill>
          </w14:textFill>
        </w:rPr>
        <w:t xml:space="preserve">        （详见投标邀请）         </w:t>
      </w:r>
    </w:p>
    <w:p w14:paraId="0B0318A3">
      <w:pPr>
        <w:pStyle w:val="29"/>
        <w:spacing w:line="360" w:lineRule="auto"/>
        <w:ind w:left="567" w:firstLine="0"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注明：“</w:t>
      </w:r>
      <w:r>
        <w:rPr>
          <w:rFonts w:hint="eastAsia" w:ascii="黑体" w:hAnsi="黑体" w:eastAsia="黑体"/>
          <w:bCs/>
          <w:color w:val="000000" w:themeColor="text1"/>
          <w:szCs w:val="21"/>
          <w:u w:val="single"/>
          <w14:textFill>
            <w14:solidFill>
              <w14:schemeClr w14:val="tx1"/>
            </w14:solidFill>
          </w14:textFill>
        </w:rPr>
        <w:t>于</w:t>
      </w:r>
      <w:r>
        <w:rPr>
          <w:rFonts w:ascii="黑体" w:hAnsi="黑体" w:eastAsia="黑体"/>
          <w:bCs/>
          <w:color w:val="000000" w:themeColor="text1"/>
          <w:szCs w:val="21"/>
          <w:u w:val="single"/>
          <w14:textFill>
            <w14:solidFill>
              <w14:schemeClr w14:val="tx1"/>
            </w14:solidFill>
          </w14:textFill>
        </w:rPr>
        <w:t xml:space="preserve">  </w:t>
      </w:r>
      <w:r>
        <w:rPr>
          <w:rFonts w:hint="eastAsia" w:ascii="黑体" w:hAnsi="黑体" w:eastAsia="黑体"/>
          <w:bCs/>
          <w:color w:val="000000" w:themeColor="text1"/>
          <w:szCs w:val="21"/>
          <w:u w:val="single"/>
          <w14:textFill>
            <w14:solidFill>
              <w14:schemeClr w14:val="tx1"/>
            </w14:solidFill>
          </w14:textFill>
        </w:rPr>
        <w:t>年</w:t>
      </w:r>
      <w:r>
        <w:rPr>
          <w:rFonts w:ascii="黑体" w:hAnsi="黑体" w:eastAsia="黑体"/>
          <w:bCs/>
          <w:color w:val="000000" w:themeColor="text1"/>
          <w:szCs w:val="21"/>
          <w:u w:val="single"/>
          <w14:textFill>
            <w14:solidFill>
              <w14:schemeClr w14:val="tx1"/>
            </w14:solidFill>
          </w14:textFill>
        </w:rPr>
        <w:t xml:space="preserve">  </w:t>
      </w:r>
      <w:r>
        <w:rPr>
          <w:rFonts w:hint="eastAsia" w:ascii="黑体" w:hAnsi="黑体" w:eastAsia="黑体"/>
          <w:bCs/>
          <w:color w:val="000000" w:themeColor="text1"/>
          <w:szCs w:val="21"/>
          <w:u w:val="single"/>
          <w14:textFill>
            <w14:solidFill>
              <w14:schemeClr w14:val="tx1"/>
            </w14:solidFill>
          </w14:textFill>
        </w:rPr>
        <w:t>月</w:t>
      </w:r>
      <w:r>
        <w:rPr>
          <w:rFonts w:ascii="黑体" w:hAnsi="黑体" w:eastAsia="黑体"/>
          <w:bCs/>
          <w:color w:val="000000" w:themeColor="text1"/>
          <w:szCs w:val="21"/>
          <w:u w:val="single"/>
          <w14:textFill>
            <w14:solidFill>
              <w14:schemeClr w14:val="tx1"/>
            </w14:solidFill>
          </w14:textFill>
        </w:rPr>
        <w:t xml:space="preserve">  </w:t>
      </w:r>
      <w:r>
        <w:rPr>
          <w:rFonts w:hint="eastAsia" w:ascii="黑体" w:hAnsi="黑体" w:eastAsia="黑体"/>
          <w:bCs/>
          <w:color w:val="000000" w:themeColor="text1"/>
          <w:szCs w:val="21"/>
          <w:u w:val="single"/>
          <w14:textFill>
            <w14:solidFill>
              <w14:schemeClr w14:val="tx1"/>
            </w14:solidFill>
          </w14:textFill>
        </w:rPr>
        <w:t>日北京时间</w:t>
      </w:r>
      <w:r>
        <w:rPr>
          <w:rFonts w:ascii="黑体" w:hAnsi="黑体" w:eastAsia="黑体"/>
          <w:bCs/>
          <w:color w:val="000000" w:themeColor="text1"/>
          <w:szCs w:val="21"/>
          <w:u w:val="single"/>
          <w14:textFill>
            <w14:solidFill>
              <w14:schemeClr w14:val="tx1"/>
            </w14:solidFill>
          </w14:textFill>
        </w:rPr>
        <w:t xml:space="preserve">  ：</w:t>
      </w:r>
      <w:r>
        <w:rPr>
          <w:rFonts w:hint="eastAsia" w:ascii="黑体" w:hAnsi="黑体" w:eastAsia="黑体"/>
          <w:bCs/>
          <w:color w:val="000000" w:themeColor="text1"/>
          <w:szCs w:val="21"/>
          <w:u w:val="single"/>
          <w14:textFill>
            <w14:solidFill>
              <w14:schemeClr w14:val="tx1"/>
            </w14:solidFill>
          </w14:textFill>
        </w:rPr>
        <w:t xml:space="preserve"> </w:t>
      </w:r>
      <w:r>
        <w:rPr>
          <w:rFonts w:ascii="黑体" w:hAnsi="黑体" w:eastAsia="黑体"/>
          <w:bCs/>
          <w:color w:val="000000" w:themeColor="text1"/>
          <w:szCs w:val="21"/>
          <w:u w:val="single"/>
          <w14:textFill>
            <w14:solidFill>
              <w14:schemeClr w14:val="tx1"/>
            </w14:solidFill>
          </w14:textFill>
        </w:rPr>
        <w:t xml:space="preserve"> </w:t>
      </w:r>
      <w:r>
        <w:rPr>
          <w:rFonts w:hint="eastAsia" w:ascii="黑体" w:hAnsi="黑体" w:eastAsia="黑体"/>
          <w:bCs/>
          <w:color w:val="000000" w:themeColor="text1"/>
          <w:szCs w:val="21"/>
          <w14:textFill>
            <w14:solidFill>
              <w14:schemeClr w14:val="tx1"/>
            </w14:solidFill>
          </w14:textFill>
        </w:rPr>
        <w:t>（详见投标邀请）之前不得启封”的字样。</w:t>
      </w:r>
    </w:p>
    <w:p w14:paraId="10D4EF06">
      <w:pPr>
        <w:pStyle w:val="29"/>
        <w:numPr>
          <w:ilvl w:val="0"/>
          <w:numId w:val="71"/>
        </w:numPr>
        <w:tabs>
          <w:tab w:val="left" w:pos="567"/>
        </w:tabs>
        <w:spacing w:line="360" w:lineRule="auto"/>
        <w:ind w:left="567" w:hanging="567" w:firstLineChars="0"/>
        <w:rPr>
          <w:rFonts w:ascii="黑体" w:hAnsi="黑体" w:eastAsia="黑体"/>
          <w:bCs/>
          <w:color w:val="000000" w:themeColor="text1"/>
          <w:spacing w:val="-4"/>
          <w:szCs w:val="21"/>
          <w14:textFill>
            <w14:solidFill>
              <w14:schemeClr w14:val="tx1"/>
            </w14:solidFill>
          </w14:textFill>
        </w:rPr>
      </w:pPr>
      <w:r>
        <w:rPr>
          <w:rFonts w:hint="eastAsia" w:ascii="黑体" w:hAnsi="黑体" w:eastAsia="黑体"/>
          <w:bCs/>
          <w:color w:val="000000" w:themeColor="text1"/>
          <w:spacing w:val="-4"/>
          <w:szCs w:val="21"/>
          <w14:textFill>
            <w14:solidFill>
              <w14:schemeClr w14:val="tx1"/>
            </w14:solidFill>
          </w14:textFill>
        </w:rPr>
        <w:t>如果未按本须知上款要求加写标记和密封，采购代理机构对误投或提前启封概不负责。</w:t>
      </w:r>
    </w:p>
    <w:p w14:paraId="53E2696F">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投标截止期</w:t>
      </w:r>
    </w:p>
    <w:p w14:paraId="2FF3A044">
      <w:pPr>
        <w:pStyle w:val="29"/>
        <w:numPr>
          <w:ilvl w:val="0"/>
          <w:numId w:val="72"/>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投标人应在不迟于</w:t>
      </w:r>
      <w:r>
        <w:rPr>
          <w:rFonts w:hint="eastAsia" w:ascii="黑体" w:hAnsi="黑体" w:eastAsia="黑体"/>
          <w:b/>
          <w:bCs/>
          <w:color w:val="000000" w:themeColor="text1"/>
          <w:szCs w:val="21"/>
          <w:u w:val="single"/>
          <w14:textFill>
            <w14:solidFill>
              <w14:schemeClr w14:val="tx1"/>
            </w14:solidFill>
          </w14:textFill>
        </w:rPr>
        <w:t>投标邀请</w:t>
      </w:r>
      <w:r>
        <w:rPr>
          <w:rFonts w:hint="eastAsia" w:ascii="黑体" w:hAnsi="黑体" w:eastAsia="黑体"/>
          <w:bCs/>
          <w:color w:val="000000" w:themeColor="text1"/>
          <w:szCs w:val="21"/>
          <w14:textFill>
            <w14:solidFill>
              <w14:schemeClr w14:val="tx1"/>
            </w14:solidFill>
          </w14:textFill>
        </w:rPr>
        <w:t>中规定的截止日期和时间将投标文件递交至采购代理机构，递交地点应是</w:t>
      </w:r>
      <w:r>
        <w:rPr>
          <w:rFonts w:hint="eastAsia" w:ascii="黑体" w:hAnsi="黑体" w:eastAsia="黑体"/>
          <w:b/>
          <w:bCs/>
          <w:color w:val="000000" w:themeColor="text1"/>
          <w:szCs w:val="21"/>
          <w:u w:val="single"/>
          <w14:textFill>
            <w14:solidFill>
              <w14:schemeClr w14:val="tx1"/>
            </w14:solidFill>
          </w14:textFill>
        </w:rPr>
        <w:t>投标邀请</w:t>
      </w:r>
      <w:r>
        <w:rPr>
          <w:rFonts w:hint="eastAsia" w:ascii="黑体" w:hAnsi="黑体" w:eastAsia="黑体"/>
          <w:bCs/>
          <w:color w:val="000000" w:themeColor="text1"/>
          <w:szCs w:val="21"/>
          <w14:textFill>
            <w14:solidFill>
              <w14:schemeClr w14:val="tx1"/>
            </w14:solidFill>
          </w14:textFill>
        </w:rPr>
        <w:t>中指明的地址。</w:t>
      </w:r>
    </w:p>
    <w:p w14:paraId="3F23222A">
      <w:pPr>
        <w:pStyle w:val="29"/>
        <w:numPr>
          <w:ilvl w:val="0"/>
          <w:numId w:val="72"/>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采购代理机构将拒绝在规定的投标截止期后收到的任何投标文件。</w:t>
      </w:r>
    </w:p>
    <w:p w14:paraId="41E26EFD">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bookmarkStart w:id="35" w:name="_Toc357676133"/>
      <w:r>
        <w:rPr>
          <w:rFonts w:hint="eastAsia" w:ascii="黑体" w:hAnsi="黑体" w:eastAsia="黑体"/>
          <w:b/>
          <w:color w:val="000000" w:themeColor="text1"/>
          <w14:textFill>
            <w14:solidFill>
              <w14:schemeClr w14:val="tx1"/>
            </w14:solidFill>
          </w14:textFill>
        </w:rPr>
        <w:t>投标文件的修改和撤回</w:t>
      </w:r>
      <w:bookmarkEnd w:id="35"/>
    </w:p>
    <w:p w14:paraId="26C8AF90">
      <w:pPr>
        <w:pStyle w:val="29"/>
        <w:numPr>
          <w:ilvl w:val="0"/>
          <w:numId w:val="73"/>
        </w:numPr>
        <w:spacing w:line="360" w:lineRule="auto"/>
        <w:ind w:left="567" w:hanging="567" w:firstLineChars="0"/>
        <w:rPr>
          <w:rFonts w:ascii="黑体" w:hAnsi="黑体" w:eastAsia="黑体"/>
          <w:bCs/>
          <w:szCs w:val="21"/>
        </w:rPr>
      </w:pPr>
      <w:r>
        <w:rPr>
          <w:rFonts w:hint="eastAsia" w:ascii="黑体" w:hAnsi="黑体" w:eastAsia="黑体"/>
          <w:bCs/>
          <w:spacing w:val="-2"/>
          <w:szCs w:val="21"/>
        </w:rPr>
        <w:t>投</w:t>
      </w:r>
      <w:r>
        <w:rPr>
          <w:rFonts w:hint="eastAsia" w:ascii="黑体" w:hAnsi="黑体" w:eastAsia="黑体"/>
          <w:bCs/>
          <w:szCs w:val="21"/>
        </w:rPr>
        <w:t>标人在投标截止时间前，可以对所递交的投标文件进行补充、修改或者撤回，并书面通知采购代理机构。补充、修改的内容应当按照招标文件要求签署、盖章，密封后，作为投标文件的组成部分。</w:t>
      </w:r>
    </w:p>
    <w:p w14:paraId="7C03DE02">
      <w:pPr>
        <w:pStyle w:val="29"/>
        <w:numPr>
          <w:ilvl w:val="0"/>
          <w:numId w:val="73"/>
        </w:numPr>
        <w:spacing w:line="360" w:lineRule="auto"/>
        <w:ind w:left="567" w:hanging="567" w:firstLineChars="0"/>
        <w:rPr>
          <w:rFonts w:ascii="黑体" w:hAnsi="黑体" w:eastAsia="黑体"/>
          <w:bCs/>
          <w:szCs w:val="21"/>
        </w:rPr>
      </w:pPr>
      <w:r>
        <w:rPr>
          <w:rFonts w:hint="eastAsia" w:ascii="黑体" w:hAnsi="黑体" w:eastAsia="黑体"/>
          <w:bCs/>
          <w:szCs w:val="21"/>
        </w:rPr>
        <w:t>在投标截止时间之后，投标人不得对其投标文件做任何修改和补充。</w:t>
      </w:r>
    </w:p>
    <w:p w14:paraId="726E810D">
      <w:pPr>
        <w:pStyle w:val="29"/>
        <w:numPr>
          <w:ilvl w:val="0"/>
          <w:numId w:val="73"/>
        </w:numPr>
        <w:ind w:firstLineChars="0"/>
        <w:rPr>
          <w:rFonts w:ascii="黑体" w:hAnsi="黑体" w:eastAsia="黑体"/>
          <w:bCs/>
          <w:szCs w:val="21"/>
        </w:rPr>
      </w:pPr>
      <w:r>
        <w:rPr>
          <w:rFonts w:hint="eastAsia" w:ascii="黑体" w:hAnsi="黑体" w:eastAsia="黑体"/>
          <w:bCs/>
          <w:szCs w:val="21"/>
        </w:rPr>
        <w:t xml:space="preserve"> 在提交投标文件截止时间至投标有效期满之前，投标人不得撤回其投标文件。</w:t>
      </w:r>
    </w:p>
    <w:p w14:paraId="41EC40D9">
      <w:pPr>
        <w:pStyle w:val="29"/>
        <w:numPr>
          <w:ilvl w:val="0"/>
          <w:numId w:val="45"/>
        </w:numPr>
        <w:spacing w:before="312" w:beforeLines="100" w:line="360" w:lineRule="auto"/>
        <w:ind w:firstLineChars="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开标与评标准则</w:t>
      </w:r>
    </w:p>
    <w:p w14:paraId="1F80AA23">
      <w:pPr>
        <w:pStyle w:val="29"/>
        <w:numPr>
          <w:ilvl w:val="0"/>
          <w:numId w:val="46"/>
        </w:numPr>
        <w:spacing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开标</w:t>
      </w:r>
    </w:p>
    <w:p w14:paraId="260BCA5F">
      <w:pPr>
        <w:pStyle w:val="29"/>
        <w:numPr>
          <w:ilvl w:val="0"/>
          <w:numId w:val="74"/>
        </w:numPr>
        <w:tabs>
          <w:tab w:val="left" w:pos="709"/>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采购代理机构按</w:t>
      </w:r>
      <w:r>
        <w:rPr>
          <w:rFonts w:hint="eastAsia" w:ascii="黑体" w:hAnsi="黑体" w:eastAsia="黑体"/>
          <w:b/>
          <w:bCs/>
          <w:color w:val="000000" w:themeColor="text1"/>
          <w:szCs w:val="21"/>
          <w:u w:val="single"/>
          <w14:textFill>
            <w14:solidFill>
              <w14:schemeClr w14:val="tx1"/>
            </w14:solidFill>
          </w14:textFill>
        </w:rPr>
        <w:t>投标邀请</w:t>
      </w:r>
      <w:r>
        <w:rPr>
          <w:rFonts w:hint="eastAsia" w:ascii="黑体" w:hAnsi="黑体" w:eastAsia="黑体"/>
          <w:bCs/>
          <w:color w:val="000000" w:themeColor="text1"/>
          <w:szCs w:val="21"/>
          <w14:textFill>
            <w14:solidFill>
              <w14:schemeClr w14:val="tx1"/>
            </w14:solidFill>
          </w14:textFill>
        </w:rPr>
        <w:t>中规定的日期、时间和地点组织公开开标。开标时邀请所有投标人代表参加。参加开标的法定代表人或其授权代表携带有效身份证签名报到以证明其出席。</w:t>
      </w:r>
    </w:p>
    <w:p w14:paraId="2D5F6732">
      <w:pPr>
        <w:pStyle w:val="29"/>
        <w:numPr>
          <w:ilvl w:val="0"/>
          <w:numId w:val="74"/>
        </w:numPr>
        <w:tabs>
          <w:tab w:val="left" w:pos="709"/>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开标由采购代理机构主持，邀请投标人参加。评标委员会成员不得参加开标活动。</w:t>
      </w:r>
    </w:p>
    <w:p w14:paraId="4006A3FC">
      <w:pPr>
        <w:pStyle w:val="29"/>
        <w:numPr>
          <w:ilvl w:val="0"/>
          <w:numId w:val="74"/>
        </w:numPr>
        <w:tabs>
          <w:tab w:val="left" w:pos="709"/>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投标人不足</w:t>
      </w:r>
      <w:r>
        <w:rPr>
          <w:rFonts w:ascii="黑体" w:hAnsi="黑体" w:eastAsia="黑体"/>
          <w:bCs/>
          <w:color w:val="000000" w:themeColor="text1"/>
          <w:szCs w:val="21"/>
          <w14:textFill>
            <w14:solidFill>
              <w14:schemeClr w14:val="tx1"/>
            </w14:solidFill>
          </w14:textFill>
        </w:rPr>
        <w:t>3家的，不得开标。</w:t>
      </w:r>
    </w:p>
    <w:p w14:paraId="59CDC493">
      <w:pPr>
        <w:pStyle w:val="29"/>
        <w:numPr>
          <w:ilvl w:val="0"/>
          <w:numId w:val="74"/>
        </w:numPr>
        <w:tabs>
          <w:tab w:val="left" w:pos="709"/>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开标时，由投标人或其推选的代表检查投标文件的密封情况；经确认无误后，由采购人或采购代理机构工作人员当众拆封，宣布投标人名称、投标价格和招标文件规定的需要宣布的其他内容。</w:t>
      </w:r>
    </w:p>
    <w:p w14:paraId="45FB26ED">
      <w:pPr>
        <w:pStyle w:val="29"/>
        <w:numPr>
          <w:ilvl w:val="0"/>
          <w:numId w:val="74"/>
        </w:numPr>
        <w:tabs>
          <w:tab w:val="left" w:pos="709"/>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开标过程应当由采购人或者采购代理机构负责记录，由参加开标的各投标人代表和相关工作人员签字确认。</w:t>
      </w:r>
    </w:p>
    <w:p w14:paraId="4F111EAC">
      <w:pPr>
        <w:pStyle w:val="29"/>
        <w:numPr>
          <w:ilvl w:val="0"/>
          <w:numId w:val="74"/>
        </w:numPr>
        <w:tabs>
          <w:tab w:val="left" w:pos="709"/>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5ED29EC0">
      <w:pPr>
        <w:pStyle w:val="29"/>
        <w:numPr>
          <w:ilvl w:val="0"/>
          <w:numId w:val="74"/>
        </w:numPr>
        <w:tabs>
          <w:tab w:val="left" w:pos="709"/>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投标人未参加开标的，视同认可开标结果。</w:t>
      </w:r>
    </w:p>
    <w:p w14:paraId="512105AA">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评标委员会和评标方法</w:t>
      </w:r>
    </w:p>
    <w:p w14:paraId="7AE32365">
      <w:pPr>
        <w:pStyle w:val="29"/>
        <w:numPr>
          <w:ilvl w:val="0"/>
          <w:numId w:val="75"/>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评标由依照政府采购法律、法规、规章、政策的规定，组建的评标委员会负责。</w:t>
      </w:r>
    </w:p>
    <w:p w14:paraId="76D1D552">
      <w:pPr>
        <w:pStyle w:val="29"/>
        <w:numPr>
          <w:ilvl w:val="0"/>
          <w:numId w:val="75"/>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评标委员会由采购人代表和评审专家组成，成员人数应为</w:t>
      </w:r>
      <w:r>
        <w:rPr>
          <w:rFonts w:hint="eastAsia" w:ascii="黑体" w:hAnsi="黑体" w:eastAsia="黑体"/>
          <w:b/>
          <w:color w:val="000000" w:themeColor="text1"/>
          <w:szCs w:val="21"/>
          <w:u w:val="single"/>
          <w14:textFill>
            <w14:solidFill>
              <w14:schemeClr w14:val="tx1"/>
            </w14:solidFill>
          </w14:textFill>
        </w:rPr>
        <w:t>详见投标人须知前附表</w:t>
      </w:r>
      <w:r>
        <w:rPr>
          <w:rFonts w:ascii="黑体" w:hAnsi="黑体" w:eastAsia="黑体"/>
          <w:bCs/>
          <w:color w:val="000000" w:themeColor="text1"/>
          <w:szCs w:val="21"/>
          <w14:textFill>
            <w14:solidFill>
              <w14:schemeClr w14:val="tx1"/>
            </w14:solidFill>
          </w14:textFill>
        </w:rPr>
        <w:t>，其中评审专家不得少于成员总数的三分之二。</w:t>
      </w:r>
    </w:p>
    <w:p w14:paraId="6AF19FE6">
      <w:pPr>
        <w:pStyle w:val="29"/>
        <w:numPr>
          <w:ilvl w:val="0"/>
          <w:numId w:val="75"/>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评标委员会成员依法从政府采购评审专家库中，通过随机方式抽取。</w:t>
      </w:r>
    </w:p>
    <w:p w14:paraId="52903729">
      <w:pPr>
        <w:pStyle w:val="29"/>
        <w:numPr>
          <w:ilvl w:val="0"/>
          <w:numId w:val="75"/>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评标委员会将按照招标文件确定的评标方法进行评标。评标委员会对投标文件的评审分为符合性检查和商务评审、技术评审、价格评审。</w:t>
      </w:r>
    </w:p>
    <w:p w14:paraId="01A0FC6F">
      <w:pPr>
        <w:pStyle w:val="29"/>
        <w:numPr>
          <w:ilvl w:val="0"/>
          <w:numId w:val="75"/>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本次评标采用</w:t>
      </w:r>
      <w:r>
        <w:rPr>
          <w:rFonts w:ascii="黑体" w:hAnsi="黑体" w:eastAsia="黑体"/>
          <w:b/>
          <w:bCs/>
          <w:color w:val="000000" w:themeColor="text1"/>
          <w:szCs w:val="21"/>
          <w:u w:val="single"/>
          <w14:textFill>
            <w14:solidFill>
              <w14:schemeClr w14:val="tx1"/>
            </w14:solidFill>
          </w14:textFill>
        </w:rPr>
        <w:t xml:space="preserve"> 详见</w:t>
      </w:r>
      <w:r>
        <w:rPr>
          <w:rFonts w:hint="eastAsia" w:ascii="黑体" w:hAnsi="黑体" w:eastAsia="黑体"/>
          <w:b/>
          <w:bCs/>
          <w:color w:val="000000" w:themeColor="text1"/>
          <w:szCs w:val="21"/>
          <w:u w:val="single"/>
          <w14:textFill>
            <w14:solidFill>
              <w14:schemeClr w14:val="tx1"/>
            </w14:solidFill>
          </w14:textFill>
        </w:rPr>
        <w:t>投标人须知前附表</w:t>
      </w:r>
      <w:r>
        <w:rPr>
          <w:rFonts w:ascii="黑体" w:hAnsi="黑体" w:eastAsia="黑体"/>
          <w:b/>
          <w:bCs/>
          <w:color w:val="000000" w:themeColor="text1"/>
          <w:szCs w:val="21"/>
          <w:u w:val="single"/>
          <w14:textFill>
            <w14:solidFill>
              <w14:schemeClr w14:val="tx1"/>
            </w14:solidFill>
          </w14:textFill>
        </w:rPr>
        <w:t xml:space="preserve"> </w:t>
      </w:r>
      <w:r>
        <w:rPr>
          <w:rFonts w:hint="eastAsia" w:ascii="黑体" w:hAnsi="黑体" w:eastAsia="黑体"/>
          <w:bCs/>
          <w:color w:val="000000" w:themeColor="text1"/>
          <w:szCs w:val="21"/>
          <w14:textFill>
            <w14:solidFill>
              <w14:schemeClr w14:val="tx1"/>
            </w14:solidFill>
          </w14:textFill>
        </w:rPr>
        <w:t>中选定的方法，具体见招标文件第五部分“评标方法、步骤、标准”。</w:t>
      </w:r>
    </w:p>
    <w:p w14:paraId="1800EE51">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投标文件的资格性与符合性审查</w:t>
      </w:r>
    </w:p>
    <w:p w14:paraId="76C3518C">
      <w:pPr>
        <w:pStyle w:val="29"/>
        <w:numPr>
          <w:ilvl w:val="0"/>
          <w:numId w:val="76"/>
        </w:numPr>
        <w:tabs>
          <w:tab w:val="left" w:pos="426"/>
          <w:tab w:val="left" w:pos="567"/>
        </w:tabs>
        <w:spacing w:line="360" w:lineRule="auto"/>
        <w:ind w:left="567" w:hanging="567" w:firstLineChars="0"/>
        <w:rPr>
          <w:rFonts w:ascii="黑体" w:hAnsi="黑体" w:eastAsia="黑体"/>
          <w:bCs/>
          <w:szCs w:val="21"/>
        </w:rPr>
      </w:pPr>
      <w:r>
        <w:rPr>
          <w:rFonts w:hint="eastAsia" w:ascii="黑体" w:hAnsi="黑体" w:eastAsia="黑体"/>
          <w:bCs/>
          <w:szCs w:val="21"/>
        </w:rPr>
        <w:t xml:space="preserve"> 资格性审查：</w:t>
      </w:r>
      <w:bookmarkStart w:id="36" w:name="_Hlk90649924"/>
      <w:bookmarkStart w:id="37" w:name="_Hlk79422321"/>
      <w:r>
        <w:rPr>
          <w:rFonts w:hint="eastAsia" w:ascii="黑体" w:hAnsi="黑体" w:eastAsia="黑体"/>
          <w:bCs/>
          <w:szCs w:val="21"/>
        </w:rPr>
        <w:t>公开招标采购项目开标结束后</w:t>
      </w:r>
      <w:bookmarkEnd w:id="36"/>
      <w:r>
        <w:rPr>
          <w:rFonts w:hint="eastAsia" w:ascii="黑体" w:hAnsi="黑体" w:eastAsia="黑体"/>
          <w:bCs/>
          <w:szCs w:val="21"/>
        </w:rPr>
        <w:t>，采购人或者采购代理机构应当依法对投标人的资格进行审查</w:t>
      </w:r>
      <w:bookmarkEnd w:id="37"/>
      <w:r>
        <w:rPr>
          <w:rFonts w:hint="eastAsia" w:ascii="黑体" w:hAnsi="黑体" w:eastAsia="黑体"/>
          <w:bCs/>
          <w:szCs w:val="21"/>
        </w:rPr>
        <w:t>。</w:t>
      </w:r>
    </w:p>
    <w:p w14:paraId="3E1C4F13">
      <w:pPr>
        <w:pStyle w:val="29"/>
        <w:numPr>
          <w:ilvl w:val="0"/>
          <w:numId w:val="76"/>
        </w:numPr>
        <w:spacing w:line="360" w:lineRule="auto"/>
        <w:ind w:left="567" w:hanging="567" w:firstLineChars="0"/>
        <w:rPr>
          <w:rFonts w:ascii="黑体" w:hAnsi="黑体" w:eastAsia="黑体"/>
          <w:bCs/>
          <w:szCs w:val="21"/>
        </w:rPr>
      </w:pPr>
      <w:r>
        <w:rPr>
          <w:rFonts w:hint="eastAsia" w:ascii="黑体" w:hAnsi="黑体" w:eastAsia="黑体"/>
          <w:bCs/>
          <w:szCs w:val="21"/>
        </w:rPr>
        <w:t>符合性审查：评标委员会对符合资格的投标人的投标文件进行符合性审查，以确定其是否满足招标文件实质性要求。</w:t>
      </w:r>
    </w:p>
    <w:p w14:paraId="5F125AA7">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投标文件的澄清</w:t>
      </w:r>
    </w:p>
    <w:p w14:paraId="5E2C8ED6">
      <w:pPr>
        <w:pStyle w:val="29"/>
        <w:numPr>
          <w:ilvl w:val="0"/>
          <w:numId w:val="77"/>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评标期间，对于投标文件中含义不明确、同类问题表述不一致或者有明显文字和计算错误的内容，评标委员会以书面的形式要求投标人作出必要的澄清、说明或者补正。</w:t>
      </w:r>
    </w:p>
    <w:p w14:paraId="6E707D3C">
      <w:pPr>
        <w:pStyle w:val="29"/>
        <w:numPr>
          <w:ilvl w:val="0"/>
          <w:numId w:val="77"/>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投标人的澄清、说明或者补正采用书面形式，并加盖公章，或者由法定代表人或其授权的代表签字。投标人的澄清、说明或者补正不得超出投标文件的范围或者改变投标文件的实质性内容。</w:t>
      </w:r>
    </w:p>
    <w:p w14:paraId="6C814A4D">
      <w:pPr>
        <w:pStyle w:val="29"/>
        <w:numPr>
          <w:ilvl w:val="0"/>
          <w:numId w:val="77"/>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投标人的澄清文件是其投标文件的组成部分。</w:t>
      </w:r>
    </w:p>
    <w:p w14:paraId="030320D1">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定标原则与授标</w:t>
      </w:r>
    </w:p>
    <w:p w14:paraId="2A0E996A">
      <w:pPr>
        <w:pStyle w:val="29"/>
        <w:numPr>
          <w:ilvl w:val="0"/>
          <w:numId w:val="78"/>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评标委员会按照招标文件确定的评标方法、步骤、标准，对投标文件进行评审，提出书面评标报告。</w:t>
      </w:r>
    </w:p>
    <w:p w14:paraId="0D2046CA">
      <w:pPr>
        <w:pStyle w:val="29"/>
        <w:numPr>
          <w:ilvl w:val="0"/>
          <w:numId w:val="78"/>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采购代理机构</w:t>
      </w:r>
      <w:r>
        <w:rPr>
          <w:rFonts w:hint="eastAsia" w:ascii="黑体" w:hAnsi="黑体" w:eastAsia="黑体"/>
          <w:bCs/>
          <w:color w:val="000000" w:themeColor="text1"/>
          <w:szCs w:val="21"/>
          <w14:textFill>
            <w14:solidFill>
              <w14:schemeClr w14:val="tx1"/>
            </w14:solidFill>
          </w14:textFill>
        </w:rPr>
        <w:t>自评标</w:t>
      </w:r>
      <w:r>
        <w:rPr>
          <w:rFonts w:ascii="黑体" w:hAnsi="黑体" w:eastAsia="黑体"/>
          <w:bCs/>
          <w:color w:val="000000" w:themeColor="text1"/>
          <w:szCs w:val="21"/>
          <w14:textFill>
            <w14:solidFill>
              <w14:schemeClr w14:val="tx1"/>
            </w14:solidFill>
          </w14:textFill>
        </w:rPr>
        <w:t>结束</w:t>
      </w:r>
      <w:r>
        <w:rPr>
          <w:rFonts w:hint="eastAsia" w:ascii="黑体" w:hAnsi="黑体" w:eastAsia="黑体"/>
          <w:bCs/>
          <w:color w:val="000000" w:themeColor="text1"/>
          <w:szCs w:val="21"/>
          <w14:textFill>
            <w14:solidFill>
              <w14:schemeClr w14:val="tx1"/>
            </w14:solidFill>
          </w14:textFill>
        </w:rPr>
        <w:t>后</w:t>
      </w:r>
      <w:r>
        <w:rPr>
          <w:rFonts w:ascii="黑体" w:hAnsi="黑体" w:eastAsia="黑体"/>
          <w:bCs/>
          <w:color w:val="000000" w:themeColor="text1"/>
          <w:szCs w:val="21"/>
          <w14:textFill>
            <w14:solidFill>
              <w14:schemeClr w14:val="tx1"/>
            </w14:solidFill>
          </w14:textFill>
        </w:rPr>
        <w:t>2个工作日内将</w:t>
      </w:r>
      <w:r>
        <w:rPr>
          <w:rFonts w:hint="eastAsia" w:ascii="黑体" w:hAnsi="黑体" w:eastAsia="黑体"/>
          <w:bCs/>
          <w:color w:val="000000" w:themeColor="text1"/>
          <w:szCs w:val="21"/>
          <w14:textFill>
            <w14:solidFill>
              <w14:schemeClr w14:val="tx1"/>
            </w14:solidFill>
          </w14:textFill>
        </w:rPr>
        <w:t>评标</w:t>
      </w:r>
      <w:r>
        <w:rPr>
          <w:rFonts w:ascii="黑体" w:hAnsi="黑体" w:eastAsia="黑体"/>
          <w:bCs/>
          <w:color w:val="000000" w:themeColor="text1"/>
          <w:szCs w:val="21"/>
          <w14:textFill>
            <w14:solidFill>
              <w14:schemeClr w14:val="tx1"/>
            </w14:solidFill>
          </w14:textFill>
        </w:rPr>
        <w:t>报告送采购人。采购人应当自收到</w:t>
      </w:r>
      <w:r>
        <w:rPr>
          <w:rFonts w:hint="eastAsia" w:ascii="黑体" w:hAnsi="黑体" w:eastAsia="黑体"/>
          <w:bCs/>
          <w:color w:val="000000" w:themeColor="text1"/>
          <w:szCs w:val="21"/>
          <w14:textFill>
            <w14:solidFill>
              <w14:schemeClr w14:val="tx1"/>
            </w14:solidFill>
          </w14:textFill>
        </w:rPr>
        <w:t>评标</w:t>
      </w:r>
      <w:r>
        <w:rPr>
          <w:rFonts w:ascii="黑体" w:hAnsi="黑体" w:eastAsia="黑体"/>
          <w:bCs/>
          <w:color w:val="000000" w:themeColor="text1"/>
          <w:szCs w:val="21"/>
          <w14:textFill>
            <w14:solidFill>
              <w14:schemeClr w14:val="tx1"/>
            </w14:solidFill>
          </w14:textFill>
        </w:rPr>
        <w:t>报告之日起5个工作日内在</w:t>
      </w:r>
      <w:r>
        <w:rPr>
          <w:rFonts w:hint="eastAsia" w:ascii="黑体" w:hAnsi="黑体" w:eastAsia="黑体"/>
          <w:bCs/>
          <w:color w:val="000000" w:themeColor="text1"/>
          <w:szCs w:val="21"/>
          <w14:textFill>
            <w14:solidFill>
              <w14:schemeClr w14:val="tx1"/>
            </w14:solidFill>
          </w14:textFill>
        </w:rPr>
        <w:t>评标报告确定的</w:t>
      </w:r>
      <w:r>
        <w:rPr>
          <w:rFonts w:ascii="黑体" w:hAnsi="黑体" w:eastAsia="黑体"/>
          <w:bCs/>
          <w:color w:val="000000" w:themeColor="text1"/>
          <w:szCs w:val="21"/>
          <w14:textFill>
            <w14:solidFill>
              <w14:schemeClr w14:val="tx1"/>
            </w14:solidFill>
          </w14:textFill>
        </w:rPr>
        <w:t>中标候选人</w:t>
      </w:r>
      <w:r>
        <w:rPr>
          <w:rFonts w:hint="eastAsia" w:ascii="黑体" w:hAnsi="黑体" w:eastAsia="黑体"/>
          <w:bCs/>
          <w:color w:val="000000" w:themeColor="text1"/>
          <w:szCs w:val="21"/>
          <w14:textFill>
            <w14:solidFill>
              <w14:schemeClr w14:val="tx1"/>
            </w14:solidFill>
          </w14:textFill>
        </w:rPr>
        <w:t>名单</w:t>
      </w:r>
      <w:r>
        <w:rPr>
          <w:rFonts w:ascii="黑体" w:hAnsi="黑体" w:eastAsia="黑体"/>
          <w:bCs/>
          <w:color w:val="000000" w:themeColor="text1"/>
          <w:szCs w:val="21"/>
          <w14:textFill>
            <w14:solidFill>
              <w14:schemeClr w14:val="tx1"/>
            </w14:solidFill>
          </w14:textFill>
        </w:rPr>
        <w:t>中按顺序确定中标</w:t>
      </w:r>
      <w:r>
        <w:rPr>
          <w:rFonts w:hint="eastAsia" w:ascii="黑体" w:hAnsi="黑体" w:eastAsia="黑体"/>
          <w:bCs/>
          <w:color w:val="000000" w:themeColor="text1"/>
          <w:szCs w:val="21"/>
          <w14:textFill>
            <w14:solidFill>
              <w14:schemeClr w14:val="tx1"/>
            </w14:solidFill>
          </w14:textFill>
        </w:rPr>
        <w:t>人。</w:t>
      </w:r>
    </w:p>
    <w:p w14:paraId="2A485E3E">
      <w:pPr>
        <w:pStyle w:val="29"/>
        <w:numPr>
          <w:ilvl w:val="0"/>
          <w:numId w:val="78"/>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采购人在收到评标报告</w:t>
      </w:r>
      <w:r>
        <w:rPr>
          <w:rFonts w:ascii="黑体" w:hAnsi="黑体" w:eastAsia="黑体"/>
          <w:bCs/>
          <w:color w:val="000000" w:themeColor="text1"/>
          <w:szCs w:val="21"/>
          <w14:textFill>
            <w14:solidFill>
              <w14:schemeClr w14:val="tx1"/>
            </w14:solidFill>
          </w14:textFill>
        </w:rPr>
        <w:t>5个工作日内未按评标报告推荐的中标候选人顺序确定中标人，又不</w:t>
      </w:r>
      <w:r>
        <w:rPr>
          <w:rFonts w:hint="eastAsia" w:ascii="黑体" w:hAnsi="黑体" w:eastAsia="黑体"/>
          <w:bCs/>
          <w:color w:val="000000" w:themeColor="text1"/>
          <w:spacing w:val="-4"/>
          <w:szCs w:val="21"/>
          <w14:textFill>
            <w14:solidFill>
              <w14:schemeClr w14:val="tx1"/>
            </w14:solidFill>
          </w14:textFill>
        </w:rPr>
        <w:t>能说明合法理由的，视同按评标报告推荐的顺序确定排名第一的中标候选人为中标人。</w:t>
      </w:r>
    </w:p>
    <w:p w14:paraId="35544678">
      <w:pPr>
        <w:pStyle w:val="29"/>
        <w:widowControl/>
        <w:numPr>
          <w:ilvl w:val="0"/>
          <w:numId w:val="46"/>
        </w:numPr>
        <w:spacing w:line="360" w:lineRule="auto"/>
        <w:ind w:firstLineChars="0"/>
        <w:jc w:val="left"/>
        <w:rPr>
          <w:rFonts w:ascii="黑体" w:hAnsi="黑体" w:eastAsia="黑体"/>
          <w:b/>
          <w:color w:val="000000" w:themeColor="text1"/>
          <w:szCs w:val="21"/>
          <w14:textFill>
            <w14:solidFill>
              <w14:schemeClr w14:val="tx1"/>
            </w14:solidFill>
          </w14:textFill>
        </w:rPr>
      </w:pPr>
      <w:r>
        <w:rPr>
          <w:rFonts w:ascii="黑体" w:hAnsi="黑体" w:eastAsia="黑体"/>
          <w:b/>
          <w:color w:val="000000" w:themeColor="text1"/>
          <w:szCs w:val="21"/>
          <w14:textFill>
            <w14:solidFill>
              <w14:schemeClr w14:val="tx1"/>
            </w14:solidFill>
          </w14:textFill>
        </w:rPr>
        <w:t>特别说明</w:t>
      </w:r>
    </w:p>
    <w:p w14:paraId="7D202A2E">
      <w:pPr>
        <w:pStyle w:val="29"/>
        <w:widowControl/>
        <w:numPr>
          <w:ilvl w:val="0"/>
          <w:numId w:val="79"/>
        </w:numPr>
        <w:tabs>
          <w:tab w:val="left" w:pos="567"/>
        </w:tabs>
        <w:spacing w:line="360" w:lineRule="auto"/>
        <w:ind w:firstLineChars="0"/>
        <w:jc w:val="left"/>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有下列情形之一的，视为投标人串通投标，其投标无效：</w:t>
      </w:r>
    </w:p>
    <w:p w14:paraId="55FF1694">
      <w:pPr>
        <w:pStyle w:val="29"/>
        <w:widowControl/>
        <w:numPr>
          <w:ilvl w:val="2"/>
          <w:numId w:val="46"/>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不同投标人的投标文件由同一单位或者个人编制；</w:t>
      </w:r>
    </w:p>
    <w:p w14:paraId="36120CF3">
      <w:pPr>
        <w:pStyle w:val="29"/>
        <w:widowControl/>
        <w:numPr>
          <w:ilvl w:val="2"/>
          <w:numId w:val="46"/>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不同投标人委托同一单位或者个人办理投标事宜；</w:t>
      </w:r>
    </w:p>
    <w:p w14:paraId="6D87904E">
      <w:pPr>
        <w:pStyle w:val="29"/>
        <w:widowControl/>
        <w:numPr>
          <w:ilvl w:val="2"/>
          <w:numId w:val="46"/>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不同投标人的投标文件载明的项目管理成员或者联系人员为同一人；</w:t>
      </w:r>
    </w:p>
    <w:p w14:paraId="04B7EBDD">
      <w:pPr>
        <w:pStyle w:val="29"/>
        <w:widowControl/>
        <w:numPr>
          <w:ilvl w:val="2"/>
          <w:numId w:val="46"/>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不同投标人的投标文件异常一致或者投标报价呈规律性差异；</w:t>
      </w:r>
    </w:p>
    <w:p w14:paraId="1EE02393">
      <w:pPr>
        <w:pStyle w:val="29"/>
        <w:widowControl/>
        <w:numPr>
          <w:ilvl w:val="2"/>
          <w:numId w:val="46"/>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不同投标人的投标文件相互混装；</w:t>
      </w:r>
    </w:p>
    <w:p w14:paraId="17C19147">
      <w:pPr>
        <w:pStyle w:val="29"/>
        <w:widowControl/>
        <w:numPr>
          <w:ilvl w:val="2"/>
          <w:numId w:val="46"/>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不同投标人的投标保证金从同一单位或者个人的账户转出。</w:t>
      </w:r>
    </w:p>
    <w:p w14:paraId="77EF0038">
      <w:pPr>
        <w:pStyle w:val="29"/>
        <w:widowControl/>
        <w:numPr>
          <w:ilvl w:val="1"/>
          <w:numId w:val="46"/>
        </w:numPr>
        <w:spacing w:line="360" w:lineRule="auto"/>
        <w:ind w:firstLineChars="0"/>
        <w:jc w:val="left"/>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投标人存在下列情况之一的，投标无效：</w:t>
      </w:r>
    </w:p>
    <w:p w14:paraId="26E863B9">
      <w:pPr>
        <w:pStyle w:val="29"/>
        <w:widowControl/>
        <w:numPr>
          <w:ilvl w:val="2"/>
          <w:numId w:val="46"/>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未按照招标文件的规定提交投标保证金的；</w:t>
      </w:r>
    </w:p>
    <w:p w14:paraId="3C4681F4">
      <w:pPr>
        <w:pStyle w:val="29"/>
        <w:widowControl/>
        <w:numPr>
          <w:ilvl w:val="2"/>
          <w:numId w:val="46"/>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投标文件未按招标文件要求签署、盖章的；</w:t>
      </w:r>
    </w:p>
    <w:p w14:paraId="77F44DFF">
      <w:pPr>
        <w:pStyle w:val="29"/>
        <w:widowControl/>
        <w:numPr>
          <w:ilvl w:val="2"/>
          <w:numId w:val="46"/>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不具备招标文件中规定的资格要求的；</w:t>
      </w:r>
    </w:p>
    <w:p w14:paraId="7261201A">
      <w:pPr>
        <w:pStyle w:val="29"/>
        <w:widowControl/>
        <w:numPr>
          <w:ilvl w:val="2"/>
          <w:numId w:val="46"/>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报价超过招标文件中规定的预算金额或者最高限价的；</w:t>
      </w:r>
    </w:p>
    <w:p w14:paraId="13197804">
      <w:pPr>
        <w:pStyle w:val="29"/>
        <w:widowControl/>
        <w:numPr>
          <w:ilvl w:val="2"/>
          <w:numId w:val="46"/>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投标文件含有采购人不能接受的附加条件的；</w:t>
      </w:r>
    </w:p>
    <w:p w14:paraId="531DDA97">
      <w:pPr>
        <w:pStyle w:val="29"/>
        <w:widowControl/>
        <w:numPr>
          <w:ilvl w:val="2"/>
          <w:numId w:val="46"/>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法律、法规和招标文件规定的其他无效情形。</w:t>
      </w:r>
    </w:p>
    <w:p w14:paraId="3B57A1FB">
      <w:pPr>
        <w:pStyle w:val="29"/>
        <w:widowControl/>
        <w:numPr>
          <w:ilvl w:val="1"/>
          <w:numId w:val="46"/>
        </w:numPr>
        <w:spacing w:line="360" w:lineRule="auto"/>
        <w:ind w:firstLineChars="0"/>
        <w:jc w:val="left"/>
        <w:rPr>
          <w:rFonts w:ascii="黑体" w:hAnsi="黑体" w:eastAsia="黑体"/>
          <w:b/>
          <w:bCs/>
          <w:color w:val="000000" w:themeColor="text1"/>
          <w:szCs w:val="21"/>
          <w14:textFill>
            <w14:solidFill>
              <w14:schemeClr w14:val="tx1"/>
            </w14:solidFill>
          </w14:textFill>
        </w:rPr>
      </w:pPr>
      <w:r>
        <w:rPr>
          <w:rFonts w:ascii="黑体" w:hAnsi="黑体" w:eastAsia="黑体"/>
          <w:b/>
          <w:bCs/>
          <w:color w:val="000000" w:themeColor="text1"/>
          <w:szCs w:val="21"/>
          <w14:textFill>
            <w14:solidFill>
              <w14:schemeClr w14:val="tx1"/>
            </w14:solidFill>
          </w14:textFill>
        </w:rPr>
        <w:t>废标</w:t>
      </w:r>
    </w:p>
    <w:p w14:paraId="2BEDECD5">
      <w:pPr>
        <w:pStyle w:val="29"/>
        <w:widowControl/>
        <w:numPr>
          <w:ilvl w:val="2"/>
          <w:numId w:val="46"/>
        </w:numPr>
        <w:spacing w:line="360" w:lineRule="auto"/>
        <w:ind w:firstLineChars="0"/>
        <w:jc w:val="left"/>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在招标采购中，出现下列情形之一的，应予废标</w:t>
      </w:r>
      <w:r>
        <w:rPr>
          <w:rFonts w:hint="eastAsia" w:ascii="黑体" w:hAnsi="黑体" w:eastAsia="黑体"/>
          <w:color w:val="000000" w:themeColor="text1"/>
          <w:szCs w:val="21"/>
          <w14:textFill>
            <w14:solidFill>
              <w14:schemeClr w14:val="tx1"/>
            </w14:solidFill>
          </w14:textFill>
        </w:rPr>
        <w:t>。</w:t>
      </w:r>
    </w:p>
    <w:p w14:paraId="61A36844">
      <w:pPr>
        <w:pStyle w:val="29"/>
        <w:widowControl/>
        <w:numPr>
          <w:ilvl w:val="3"/>
          <w:numId w:val="80"/>
        </w:numPr>
        <w:tabs>
          <w:tab w:val="left" w:pos="1134"/>
        </w:tabs>
        <w:spacing w:line="360" w:lineRule="auto"/>
        <w:ind w:left="993" w:hanging="993" w:firstLineChars="0"/>
        <w:jc w:val="left"/>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符合专业条件的供应商或者对</w:t>
      </w:r>
      <w:r>
        <w:rPr>
          <w:rFonts w:hint="eastAsia" w:ascii="黑体" w:hAnsi="黑体" w:eastAsia="黑体"/>
          <w:color w:val="000000" w:themeColor="text1"/>
          <w:szCs w:val="21"/>
          <w14:textFill>
            <w14:solidFill>
              <w14:schemeClr w14:val="tx1"/>
            </w14:solidFill>
          </w14:textFill>
        </w:rPr>
        <w:t>招标</w:t>
      </w:r>
      <w:r>
        <w:rPr>
          <w:rFonts w:ascii="黑体" w:hAnsi="黑体" w:eastAsia="黑体"/>
          <w:color w:val="000000" w:themeColor="text1"/>
          <w:szCs w:val="21"/>
          <w14:textFill>
            <w14:solidFill>
              <w14:schemeClr w14:val="tx1"/>
            </w14:solidFill>
          </w14:textFill>
        </w:rPr>
        <w:t>文件作实质响应的供应商不足三家的；</w:t>
      </w:r>
    </w:p>
    <w:p w14:paraId="54E3DE15">
      <w:pPr>
        <w:pStyle w:val="29"/>
        <w:widowControl/>
        <w:numPr>
          <w:ilvl w:val="3"/>
          <w:numId w:val="80"/>
        </w:numPr>
        <w:tabs>
          <w:tab w:val="left" w:pos="1134"/>
        </w:tabs>
        <w:spacing w:line="360" w:lineRule="auto"/>
        <w:ind w:left="993" w:hanging="993" w:firstLineChars="0"/>
        <w:jc w:val="left"/>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出现影响采购公正的违法、违规行为的；</w:t>
      </w:r>
    </w:p>
    <w:p w14:paraId="44CB9C40">
      <w:pPr>
        <w:pStyle w:val="29"/>
        <w:widowControl/>
        <w:numPr>
          <w:ilvl w:val="3"/>
          <w:numId w:val="80"/>
        </w:numPr>
        <w:tabs>
          <w:tab w:val="left" w:pos="1134"/>
        </w:tabs>
        <w:spacing w:line="360" w:lineRule="auto"/>
        <w:ind w:left="993" w:hanging="993" w:firstLineChars="0"/>
        <w:jc w:val="left"/>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投标人的报价均超过了采购预算，采购人不能支付的；</w:t>
      </w:r>
    </w:p>
    <w:p w14:paraId="52362E2C">
      <w:pPr>
        <w:pStyle w:val="29"/>
        <w:widowControl/>
        <w:numPr>
          <w:ilvl w:val="3"/>
          <w:numId w:val="80"/>
        </w:numPr>
        <w:tabs>
          <w:tab w:val="left" w:pos="1134"/>
        </w:tabs>
        <w:spacing w:line="360" w:lineRule="auto"/>
        <w:ind w:left="993" w:hanging="993" w:firstLineChars="0"/>
        <w:jc w:val="left"/>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因重大变故，采购任务取消的</w:t>
      </w:r>
      <w:r>
        <w:rPr>
          <w:rFonts w:hint="eastAsia" w:ascii="黑体" w:hAnsi="黑体" w:eastAsia="黑体"/>
          <w:color w:val="000000" w:themeColor="text1"/>
          <w:szCs w:val="21"/>
          <w14:textFill>
            <w14:solidFill>
              <w14:schemeClr w14:val="tx1"/>
            </w14:solidFill>
          </w14:textFill>
        </w:rPr>
        <w:t>。</w:t>
      </w:r>
    </w:p>
    <w:p w14:paraId="03962F8C">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询问、质疑、投诉</w:t>
      </w:r>
    </w:p>
    <w:p w14:paraId="33AAAE01">
      <w:pPr>
        <w:pStyle w:val="29"/>
        <w:numPr>
          <w:ilvl w:val="0"/>
          <w:numId w:val="81"/>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 xml:space="preserve"> 询问</w:t>
      </w:r>
    </w:p>
    <w:p w14:paraId="35E23348">
      <w:pPr>
        <w:pStyle w:val="29"/>
        <w:numPr>
          <w:ilvl w:val="2"/>
          <w:numId w:val="82"/>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供应商对政府采购活动事项有疑问的，可以向采购人或者采购代理机构提出询问，询问可以口头方式提出，也可以书面方式提出。</w:t>
      </w:r>
    </w:p>
    <w:p w14:paraId="41D61F9B">
      <w:pPr>
        <w:pStyle w:val="29"/>
        <w:numPr>
          <w:ilvl w:val="2"/>
          <w:numId w:val="82"/>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如采用书面方式提出询问，供应商为自然人的，询问函应当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14:paraId="4E875DF7">
      <w:pPr>
        <w:pStyle w:val="29"/>
        <w:numPr>
          <w:ilvl w:val="2"/>
          <w:numId w:val="82"/>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采购人或者采购代理机构在三个工作日内对供应商依法提出的询问作出答复。</w:t>
      </w:r>
    </w:p>
    <w:p w14:paraId="3A2CB2B5">
      <w:pPr>
        <w:pStyle w:val="29"/>
        <w:numPr>
          <w:ilvl w:val="0"/>
          <w:numId w:val="81"/>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 xml:space="preserve"> 质疑</w:t>
      </w:r>
    </w:p>
    <w:p w14:paraId="5FD0ABC2">
      <w:pPr>
        <w:pStyle w:val="29"/>
        <w:numPr>
          <w:ilvl w:val="2"/>
          <w:numId w:val="83"/>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cs="宋体"/>
          <w:color w:val="000000" w:themeColor="text1"/>
          <w:kern w:val="0"/>
          <w:szCs w:val="21"/>
          <w14:textFill>
            <w14:solidFill>
              <w14:schemeClr w14:val="tx1"/>
            </w14:solidFill>
          </w14:textFill>
        </w:rPr>
        <w:t>供应商认为采购文件、采购过程、中标或者成交结果使自己的权益受到损害的，可以在知道或者应知其权益受到损害之日起7个工作日内，以书面形式向采购人、采购代理机构提出质疑。</w:t>
      </w:r>
    </w:p>
    <w:p w14:paraId="635A21CB">
      <w:pPr>
        <w:pStyle w:val="29"/>
        <w:numPr>
          <w:ilvl w:val="2"/>
          <w:numId w:val="83"/>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提出质疑的供应商应当是参与所质疑项目采购活动的供应商。</w:t>
      </w:r>
    </w:p>
    <w:p w14:paraId="13CF4D4E">
      <w:pPr>
        <w:pStyle w:val="29"/>
        <w:numPr>
          <w:ilvl w:val="0"/>
          <w:numId w:val="81"/>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 xml:space="preserve"> 提交要求：</w:t>
      </w:r>
    </w:p>
    <w:p w14:paraId="12D553AC">
      <w:pPr>
        <w:pStyle w:val="29"/>
        <w:numPr>
          <w:ilvl w:val="2"/>
          <w:numId w:val="84"/>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以书面形式向采购人或者采购代理机构一次性提出针对同一采购程序环节的质疑。</w:t>
      </w:r>
    </w:p>
    <w:p w14:paraId="1CF7B904">
      <w:pPr>
        <w:pStyle w:val="29"/>
        <w:numPr>
          <w:ilvl w:val="2"/>
          <w:numId w:val="84"/>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pacing w:val="-4"/>
          <w:szCs w:val="21"/>
          <w14:textFill>
            <w14:solidFill>
              <w14:schemeClr w14:val="tx1"/>
            </w14:solidFill>
          </w14:textFill>
        </w:rPr>
        <w:t>以联合体形式参加政府采购活动的，其质疑应当由组成联合体的所有供应商共同提出</w:t>
      </w:r>
      <w:r>
        <w:rPr>
          <w:rFonts w:hint="eastAsia" w:ascii="黑体" w:hAnsi="黑体" w:eastAsia="黑体"/>
          <w:bCs/>
          <w:color w:val="000000" w:themeColor="text1"/>
          <w:szCs w:val="21"/>
          <w14:textFill>
            <w14:solidFill>
              <w14:schemeClr w14:val="tx1"/>
            </w14:solidFill>
          </w14:textFill>
        </w:rPr>
        <w:t>。</w:t>
      </w:r>
    </w:p>
    <w:p w14:paraId="66818586">
      <w:pPr>
        <w:pStyle w:val="29"/>
        <w:numPr>
          <w:ilvl w:val="2"/>
          <w:numId w:val="84"/>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14:paraId="11EC52EE">
      <w:pPr>
        <w:pStyle w:val="29"/>
        <w:numPr>
          <w:ilvl w:val="2"/>
          <w:numId w:val="84"/>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供应商捏造事实、提供虚假材料或者以非法手段取得证明材料不能作为质疑的证明材料。采购人或者采购代理机构在收到投标人的书面质疑后</w:t>
      </w:r>
      <w:r>
        <w:rPr>
          <w:rFonts w:ascii="黑体" w:hAnsi="黑体" w:eastAsia="黑体"/>
          <w:bCs/>
          <w:color w:val="000000" w:themeColor="text1"/>
          <w:szCs w:val="21"/>
          <w14:textFill>
            <w14:solidFill>
              <w14:schemeClr w14:val="tx1"/>
            </w14:solidFill>
          </w14:textFill>
        </w:rPr>
        <w:t>7个工作日内作出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14:paraId="3236217E">
      <w:pPr>
        <w:pStyle w:val="29"/>
        <w:numPr>
          <w:ilvl w:val="2"/>
          <w:numId w:val="84"/>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采购人或采购代理机构接收以书面形式递交的质疑函，接收质疑函的联系人、联系方式和通讯地址：</w:t>
      </w:r>
    </w:p>
    <w:p w14:paraId="61AFBEFB">
      <w:pPr>
        <w:ind w:firstLine="707" w:firstLineChars="337"/>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联系人：</w:t>
      </w:r>
      <w:r>
        <w:rPr>
          <w:rFonts w:hint="eastAsia" w:ascii="黑体" w:hAnsi="黑体" w:eastAsia="黑体"/>
          <w:color w:val="000000" w:themeColor="text1"/>
          <w:szCs w:val="21"/>
          <w:lang w:val="en-US" w:eastAsia="zh-CN"/>
          <w14:textFill>
            <w14:solidFill>
              <w14:schemeClr w14:val="tx1"/>
            </w14:solidFill>
          </w14:textFill>
        </w:rPr>
        <w:t>陈先生</w:t>
      </w:r>
      <w:r>
        <w:rPr>
          <w:rFonts w:ascii="黑体" w:hAnsi="黑体" w:eastAsia="黑体"/>
          <w:color w:val="000000" w:themeColor="text1"/>
          <w:szCs w:val="21"/>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联系电话：（</w:t>
      </w:r>
      <w:r>
        <w:rPr>
          <w:rFonts w:ascii="黑体" w:hAnsi="黑体" w:eastAsia="黑体"/>
          <w:color w:val="000000" w:themeColor="text1"/>
          <w:szCs w:val="21"/>
          <w14:textFill>
            <w14:solidFill>
              <w14:schemeClr w14:val="tx1"/>
            </w14:solidFill>
          </w14:textFill>
        </w:rPr>
        <w:t>0769）23362836</w:t>
      </w:r>
    </w:p>
    <w:p w14:paraId="2E3E85B7">
      <w:pPr>
        <w:spacing w:line="360" w:lineRule="auto"/>
        <w:ind w:firstLine="707" w:firstLineChars="337"/>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联系地址：东莞市东城街道新源路海德琥珀台6栋1703室</w:t>
      </w:r>
    </w:p>
    <w:p w14:paraId="2F9C91DA">
      <w:pPr>
        <w:pStyle w:val="29"/>
        <w:numPr>
          <w:ilvl w:val="0"/>
          <w:numId w:val="81"/>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 xml:space="preserve">  投诉</w:t>
      </w:r>
    </w:p>
    <w:p w14:paraId="24941FE7">
      <w:pPr>
        <w:pStyle w:val="29"/>
        <w:widowControl/>
        <w:numPr>
          <w:ilvl w:val="2"/>
          <w:numId w:val="85"/>
        </w:numPr>
        <w:shd w:val="clear" w:color="auto" w:fill="FFFFFF"/>
        <w:wordWrap w:val="0"/>
        <w:spacing w:line="360" w:lineRule="auto"/>
        <w:ind w:firstLineChars="0"/>
        <w:jc w:val="left"/>
        <w:rPr>
          <w:rFonts w:ascii="黑体" w:hAnsi="黑体" w:eastAsia="黑体" w:cs="宋体"/>
          <w:color w:val="000000" w:themeColor="text1"/>
          <w:kern w:val="0"/>
          <w:szCs w:val="21"/>
          <w14:textFill>
            <w14:solidFill>
              <w14:schemeClr w14:val="tx1"/>
            </w14:solidFill>
          </w14:textFill>
        </w:rPr>
      </w:pPr>
      <w:r>
        <w:rPr>
          <w:rFonts w:hint="eastAsia" w:ascii="黑体" w:hAnsi="黑体" w:eastAsia="黑体" w:cs="宋体"/>
          <w:color w:val="000000" w:themeColor="text1"/>
          <w:kern w:val="0"/>
          <w:szCs w:val="21"/>
          <w14:textFill>
            <w14:solidFill>
              <w14:schemeClr w14:val="tx1"/>
            </w14:solidFill>
          </w14:textFill>
        </w:rPr>
        <w:t>质疑供应商对采购人、采购代理机构的答复不满意，或者采购人、采购代理机构未在规定时间内作出答复的，可以在答复期满后15个工作日内向</w:t>
      </w:r>
      <w:r>
        <w:rPr>
          <w:rFonts w:hint="eastAsia" w:ascii="黑体" w:hAnsi="黑体" w:eastAsia="黑体" w:cs="宋体"/>
          <w:color w:val="000000" w:themeColor="text1"/>
          <w:kern w:val="0"/>
          <w:szCs w:val="21"/>
          <w:lang w:val="en-US" w:eastAsia="zh-CN"/>
          <w14:textFill>
            <w14:solidFill>
              <w14:schemeClr w14:val="tx1"/>
            </w14:solidFill>
          </w14:textFill>
        </w:rPr>
        <w:t>有关</w:t>
      </w:r>
      <w:r>
        <w:rPr>
          <w:rFonts w:hint="eastAsia" w:ascii="黑体" w:hAnsi="黑体" w:eastAsia="黑体" w:cs="宋体"/>
          <w:color w:val="000000" w:themeColor="text1"/>
          <w:kern w:val="0"/>
          <w:szCs w:val="21"/>
          <w14:textFill>
            <w14:solidFill>
              <w14:schemeClr w14:val="tx1"/>
            </w14:solidFill>
          </w14:textFill>
        </w:rPr>
        <w:t>部门提起投诉。</w:t>
      </w:r>
    </w:p>
    <w:p w14:paraId="6198B43D">
      <w:pPr>
        <w:pStyle w:val="29"/>
        <w:widowControl/>
        <w:numPr>
          <w:ilvl w:val="2"/>
          <w:numId w:val="85"/>
        </w:numPr>
        <w:shd w:val="clear" w:color="auto" w:fill="FFFFFF"/>
        <w:wordWrap w:val="0"/>
        <w:spacing w:line="360" w:lineRule="auto"/>
        <w:ind w:firstLineChars="0"/>
        <w:jc w:val="left"/>
        <w:rPr>
          <w:rFonts w:ascii="黑体" w:hAnsi="黑体" w:eastAsia="黑体" w:cs="宋体"/>
          <w:color w:val="000000" w:themeColor="text1"/>
          <w:kern w:val="0"/>
          <w:szCs w:val="21"/>
          <w14:textFill>
            <w14:solidFill>
              <w14:schemeClr w14:val="tx1"/>
            </w14:solidFill>
          </w14:textFill>
        </w:rPr>
      </w:pPr>
      <w:r>
        <w:rPr>
          <w:rFonts w:hint="eastAsia" w:ascii="黑体" w:hAnsi="黑体" w:eastAsia="黑体" w:cs="宋体"/>
          <w:color w:val="000000" w:themeColor="text1"/>
          <w:kern w:val="0"/>
          <w:szCs w:val="21"/>
          <w14:textFill>
            <w14:solidFill>
              <w14:schemeClr w14:val="tx1"/>
            </w14:solidFill>
          </w14:textFill>
        </w:rPr>
        <w:t>投诉人在全国范围12个月内三次以上投诉查无实据的，由财政部门列入不良行为记录名单。</w:t>
      </w:r>
    </w:p>
    <w:p w14:paraId="3A476167">
      <w:pPr>
        <w:pStyle w:val="29"/>
        <w:widowControl/>
        <w:numPr>
          <w:ilvl w:val="2"/>
          <w:numId w:val="85"/>
        </w:numPr>
        <w:shd w:val="clear" w:color="auto" w:fill="FFFFFF"/>
        <w:wordWrap w:val="0"/>
        <w:spacing w:line="360" w:lineRule="auto"/>
        <w:ind w:firstLineChars="0"/>
        <w:jc w:val="left"/>
        <w:rPr>
          <w:rFonts w:ascii="黑体" w:hAnsi="黑体" w:eastAsia="黑体" w:cs="宋体"/>
          <w:color w:val="000000" w:themeColor="text1"/>
          <w:kern w:val="0"/>
          <w:szCs w:val="21"/>
          <w14:textFill>
            <w14:solidFill>
              <w14:schemeClr w14:val="tx1"/>
            </w14:solidFill>
          </w14:textFill>
        </w:rPr>
      </w:pPr>
      <w:r>
        <w:rPr>
          <w:rFonts w:hint="eastAsia" w:ascii="黑体" w:hAnsi="黑体" w:eastAsia="黑体" w:cs="宋体"/>
          <w:color w:val="000000" w:themeColor="text1"/>
          <w:kern w:val="0"/>
          <w:szCs w:val="21"/>
          <w14:textFill>
            <w14:solidFill>
              <w14:schemeClr w14:val="tx1"/>
            </w14:solidFill>
          </w14:textFill>
        </w:rPr>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14:paraId="5F706CB4">
      <w:pPr>
        <w:pStyle w:val="29"/>
        <w:widowControl/>
        <w:numPr>
          <w:ilvl w:val="2"/>
          <w:numId w:val="85"/>
        </w:numPr>
        <w:shd w:val="clear" w:color="auto" w:fill="FFFFFF"/>
        <w:wordWrap w:val="0"/>
        <w:spacing w:line="360" w:lineRule="auto"/>
        <w:ind w:firstLineChars="0"/>
        <w:jc w:val="left"/>
        <w:rPr>
          <w:rFonts w:ascii="黑体" w:hAnsi="黑体" w:eastAsia="黑体" w:cs="宋体"/>
          <w:color w:val="000000" w:themeColor="text1"/>
          <w:spacing w:val="-4"/>
          <w:kern w:val="0"/>
          <w:szCs w:val="21"/>
          <w14:textFill>
            <w14:solidFill>
              <w14:schemeClr w14:val="tx1"/>
            </w14:solidFill>
          </w14:textFill>
        </w:rPr>
      </w:pPr>
      <w:r>
        <w:rPr>
          <w:rFonts w:hint="eastAsia" w:ascii="黑体" w:hAnsi="黑体" w:eastAsia="黑体" w:cs="宋体"/>
          <w:color w:val="000000" w:themeColor="text1"/>
          <w:spacing w:val="-4"/>
          <w:kern w:val="0"/>
          <w:szCs w:val="21"/>
          <w14:textFill>
            <w14:solidFill>
              <w14:schemeClr w14:val="tx1"/>
            </w14:solidFill>
          </w14:textFill>
        </w:rPr>
        <w:t>以联合体形式参加政府采购活动的，其投诉应当由组成联合体的所有供应商共同提出。</w:t>
      </w:r>
    </w:p>
    <w:p w14:paraId="77072FBF">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中标通知书</w:t>
      </w:r>
    </w:p>
    <w:p w14:paraId="69BFA3FA">
      <w:pPr>
        <w:pStyle w:val="29"/>
        <w:numPr>
          <w:ilvl w:val="0"/>
          <w:numId w:val="86"/>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采购人或者采购代理机构应当自中标人确定之日起</w:t>
      </w:r>
      <w:r>
        <w:rPr>
          <w:rFonts w:ascii="黑体" w:hAnsi="黑体" w:eastAsia="黑体"/>
          <w:bCs/>
          <w:color w:val="000000" w:themeColor="text1"/>
          <w:szCs w:val="21"/>
          <w14:textFill>
            <w14:solidFill>
              <w14:schemeClr w14:val="tx1"/>
            </w14:solidFill>
          </w14:textFill>
        </w:rPr>
        <w:t>2个工作日内在指定媒体公告中标结果和发出中标通知书，公告期为1个工作日</w:t>
      </w:r>
      <w:r>
        <w:rPr>
          <w:rFonts w:hint="eastAsia" w:ascii="黑体" w:hAnsi="黑体" w:eastAsia="黑体"/>
          <w:bCs/>
          <w:color w:val="000000" w:themeColor="text1"/>
          <w:szCs w:val="21"/>
          <w14:textFill>
            <w14:solidFill>
              <w14:schemeClr w14:val="tx1"/>
            </w14:solidFill>
          </w14:textFill>
        </w:rPr>
        <w:t>。</w:t>
      </w:r>
    </w:p>
    <w:p w14:paraId="780295BE">
      <w:pPr>
        <w:pStyle w:val="29"/>
        <w:numPr>
          <w:ilvl w:val="0"/>
          <w:numId w:val="86"/>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《中标通知书》对中标人和采购人具有同等法律效力。</w:t>
      </w:r>
    </w:p>
    <w:p w14:paraId="163797C2">
      <w:pPr>
        <w:pStyle w:val="29"/>
        <w:numPr>
          <w:ilvl w:val="0"/>
          <w:numId w:val="86"/>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中标通知书发出后，采购人不得违法改变中标结果，中标人无正当理由不得放弃中标。</w:t>
      </w:r>
    </w:p>
    <w:p w14:paraId="6DC59928">
      <w:pPr>
        <w:pStyle w:val="29"/>
        <w:numPr>
          <w:ilvl w:val="0"/>
          <w:numId w:val="86"/>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《中标通知书》将作为授予合同资格的合法依据，是合同的一个组成部分。</w:t>
      </w:r>
    </w:p>
    <w:p w14:paraId="50918FC3">
      <w:pPr>
        <w:pStyle w:val="29"/>
        <w:numPr>
          <w:ilvl w:val="0"/>
          <w:numId w:val="45"/>
        </w:numPr>
        <w:spacing w:before="312" w:beforeLines="100" w:line="360" w:lineRule="auto"/>
        <w:ind w:firstLineChars="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授予合同</w:t>
      </w:r>
    </w:p>
    <w:p w14:paraId="7B450BF8">
      <w:pPr>
        <w:pStyle w:val="29"/>
        <w:numPr>
          <w:ilvl w:val="0"/>
          <w:numId w:val="46"/>
        </w:numPr>
        <w:spacing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合同的订立</w:t>
      </w:r>
    </w:p>
    <w:p w14:paraId="40C2D455">
      <w:pPr>
        <w:pStyle w:val="29"/>
        <w:numPr>
          <w:ilvl w:val="0"/>
          <w:numId w:val="87"/>
        </w:numPr>
        <w:spacing w:line="360" w:lineRule="auto"/>
        <w:ind w:left="567" w:hanging="567" w:firstLineChars="0"/>
        <w:rPr>
          <w:rFonts w:ascii="黑体" w:hAnsi="黑体" w:eastAsia="黑体"/>
          <w:bCs/>
          <w:color w:val="auto"/>
          <w:szCs w:val="21"/>
        </w:rPr>
      </w:pPr>
      <w:r>
        <w:rPr>
          <w:rFonts w:hint="eastAsia" w:ascii="黑体" w:hAnsi="黑体" w:eastAsia="黑体"/>
          <w:bCs/>
          <w:color w:val="auto"/>
          <w:szCs w:val="21"/>
        </w:rPr>
        <w:t>采购人应当自《中标通知书》发出之日起30日内，按照招标文件和中标人投标文件的约定，与中标人签订书面合同。所签订的合同不得对招标文件确定的事项和中标人投标文件作实质性修改。</w:t>
      </w:r>
    </w:p>
    <w:p w14:paraId="0D58A43D">
      <w:pPr>
        <w:pStyle w:val="29"/>
        <w:numPr>
          <w:ilvl w:val="0"/>
          <w:numId w:val="87"/>
        </w:numPr>
        <w:spacing w:line="360" w:lineRule="auto"/>
        <w:ind w:left="567" w:hanging="567" w:firstLineChars="0"/>
        <w:rPr>
          <w:rFonts w:ascii="黑体" w:hAnsi="黑体" w:eastAsia="黑体"/>
          <w:bCs/>
          <w:color w:val="auto"/>
          <w:szCs w:val="21"/>
        </w:rPr>
      </w:pPr>
      <w:r>
        <w:rPr>
          <w:rFonts w:hint="eastAsia" w:ascii="黑体" w:hAnsi="黑体" w:eastAsia="黑体"/>
          <w:bCs/>
          <w:color w:val="auto"/>
          <w:szCs w:val="21"/>
        </w:rPr>
        <w:t>采购人或者采购代理机构不得向中标人提出任何不合理的要求，作为签订合同的条件，不得与中标人私下订立背离合同实质性内容的协议。</w:t>
      </w:r>
    </w:p>
    <w:p w14:paraId="6F0A7287">
      <w:pPr>
        <w:pStyle w:val="29"/>
        <w:numPr>
          <w:ilvl w:val="0"/>
          <w:numId w:val="87"/>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ascii="黑体" w:hAnsi="黑体" w:eastAsia="黑体"/>
          <w:bCs/>
          <w:color w:val="auto"/>
          <w:szCs w:val="21"/>
        </w:rPr>
        <w:t>中标</w:t>
      </w:r>
      <w:r>
        <w:rPr>
          <w:rFonts w:hint="eastAsia" w:ascii="黑体" w:hAnsi="黑体" w:eastAsia="黑体"/>
          <w:bCs/>
          <w:color w:val="auto"/>
          <w:szCs w:val="21"/>
        </w:rPr>
        <w:t>人</w:t>
      </w:r>
      <w:r>
        <w:rPr>
          <w:rFonts w:ascii="黑体" w:hAnsi="黑体" w:eastAsia="黑体"/>
          <w:bCs/>
          <w:color w:val="auto"/>
          <w:szCs w:val="21"/>
        </w:rPr>
        <w:t>拒绝与采购人签订合同的，采购人可以按照评审报告推荐的中标候选人名单排序，确定下一候选人为中标</w:t>
      </w:r>
      <w:r>
        <w:rPr>
          <w:rFonts w:hint="eastAsia" w:ascii="黑体" w:hAnsi="黑体" w:eastAsia="黑体"/>
          <w:bCs/>
          <w:color w:val="auto"/>
          <w:szCs w:val="21"/>
        </w:rPr>
        <w:t>人</w:t>
      </w:r>
      <w:r>
        <w:rPr>
          <w:rFonts w:ascii="黑体" w:hAnsi="黑体" w:eastAsia="黑体"/>
          <w:bCs/>
          <w:color w:val="auto"/>
          <w:szCs w:val="21"/>
        </w:rPr>
        <w:t>，也可以重新开展政府采购活动。</w:t>
      </w:r>
    </w:p>
    <w:p w14:paraId="7ED893A2">
      <w:pPr>
        <w:pStyle w:val="29"/>
        <w:numPr>
          <w:ilvl w:val="0"/>
          <w:numId w:val="46"/>
        </w:numPr>
        <w:spacing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合同的履行</w:t>
      </w:r>
    </w:p>
    <w:p w14:paraId="55A4B1F3">
      <w:pPr>
        <w:pStyle w:val="29"/>
        <w:numPr>
          <w:ilvl w:val="0"/>
          <w:numId w:val="88"/>
        </w:numPr>
        <w:spacing w:line="360" w:lineRule="auto"/>
        <w:ind w:firstLineChars="0"/>
        <w:rPr>
          <w:rFonts w:ascii="黑体" w:hAnsi="黑体" w:eastAsia="黑体"/>
          <w:bCs/>
          <w:color w:val="auto"/>
          <w:szCs w:val="21"/>
        </w:rPr>
      </w:pPr>
      <w:r>
        <w:rPr>
          <w:rFonts w:hint="eastAsia" w:ascii="黑体" w:hAnsi="黑体" w:eastAsia="黑体"/>
          <w:bCs/>
          <w:color w:val="000000" w:themeColor="text1"/>
          <w:szCs w:val="21"/>
          <w14:textFill>
            <w14:solidFill>
              <w14:schemeClr w14:val="tx1"/>
            </w14:solidFill>
          </w14:textFill>
        </w:rPr>
        <w:t xml:space="preserve"> 采购人和中标人应</w:t>
      </w:r>
      <w:r>
        <w:rPr>
          <w:rFonts w:hint="eastAsia" w:ascii="黑体" w:hAnsi="黑体" w:eastAsia="黑体"/>
          <w:bCs/>
          <w:color w:val="auto"/>
          <w:szCs w:val="21"/>
        </w:rPr>
        <w:t>当根据合同的约定依法履行合同义务。</w:t>
      </w:r>
    </w:p>
    <w:p w14:paraId="2A4B9A1C">
      <w:pPr>
        <w:pStyle w:val="29"/>
        <w:numPr>
          <w:ilvl w:val="0"/>
          <w:numId w:val="88"/>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auto"/>
          <w:szCs w:val="21"/>
        </w:rPr>
        <w:t>政府采购合同订立后，合同各方不得擅自变更、中止或者终止合同。政府采购合同需要变更的，采购人应将有关合同变更内容，以书面形式报相关监管部门备案；因特殊情况需要中止或终止合同的，采购人应将中止或终止合同的理由以及相应措施，</w:t>
      </w:r>
      <w:r>
        <w:rPr>
          <w:rFonts w:hint="eastAsia" w:ascii="黑体" w:hAnsi="黑体" w:eastAsia="黑体"/>
          <w:bCs/>
          <w:color w:val="000000" w:themeColor="text1"/>
          <w:szCs w:val="21"/>
          <w14:textFill>
            <w14:solidFill>
              <w14:schemeClr w14:val="tx1"/>
            </w14:solidFill>
          </w14:textFill>
        </w:rPr>
        <w:t>以书面形式报同级政府采购监督管理部门备案。</w:t>
      </w:r>
    </w:p>
    <w:p w14:paraId="3163EE0D">
      <w:pPr>
        <w:pStyle w:val="29"/>
        <w:numPr>
          <w:ilvl w:val="0"/>
          <w:numId w:val="88"/>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政府采购合同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14:paraId="2D8DCE79">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履约担保</w:t>
      </w:r>
    </w:p>
    <w:p w14:paraId="3436B28D">
      <w:pPr>
        <w:pStyle w:val="29"/>
        <w:numPr>
          <w:ilvl w:val="0"/>
          <w:numId w:val="89"/>
        </w:numPr>
        <w:tabs>
          <w:tab w:val="left" w:pos="709"/>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中标人应按</w:t>
      </w:r>
      <w:r>
        <w:rPr>
          <w:rFonts w:hint="eastAsia" w:ascii="黑体" w:hAnsi="黑体" w:eastAsia="黑体"/>
          <w:b/>
          <w:bCs/>
          <w:color w:val="000000" w:themeColor="text1"/>
          <w:szCs w:val="21"/>
          <w:u w:val="single"/>
          <w14:textFill>
            <w14:solidFill>
              <w14:schemeClr w14:val="tx1"/>
            </w14:solidFill>
          </w14:textFill>
        </w:rPr>
        <w:t>投标人须知前附表</w:t>
      </w:r>
      <w:r>
        <w:rPr>
          <w:rFonts w:hint="eastAsia" w:ascii="黑体" w:hAnsi="黑体" w:eastAsia="黑体"/>
          <w:color w:val="000000" w:themeColor="text1"/>
          <w:szCs w:val="21"/>
          <w14:textFill>
            <w14:solidFill>
              <w14:schemeClr w14:val="tx1"/>
            </w14:solidFill>
          </w14:textFill>
        </w:rPr>
        <w:t>要求向采购人缴纳履约担保（如采用保函形式，格式详见招标文件第七部分投标文件格式—政府采购履约担保）。履约担保可以采用银行转账或者以专业担保机构、金融机构出具的担保函的形式缴交。履约保函的内容，应符合招标文件、投标响应文件和采购合同的要求。履约保函应在采购合同有效期满后28天内继续有效。</w:t>
      </w:r>
    </w:p>
    <w:p w14:paraId="316CA6B6">
      <w:pPr>
        <w:pStyle w:val="29"/>
        <w:numPr>
          <w:ilvl w:val="0"/>
          <w:numId w:val="89"/>
        </w:numPr>
        <w:tabs>
          <w:tab w:val="left" w:pos="709"/>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在整个项目验收合格后，中标人向采购人提交退回履约保证金的申请，采购人办理履约保证金退还手续，将履约保证金退回原中标人的汇入账户。</w:t>
      </w:r>
    </w:p>
    <w:p w14:paraId="304465A4">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发票</w:t>
      </w:r>
    </w:p>
    <w:p w14:paraId="4AFC1008">
      <w:pPr>
        <w:pStyle w:val="29"/>
        <w:numPr>
          <w:ilvl w:val="0"/>
          <w:numId w:val="90"/>
        </w:numPr>
        <w:spacing w:line="360" w:lineRule="auto"/>
        <w:ind w:firstLineChars="0"/>
        <w:rPr>
          <w:rFonts w:ascii="黑体" w:hAnsi="黑体" w:eastAsia="黑体"/>
          <w:bCs/>
          <w:color w:val="000000" w:themeColor="text1"/>
          <w:spacing w:val="-2"/>
          <w:szCs w:val="21"/>
          <w14:textFill>
            <w14:solidFill>
              <w14:schemeClr w14:val="tx1"/>
            </w14:solidFill>
          </w14:textFill>
        </w:rPr>
      </w:pPr>
      <w:r>
        <w:rPr>
          <w:rFonts w:hint="eastAsia" w:ascii="黑体" w:hAnsi="黑体" w:eastAsia="黑体"/>
          <w:bCs/>
          <w:color w:val="000000" w:themeColor="text1"/>
          <w:spacing w:val="-2"/>
          <w:szCs w:val="21"/>
          <w14:textFill>
            <w14:solidFill>
              <w14:schemeClr w14:val="tx1"/>
            </w14:solidFill>
          </w14:textFill>
        </w:rPr>
        <w:t xml:space="preserve"> 中标人与采购人签署合同后，开具发票时，开发票的单位名称必须与中标人的名称一致。</w:t>
      </w:r>
    </w:p>
    <w:p w14:paraId="42FFD960">
      <w:pPr>
        <w:pStyle w:val="29"/>
        <w:numPr>
          <w:ilvl w:val="0"/>
          <w:numId w:val="46"/>
        </w:numPr>
        <w:spacing w:before="312" w:beforeLines="100" w:line="360" w:lineRule="auto"/>
        <w:ind w:firstLineChars="0"/>
        <w:rPr>
          <w:rFonts w:ascii="黑体" w:hAnsi="黑体" w:eastAsia="黑体"/>
          <w:b/>
          <w:color w:val="000000" w:themeColor="text1"/>
          <w14:textFill>
            <w14:solidFill>
              <w14:schemeClr w14:val="tx1"/>
            </w14:solidFill>
          </w14:textFill>
        </w:rPr>
      </w:pPr>
      <w:bookmarkStart w:id="38" w:name="_Toc357676148"/>
      <w:r>
        <w:rPr>
          <w:rFonts w:hint="eastAsia" w:ascii="黑体" w:hAnsi="黑体" w:eastAsia="黑体"/>
          <w:b/>
          <w:color w:val="000000" w:themeColor="text1"/>
          <w14:textFill>
            <w14:solidFill>
              <w14:schemeClr w14:val="tx1"/>
            </w14:solidFill>
          </w14:textFill>
        </w:rPr>
        <w:t>招标代理服务费</w:t>
      </w:r>
      <w:bookmarkEnd w:id="38"/>
    </w:p>
    <w:p w14:paraId="6C4302E0">
      <w:pPr>
        <w:pStyle w:val="29"/>
        <w:numPr>
          <w:ilvl w:val="0"/>
          <w:numId w:val="91"/>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lang w:val="en-US" w:eastAsia="zh-CN"/>
          <w14:textFill>
            <w14:solidFill>
              <w14:schemeClr w14:val="tx1"/>
            </w14:solidFill>
          </w14:textFill>
        </w:rPr>
        <w:t>各包组</w:t>
      </w:r>
      <w:r>
        <w:rPr>
          <w:rFonts w:hint="eastAsia" w:ascii="黑体" w:hAnsi="黑体" w:eastAsia="黑体"/>
          <w:bCs/>
          <w:color w:val="000000" w:themeColor="text1"/>
          <w:szCs w:val="21"/>
          <w14:textFill>
            <w14:solidFill>
              <w14:schemeClr w14:val="tx1"/>
            </w14:solidFill>
          </w14:textFill>
        </w:rPr>
        <w:t>中标人应在领取《中标通知书》原件时向采购代理机构一次性支付招标代理服务费</w:t>
      </w:r>
      <w:r>
        <w:rPr>
          <w:rFonts w:ascii="黑体" w:hAnsi="黑体" w:eastAsia="黑体"/>
          <w:bCs/>
          <w:color w:val="000000" w:themeColor="text1"/>
          <w:szCs w:val="21"/>
          <w14:textFill>
            <w14:solidFill>
              <w14:schemeClr w14:val="tx1"/>
            </w14:solidFill>
          </w14:textFill>
        </w:rPr>
        <w:t>(</w:t>
      </w:r>
      <w:r>
        <w:rPr>
          <w:rFonts w:hint="eastAsia" w:ascii="黑体" w:hAnsi="黑体" w:eastAsia="黑体"/>
          <w:bCs/>
          <w:szCs w:val="21"/>
        </w:rPr>
        <w:t>参照</w:t>
      </w:r>
      <w:r>
        <w:rPr>
          <w:rFonts w:hint="eastAsia" w:ascii="黑体" w:hAnsi="黑体" w:eastAsia="黑体"/>
          <w:bCs/>
          <w:color w:val="000000" w:themeColor="text1"/>
          <w:szCs w:val="21"/>
          <w14:textFill>
            <w14:solidFill>
              <w14:schemeClr w14:val="tx1"/>
            </w14:solidFill>
          </w14:textFill>
        </w:rPr>
        <w:t>国家计委文件</w:t>
      </w:r>
      <w:r>
        <w:rPr>
          <w:rFonts w:ascii="黑体" w:hAnsi="黑体" w:eastAsia="黑体"/>
          <w:bCs/>
          <w:color w:val="000000" w:themeColor="text1"/>
          <w:szCs w:val="21"/>
          <w14:textFill>
            <w14:solidFill>
              <w14:schemeClr w14:val="tx1"/>
            </w14:solidFill>
          </w14:textFill>
        </w:rPr>
        <w:t>“</w:t>
      </w:r>
      <w:r>
        <w:rPr>
          <w:rFonts w:hint="eastAsia" w:ascii="黑体" w:hAnsi="黑体" w:eastAsia="黑体"/>
          <w:bCs/>
          <w:color w:val="000000" w:themeColor="text1"/>
          <w:szCs w:val="21"/>
          <w14:textFill>
            <w14:solidFill>
              <w14:schemeClr w14:val="tx1"/>
            </w14:solidFill>
          </w14:textFill>
        </w:rPr>
        <w:t>计价格</w:t>
      </w:r>
      <w:r>
        <w:rPr>
          <w:rFonts w:ascii="黑体" w:hAnsi="黑体" w:eastAsia="黑体"/>
          <w:bCs/>
          <w:color w:val="000000" w:themeColor="text1"/>
          <w:szCs w:val="21"/>
          <w14:textFill>
            <w14:solidFill>
              <w14:schemeClr w14:val="tx1"/>
            </w14:solidFill>
          </w14:textFill>
        </w:rPr>
        <w:t>[2002]1980</w:t>
      </w:r>
      <w:r>
        <w:rPr>
          <w:rFonts w:hint="eastAsia" w:ascii="黑体" w:hAnsi="黑体" w:eastAsia="黑体"/>
          <w:bCs/>
          <w:color w:val="000000" w:themeColor="text1"/>
          <w:szCs w:val="21"/>
          <w14:textFill>
            <w14:solidFill>
              <w14:schemeClr w14:val="tx1"/>
            </w14:solidFill>
          </w14:textFill>
        </w:rPr>
        <w:t>号文</w:t>
      </w:r>
      <w:r>
        <w:rPr>
          <w:rFonts w:ascii="黑体" w:hAnsi="黑体" w:eastAsia="黑体"/>
          <w:bCs/>
          <w:color w:val="000000" w:themeColor="text1"/>
          <w:szCs w:val="21"/>
          <w14:textFill>
            <w14:solidFill>
              <w14:schemeClr w14:val="tx1"/>
            </w14:solidFill>
          </w14:textFill>
        </w:rPr>
        <w:t>”</w:t>
      </w:r>
      <w:r>
        <w:rPr>
          <w:rFonts w:hint="eastAsia" w:ascii="黑体" w:hAnsi="黑体" w:eastAsia="黑体"/>
          <w:bCs/>
          <w:color w:val="000000" w:themeColor="text1"/>
          <w:szCs w:val="21"/>
          <w14:textFill>
            <w14:solidFill>
              <w14:schemeClr w14:val="tx1"/>
            </w14:solidFill>
          </w14:textFill>
        </w:rPr>
        <w:t>、“发改办价格</w:t>
      </w:r>
      <w:r>
        <w:rPr>
          <w:rFonts w:ascii="黑体" w:hAnsi="黑体" w:eastAsia="黑体"/>
          <w:bCs/>
          <w:color w:val="000000" w:themeColor="text1"/>
          <w:szCs w:val="21"/>
          <w14:textFill>
            <w14:solidFill>
              <w14:schemeClr w14:val="tx1"/>
            </w14:solidFill>
          </w14:textFill>
        </w:rPr>
        <w:t>[2003]857</w:t>
      </w:r>
      <w:r>
        <w:rPr>
          <w:rFonts w:hint="eastAsia" w:ascii="黑体" w:hAnsi="黑体" w:eastAsia="黑体"/>
          <w:bCs/>
          <w:color w:val="000000" w:themeColor="text1"/>
          <w:szCs w:val="21"/>
          <w14:textFill>
            <w14:solidFill>
              <w14:schemeClr w14:val="tx1"/>
            </w14:solidFill>
          </w14:textFill>
        </w:rPr>
        <w:t>号文”和“发改价格</w:t>
      </w:r>
      <w:r>
        <w:rPr>
          <w:rFonts w:ascii="黑体" w:hAnsi="黑体" w:eastAsia="黑体"/>
          <w:bCs/>
          <w:color w:val="000000" w:themeColor="text1"/>
          <w:szCs w:val="21"/>
          <w14:textFill>
            <w14:solidFill>
              <w14:schemeClr w14:val="tx1"/>
            </w14:solidFill>
          </w14:textFill>
        </w:rPr>
        <w:t>[2011]534号文</w:t>
      </w:r>
      <w:r>
        <w:rPr>
          <w:rFonts w:hint="eastAsia" w:ascii="黑体" w:hAnsi="黑体" w:eastAsia="黑体"/>
          <w:bCs/>
          <w:color w:val="000000" w:themeColor="text1"/>
          <w:szCs w:val="21"/>
          <w14:textFill>
            <w14:solidFill>
              <w14:schemeClr w14:val="tx1"/>
            </w14:solidFill>
          </w14:textFill>
        </w:rPr>
        <w:t>”的规定标准执行</w:t>
      </w:r>
      <w:r>
        <w:rPr>
          <w:rFonts w:ascii="黑体" w:hAnsi="黑体" w:eastAsia="黑体"/>
          <w:bCs/>
          <w:color w:val="000000" w:themeColor="text1"/>
          <w:szCs w:val="21"/>
          <w14:textFill>
            <w14:solidFill>
              <w14:schemeClr w14:val="tx1"/>
            </w14:solidFill>
          </w14:textFill>
        </w:rPr>
        <w:t>)</w:t>
      </w:r>
      <w:r>
        <w:rPr>
          <w:rFonts w:hint="eastAsia" w:ascii="黑体" w:hAnsi="黑体" w:eastAsia="黑体"/>
          <w:bCs/>
          <w:color w:val="000000" w:themeColor="text1"/>
          <w:szCs w:val="21"/>
          <w14:textFill>
            <w14:solidFill>
              <w14:schemeClr w14:val="tx1"/>
            </w14:solidFill>
          </w14:textFill>
        </w:rPr>
        <w:t>。</w:t>
      </w:r>
    </w:p>
    <w:p w14:paraId="5AA4AA34">
      <w:pPr>
        <w:pStyle w:val="29"/>
        <w:numPr>
          <w:ilvl w:val="0"/>
          <w:numId w:val="91"/>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招标代理服务收</w:t>
      </w:r>
      <w:r>
        <w:rPr>
          <w:rFonts w:hint="eastAsia" w:ascii="黑体" w:hAnsi="黑体" w:eastAsia="黑体"/>
          <w:bCs/>
          <w:color w:val="000000" w:themeColor="text1"/>
          <w:szCs w:val="21"/>
          <w14:textFill>
            <w14:solidFill>
              <w14:schemeClr w14:val="tx1"/>
            </w14:solidFill>
          </w14:textFill>
        </w:rPr>
        <w:t>费</w:t>
      </w:r>
      <w:r>
        <w:rPr>
          <w:rFonts w:ascii="黑体" w:hAnsi="黑体" w:eastAsia="黑体"/>
          <w:bCs/>
          <w:color w:val="000000" w:themeColor="text1"/>
          <w:szCs w:val="21"/>
          <w14:textFill>
            <w14:solidFill>
              <w14:schemeClr w14:val="tx1"/>
            </w14:solidFill>
          </w14:textFill>
        </w:rPr>
        <w:t>标准</w:t>
      </w:r>
      <w:r>
        <w:rPr>
          <w:rFonts w:hint="eastAsia" w:ascii="黑体" w:hAnsi="黑体" w:eastAsia="黑体"/>
          <w:bCs/>
          <w:color w:val="000000" w:themeColor="text1"/>
          <w:szCs w:val="21"/>
          <w14:textFill>
            <w14:solidFill>
              <w14:schemeClr w14:val="tx1"/>
            </w14:solidFill>
          </w14:textFill>
        </w:rPr>
        <w:t>：</w:t>
      </w:r>
    </w:p>
    <w:tbl>
      <w:tblPr>
        <w:tblStyle w:val="19"/>
        <w:tblW w:w="5000"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2445"/>
        <w:gridCol w:w="1457"/>
        <w:gridCol w:w="2332"/>
        <w:gridCol w:w="2533"/>
      </w:tblGrid>
      <w:tr w14:paraId="183CE4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4" w:hRule="atLeast"/>
          <w:jc w:val="center"/>
        </w:trPr>
        <w:tc>
          <w:tcPr>
            <w:tcW w:w="1394" w:type="pct"/>
            <w:tcBorders>
              <w:tl2br w:val="single" w:color="000000" w:sz="8" w:space="0"/>
            </w:tcBorders>
            <w:shd w:val="clear" w:color="auto" w:fill="auto"/>
          </w:tcPr>
          <w:p w14:paraId="7A228406">
            <w:pP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 xml:space="preserve">  </w:t>
            </w:r>
            <w:r>
              <w:rPr>
                <w:rFonts w:ascii="黑体" w:hAnsi="黑体" w:eastAsia="黑体"/>
                <w:color w:val="000000" w:themeColor="text1"/>
                <w:szCs w:val="21"/>
                <w14:textFill>
                  <w14:solidFill>
                    <w14:schemeClr w14:val="tx1"/>
                  </w14:solidFill>
                </w14:textFill>
              </w:rPr>
              <w:t>费率</w:t>
            </w:r>
          </w:p>
          <w:p w14:paraId="192FD30B">
            <w:pP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中标金额</w:t>
            </w:r>
          </w:p>
        </w:tc>
        <w:tc>
          <w:tcPr>
            <w:tcW w:w="831" w:type="pct"/>
            <w:shd w:val="clear" w:color="auto" w:fill="auto"/>
            <w:vAlign w:val="center"/>
          </w:tcPr>
          <w:p w14:paraId="5AC00005">
            <w:pPr>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货物招标</w:t>
            </w:r>
          </w:p>
        </w:tc>
        <w:tc>
          <w:tcPr>
            <w:tcW w:w="1330" w:type="pct"/>
            <w:shd w:val="clear" w:color="auto" w:fill="auto"/>
            <w:vAlign w:val="center"/>
          </w:tcPr>
          <w:p w14:paraId="12CDB468">
            <w:pPr>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服务招标</w:t>
            </w:r>
          </w:p>
        </w:tc>
        <w:tc>
          <w:tcPr>
            <w:tcW w:w="1446" w:type="pct"/>
            <w:shd w:val="clear" w:color="auto" w:fill="auto"/>
            <w:vAlign w:val="center"/>
          </w:tcPr>
          <w:p w14:paraId="788EC588">
            <w:pPr>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工程招标</w:t>
            </w:r>
          </w:p>
        </w:tc>
      </w:tr>
      <w:tr w14:paraId="29E348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30" w:hRule="atLeast"/>
          <w:jc w:val="center"/>
        </w:trPr>
        <w:tc>
          <w:tcPr>
            <w:tcW w:w="1394" w:type="pct"/>
            <w:vAlign w:val="center"/>
          </w:tcPr>
          <w:p w14:paraId="7320546B">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100万元以下</w:t>
            </w:r>
          </w:p>
        </w:tc>
        <w:tc>
          <w:tcPr>
            <w:tcW w:w="831" w:type="pct"/>
            <w:vAlign w:val="center"/>
          </w:tcPr>
          <w:p w14:paraId="3A536F54">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1.5%</w:t>
            </w:r>
          </w:p>
        </w:tc>
        <w:tc>
          <w:tcPr>
            <w:tcW w:w="1330" w:type="pct"/>
            <w:vAlign w:val="center"/>
          </w:tcPr>
          <w:p w14:paraId="2DE2B711">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1.5%</w:t>
            </w:r>
          </w:p>
        </w:tc>
        <w:tc>
          <w:tcPr>
            <w:tcW w:w="1446" w:type="pct"/>
            <w:vAlign w:val="center"/>
          </w:tcPr>
          <w:p w14:paraId="6D95E0F0">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1.0%</w:t>
            </w:r>
          </w:p>
        </w:tc>
      </w:tr>
      <w:tr w14:paraId="48E958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8" w:hRule="atLeast"/>
          <w:jc w:val="center"/>
        </w:trPr>
        <w:tc>
          <w:tcPr>
            <w:tcW w:w="1394" w:type="pct"/>
            <w:vAlign w:val="center"/>
          </w:tcPr>
          <w:p w14:paraId="0F57C334">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100-500万元</w:t>
            </w:r>
          </w:p>
        </w:tc>
        <w:tc>
          <w:tcPr>
            <w:tcW w:w="831" w:type="pct"/>
            <w:vAlign w:val="center"/>
          </w:tcPr>
          <w:p w14:paraId="34E85059">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1.1%</w:t>
            </w:r>
          </w:p>
        </w:tc>
        <w:tc>
          <w:tcPr>
            <w:tcW w:w="1330" w:type="pct"/>
            <w:vAlign w:val="center"/>
          </w:tcPr>
          <w:p w14:paraId="4F5F317C">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0.8%</w:t>
            </w:r>
          </w:p>
        </w:tc>
        <w:tc>
          <w:tcPr>
            <w:tcW w:w="1446" w:type="pct"/>
            <w:vAlign w:val="center"/>
          </w:tcPr>
          <w:p w14:paraId="11FA4302">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0.7%</w:t>
            </w:r>
          </w:p>
        </w:tc>
      </w:tr>
      <w:tr w14:paraId="6B8DA0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1" w:hRule="atLeast"/>
          <w:jc w:val="center"/>
        </w:trPr>
        <w:tc>
          <w:tcPr>
            <w:tcW w:w="1394" w:type="pct"/>
            <w:vAlign w:val="center"/>
          </w:tcPr>
          <w:p w14:paraId="3B0274B8">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500-1000万元</w:t>
            </w:r>
          </w:p>
        </w:tc>
        <w:tc>
          <w:tcPr>
            <w:tcW w:w="831" w:type="pct"/>
            <w:vAlign w:val="center"/>
          </w:tcPr>
          <w:p w14:paraId="6844824B">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0.8%</w:t>
            </w:r>
          </w:p>
        </w:tc>
        <w:tc>
          <w:tcPr>
            <w:tcW w:w="1330" w:type="pct"/>
            <w:vAlign w:val="center"/>
          </w:tcPr>
          <w:p w14:paraId="27477414">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0.45%</w:t>
            </w:r>
          </w:p>
        </w:tc>
        <w:tc>
          <w:tcPr>
            <w:tcW w:w="1446" w:type="pct"/>
            <w:vAlign w:val="center"/>
          </w:tcPr>
          <w:p w14:paraId="7B3CEE44">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0.55%</w:t>
            </w:r>
          </w:p>
        </w:tc>
      </w:tr>
      <w:tr w14:paraId="16B461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7" w:hRule="atLeast"/>
          <w:jc w:val="center"/>
        </w:trPr>
        <w:tc>
          <w:tcPr>
            <w:tcW w:w="1394" w:type="pct"/>
            <w:vAlign w:val="center"/>
          </w:tcPr>
          <w:p w14:paraId="33434FB9">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1000-5000万元</w:t>
            </w:r>
          </w:p>
        </w:tc>
        <w:tc>
          <w:tcPr>
            <w:tcW w:w="831" w:type="pct"/>
            <w:vAlign w:val="center"/>
          </w:tcPr>
          <w:p w14:paraId="38563D0E">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 xml:space="preserve">0.5%                </w:t>
            </w:r>
          </w:p>
        </w:tc>
        <w:tc>
          <w:tcPr>
            <w:tcW w:w="1330" w:type="pct"/>
            <w:vAlign w:val="center"/>
          </w:tcPr>
          <w:p w14:paraId="5F711B8C">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0.25%</w:t>
            </w:r>
          </w:p>
        </w:tc>
        <w:tc>
          <w:tcPr>
            <w:tcW w:w="1446" w:type="pct"/>
            <w:vAlign w:val="center"/>
          </w:tcPr>
          <w:p w14:paraId="113AC56B">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0.35%</w:t>
            </w:r>
          </w:p>
        </w:tc>
      </w:tr>
      <w:tr w14:paraId="0A073A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8" w:hRule="atLeast"/>
          <w:jc w:val="center"/>
        </w:trPr>
        <w:tc>
          <w:tcPr>
            <w:tcW w:w="1394" w:type="pct"/>
            <w:vAlign w:val="center"/>
          </w:tcPr>
          <w:p w14:paraId="210D5E38">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5000万元-1亿元</w:t>
            </w:r>
          </w:p>
        </w:tc>
        <w:tc>
          <w:tcPr>
            <w:tcW w:w="831" w:type="pct"/>
            <w:vAlign w:val="center"/>
          </w:tcPr>
          <w:p w14:paraId="18E44158">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 xml:space="preserve">0.25%                 </w:t>
            </w:r>
          </w:p>
        </w:tc>
        <w:tc>
          <w:tcPr>
            <w:tcW w:w="1330" w:type="pct"/>
            <w:vAlign w:val="center"/>
          </w:tcPr>
          <w:p w14:paraId="07AB8CE3">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0.1%</w:t>
            </w:r>
          </w:p>
        </w:tc>
        <w:tc>
          <w:tcPr>
            <w:tcW w:w="1446" w:type="pct"/>
            <w:vAlign w:val="center"/>
          </w:tcPr>
          <w:p w14:paraId="5B48919E">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0.2%</w:t>
            </w:r>
          </w:p>
        </w:tc>
      </w:tr>
      <w:tr w14:paraId="0ECF05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4" w:hRule="atLeast"/>
          <w:jc w:val="center"/>
        </w:trPr>
        <w:tc>
          <w:tcPr>
            <w:tcW w:w="1394" w:type="pct"/>
            <w:vAlign w:val="center"/>
          </w:tcPr>
          <w:p w14:paraId="5251CF7C">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1-5亿元</w:t>
            </w:r>
          </w:p>
        </w:tc>
        <w:tc>
          <w:tcPr>
            <w:tcW w:w="831" w:type="pct"/>
            <w:vAlign w:val="center"/>
          </w:tcPr>
          <w:p w14:paraId="2791B106">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0.05%</w:t>
            </w:r>
          </w:p>
        </w:tc>
        <w:tc>
          <w:tcPr>
            <w:tcW w:w="1330" w:type="pct"/>
            <w:vAlign w:val="center"/>
          </w:tcPr>
          <w:p w14:paraId="1B40F904">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0.05%</w:t>
            </w:r>
          </w:p>
        </w:tc>
        <w:tc>
          <w:tcPr>
            <w:tcW w:w="1446" w:type="pct"/>
            <w:vAlign w:val="center"/>
          </w:tcPr>
          <w:p w14:paraId="269DCD05">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0.05%</w:t>
            </w:r>
          </w:p>
        </w:tc>
      </w:tr>
      <w:tr w14:paraId="2F716F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11" w:hRule="atLeast"/>
          <w:jc w:val="center"/>
        </w:trPr>
        <w:tc>
          <w:tcPr>
            <w:tcW w:w="1394" w:type="pct"/>
            <w:vAlign w:val="center"/>
          </w:tcPr>
          <w:p w14:paraId="3725BE8F">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5-10亿元</w:t>
            </w:r>
          </w:p>
        </w:tc>
        <w:tc>
          <w:tcPr>
            <w:tcW w:w="831" w:type="pct"/>
            <w:vAlign w:val="center"/>
          </w:tcPr>
          <w:p w14:paraId="3E0C5342">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0.035%</w:t>
            </w:r>
          </w:p>
        </w:tc>
        <w:tc>
          <w:tcPr>
            <w:tcW w:w="1330" w:type="pct"/>
            <w:vAlign w:val="center"/>
          </w:tcPr>
          <w:p w14:paraId="79E2E69C">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0.035%</w:t>
            </w:r>
          </w:p>
        </w:tc>
        <w:tc>
          <w:tcPr>
            <w:tcW w:w="1446" w:type="pct"/>
            <w:vAlign w:val="center"/>
          </w:tcPr>
          <w:p w14:paraId="10B5F47F">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0.035%</w:t>
            </w:r>
          </w:p>
        </w:tc>
      </w:tr>
      <w:tr w14:paraId="59EE44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3" w:hRule="atLeast"/>
          <w:jc w:val="center"/>
        </w:trPr>
        <w:tc>
          <w:tcPr>
            <w:tcW w:w="1394" w:type="pct"/>
            <w:vAlign w:val="center"/>
          </w:tcPr>
          <w:p w14:paraId="2DCF404B">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10-50亿元</w:t>
            </w:r>
          </w:p>
        </w:tc>
        <w:tc>
          <w:tcPr>
            <w:tcW w:w="831" w:type="pct"/>
            <w:vAlign w:val="center"/>
          </w:tcPr>
          <w:p w14:paraId="02E238F8">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0.008%</w:t>
            </w:r>
          </w:p>
        </w:tc>
        <w:tc>
          <w:tcPr>
            <w:tcW w:w="1330" w:type="pct"/>
            <w:vAlign w:val="center"/>
          </w:tcPr>
          <w:p w14:paraId="3BB02CA7">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0.008%</w:t>
            </w:r>
          </w:p>
        </w:tc>
        <w:tc>
          <w:tcPr>
            <w:tcW w:w="1446" w:type="pct"/>
            <w:vAlign w:val="center"/>
          </w:tcPr>
          <w:p w14:paraId="70ADE31A">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0.008%</w:t>
            </w:r>
          </w:p>
        </w:tc>
      </w:tr>
      <w:tr w14:paraId="3FE652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8" w:hRule="atLeast"/>
          <w:jc w:val="center"/>
        </w:trPr>
        <w:tc>
          <w:tcPr>
            <w:tcW w:w="1394" w:type="pct"/>
            <w:vAlign w:val="center"/>
          </w:tcPr>
          <w:p w14:paraId="24C787B2">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50-100亿元</w:t>
            </w:r>
          </w:p>
        </w:tc>
        <w:tc>
          <w:tcPr>
            <w:tcW w:w="831" w:type="pct"/>
            <w:vAlign w:val="center"/>
          </w:tcPr>
          <w:p w14:paraId="15AD884A">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0.006%</w:t>
            </w:r>
          </w:p>
        </w:tc>
        <w:tc>
          <w:tcPr>
            <w:tcW w:w="1330" w:type="pct"/>
            <w:vAlign w:val="center"/>
          </w:tcPr>
          <w:p w14:paraId="3D524371">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0.006%</w:t>
            </w:r>
          </w:p>
        </w:tc>
        <w:tc>
          <w:tcPr>
            <w:tcW w:w="1446" w:type="pct"/>
            <w:vAlign w:val="center"/>
          </w:tcPr>
          <w:p w14:paraId="17F2279C">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0.006%</w:t>
            </w:r>
          </w:p>
        </w:tc>
      </w:tr>
      <w:tr w14:paraId="06A12D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05" w:hRule="atLeast"/>
          <w:jc w:val="center"/>
        </w:trPr>
        <w:tc>
          <w:tcPr>
            <w:tcW w:w="1394" w:type="pct"/>
            <w:vAlign w:val="center"/>
          </w:tcPr>
          <w:p w14:paraId="01EB85A2">
            <w:pPr>
              <w:jc w:val="center"/>
              <w:rPr>
                <w:rFonts w:ascii="黑体" w:hAnsi="黑体" w:eastAsia="黑体"/>
                <w:color w:val="000000" w:themeColor="text1"/>
                <w14:textFill>
                  <w14:solidFill>
                    <w14:schemeClr w14:val="tx1"/>
                  </w14:solidFill>
                </w14:textFill>
              </w:rPr>
            </w:pPr>
            <w:r>
              <w:rPr>
                <w:rFonts w:ascii="黑体" w:hAnsi="黑体" w:eastAsia="黑体"/>
                <w:color w:val="000000" w:themeColor="text1"/>
                <w14:textFill>
                  <w14:solidFill>
                    <w14:schemeClr w14:val="tx1"/>
                  </w14:solidFill>
                </w14:textFill>
              </w:rPr>
              <w:t>100亿以上</w:t>
            </w:r>
          </w:p>
        </w:tc>
        <w:tc>
          <w:tcPr>
            <w:tcW w:w="831" w:type="pct"/>
            <w:vAlign w:val="center"/>
          </w:tcPr>
          <w:p w14:paraId="43723FF0">
            <w:pPr>
              <w:jc w:val="center"/>
              <w:rPr>
                <w:rFonts w:ascii="黑体" w:hAnsi="黑体" w:eastAsia="黑体"/>
                <w:color w:val="000000" w:themeColor="text1"/>
                <w14:textFill>
                  <w14:solidFill>
                    <w14:schemeClr w14:val="tx1"/>
                  </w14:solidFill>
                </w14:textFill>
              </w:rPr>
            </w:pPr>
            <w:r>
              <w:rPr>
                <w:rFonts w:ascii="黑体" w:hAnsi="黑体" w:eastAsia="黑体"/>
                <w:color w:val="000000" w:themeColor="text1"/>
                <w14:textFill>
                  <w14:solidFill>
                    <w14:schemeClr w14:val="tx1"/>
                  </w14:solidFill>
                </w14:textFill>
              </w:rPr>
              <w:t>0.004%</w:t>
            </w:r>
          </w:p>
        </w:tc>
        <w:tc>
          <w:tcPr>
            <w:tcW w:w="1330" w:type="pct"/>
            <w:vAlign w:val="center"/>
          </w:tcPr>
          <w:p w14:paraId="110BBADA">
            <w:pPr>
              <w:jc w:val="center"/>
              <w:rPr>
                <w:rFonts w:ascii="黑体" w:hAnsi="黑体" w:eastAsia="黑体"/>
                <w:color w:val="000000" w:themeColor="text1"/>
                <w14:textFill>
                  <w14:solidFill>
                    <w14:schemeClr w14:val="tx1"/>
                  </w14:solidFill>
                </w14:textFill>
              </w:rPr>
            </w:pPr>
            <w:r>
              <w:rPr>
                <w:rFonts w:ascii="黑体" w:hAnsi="黑体" w:eastAsia="黑体"/>
                <w:color w:val="000000" w:themeColor="text1"/>
                <w14:textFill>
                  <w14:solidFill>
                    <w14:schemeClr w14:val="tx1"/>
                  </w14:solidFill>
                </w14:textFill>
              </w:rPr>
              <w:t>0.004%</w:t>
            </w:r>
          </w:p>
        </w:tc>
        <w:tc>
          <w:tcPr>
            <w:tcW w:w="1446" w:type="pct"/>
            <w:vAlign w:val="center"/>
          </w:tcPr>
          <w:p w14:paraId="0A0BED74">
            <w:pPr>
              <w:jc w:val="center"/>
              <w:rPr>
                <w:rFonts w:ascii="黑体" w:hAnsi="黑体" w:eastAsia="黑体"/>
                <w:color w:val="000000" w:themeColor="text1"/>
                <w14:textFill>
                  <w14:solidFill>
                    <w14:schemeClr w14:val="tx1"/>
                  </w14:solidFill>
                </w14:textFill>
              </w:rPr>
            </w:pPr>
            <w:r>
              <w:rPr>
                <w:rFonts w:ascii="黑体" w:hAnsi="黑体" w:eastAsia="黑体"/>
                <w:color w:val="000000" w:themeColor="text1"/>
                <w14:textFill>
                  <w14:solidFill>
                    <w14:schemeClr w14:val="tx1"/>
                  </w14:solidFill>
                </w14:textFill>
              </w:rPr>
              <w:t>0.004%</w:t>
            </w:r>
          </w:p>
        </w:tc>
      </w:tr>
    </w:tbl>
    <w:p w14:paraId="7063B69F">
      <w:pPr>
        <w:pStyle w:val="29"/>
        <w:numPr>
          <w:ilvl w:val="0"/>
          <w:numId w:val="91"/>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招标代理服务费按差额定率累进法计算</w:t>
      </w:r>
      <w:r>
        <w:rPr>
          <w:rFonts w:hint="eastAsia" w:ascii="黑体" w:hAnsi="黑体" w:eastAsia="黑体"/>
          <w:bCs/>
          <w:color w:val="000000" w:themeColor="text1"/>
          <w:szCs w:val="21"/>
          <w14:textFill>
            <w14:solidFill>
              <w14:schemeClr w14:val="tx1"/>
            </w14:solidFill>
          </w14:textFill>
        </w:rPr>
        <w:t>。</w:t>
      </w:r>
    </w:p>
    <w:p w14:paraId="3C61D63E">
      <w:pPr>
        <w:pStyle w:val="29"/>
        <w:numPr>
          <w:ilvl w:val="0"/>
          <w:numId w:val="91"/>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招标代理服务费币种为人民币</w:t>
      </w:r>
      <w:r>
        <w:rPr>
          <w:rFonts w:hint="eastAsia" w:ascii="黑体" w:hAnsi="黑体" w:eastAsia="黑体"/>
          <w:bCs/>
          <w:color w:val="000000" w:themeColor="text1"/>
          <w:szCs w:val="21"/>
          <w14:textFill>
            <w14:solidFill>
              <w14:schemeClr w14:val="tx1"/>
            </w14:solidFill>
          </w14:textFill>
        </w:rPr>
        <w:t>。</w:t>
      </w:r>
    </w:p>
    <w:p w14:paraId="1064D255">
      <w:pPr>
        <w:pStyle w:val="29"/>
        <w:numPr>
          <w:ilvl w:val="0"/>
          <w:numId w:val="91"/>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招标服务费只收现金、银行转账或电汇。</w:t>
      </w:r>
    </w:p>
    <w:p w14:paraId="06E5B723">
      <w:pPr>
        <w:pStyle w:val="29"/>
        <w:numPr>
          <w:ilvl w:val="0"/>
          <w:numId w:val="91"/>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招标代理服务费收取</w:t>
      </w:r>
      <w:r>
        <w:rPr>
          <w:rFonts w:hint="eastAsia" w:ascii="黑体" w:hAnsi="黑体" w:eastAsia="黑体"/>
          <w:bCs/>
          <w:color w:val="000000" w:themeColor="text1"/>
          <w:szCs w:val="21"/>
          <w14:textFill>
            <w14:solidFill>
              <w14:schemeClr w14:val="tx1"/>
            </w14:solidFill>
          </w14:textFill>
        </w:rPr>
        <w:t>账户：</w:t>
      </w:r>
    </w:p>
    <w:p w14:paraId="35AF6C4B">
      <w:pPr>
        <w:pStyle w:val="29"/>
        <w:spacing w:line="360" w:lineRule="auto"/>
        <w:ind w:firstLine="567" w:firstLineChars="270"/>
        <w:rPr>
          <w:rFonts w:ascii="黑体" w:hAnsi="黑体" w:eastAsia="黑体"/>
          <w:bCs/>
          <w:szCs w:val="21"/>
        </w:rPr>
      </w:pPr>
      <w:r>
        <w:rPr>
          <w:rFonts w:ascii="黑体" w:hAnsi="黑体" w:eastAsia="黑体"/>
          <w:bCs/>
          <w:szCs w:val="21"/>
        </w:rPr>
        <w:t>收款单位名称：</w:t>
      </w:r>
      <w:r>
        <w:rPr>
          <w:rFonts w:hint="eastAsia" w:ascii="黑体" w:hAnsi="黑体" w:eastAsia="黑体"/>
          <w:bCs/>
          <w:szCs w:val="21"/>
        </w:rPr>
        <w:t>广东有德招标采购有限公司东莞分公司</w:t>
      </w:r>
    </w:p>
    <w:p w14:paraId="25DA4407">
      <w:pPr>
        <w:pStyle w:val="29"/>
        <w:spacing w:line="360" w:lineRule="auto"/>
        <w:ind w:firstLine="567" w:firstLineChars="270"/>
        <w:rPr>
          <w:rFonts w:ascii="黑体" w:hAnsi="黑体" w:eastAsia="黑体"/>
          <w:bCs/>
          <w:szCs w:val="21"/>
        </w:rPr>
      </w:pPr>
      <w:r>
        <w:rPr>
          <w:rFonts w:ascii="黑体" w:hAnsi="黑体" w:eastAsia="黑体"/>
          <w:bCs/>
          <w:szCs w:val="21"/>
        </w:rPr>
        <w:t>开户银行：</w:t>
      </w:r>
      <w:r>
        <w:rPr>
          <w:rFonts w:hint="eastAsia" w:ascii="黑体" w:hAnsi="黑体" w:eastAsia="黑体"/>
          <w:bCs/>
          <w:szCs w:val="21"/>
        </w:rPr>
        <w:t>中国建设银行股份有限公司东莞南城支行</w:t>
      </w:r>
    </w:p>
    <w:p w14:paraId="41707EA9">
      <w:pPr>
        <w:pStyle w:val="29"/>
        <w:spacing w:line="360" w:lineRule="auto"/>
        <w:ind w:firstLine="567" w:firstLineChars="270"/>
        <w:rPr>
          <w:rFonts w:ascii="黑体" w:hAnsi="黑体" w:eastAsia="黑体"/>
          <w:bCs/>
          <w:szCs w:val="21"/>
        </w:rPr>
      </w:pPr>
      <w:r>
        <w:rPr>
          <w:rFonts w:ascii="黑体" w:hAnsi="黑体" w:eastAsia="黑体"/>
          <w:bCs/>
          <w:szCs w:val="21"/>
        </w:rPr>
        <w:t>收款账号：44001776040053011261</w:t>
      </w:r>
    </w:p>
    <w:p w14:paraId="13B7E321">
      <w:pPr>
        <w:pStyle w:val="29"/>
        <w:numPr>
          <w:ilvl w:val="0"/>
          <w:numId w:val="46"/>
        </w:numPr>
        <w:spacing w:before="312" w:beforeLines="100" w:line="360" w:lineRule="auto"/>
        <w:ind w:firstLineChars="0"/>
        <w:rPr>
          <w:rFonts w:ascii="黑体" w:hAnsi="黑体" w:eastAsia="黑体"/>
          <w:b/>
          <w:color w:val="auto"/>
        </w:rPr>
      </w:pPr>
      <w:r>
        <w:rPr>
          <w:rFonts w:hint="eastAsia" w:ascii="黑体" w:hAnsi="黑体" w:eastAsia="黑体"/>
          <w:b/>
          <w:color w:val="auto"/>
        </w:rPr>
        <w:t>招标文件符号说明</w:t>
      </w:r>
    </w:p>
    <w:p w14:paraId="10911247">
      <w:pPr>
        <w:pStyle w:val="29"/>
        <w:numPr>
          <w:ilvl w:val="0"/>
          <w:numId w:val="92"/>
        </w:numPr>
        <w:spacing w:line="360" w:lineRule="auto"/>
        <w:ind w:left="567" w:hanging="567" w:firstLineChars="0"/>
        <w:rPr>
          <w:rFonts w:ascii="黑体" w:hAnsi="黑体" w:eastAsia="黑体"/>
          <w:bCs/>
          <w:color w:val="auto"/>
          <w:szCs w:val="21"/>
        </w:rPr>
      </w:pPr>
      <w:r>
        <w:rPr>
          <w:rFonts w:hint="eastAsia" w:ascii="黑体" w:hAnsi="黑体" w:eastAsia="黑体"/>
          <w:bCs/>
          <w:color w:val="auto"/>
          <w:szCs w:val="21"/>
        </w:rPr>
        <w:t>招标文件中，打“★”号条款为实质性条款，若有任何一条负偏离或不满足则导致投标无效。打“▲”号条款为重要技术参数，若有部分“▲”条款未响应或不满足，将根据评审要求影响其得分，但不作为无效投标条款。打“◆</w:t>
      </w:r>
      <w:r>
        <w:rPr>
          <w:rFonts w:ascii="黑体" w:hAnsi="黑体" w:eastAsia="黑体"/>
          <w:bCs/>
          <w:color w:val="auto"/>
          <w:szCs w:val="21"/>
        </w:rPr>
        <w:t>”</w:t>
      </w:r>
      <w:r>
        <w:rPr>
          <w:rFonts w:hint="eastAsia" w:ascii="黑体" w:hAnsi="黑体" w:eastAsia="黑体"/>
          <w:bCs/>
          <w:color w:val="auto"/>
          <w:szCs w:val="21"/>
        </w:rPr>
        <w:t>号条款为核心产品。</w:t>
      </w:r>
    </w:p>
    <w:p w14:paraId="2876E47E">
      <w:pPr>
        <w:pageBreakBefore/>
        <w:rPr>
          <w:rFonts w:ascii="黑体" w:hAnsi="黑体" w:eastAsia="黑体"/>
        </w:rPr>
      </w:pPr>
      <w:bookmarkStart w:id="39" w:name="_Toc515363625"/>
      <w:bookmarkStart w:id="40" w:name="_Toc515040753"/>
      <w:r>
        <w:rPr>
          <w:rFonts w:hint="eastAsia" w:ascii="黑体" w:hAnsi="黑体" w:eastAsia="黑体"/>
        </w:rPr>
        <w:t>附件1  询问函格式</w:t>
      </w:r>
      <w:bookmarkEnd w:id="39"/>
      <w:bookmarkEnd w:id="40"/>
    </w:p>
    <w:p w14:paraId="7428802D">
      <w:pPr>
        <w:spacing w:before="312" w:beforeLines="100" w:after="312" w:afterLines="100"/>
        <w:jc w:val="center"/>
        <w:rPr>
          <w:rFonts w:ascii="黑体" w:hAnsi="黑体" w:eastAsia="黑体" w:cs="Times New Roman"/>
          <w:b/>
          <w:bCs/>
          <w:color w:val="000000" w:themeColor="text1"/>
          <w:spacing w:val="20"/>
          <w:sz w:val="28"/>
          <w:szCs w:val="28"/>
          <w14:textFill>
            <w14:solidFill>
              <w14:schemeClr w14:val="tx1"/>
            </w14:solidFill>
          </w14:textFill>
        </w:rPr>
      </w:pPr>
      <w:r>
        <w:rPr>
          <w:rFonts w:hint="eastAsia" w:ascii="黑体" w:hAnsi="黑体" w:eastAsia="黑体" w:cs="Times New Roman"/>
          <w:b/>
          <w:bCs/>
          <w:color w:val="000000" w:themeColor="text1"/>
          <w:spacing w:val="20"/>
          <w:sz w:val="28"/>
          <w:szCs w:val="28"/>
          <w14:textFill>
            <w14:solidFill>
              <w14:schemeClr w14:val="tx1"/>
            </w14:solidFill>
          </w14:textFill>
        </w:rPr>
        <w:t>询问函</w:t>
      </w:r>
    </w:p>
    <w:p w14:paraId="50CA2659">
      <w:pPr>
        <w:widowControl/>
        <w:adjustRightInd w:val="0"/>
        <w:spacing w:after="156" w:afterLines="50" w:line="360" w:lineRule="auto"/>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u w:val="single"/>
          <w14:textFill>
            <w14:solidFill>
              <w14:schemeClr w14:val="tx1"/>
            </w14:solidFill>
          </w14:textFill>
        </w:rPr>
        <w:t>广东有德招标采购有限公司</w:t>
      </w:r>
      <w:r>
        <w:rPr>
          <w:rFonts w:hint="eastAsia" w:ascii="黑体" w:hAnsi="黑体" w:eastAsia="黑体"/>
          <w:color w:val="000000" w:themeColor="text1"/>
          <w:szCs w:val="21"/>
          <w14:textFill>
            <w14:solidFill>
              <w14:schemeClr w14:val="tx1"/>
            </w14:solidFill>
          </w14:textFill>
        </w:rPr>
        <w:t>：</w:t>
      </w:r>
    </w:p>
    <w:p w14:paraId="762E02AA">
      <w:pPr>
        <w:widowControl/>
        <w:tabs>
          <w:tab w:val="left" w:pos="6300"/>
        </w:tabs>
        <w:adjustRightInd w:val="0"/>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我单位已获取招标文件并准备参与</w:t>
      </w:r>
      <w:r>
        <w:rPr>
          <w:rFonts w:ascii="黑体" w:hAnsi="黑体" w:eastAsia="黑体"/>
          <w:i/>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项目（项目编号</w:t>
      </w:r>
      <w:r>
        <w:rPr>
          <w:rFonts w:hint="eastAsia" w:ascii="黑体" w:hAnsi="黑体" w:eastAsia="黑体"/>
          <w:color w:val="000000" w:themeColor="text1"/>
          <w:szCs w:val="21"/>
          <w:u w:val="single"/>
          <w14:textFill>
            <w14:solidFill>
              <w14:schemeClr w14:val="tx1"/>
            </w14:solidFill>
          </w14:textFill>
        </w:rPr>
        <w:t>：</w:t>
      </w:r>
      <w:r>
        <w:rPr>
          <w:rFonts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）的投标（或报价）活动，现有以下几个内容（或条款）存在疑问（或无法理解），特提出询问。</w:t>
      </w:r>
    </w:p>
    <w:p w14:paraId="5E2927E5">
      <w:pPr>
        <w:widowControl/>
        <w:tabs>
          <w:tab w:val="center" w:pos="5019"/>
        </w:tabs>
        <w:adjustRightInd w:val="0"/>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一、</w:t>
      </w:r>
      <w:r>
        <w:rPr>
          <w:rFonts w:ascii="黑体" w:hAnsi="黑体" w:eastAsia="黑体"/>
          <w:color w:val="000000" w:themeColor="text1"/>
          <w:szCs w:val="21"/>
          <w:u w:val="single"/>
          <w14:textFill>
            <w14:solidFill>
              <w14:schemeClr w14:val="tx1"/>
            </w14:solidFill>
          </w14:textFill>
        </w:rPr>
        <w:t xml:space="preserve">                        </w:t>
      </w:r>
      <w:r>
        <w:rPr>
          <w:rFonts w:ascii="黑体" w:hAnsi="黑体" w:eastAsia="黑体"/>
          <w:color w:val="000000" w:themeColor="text1"/>
          <w:szCs w:val="21"/>
          <w14:textFill>
            <w14:solidFill>
              <w14:schemeClr w14:val="tx1"/>
            </w14:solidFill>
          </w14:textFill>
        </w:rPr>
        <w:t>（事项一）</w:t>
      </w:r>
      <w:r>
        <w:rPr>
          <w:rFonts w:ascii="黑体" w:hAnsi="黑体" w:eastAsia="黑体"/>
          <w:color w:val="000000" w:themeColor="text1"/>
          <w:szCs w:val="21"/>
          <w14:textFill>
            <w14:solidFill>
              <w14:schemeClr w14:val="tx1"/>
            </w14:solidFill>
          </w14:textFill>
        </w:rPr>
        <w:tab/>
      </w:r>
    </w:p>
    <w:p w14:paraId="6BEC6B02">
      <w:pPr>
        <w:widowControl/>
        <w:tabs>
          <w:tab w:val="left" w:pos="6300"/>
        </w:tabs>
        <w:adjustRightInd w:val="0"/>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w:t>
      </w:r>
      <w:r>
        <w:rPr>
          <w:rFonts w:ascii="黑体" w:hAnsi="黑体" w:eastAsia="黑体"/>
          <w:color w:val="000000" w:themeColor="text1"/>
          <w:szCs w:val="21"/>
          <w14:textFill>
            <w14:solidFill>
              <w14:schemeClr w14:val="tx1"/>
            </w14:solidFill>
          </w14:textFill>
        </w:rPr>
        <w:t>1）</w:t>
      </w:r>
      <w:r>
        <w:rPr>
          <w:rFonts w:ascii="黑体" w:hAnsi="黑体" w:eastAsia="黑体"/>
          <w:color w:val="000000" w:themeColor="text1"/>
          <w:szCs w:val="21"/>
          <w:u w:val="single"/>
          <w14:textFill>
            <w14:solidFill>
              <w14:schemeClr w14:val="tx1"/>
            </w14:solidFill>
          </w14:textFill>
        </w:rPr>
        <w:t xml:space="preserve">                       </w:t>
      </w:r>
      <w:r>
        <w:rPr>
          <w:rFonts w:ascii="黑体" w:hAnsi="黑体" w:eastAsia="黑体"/>
          <w:color w:val="000000" w:themeColor="text1"/>
          <w:szCs w:val="21"/>
          <w14:textFill>
            <w14:solidFill>
              <w14:schemeClr w14:val="tx1"/>
            </w14:solidFill>
          </w14:textFill>
        </w:rPr>
        <w:t>（问题或条款内容）</w:t>
      </w:r>
    </w:p>
    <w:p w14:paraId="67D21E5D">
      <w:pPr>
        <w:widowControl/>
        <w:tabs>
          <w:tab w:val="left" w:pos="6300"/>
        </w:tabs>
        <w:adjustRightInd w:val="0"/>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w:t>
      </w:r>
      <w:r>
        <w:rPr>
          <w:rFonts w:ascii="黑体" w:hAnsi="黑体" w:eastAsia="黑体"/>
          <w:color w:val="000000" w:themeColor="text1"/>
          <w:szCs w:val="21"/>
          <w14:textFill>
            <w14:solidFill>
              <w14:schemeClr w14:val="tx1"/>
            </w14:solidFill>
          </w14:textFill>
        </w:rPr>
        <w:t>2）</w:t>
      </w:r>
      <w:r>
        <w:rPr>
          <w:rFonts w:ascii="黑体" w:hAnsi="黑体" w:eastAsia="黑体"/>
          <w:color w:val="000000" w:themeColor="text1"/>
          <w:szCs w:val="21"/>
          <w:u w:val="single"/>
          <w14:textFill>
            <w14:solidFill>
              <w14:schemeClr w14:val="tx1"/>
            </w14:solidFill>
          </w14:textFill>
        </w:rPr>
        <w:t xml:space="preserve">                       </w:t>
      </w:r>
      <w:r>
        <w:rPr>
          <w:rFonts w:ascii="黑体" w:hAnsi="黑体" w:eastAsia="黑体"/>
          <w:color w:val="000000" w:themeColor="text1"/>
          <w:szCs w:val="21"/>
          <w14:textFill>
            <w14:solidFill>
              <w14:schemeClr w14:val="tx1"/>
            </w14:solidFill>
          </w14:textFill>
        </w:rPr>
        <w:t>（说明疑问或无法理解原因）</w:t>
      </w:r>
    </w:p>
    <w:p w14:paraId="02E3D2B2">
      <w:pPr>
        <w:widowControl/>
        <w:tabs>
          <w:tab w:val="left" w:pos="6300"/>
        </w:tabs>
        <w:adjustRightInd w:val="0"/>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w:t>
      </w:r>
      <w:r>
        <w:rPr>
          <w:rFonts w:ascii="黑体" w:hAnsi="黑体" w:eastAsia="黑体"/>
          <w:color w:val="000000" w:themeColor="text1"/>
          <w:szCs w:val="21"/>
          <w14:textFill>
            <w14:solidFill>
              <w14:schemeClr w14:val="tx1"/>
            </w14:solidFill>
          </w14:textFill>
        </w:rPr>
        <w:t>3）</w:t>
      </w:r>
      <w:r>
        <w:rPr>
          <w:rFonts w:ascii="黑体" w:hAnsi="黑体" w:eastAsia="黑体"/>
          <w:color w:val="000000" w:themeColor="text1"/>
          <w:szCs w:val="21"/>
          <w:u w:val="single"/>
          <w14:textFill>
            <w14:solidFill>
              <w14:schemeClr w14:val="tx1"/>
            </w14:solidFill>
          </w14:textFill>
        </w:rPr>
        <w:t xml:space="preserve">                       </w:t>
      </w:r>
      <w:r>
        <w:rPr>
          <w:rFonts w:ascii="黑体" w:hAnsi="黑体" w:eastAsia="黑体"/>
          <w:color w:val="000000" w:themeColor="text1"/>
          <w:szCs w:val="21"/>
          <w14:textFill>
            <w14:solidFill>
              <w14:schemeClr w14:val="tx1"/>
            </w14:solidFill>
          </w14:textFill>
        </w:rPr>
        <w:t>（建议）</w:t>
      </w:r>
    </w:p>
    <w:p w14:paraId="7916A245">
      <w:pPr>
        <w:widowControl/>
        <w:tabs>
          <w:tab w:val="left" w:pos="6300"/>
        </w:tabs>
        <w:adjustRightInd w:val="0"/>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二、</w:t>
      </w:r>
      <w:r>
        <w:rPr>
          <w:rFonts w:ascii="黑体" w:hAnsi="黑体" w:eastAsia="黑体"/>
          <w:color w:val="000000" w:themeColor="text1"/>
          <w:szCs w:val="21"/>
          <w:u w:val="single"/>
          <w14:textFill>
            <w14:solidFill>
              <w14:schemeClr w14:val="tx1"/>
            </w14:solidFill>
          </w14:textFill>
        </w:rPr>
        <w:t xml:space="preserve">                       </w:t>
      </w:r>
      <w:r>
        <w:rPr>
          <w:rFonts w:ascii="黑体" w:hAnsi="黑体" w:eastAsia="黑体"/>
          <w:color w:val="000000" w:themeColor="text1"/>
          <w:szCs w:val="21"/>
          <w14:textFill>
            <w14:solidFill>
              <w14:schemeClr w14:val="tx1"/>
            </w14:solidFill>
          </w14:textFill>
        </w:rPr>
        <w:t xml:space="preserve"> （事项二）</w:t>
      </w:r>
    </w:p>
    <w:p w14:paraId="745C2654">
      <w:pPr>
        <w:widowControl/>
        <w:tabs>
          <w:tab w:val="left" w:pos="6300"/>
        </w:tabs>
        <w:adjustRightInd w:val="0"/>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w:t>
      </w:r>
    </w:p>
    <w:p w14:paraId="0E375FA0">
      <w:pPr>
        <w:widowControl/>
        <w:tabs>
          <w:tab w:val="left" w:pos="6300"/>
        </w:tabs>
        <w:adjustRightInd w:val="0"/>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随附相关证明材料如下：（目录）。</w:t>
      </w:r>
    </w:p>
    <w:p w14:paraId="7D5C4162">
      <w:pPr>
        <w:widowControl/>
        <w:tabs>
          <w:tab w:val="left" w:pos="6300"/>
        </w:tabs>
        <w:adjustRightInd w:val="0"/>
        <w:spacing w:line="360" w:lineRule="auto"/>
        <w:ind w:firstLine="1260" w:firstLineChars="6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询问人：（公章）</w:t>
      </w:r>
    </w:p>
    <w:p w14:paraId="574538A6">
      <w:pPr>
        <w:widowControl/>
        <w:tabs>
          <w:tab w:val="left" w:pos="6300"/>
        </w:tabs>
        <w:adjustRightInd w:val="0"/>
        <w:spacing w:line="360" w:lineRule="auto"/>
        <w:ind w:firstLine="1260" w:firstLineChars="6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法定代表人（授权代表）：</w:t>
      </w:r>
    </w:p>
    <w:p w14:paraId="159B0F73">
      <w:pPr>
        <w:tabs>
          <w:tab w:val="left" w:pos="6300"/>
        </w:tabs>
        <w:adjustRightInd w:val="0"/>
        <w:spacing w:line="360" w:lineRule="auto"/>
        <w:ind w:firstLine="1260" w:firstLineChars="6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地址</w:t>
      </w:r>
      <w:r>
        <w:rPr>
          <w:rFonts w:ascii="黑体" w:hAnsi="黑体" w:eastAsia="黑体"/>
          <w:color w:val="000000" w:themeColor="text1"/>
          <w:szCs w:val="21"/>
          <w14:textFill>
            <w14:solidFill>
              <w14:schemeClr w14:val="tx1"/>
            </w14:solidFill>
          </w14:textFill>
        </w:rPr>
        <w:t>/邮编：</w:t>
      </w:r>
    </w:p>
    <w:p w14:paraId="78AC6BC4">
      <w:pPr>
        <w:tabs>
          <w:tab w:val="left" w:pos="6300"/>
        </w:tabs>
        <w:adjustRightInd w:val="0"/>
        <w:spacing w:line="360" w:lineRule="auto"/>
        <w:ind w:firstLine="1260" w:firstLineChars="6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电话</w:t>
      </w:r>
      <w:r>
        <w:rPr>
          <w:rFonts w:ascii="黑体" w:hAnsi="黑体" w:eastAsia="黑体"/>
          <w:color w:val="000000" w:themeColor="text1"/>
          <w:szCs w:val="21"/>
          <w14:textFill>
            <w14:solidFill>
              <w14:schemeClr w14:val="tx1"/>
            </w14:solidFill>
          </w14:textFill>
        </w:rPr>
        <w:t>/传真：</w:t>
      </w:r>
    </w:p>
    <w:p w14:paraId="09AF38DD">
      <w:pPr>
        <w:adjustRightInd w:val="0"/>
        <w:spacing w:before="624" w:beforeLines="200" w:line="360" w:lineRule="auto"/>
        <w:jc w:val="righ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年</w:t>
      </w:r>
      <w:r>
        <w:rPr>
          <w:rFonts w:ascii="黑体" w:hAnsi="黑体" w:eastAsia="黑体"/>
          <w:color w:val="000000" w:themeColor="text1"/>
          <w:szCs w:val="21"/>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月</w:t>
      </w:r>
      <w:r>
        <w:rPr>
          <w:rFonts w:ascii="黑体" w:hAnsi="黑体" w:eastAsia="黑体"/>
          <w:color w:val="000000" w:themeColor="text1"/>
          <w:szCs w:val="21"/>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日</w:t>
      </w:r>
    </w:p>
    <w:p w14:paraId="2225371A">
      <w:pPr>
        <w:snapToGrid w:val="0"/>
        <w:spacing w:line="360" w:lineRule="auto"/>
        <w:ind w:firstLine="422" w:firstLineChars="201"/>
        <w:rPr>
          <w:rFonts w:ascii="黑体" w:hAnsi="黑体" w:eastAsia="黑体"/>
          <w:color w:val="000000" w:themeColor="text1"/>
          <w:szCs w:val="21"/>
          <w14:textFill>
            <w14:solidFill>
              <w14:schemeClr w14:val="tx1"/>
            </w14:solidFill>
          </w14:textFill>
        </w:rPr>
      </w:pPr>
    </w:p>
    <w:p w14:paraId="08BF987F">
      <w:pPr>
        <w:pageBreakBefore/>
        <w:rPr>
          <w:rFonts w:ascii="黑体" w:hAnsi="黑体" w:eastAsia="黑体"/>
          <w:b/>
        </w:rPr>
      </w:pPr>
      <w:bookmarkStart w:id="41" w:name="_Toc515363626"/>
      <w:bookmarkStart w:id="42" w:name="_Toc515040754"/>
      <w:r>
        <w:rPr>
          <w:rFonts w:hint="eastAsia" w:ascii="黑体" w:hAnsi="黑体" w:eastAsia="黑体"/>
          <w:b/>
        </w:rPr>
        <w:t>附件2  质疑函格式</w:t>
      </w:r>
      <w:bookmarkEnd w:id="41"/>
      <w:bookmarkEnd w:id="42"/>
    </w:p>
    <w:p w14:paraId="3949EE85">
      <w:pPr>
        <w:spacing w:before="312" w:beforeLines="100" w:after="312" w:afterLines="100"/>
        <w:jc w:val="center"/>
        <w:rPr>
          <w:rFonts w:ascii="黑体" w:hAnsi="黑体" w:eastAsia="黑体" w:cs="Times New Roman"/>
          <w:b/>
          <w:color w:val="000000" w:themeColor="text1"/>
          <w:spacing w:val="20"/>
          <w:sz w:val="28"/>
          <w:szCs w:val="28"/>
          <w14:textFill>
            <w14:solidFill>
              <w14:schemeClr w14:val="tx1"/>
            </w14:solidFill>
          </w14:textFill>
        </w:rPr>
      </w:pPr>
      <w:r>
        <w:rPr>
          <w:rFonts w:hint="eastAsia" w:ascii="黑体" w:hAnsi="黑体" w:eastAsia="黑体" w:cs="Times New Roman"/>
          <w:b/>
          <w:color w:val="000000" w:themeColor="text1"/>
          <w:spacing w:val="20"/>
          <w:sz w:val="28"/>
          <w:szCs w:val="28"/>
          <w14:textFill>
            <w14:solidFill>
              <w14:schemeClr w14:val="tx1"/>
            </w14:solidFill>
          </w14:textFill>
        </w:rPr>
        <w:t>质疑函</w:t>
      </w:r>
    </w:p>
    <w:p w14:paraId="64502880">
      <w:pPr>
        <w:adjustRightInd w:val="0"/>
        <w:snapToGrid w:val="0"/>
        <w:spacing w:line="360" w:lineRule="auto"/>
        <w:rPr>
          <w:rFonts w:ascii="黑体" w:hAnsi="黑体" w:eastAsia="黑体" w:cs="仿宋"/>
          <w:bCs/>
          <w:color w:val="000000" w:themeColor="text1"/>
          <w:szCs w:val="21"/>
          <w14:textFill>
            <w14:solidFill>
              <w14:schemeClr w14:val="tx1"/>
            </w14:solidFill>
          </w14:textFill>
        </w:rPr>
      </w:pPr>
      <w:r>
        <w:rPr>
          <w:rFonts w:hint="eastAsia" w:ascii="黑体" w:hAnsi="黑体" w:eastAsia="黑体" w:cs="仿宋"/>
          <w:bCs/>
          <w:color w:val="000000" w:themeColor="text1"/>
          <w:szCs w:val="21"/>
          <w14:textFill>
            <w14:solidFill>
              <w14:schemeClr w14:val="tx1"/>
            </w14:solidFill>
          </w14:textFill>
        </w:rPr>
        <w:t>一、质疑供应商基本信息</w:t>
      </w:r>
    </w:p>
    <w:p w14:paraId="722E9B93">
      <w:pPr>
        <w:adjustRightInd w:val="0"/>
        <w:snapToGrid w:val="0"/>
        <w:spacing w:line="360" w:lineRule="auto"/>
        <w:rPr>
          <w:rFonts w:ascii="黑体" w:hAnsi="黑体" w:eastAsia="黑体" w:cs="仿宋"/>
          <w:color w:val="000000" w:themeColor="text1"/>
          <w:szCs w:val="21"/>
          <w:u w:val="dotted"/>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质疑供应商：</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011357E2">
      <w:pPr>
        <w:adjustRightInd w:val="0"/>
        <w:snapToGrid w:val="0"/>
        <w:spacing w:line="360" w:lineRule="auto"/>
        <w:rPr>
          <w:rFonts w:ascii="黑体" w:hAnsi="黑体" w:eastAsia="黑体" w:cs="仿宋"/>
          <w:color w:val="000000" w:themeColor="text1"/>
          <w:szCs w:val="21"/>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地址：</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14:textFill>
            <w14:solidFill>
              <w14:schemeClr w14:val="tx1"/>
            </w14:solidFill>
          </w14:textFill>
        </w:rPr>
        <w:t>邮编：</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5E1F27C8">
      <w:pPr>
        <w:adjustRightInd w:val="0"/>
        <w:snapToGrid w:val="0"/>
        <w:spacing w:line="360" w:lineRule="auto"/>
        <w:rPr>
          <w:rFonts w:ascii="黑体" w:hAnsi="黑体" w:eastAsia="黑体" w:cs="仿宋"/>
          <w:color w:val="000000" w:themeColor="text1"/>
          <w:szCs w:val="21"/>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联系人：</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14:textFill>
            <w14:solidFill>
              <w14:schemeClr w14:val="tx1"/>
            </w14:solidFill>
          </w14:textFill>
        </w:rPr>
        <w:t>联系电话：</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6C4603B7">
      <w:pPr>
        <w:adjustRightInd w:val="0"/>
        <w:snapToGrid w:val="0"/>
        <w:spacing w:line="360" w:lineRule="auto"/>
        <w:rPr>
          <w:rFonts w:ascii="黑体" w:hAnsi="黑体" w:eastAsia="黑体" w:cs="仿宋"/>
          <w:color w:val="000000" w:themeColor="text1"/>
          <w:szCs w:val="21"/>
          <w:u w:val="dotted"/>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授权代表：</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5509638A">
      <w:pPr>
        <w:adjustRightInd w:val="0"/>
        <w:snapToGrid w:val="0"/>
        <w:spacing w:line="360" w:lineRule="auto"/>
        <w:rPr>
          <w:rFonts w:ascii="黑体" w:hAnsi="黑体" w:eastAsia="黑体" w:cs="仿宋"/>
          <w:b/>
          <w:color w:val="000000" w:themeColor="text1"/>
          <w:szCs w:val="21"/>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联系电话：</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643C79E0">
      <w:pPr>
        <w:adjustRightInd w:val="0"/>
        <w:snapToGrid w:val="0"/>
        <w:spacing w:line="360" w:lineRule="auto"/>
        <w:rPr>
          <w:rFonts w:ascii="黑体" w:hAnsi="黑体" w:eastAsia="黑体" w:cs="仿宋"/>
          <w:b/>
          <w:color w:val="000000" w:themeColor="text1"/>
          <w:szCs w:val="21"/>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地   址：</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14:textFill>
            <w14:solidFill>
              <w14:schemeClr w14:val="tx1"/>
            </w14:solidFill>
          </w14:textFill>
        </w:rPr>
        <w:t>邮编：</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7F1C70EB">
      <w:pPr>
        <w:adjustRightInd w:val="0"/>
        <w:snapToGrid w:val="0"/>
        <w:spacing w:before="156" w:beforeLines="50" w:line="360" w:lineRule="auto"/>
        <w:rPr>
          <w:rFonts w:ascii="黑体" w:hAnsi="黑体" w:eastAsia="黑体" w:cs="仿宋"/>
          <w:bCs/>
          <w:color w:val="000000" w:themeColor="text1"/>
          <w:szCs w:val="21"/>
          <w14:textFill>
            <w14:solidFill>
              <w14:schemeClr w14:val="tx1"/>
            </w14:solidFill>
          </w14:textFill>
        </w:rPr>
      </w:pPr>
      <w:r>
        <w:rPr>
          <w:rFonts w:hint="eastAsia" w:ascii="黑体" w:hAnsi="黑体" w:eastAsia="黑体" w:cs="仿宋"/>
          <w:bCs/>
          <w:color w:val="000000" w:themeColor="text1"/>
          <w:szCs w:val="21"/>
          <w14:textFill>
            <w14:solidFill>
              <w14:schemeClr w14:val="tx1"/>
            </w14:solidFill>
          </w14:textFill>
        </w:rPr>
        <w:t xml:space="preserve">二、质疑项目基本情况 </w:t>
      </w:r>
    </w:p>
    <w:p w14:paraId="0124F2D1">
      <w:pPr>
        <w:adjustRightInd w:val="0"/>
        <w:snapToGrid w:val="0"/>
        <w:spacing w:line="360" w:lineRule="auto"/>
        <w:rPr>
          <w:rFonts w:ascii="黑体" w:hAnsi="黑体" w:eastAsia="黑体" w:cs="仿宋"/>
          <w:color w:val="000000" w:themeColor="text1"/>
          <w:szCs w:val="21"/>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质疑项目的名称：</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0183F0C1">
      <w:pPr>
        <w:adjustRightInd w:val="0"/>
        <w:snapToGrid w:val="0"/>
        <w:spacing w:line="360" w:lineRule="auto"/>
        <w:rPr>
          <w:rFonts w:ascii="黑体" w:hAnsi="黑体" w:eastAsia="黑体" w:cs="仿宋"/>
          <w:color w:val="000000" w:themeColor="text1"/>
          <w:szCs w:val="21"/>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质疑项目的编号：</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14:textFill>
            <w14:solidFill>
              <w14:schemeClr w14:val="tx1"/>
            </w14:solidFill>
          </w14:textFill>
        </w:rPr>
        <w:t>包号：</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3DB7D1C3">
      <w:pPr>
        <w:adjustRightInd w:val="0"/>
        <w:snapToGrid w:val="0"/>
        <w:spacing w:line="360" w:lineRule="auto"/>
        <w:rPr>
          <w:rFonts w:ascii="黑体" w:hAnsi="黑体" w:eastAsia="黑体" w:cs="仿宋"/>
          <w:color w:val="000000" w:themeColor="text1"/>
          <w:szCs w:val="21"/>
          <w:u w:val="single"/>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采购人名称：</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4FF70D46">
      <w:pPr>
        <w:adjustRightInd w:val="0"/>
        <w:snapToGrid w:val="0"/>
        <w:spacing w:line="360" w:lineRule="auto"/>
        <w:rPr>
          <w:rFonts w:ascii="黑体" w:hAnsi="黑体" w:eastAsia="黑体" w:cs="仿宋"/>
          <w:color w:val="000000" w:themeColor="text1"/>
          <w:szCs w:val="21"/>
          <w:u w:val="single"/>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采购文件获取日期：</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53C52972">
      <w:pPr>
        <w:adjustRightInd w:val="0"/>
        <w:snapToGrid w:val="0"/>
        <w:spacing w:before="156" w:beforeLines="50" w:line="360" w:lineRule="auto"/>
        <w:rPr>
          <w:rFonts w:ascii="黑体" w:hAnsi="黑体" w:eastAsia="黑体" w:cs="仿宋"/>
          <w:bCs/>
          <w:color w:val="000000" w:themeColor="text1"/>
          <w:szCs w:val="21"/>
          <w14:textFill>
            <w14:solidFill>
              <w14:schemeClr w14:val="tx1"/>
            </w14:solidFill>
          </w14:textFill>
        </w:rPr>
      </w:pPr>
      <w:r>
        <w:rPr>
          <w:rFonts w:hint="eastAsia" w:ascii="黑体" w:hAnsi="黑体" w:eastAsia="黑体" w:cs="仿宋"/>
          <w:bCs/>
          <w:color w:val="000000" w:themeColor="text1"/>
          <w:szCs w:val="21"/>
          <w14:textFill>
            <w14:solidFill>
              <w14:schemeClr w14:val="tx1"/>
            </w14:solidFill>
          </w14:textFill>
        </w:rPr>
        <w:t>三、质疑事项具体内容</w:t>
      </w:r>
    </w:p>
    <w:p w14:paraId="4DD3CD49">
      <w:pPr>
        <w:adjustRightInd w:val="0"/>
        <w:snapToGrid w:val="0"/>
        <w:spacing w:line="360" w:lineRule="auto"/>
        <w:rPr>
          <w:rFonts w:ascii="黑体" w:hAnsi="黑体" w:eastAsia="黑体" w:cs="仿宋"/>
          <w:color w:val="000000" w:themeColor="text1"/>
          <w:szCs w:val="21"/>
          <w:u w:val="single"/>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质疑事项</w:t>
      </w:r>
      <w:r>
        <w:rPr>
          <w:rFonts w:ascii="黑体" w:hAnsi="黑体" w:eastAsia="黑体" w:cs="仿宋"/>
          <w:color w:val="000000" w:themeColor="text1"/>
          <w:szCs w:val="21"/>
          <w14:textFill>
            <w14:solidFill>
              <w14:schemeClr w14:val="tx1"/>
            </w14:solidFill>
          </w14:textFill>
        </w:rPr>
        <w:t>1：</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51773F50">
      <w:pPr>
        <w:adjustRightInd w:val="0"/>
        <w:snapToGrid w:val="0"/>
        <w:spacing w:line="360" w:lineRule="auto"/>
        <w:rPr>
          <w:rFonts w:ascii="黑体" w:hAnsi="黑体" w:eastAsia="黑体" w:cs="仿宋"/>
          <w:color w:val="000000" w:themeColor="text1"/>
          <w:szCs w:val="21"/>
          <w:u w:val="single"/>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事实依据：</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66C4B913">
      <w:pPr>
        <w:adjustRightInd w:val="0"/>
        <w:snapToGrid w:val="0"/>
        <w:spacing w:line="360" w:lineRule="auto"/>
        <w:rPr>
          <w:rFonts w:ascii="黑体" w:hAnsi="黑体" w:eastAsia="黑体" w:cs="仿宋"/>
          <w:color w:val="000000" w:themeColor="text1"/>
          <w:szCs w:val="21"/>
          <w:u w:val="single"/>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法律依据：</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23FD0604">
      <w:pPr>
        <w:adjustRightInd w:val="0"/>
        <w:snapToGrid w:val="0"/>
        <w:spacing w:line="360" w:lineRule="auto"/>
        <w:rPr>
          <w:rFonts w:ascii="黑体" w:hAnsi="黑体" w:eastAsia="黑体" w:cs="仿宋"/>
          <w:color w:val="000000" w:themeColor="text1"/>
          <w:szCs w:val="21"/>
          <w:u w:val="dotted"/>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质疑事项</w:t>
      </w:r>
      <w:r>
        <w:rPr>
          <w:rFonts w:ascii="黑体" w:hAnsi="黑体" w:eastAsia="黑体" w:cs="仿宋"/>
          <w:color w:val="000000" w:themeColor="text1"/>
          <w:szCs w:val="21"/>
          <w14:textFill>
            <w14:solidFill>
              <w14:schemeClr w14:val="tx1"/>
            </w14:solidFill>
          </w14:textFill>
        </w:rPr>
        <w:t>2</w:t>
      </w:r>
    </w:p>
    <w:p w14:paraId="3CDC8173">
      <w:pPr>
        <w:adjustRightInd w:val="0"/>
        <w:snapToGrid w:val="0"/>
        <w:spacing w:line="360" w:lineRule="auto"/>
        <w:rPr>
          <w:rFonts w:ascii="黑体" w:hAnsi="黑体" w:eastAsia="黑体" w:cs="仿宋"/>
          <w:color w:val="000000" w:themeColor="text1"/>
          <w:szCs w:val="21"/>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w:t>
      </w:r>
    </w:p>
    <w:p w14:paraId="725EE2E1">
      <w:pPr>
        <w:adjustRightInd w:val="0"/>
        <w:snapToGrid w:val="0"/>
        <w:spacing w:line="360" w:lineRule="auto"/>
        <w:rPr>
          <w:rFonts w:ascii="黑体" w:hAnsi="黑体" w:eastAsia="黑体" w:cs="仿宋"/>
          <w:bCs/>
          <w:color w:val="000000" w:themeColor="text1"/>
          <w:szCs w:val="21"/>
          <w14:textFill>
            <w14:solidFill>
              <w14:schemeClr w14:val="tx1"/>
            </w14:solidFill>
          </w14:textFill>
        </w:rPr>
      </w:pPr>
      <w:r>
        <w:rPr>
          <w:rFonts w:hint="eastAsia" w:ascii="黑体" w:hAnsi="黑体" w:eastAsia="黑体" w:cs="仿宋"/>
          <w:bCs/>
          <w:color w:val="000000" w:themeColor="text1"/>
          <w:szCs w:val="21"/>
          <w14:textFill>
            <w14:solidFill>
              <w14:schemeClr w14:val="tx1"/>
            </w14:solidFill>
          </w14:textFill>
        </w:rPr>
        <w:t>四、与质疑事项相关的质疑请求</w:t>
      </w:r>
    </w:p>
    <w:p w14:paraId="3D32C43B">
      <w:pPr>
        <w:adjustRightInd w:val="0"/>
        <w:snapToGrid w:val="0"/>
        <w:spacing w:line="360" w:lineRule="auto"/>
        <w:rPr>
          <w:rFonts w:ascii="黑体" w:hAnsi="黑体" w:eastAsia="黑体" w:cs="仿宋"/>
          <w:color w:val="000000" w:themeColor="text1"/>
          <w:szCs w:val="21"/>
          <w:u w:val="dotted"/>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请求：</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5F9ED3E3">
      <w:pPr>
        <w:adjustRightInd w:val="0"/>
        <w:snapToGrid w:val="0"/>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签字</w:t>
      </w:r>
      <w:r>
        <w:rPr>
          <w:rFonts w:ascii="黑体" w:hAnsi="黑体" w:eastAsia="黑体"/>
          <w:color w:val="000000" w:themeColor="text1"/>
          <w:szCs w:val="21"/>
          <w14:textFill>
            <w14:solidFill>
              <w14:schemeClr w14:val="tx1"/>
            </w14:solidFill>
          </w14:textFill>
        </w:rPr>
        <w:t xml:space="preserve">(签章)：                   公章：                      </w:t>
      </w:r>
    </w:p>
    <w:p w14:paraId="6B339E1A">
      <w:pPr>
        <w:adjustRightInd w:val="0"/>
        <w:snapToGrid w:val="0"/>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日    期：</w:t>
      </w:r>
      <w:r>
        <w:rPr>
          <w:rFonts w:ascii="黑体" w:hAnsi="黑体" w:eastAsia="黑体"/>
          <w:color w:val="000000" w:themeColor="text1"/>
          <w:szCs w:val="21"/>
          <w14:textFill>
            <w14:solidFill>
              <w14:schemeClr w14:val="tx1"/>
            </w14:solidFill>
          </w14:textFill>
        </w:rPr>
        <w:t xml:space="preserve">    </w:t>
      </w:r>
    </w:p>
    <w:p w14:paraId="36454834">
      <w:pPr>
        <w:adjustRightInd w:val="0"/>
        <w:snapToGrid w:val="0"/>
        <w:spacing w:line="360" w:lineRule="auto"/>
        <w:rPr>
          <w:rFonts w:ascii="黑体" w:hAnsi="黑体" w:eastAsia="黑体" w:cs="仿宋"/>
          <w:color w:val="000000" w:themeColor="text1"/>
          <w:szCs w:val="21"/>
          <w14:textFill>
            <w14:solidFill>
              <w14:schemeClr w14:val="tx1"/>
            </w14:solidFill>
          </w14:textFill>
        </w:rPr>
      </w:pPr>
    </w:p>
    <w:p w14:paraId="1AEFB701">
      <w:pPr>
        <w:adjustRightInd w:val="0"/>
        <w:snapToGrid w:val="0"/>
        <w:spacing w:line="360" w:lineRule="auto"/>
        <w:rPr>
          <w:rFonts w:ascii="黑体" w:hAnsi="黑体" w:eastAsia="黑体" w:cs="仿宋"/>
          <w:color w:val="000000" w:themeColor="text1"/>
          <w:szCs w:val="21"/>
          <w14:textFill>
            <w14:solidFill>
              <w14:schemeClr w14:val="tx1"/>
            </w14:solidFill>
          </w14:textFill>
        </w:rPr>
      </w:pPr>
    </w:p>
    <w:p w14:paraId="794C591B">
      <w:pPr>
        <w:adjustRightInd w:val="0"/>
        <w:snapToGrid w:val="0"/>
        <w:spacing w:line="360" w:lineRule="auto"/>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质疑函制作说明：</w:t>
      </w:r>
    </w:p>
    <w:p w14:paraId="01036669">
      <w:pPr>
        <w:pStyle w:val="29"/>
        <w:widowControl/>
        <w:numPr>
          <w:ilvl w:val="0"/>
          <w:numId w:val="93"/>
        </w:numPr>
        <w:adjustRightInd w:val="0"/>
        <w:snapToGrid w:val="0"/>
        <w:spacing w:line="360" w:lineRule="auto"/>
        <w:ind w:firstLineChars="0"/>
        <w:jc w:val="left"/>
        <w:rPr>
          <w:rFonts w:ascii="黑体" w:hAnsi="黑体" w:eastAsia="黑体"/>
          <w:b/>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供应商提出质疑时，应提交质疑函和必要的证明材料。</w:t>
      </w:r>
    </w:p>
    <w:p w14:paraId="7A7C7886">
      <w:pPr>
        <w:pStyle w:val="29"/>
        <w:widowControl/>
        <w:numPr>
          <w:ilvl w:val="0"/>
          <w:numId w:val="93"/>
        </w:numPr>
        <w:adjustRightInd w:val="0"/>
        <w:snapToGrid w:val="0"/>
        <w:spacing w:line="360" w:lineRule="auto"/>
        <w:ind w:firstLineChars="0"/>
        <w:jc w:val="left"/>
        <w:rPr>
          <w:rFonts w:ascii="黑体" w:hAnsi="黑体" w:eastAsia="黑体"/>
          <w:b/>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1428973B">
      <w:pPr>
        <w:pStyle w:val="29"/>
        <w:widowControl/>
        <w:numPr>
          <w:ilvl w:val="0"/>
          <w:numId w:val="93"/>
        </w:numPr>
        <w:adjustRightInd w:val="0"/>
        <w:snapToGrid w:val="0"/>
        <w:spacing w:line="360" w:lineRule="auto"/>
        <w:ind w:firstLineChars="0"/>
        <w:jc w:val="left"/>
        <w:rPr>
          <w:rFonts w:ascii="黑体" w:hAnsi="黑体" w:eastAsia="黑体"/>
          <w:b/>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质疑供应商若对项目的某一分包进行质疑，质疑函中应列明具体分包号。</w:t>
      </w:r>
    </w:p>
    <w:p w14:paraId="743E7CAF">
      <w:pPr>
        <w:pStyle w:val="29"/>
        <w:widowControl/>
        <w:numPr>
          <w:ilvl w:val="0"/>
          <w:numId w:val="93"/>
        </w:numPr>
        <w:adjustRightInd w:val="0"/>
        <w:snapToGrid w:val="0"/>
        <w:spacing w:line="360" w:lineRule="auto"/>
        <w:ind w:firstLineChars="0"/>
        <w:jc w:val="left"/>
        <w:rPr>
          <w:rFonts w:ascii="黑体" w:hAnsi="黑体" w:eastAsia="黑体"/>
          <w:b/>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质疑函的质疑事项应具体、明确，并有必要的事实依据和法律依据。</w:t>
      </w:r>
    </w:p>
    <w:p w14:paraId="1C424601">
      <w:pPr>
        <w:pStyle w:val="29"/>
        <w:widowControl/>
        <w:numPr>
          <w:ilvl w:val="0"/>
          <w:numId w:val="93"/>
        </w:numPr>
        <w:adjustRightInd w:val="0"/>
        <w:snapToGrid w:val="0"/>
        <w:spacing w:line="360" w:lineRule="auto"/>
        <w:ind w:firstLineChars="0"/>
        <w:jc w:val="left"/>
        <w:rPr>
          <w:rFonts w:ascii="黑体" w:hAnsi="黑体" w:eastAsia="黑体"/>
          <w:b/>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质疑函的质疑请求应与质疑事项相关。</w:t>
      </w:r>
    </w:p>
    <w:p w14:paraId="358454BA">
      <w:pPr>
        <w:pStyle w:val="29"/>
        <w:widowControl/>
        <w:numPr>
          <w:ilvl w:val="0"/>
          <w:numId w:val="93"/>
        </w:numPr>
        <w:adjustRightInd w:val="0"/>
        <w:snapToGrid w:val="0"/>
        <w:spacing w:line="360" w:lineRule="auto"/>
        <w:ind w:firstLineChars="0"/>
        <w:jc w:val="left"/>
        <w:rPr>
          <w:rFonts w:ascii="黑体" w:hAnsi="黑体" w:eastAsia="黑体"/>
          <w:b/>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质疑供应商为自然人的，质疑函应由本人签字；质疑供应商为法人或者其他组织的，质疑函应由法定代表人、主要负责人，或者其授权代表签字或者盖章，并加盖公章。</w:t>
      </w:r>
    </w:p>
    <w:p w14:paraId="30B33E89">
      <w:pPr>
        <w:pStyle w:val="29"/>
        <w:spacing w:line="360" w:lineRule="auto"/>
        <w:ind w:left="420" w:firstLine="0" w:firstLineChars="0"/>
        <w:rPr>
          <w:rFonts w:ascii="宋体" w:hAnsi="宋体" w:eastAsia="宋体"/>
          <w:bCs/>
          <w:color w:val="000000" w:themeColor="text1"/>
          <w:szCs w:val="21"/>
          <w14:textFill>
            <w14:solidFill>
              <w14:schemeClr w14:val="tx1"/>
            </w14:solidFill>
          </w14:textFill>
        </w:rPr>
      </w:pPr>
    </w:p>
    <w:p w14:paraId="6772D4E0">
      <w:pPr>
        <w:pStyle w:val="3"/>
        <w:keepNext w:val="0"/>
        <w:keepLines w:val="0"/>
        <w:pageBreakBefore/>
        <w:spacing w:line="360" w:lineRule="auto"/>
        <w:jc w:val="center"/>
        <w:rPr>
          <w:rFonts w:ascii="黑体" w:hAnsi="黑体" w:eastAsia="黑体"/>
          <w:color w:val="000000" w:themeColor="text1"/>
          <w:spacing w:val="20"/>
          <w:sz w:val="32"/>
          <w:szCs w:val="32"/>
          <w14:textFill>
            <w14:solidFill>
              <w14:schemeClr w14:val="tx1"/>
            </w14:solidFill>
          </w14:textFill>
        </w:rPr>
      </w:pPr>
      <w:bookmarkStart w:id="43" w:name="_Toc405313955"/>
      <w:bookmarkStart w:id="44" w:name="_Toc119514289"/>
      <w:bookmarkStart w:id="45" w:name="_Toc391627751"/>
      <w:r>
        <w:rPr>
          <w:rFonts w:hint="eastAsia" w:ascii="黑体" w:hAnsi="黑体" w:eastAsia="黑体"/>
          <w:color w:val="000000" w:themeColor="text1"/>
          <w:spacing w:val="20"/>
          <w:sz w:val="32"/>
          <w:szCs w:val="32"/>
          <w14:textFill>
            <w14:solidFill>
              <w14:schemeClr w14:val="tx1"/>
            </w14:solidFill>
          </w14:textFill>
        </w:rPr>
        <w:t>第五部分</w:t>
      </w:r>
      <w:r>
        <w:rPr>
          <w:rFonts w:ascii="黑体" w:hAnsi="黑体" w:eastAsia="黑体"/>
          <w:color w:val="000000" w:themeColor="text1"/>
          <w:spacing w:val="20"/>
          <w:sz w:val="32"/>
          <w:szCs w:val="32"/>
          <w14:textFill>
            <w14:solidFill>
              <w14:schemeClr w14:val="tx1"/>
            </w14:solidFill>
          </w14:textFill>
        </w:rPr>
        <w:t xml:space="preserve"> </w:t>
      </w:r>
      <w:r>
        <w:rPr>
          <w:rFonts w:hint="eastAsia" w:ascii="黑体" w:hAnsi="黑体" w:eastAsia="黑体"/>
          <w:color w:val="000000" w:themeColor="text1"/>
          <w:spacing w:val="20"/>
          <w:sz w:val="32"/>
          <w:szCs w:val="32"/>
          <w14:textFill>
            <w14:solidFill>
              <w14:schemeClr w14:val="tx1"/>
            </w14:solidFill>
          </w14:textFill>
        </w:rPr>
        <w:t>评标方法、步骤、标准</w:t>
      </w:r>
      <w:bookmarkEnd w:id="43"/>
      <w:bookmarkEnd w:id="44"/>
      <w:bookmarkEnd w:id="45"/>
    </w:p>
    <w:p w14:paraId="0CAB29B2">
      <w:pPr>
        <w:pStyle w:val="29"/>
        <w:numPr>
          <w:ilvl w:val="0"/>
          <w:numId w:val="94"/>
        </w:numPr>
        <w:spacing w:before="312" w:beforeLines="100" w:line="360" w:lineRule="auto"/>
        <w:ind w:firstLineChars="0"/>
        <w:rPr>
          <w:rFonts w:ascii="黑体" w:hAnsi="黑体" w:eastAsia="黑体"/>
          <w:b/>
          <w:bCs/>
          <w:color w:val="000000" w:themeColor="text1"/>
          <w:sz w:val="24"/>
          <w:szCs w:val="24"/>
          <w14:textFill>
            <w14:solidFill>
              <w14:schemeClr w14:val="tx1"/>
            </w14:solidFill>
          </w14:textFill>
        </w:rPr>
      </w:pPr>
      <w:r>
        <w:rPr>
          <w:rFonts w:hint="eastAsia" w:ascii="黑体" w:hAnsi="黑体" w:eastAsia="黑体"/>
          <w:b/>
          <w:bCs/>
          <w:color w:val="000000" w:themeColor="text1"/>
          <w:sz w:val="24"/>
          <w:szCs w:val="24"/>
          <w14:textFill>
            <w14:solidFill>
              <w14:schemeClr w14:val="tx1"/>
            </w14:solidFill>
          </w14:textFill>
        </w:rPr>
        <w:t>总则</w:t>
      </w:r>
    </w:p>
    <w:p w14:paraId="1D6B4EF5">
      <w:pPr>
        <w:pStyle w:val="29"/>
        <w:numPr>
          <w:ilvl w:val="0"/>
          <w:numId w:val="95"/>
        </w:numPr>
        <w:spacing w:line="360" w:lineRule="auto"/>
        <w:ind w:firstLineChars="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评标委员会</w:t>
      </w:r>
    </w:p>
    <w:p w14:paraId="38C0D6CF">
      <w:pPr>
        <w:pStyle w:val="29"/>
        <w:numPr>
          <w:ilvl w:val="1"/>
          <w:numId w:val="96"/>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本次招标依法组建评标委员会。</w:t>
      </w:r>
    </w:p>
    <w:p w14:paraId="58FD99D1">
      <w:pPr>
        <w:pStyle w:val="29"/>
        <w:numPr>
          <w:ilvl w:val="1"/>
          <w:numId w:val="96"/>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cs="宋体"/>
          <w:color w:val="000000" w:themeColor="text1"/>
          <w:szCs w:val="21"/>
          <w:lang w:eastAsia="zh-TW"/>
          <w14:textFill>
            <w14:solidFill>
              <w14:schemeClr w14:val="tx1"/>
            </w14:solidFill>
          </w14:textFill>
        </w:rPr>
        <w:t>评标委员会成员名单在评标结果公告前应当保密。</w:t>
      </w:r>
      <w:r>
        <w:rPr>
          <w:rFonts w:hint="eastAsia" w:ascii="黑体" w:hAnsi="黑体" w:eastAsia="黑体"/>
          <w:bCs/>
          <w:color w:val="000000" w:themeColor="text1"/>
          <w:szCs w:val="21"/>
          <w14:textFill>
            <w14:solidFill>
              <w14:schemeClr w14:val="tx1"/>
            </w14:solidFill>
          </w14:textFill>
        </w:rPr>
        <w:t>评审专家有下列情形之一的，受到邀请应主动提出回避，采购当事人也可以要求该评审专家回避：</w:t>
      </w:r>
    </w:p>
    <w:p w14:paraId="1402BFDE">
      <w:pPr>
        <w:pStyle w:val="29"/>
        <w:numPr>
          <w:ilvl w:val="2"/>
          <w:numId w:val="97"/>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cs="宋体"/>
          <w:color w:val="000000" w:themeColor="text1"/>
          <w:szCs w:val="21"/>
          <w:lang w:eastAsia="zh-TW"/>
          <w14:textFill>
            <w14:solidFill>
              <w14:schemeClr w14:val="tx1"/>
            </w14:solidFill>
          </w14:textFill>
        </w:rPr>
        <w:t>参加采购活动前</w:t>
      </w:r>
      <w:r>
        <w:rPr>
          <w:rFonts w:ascii="黑体" w:hAnsi="黑体" w:eastAsia="黑体" w:cs="宋体"/>
          <w:color w:val="000000" w:themeColor="text1"/>
          <w:szCs w:val="21"/>
          <w:lang w:eastAsia="zh-TW"/>
          <w14:textFill>
            <w14:solidFill>
              <w14:schemeClr w14:val="tx1"/>
            </w14:solidFill>
          </w14:textFill>
        </w:rPr>
        <w:t>3年内与供应商存在劳动关系</w:t>
      </w:r>
      <w:r>
        <w:rPr>
          <w:rFonts w:hint="eastAsia" w:ascii="黑体" w:hAnsi="黑体" w:eastAsia="黑体" w:cs="宋体"/>
          <w:color w:val="000000" w:themeColor="text1"/>
          <w:szCs w:val="21"/>
          <w:lang w:eastAsia="zh-TW"/>
          <w14:textFill>
            <w14:solidFill>
              <w14:schemeClr w14:val="tx1"/>
            </w14:solidFill>
          </w14:textFill>
        </w:rPr>
        <w:t>；</w:t>
      </w:r>
    </w:p>
    <w:p w14:paraId="4887726D">
      <w:pPr>
        <w:pStyle w:val="29"/>
        <w:numPr>
          <w:ilvl w:val="2"/>
          <w:numId w:val="97"/>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cs="宋体"/>
          <w:color w:val="000000" w:themeColor="text1"/>
          <w:szCs w:val="21"/>
          <w:lang w:eastAsia="zh-TW"/>
          <w14:textFill>
            <w14:solidFill>
              <w14:schemeClr w14:val="tx1"/>
            </w14:solidFill>
          </w14:textFill>
        </w:rPr>
        <w:t>参加采购活动前</w:t>
      </w:r>
      <w:r>
        <w:rPr>
          <w:rFonts w:ascii="黑体" w:hAnsi="黑体" w:eastAsia="黑体" w:cs="宋体"/>
          <w:color w:val="000000" w:themeColor="text1"/>
          <w:szCs w:val="21"/>
          <w:lang w:eastAsia="zh-TW"/>
          <w14:textFill>
            <w14:solidFill>
              <w14:schemeClr w14:val="tx1"/>
            </w14:solidFill>
          </w14:textFill>
        </w:rPr>
        <w:t>3年内担任供应商的董事、监事；</w:t>
      </w:r>
    </w:p>
    <w:p w14:paraId="0F3DA414">
      <w:pPr>
        <w:pStyle w:val="29"/>
        <w:numPr>
          <w:ilvl w:val="2"/>
          <w:numId w:val="97"/>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参加采购活动前</w:t>
      </w:r>
      <w:r>
        <w:rPr>
          <w:rFonts w:ascii="黑体" w:hAnsi="黑体" w:eastAsia="黑体"/>
          <w:bCs/>
          <w:color w:val="000000" w:themeColor="text1"/>
          <w:szCs w:val="21"/>
          <w14:textFill>
            <w14:solidFill>
              <w14:schemeClr w14:val="tx1"/>
            </w14:solidFill>
          </w14:textFill>
        </w:rPr>
        <w:t>3年内是供应商的控股股东或者实际控制人</w:t>
      </w:r>
      <w:r>
        <w:rPr>
          <w:rFonts w:hint="eastAsia" w:ascii="黑体" w:hAnsi="黑体" w:eastAsia="黑体"/>
          <w:bCs/>
          <w:color w:val="000000" w:themeColor="text1"/>
          <w:szCs w:val="21"/>
          <w14:textFill>
            <w14:solidFill>
              <w14:schemeClr w14:val="tx1"/>
            </w14:solidFill>
          </w14:textFill>
        </w:rPr>
        <w:t>；</w:t>
      </w:r>
    </w:p>
    <w:p w14:paraId="4ACC5CFF">
      <w:pPr>
        <w:pStyle w:val="29"/>
        <w:numPr>
          <w:ilvl w:val="2"/>
          <w:numId w:val="97"/>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与供应商的法定代表人或者负责人有夫妻、直系血亲、三代以内旁系血亲或者近姻亲关系；</w:t>
      </w:r>
    </w:p>
    <w:p w14:paraId="1D18724A">
      <w:pPr>
        <w:pStyle w:val="29"/>
        <w:numPr>
          <w:ilvl w:val="2"/>
          <w:numId w:val="97"/>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cs="宋体"/>
          <w:color w:val="000000" w:themeColor="text1"/>
          <w:szCs w:val="21"/>
          <w:lang w:eastAsia="zh-TW"/>
          <w14:textFill>
            <w14:solidFill>
              <w14:schemeClr w14:val="tx1"/>
            </w14:solidFill>
          </w14:textFill>
        </w:rPr>
        <w:t>与供应商有其他可能影响政府采购活动公平、公正进行的关系。</w:t>
      </w:r>
    </w:p>
    <w:p w14:paraId="6D921988">
      <w:pPr>
        <w:pStyle w:val="29"/>
        <w:numPr>
          <w:ilvl w:val="1"/>
          <w:numId w:val="96"/>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评标委员会负责具体评标事务，并独立履行下列职责：</w:t>
      </w:r>
    </w:p>
    <w:p w14:paraId="18EA5E69">
      <w:pPr>
        <w:pStyle w:val="29"/>
        <w:widowControl/>
        <w:numPr>
          <w:ilvl w:val="2"/>
          <w:numId w:val="96"/>
        </w:numPr>
        <w:spacing w:line="360" w:lineRule="auto"/>
        <w:ind w:firstLineChars="0"/>
        <w:jc w:val="left"/>
        <w:rPr>
          <w:rFonts w:ascii="黑体" w:hAnsi="黑体" w:eastAsia="黑体" w:cs="宋体"/>
          <w:color w:val="000000" w:themeColor="text1"/>
          <w:szCs w:val="21"/>
          <w:lang w:eastAsia="zh-TW"/>
          <w14:textFill>
            <w14:solidFill>
              <w14:schemeClr w14:val="tx1"/>
            </w14:solidFill>
          </w14:textFill>
        </w:rPr>
      </w:pPr>
      <w:r>
        <w:rPr>
          <w:rFonts w:hint="eastAsia" w:ascii="黑体" w:hAnsi="黑体" w:eastAsia="黑体" w:cs="宋体"/>
          <w:color w:val="000000" w:themeColor="text1"/>
          <w:szCs w:val="21"/>
          <w:lang w:eastAsia="zh-TW"/>
          <w14:textFill>
            <w14:solidFill>
              <w14:schemeClr w14:val="tx1"/>
            </w14:solidFill>
          </w14:textFill>
        </w:rPr>
        <w:t>审查、评价投标文件是否符合招标文件的商务、技术等实质性要求；</w:t>
      </w:r>
    </w:p>
    <w:p w14:paraId="72349A1D">
      <w:pPr>
        <w:pStyle w:val="29"/>
        <w:widowControl/>
        <w:numPr>
          <w:ilvl w:val="2"/>
          <w:numId w:val="96"/>
        </w:numPr>
        <w:spacing w:line="360" w:lineRule="auto"/>
        <w:ind w:firstLineChars="0"/>
        <w:jc w:val="left"/>
        <w:rPr>
          <w:rFonts w:ascii="黑体" w:hAnsi="黑体" w:eastAsia="黑体" w:cs="宋体"/>
          <w:color w:val="000000" w:themeColor="text1"/>
          <w:szCs w:val="21"/>
          <w:lang w:eastAsia="zh-TW"/>
          <w14:textFill>
            <w14:solidFill>
              <w14:schemeClr w14:val="tx1"/>
            </w14:solidFill>
          </w14:textFill>
        </w:rPr>
      </w:pPr>
      <w:r>
        <w:rPr>
          <w:rFonts w:hint="eastAsia" w:ascii="黑体" w:hAnsi="黑体" w:eastAsia="黑体" w:cs="宋体"/>
          <w:color w:val="000000" w:themeColor="text1"/>
          <w:szCs w:val="21"/>
          <w:lang w:eastAsia="zh-TW"/>
          <w14:textFill>
            <w14:solidFill>
              <w14:schemeClr w14:val="tx1"/>
            </w14:solidFill>
          </w14:textFill>
        </w:rPr>
        <w:t>要求投标人对投标文件有关事项作出澄清或者说明；</w:t>
      </w:r>
    </w:p>
    <w:p w14:paraId="67093EAC">
      <w:pPr>
        <w:pStyle w:val="29"/>
        <w:widowControl/>
        <w:numPr>
          <w:ilvl w:val="2"/>
          <w:numId w:val="96"/>
        </w:numPr>
        <w:spacing w:line="360" w:lineRule="auto"/>
        <w:ind w:firstLineChars="0"/>
        <w:jc w:val="left"/>
        <w:rPr>
          <w:rFonts w:ascii="黑体" w:hAnsi="黑体" w:eastAsia="黑体" w:cs="宋体"/>
          <w:color w:val="000000" w:themeColor="text1"/>
          <w:szCs w:val="21"/>
          <w:lang w:eastAsia="zh-TW"/>
          <w14:textFill>
            <w14:solidFill>
              <w14:schemeClr w14:val="tx1"/>
            </w14:solidFill>
          </w14:textFill>
        </w:rPr>
      </w:pPr>
      <w:r>
        <w:rPr>
          <w:rFonts w:hint="eastAsia" w:ascii="黑体" w:hAnsi="黑体" w:eastAsia="黑体" w:cs="宋体"/>
          <w:color w:val="000000" w:themeColor="text1"/>
          <w:szCs w:val="21"/>
          <w:lang w:eastAsia="zh-TW"/>
          <w14:textFill>
            <w14:solidFill>
              <w14:schemeClr w14:val="tx1"/>
            </w14:solidFill>
          </w14:textFill>
        </w:rPr>
        <w:t>对投标文件进行比较和评价；</w:t>
      </w:r>
    </w:p>
    <w:p w14:paraId="68B63B4D">
      <w:pPr>
        <w:pStyle w:val="29"/>
        <w:widowControl/>
        <w:numPr>
          <w:ilvl w:val="2"/>
          <w:numId w:val="96"/>
        </w:numPr>
        <w:spacing w:line="360" w:lineRule="auto"/>
        <w:ind w:firstLineChars="0"/>
        <w:jc w:val="left"/>
        <w:rPr>
          <w:rFonts w:ascii="黑体" w:hAnsi="黑体" w:eastAsia="黑体" w:cs="宋体"/>
          <w:color w:val="000000" w:themeColor="text1"/>
          <w:szCs w:val="21"/>
          <w:lang w:eastAsia="zh-TW"/>
          <w14:textFill>
            <w14:solidFill>
              <w14:schemeClr w14:val="tx1"/>
            </w14:solidFill>
          </w14:textFill>
        </w:rPr>
      </w:pPr>
      <w:r>
        <w:rPr>
          <w:rFonts w:hint="eastAsia" w:ascii="黑体" w:hAnsi="黑体" w:eastAsia="黑体" w:cs="宋体"/>
          <w:color w:val="000000" w:themeColor="text1"/>
          <w:szCs w:val="21"/>
          <w:lang w:eastAsia="zh-TW"/>
          <w14:textFill>
            <w14:solidFill>
              <w14:schemeClr w14:val="tx1"/>
            </w14:solidFill>
          </w14:textFill>
        </w:rPr>
        <w:t>确定中标候选人名单，以及根据采购人委托直接确定中标人；</w:t>
      </w:r>
    </w:p>
    <w:p w14:paraId="320DEB9D">
      <w:pPr>
        <w:pStyle w:val="29"/>
        <w:widowControl/>
        <w:numPr>
          <w:ilvl w:val="2"/>
          <w:numId w:val="96"/>
        </w:numPr>
        <w:spacing w:line="360" w:lineRule="auto"/>
        <w:ind w:firstLineChars="0"/>
        <w:jc w:val="left"/>
        <w:rPr>
          <w:rFonts w:ascii="黑体" w:hAnsi="黑体" w:eastAsia="黑体" w:cs="宋体"/>
          <w:color w:val="000000" w:themeColor="text1"/>
          <w:szCs w:val="21"/>
          <w:lang w:eastAsia="zh-TW"/>
          <w14:textFill>
            <w14:solidFill>
              <w14:schemeClr w14:val="tx1"/>
            </w14:solidFill>
          </w14:textFill>
        </w:rPr>
      </w:pPr>
      <w:r>
        <w:rPr>
          <w:rFonts w:hint="eastAsia" w:ascii="黑体" w:hAnsi="黑体" w:eastAsia="黑体" w:cs="宋体"/>
          <w:color w:val="000000" w:themeColor="text1"/>
          <w:szCs w:val="21"/>
          <w:lang w:eastAsia="zh-TW"/>
          <w14:textFill>
            <w14:solidFill>
              <w14:schemeClr w14:val="tx1"/>
            </w14:solidFill>
          </w14:textFill>
        </w:rPr>
        <w:t>向采购人、采购代理机构或者有关部门报告评标中发现的违法行为。</w:t>
      </w:r>
    </w:p>
    <w:p w14:paraId="5B14BC6D">
      <w:pPr>
        <w:pStyle w:val="29"/>
        <w:widowControl/>
        <w:numPr>
          <w:ilvl w:val="1"/>
          <w:numId w:val="96"/>
        </w:numPr>
        <w:spacing w:line="360" w:lineRule="auto"/>
        <w:ind w:firstLineChars="0"/>
        <w:jc w:val="left"/>
        <w:rPr>
          <w:rFonts w:ascii="黑体" w:hAnsi="黑体" w:eastAsia="黑体" w:cs="宋体"/>
          <w:color w:val="000000" w:themeColor="text1"/>
          <w:szCs w:val="21"/>
          <w:lang w:eastAsia="zh-TW"/>
          <w14:textFill>
            <w14:solidFill>
              <w14:schemeClr w14:val="tx1"/>
            </w14:solidFill>
          </w14:textFill>
        </w:rPr>
      </w:pPr>
      <w:r>
        <w:rPr>
          <w:rFonts w:hint="eastAsia" w:ascii="黑体" w:hAnsi="黑体" w:eastAsia="黑体" w:cs="宋体"/>
          <w:color w:val="000000" w:themeColor="text1"/>
          <w:szCs w:val="21"/>
          <w:lang w:eastAsia="zh-TW"/>
          <w14:textFill>
            <w14:solidFill>
              <w14:schemeClr w14:val="tx1"/>
            </w14:solidFill>
          </w14:textFill>
        </w:rPr>
        <w:t>对于投标文件中含义不明确、同类问题表述不一致或者有明显文字和计算错误的内容，评标委员会应当以书面形式要求投标人作出必要的澄清、说明或者补正。</w:t>
      </w:r>
    </w:p>
    <w:p w14:paraId="62408CC7">
      <w:pPr>
        <w:pStyle w:val="29"/>
        <w:numPr>
          <w:ilvl w:val="1"/>
          <w:numId w:val="96"/>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评标委员会成员对需要共同认定的事项存在争议的，应当按照少数服从多数的原则作出结论。持不同意见的评标委员会成员应当在评标报告上签署不同意见及理由，否则视为同意评标报告。</w:t>
      </w:r>
    </w:p>
    <w:p w14:paraId="616591A5">
      <w:pPr>
        <w:pStyle w:val="29"/>
        <w:numPr>
          <w:ilvl w:val="1"/>
          <w:numId w:val="96"/>
        </w:numPr>
        <w:spacing w:line="360" w:lineRule="auto"/>
        <w:ind w:firstLineChars="0"/>
        <w:rPr>
          <w:rFonts w:ascii="黑体" w:hAnsi="黑体" w:eastAsia="黑体"/>
          <w:bCs/>
          <w:color w:val="000000" w:themeColor="text1"/>
          <w:spacing w:val="-4"/>
          <w:szCs w:val="21"/>
          <w14:textFill>
            <w14:solidFill>
              <w14:schemeClr w14:val="tx1"/>
            </w14:solidFill>
          </w14:textFill>
        </w:rPr>
      </w:pPr>
      <w:r>
        <w:rPr>
          <w:rFonts w:hint="eastAsia" w:ascii="黑体" w:hAnsi="黑体" w:eastAsia="黑体"/>
          <w:bCs/>
          <w:color w:val="000000" w:themeColor="text1"/>
          <w:spacing w:val="-4"/>
          <w:szCs w:val="21"/>
          <w14:textFill>
            <w14:solidFill>
              <w14:schemeClr w14:val="tx1"/>
            </w14:solidFill>
          </w14:textFill>
        </w:rPr>
        <w:t>参与评标工作的所有人员必须遵守</w:t>
      </w:r>
      <w:r>
        <w:rPr>
          <w:rFonts w:hint="eastAsia" w:ascii="黑体" w:hAnsi="黑体" w:eastAsia="黑体"/>
          <w:color w:val="000000" w:themeColor="text1"/>
          <w:spacing w:val="-4"/>
          <w:szCs w:val="21"/>
          <w14:textFill>
            <w14:solidFill>
              <w14:schemeClr w14:val="tx1"/>
            </w14:solidFill>
          </w14:textFill>
        </w:rPr>
        <w:t>《中华人民共和国政府采购法》、《中华人民共和国政府采购法实施条例》、财政部《政府采购货物和服务招标投标管理办法》、广东省实施《中华人民共和国政府采购法》办法</w:t>
      </w:r>
      <w:r>
        <w:rPr>
          <w:rFonts w:hint="eastAsia" w:ascii="黑体" w:hAnsi="黑体" w:eastAsia="黑体"/>
          <w:bCs/>
          <w:color w:val="000000" w:themeColor="text1"/>
          <w:spacing w:val="-4"/>
          <w:szCs w:val="21"/>
          <w14:textFill>
            <w14:solidFill>
              <w14:schemeClr w14:val="tx1"/>
            </w14:solidFill>
          </w14:textFill>
        </w:rPr>
        <w:t>及相关法律、法规的规定，以确保评标的公平、公正。</w:t>
      </w:r>
    </w:p>
    <w:p w14:paraId="1091619A">
      <w:pPr>
        <w:pStyle w:val="29"/>
        <w:numPr>
          <w:ilvl w:val="0"/>
          <w:numId w:val="95"/>
        </w:numPr>
        <w:spacing w:before="312" w:beforeLines="100" w:line="360" w:lineRule="auto"/>
        <w:ind w:firstLineChars="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评标方法</w:t>
      </w:r>
    </w:p>
    <w:p w14:paraId="345A11AF">
      <w:pPr>
        <w:pStyle w:val="29"/>
        <w:numPr>
          <w:ilvl w:val="1"/>
          <w:numId w:val="98"/>
        </w:numPr>
        <w:spacing w:line="360" w:lineRule="auto"/>
        <w:ind w:left="426" w:hanging="426"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本项目按照</w:t>
      </w:r>
      <w:r>
        <w:rPr>
          <w:rFonts w:hint="eastAsia" w:ascii="黑体" w:hAnsi="黑体" w:eastAsia="黑体"/>
          <w:b/>
          <w:bCs/>
          <w:color w:val="000000" w:themeColor="text1"/>
          <w:szCs w:val="21"/>
          <w:u w:val="single"/>
          <w14:textFill>
            <w14:solidFill>
              <w14:schemeClr w14:val="tx1"/>
            </w14:solidFill>
          </w14:textFill>
        </w:rPr>
        <w:t>投标人须知前附表</w:t>
      </w:r>
      <w:r>
        <w:rPr>
          <w:rFonts w:hint="eastAsia" w:ascii="黑体" w:hAnsi="黑体" w:eastAsia="黑体"/>
          <w:b/>
          <w:bCs/>
          <w:color w:val="000000" w:themeColor="text1"/>
          <w:szCs w:val="21"/>
          <w14:textFill>
            <w14:solidFill>
              <w14:schemeClr w14:val="tx1"/>
            </w14:solidFill>
          </w14:textFill>
        </w:rPr>
        <w:t>规定</w:t>
      </w:r>
      <w:r>
        <w:rPr>
          <w:rFonts w:hint="eastAsia" w:ascii="黑体" w:hAnsi="黑体" w:eastAsia="黑体"/>
          <w:bCs/>
          <w:color w:val="000000" w:themeColor="text1"/>
          <w:szCs w:val="21"/>
          <w14:textFill>
            <w14:solidFill>
              <w14:schemeClr w14:val="tx1"/>
            </w14:solidFill>
          </w14:textFill>
        </w:rPr>
        <w:t>的评标方法进行评审。</w:t>
      </w:r>
    </w:p>
    <w:p w14:paraId="7E653E03">
      <w:pPr>
        <w:pStyle w:val="29"/>
        <w:numPr>
          <w:ilvl w:val="1"/>
          <w:numId w:val="98"/>
        </w:numPr>
        <w:spacing w:line="360" w:lineRule="auto"/>
        <w:ind w:left="426" w:hanging="426"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综合评分法：是指投标文件满足招标文件全部实质性要求，且按照评审因素的量化指标评审得分最高的投标人为中标候选人的评标方法。</w:t>
      </w:r>
    </w:p>
    <w:p w14:paraId="0D08F852">
      <w:pPr>
        <w:pStyle w:val="29"/>
        <w:numPr>
          <w:ilvl w:val="0"/>
          <w:numId w:val="99"/>
        </w:numPr>
        <w:tabs>
          <w:tab w:val="left" w:pos="567"/>
        </w:tabs>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各项得分按四舍五入原则精确到小数点后两位。</w:t>
      </w:r>
    </w:p>
    <w:p w14:paraId="0E5406ED">
      <w:pPr>
        <w:pStyle w:val="29"/>
        <w:numPr>
          <w:ilvl w:val="0"/>
          <w:numId w:val="95"/>
        </w:numPr>
        <w:spacing w:before="312" w:beforeLines="100" w:line="360" w:lineRule="auto"/>
        <w:ind w:firstLineChars="0"/>
        <w:rPr>
          <w:rFonts w:ascii="黑体" w:hAnsi="黑体" w:eastAsia="黑体"/>
          <w:bCs/>
          <w:szCs w:val="21"/>
        </w:rPr>
      </w:pPr>
      <w:r>
        <w:rPr>
          <w:rFonts w:hint="eastAsia" w:ascii="黑体" w:hAnsi="黑体" w:eastAsia="黑体"/>
          <w:b/>
          <w:bCs/>
          <w:szCs w:val="21"/>
        </w:rPr>
        <w:t>评标步骤</w:t>
      </w:r>
    </w:p>
    <w:p w14:paraId="489A7336">
      <w:pPr>
        <w:pStyle w:val="29"/>
        <w:numPr>
          <w:ilvl w:val="1"/>
          <w:numId w:val="100"/>
        </w:numPr>
        <w:spacing w:line="360" w:lineRule="auto"/>
        <w:ind w:left="426" w:hanging="426" w:firstLineChars="0"/>
        <w:rPr>
          <w:rFonts w:ascii="黑体" w:hAnsi="黑体" w:eastAsia="黑体"/>
        </w:rPr>
      </w:pPr>
      <w:r>
        <w:rPr>
          <w:rFonts w:hint="eastAsia" w:ascii="黑体" w:hAnsi="黑体" w:eastAsia="黑体"/>
          <w:bCs/>
          <w:szCs w:val="21"/>
        </w:rPr>
        <w:t>综合评分法：</w:t>
      </w:r>
      <w:bookmarkStart w:id="46" w:name="_Hlk81182166"/>
      <w:bookmarkStart w:id="47" w:name="_Hlk81181953"/>
      <w:r>
        <w:rPr>
          <w:rFonts w:hint="eastAsia" w:ascii="黑体" w:hAnsi="黑体" w:eastAsia="黑体"/>
          <w:bCs/>
          <w:szCs w:val="21"/>
        </w:rPr>
        <w:t>公开招标采购项目开标结束后，采购人或者采购代理机构应当依法对投标人的资格进行审查</w:t>
      </w:r>
      <w:bookmarkEnd w:id="46"/>
      <w:r>
        <w:rPr>
          <w:rFonts w:hint="eastAsia" w:ascii="黑体" w:hAnsi="黑体" w:eastAsia="黑体"/>
        </w:rPr>
        <w:t>（</w:t>
      </w:r>
      <w:bookmarkStart w:id="48" w:name="_Hlk79425785"/>
      <w:r>
        <w:rPr>
          <w:rFonts w:hint="eastAsia" w:ascii="黑体" w:hAnsi="黑体" w:eastAsia="黑体"/>
        </w:rPr>
        <w:t>详见附表一资格性审查表</w:t>
      </w:r>
      <w:bookmarkEnd w:id="48"/>
      <w:r>
        <w:rPr>
          <w:rFonts w:hint="eastAsia" w:ascii="黑体" w:hAnsi="黑体" w:eastAsia="黑体"/>
        </w:rPr>
        <w:t>），通过资格性审查的投标人由评标委员会对其投标文件进行符合性评审（</w:t>
      </w:r>
      <w:bookmarkStart w:id="49" w:name="_Hlk79425810"/>
      <w:r>
        <w:rPr>
          <w:rFonts w:hint="eastAsia" w:ascii="黑体" w:hAnsi="黑体" w:eastAsia="黑体"/>
        </w:rPr>
        <w:t>详见附表二</w:t>
      </w:r>
      <w:r>
        <w:rPr>
          <w:rFonts w:ascii="黑体" w:hAnsi="黑体" w:eastAsia="黑体"/>
        </w:rPr>
        <w:t>符合性审查表</w:t>
      </w:r>
      <w:bookmarkEnd w:id="49"/>
      <w:r>
        <w:rPr>
          <w:rFonts w:hint="eastAsia" w:ascii="黑体" w:hAnsi="黑体" w:eastAsia="黑体"/>
        </w:rPr>
        <w:t>），</w:t>
      </w:r>
      <w:bookmarkStart w:id="50" w:name="_Hlk81182229"/>
      <w:r>
        <w:rPr>
          <w:rFonts w:hint="eastAsia" w:ascii="黑体" w:hAnsi="黑体" w:eastAsia="黑体"/>
        </w:rPr>
        <w:t>只有通过符合性审查的投标</w:t>
      </w:r>
      <w:bookmarkEnd w:id="50"/>
      <w:r>
        <w:rPr>
          <w:rFonts w:hint="eastAsia" w:ascii="黑体" w:hAnsi="黑体" w:eastAsia="黑体"/>
        </w:rPr>
        <w:t>才能进入详细的评审和价格评审，</w:t>
      </w:r>
      <w:bookmarkEnd w:id="47"/>
      <w:r>
        <w:rPr>
          <w:rFonts w:hint="eastAsia" w:ascii="黑体" w:hAnsi="黑体" w:eastAsia="黑体"/>
        </w:rPr>
        <w:t>最后评标委员会出具评标报告。</w:t>
      </w:r>
    </w:p>
    <w:p w14:paraId="436DB772">
      <w:pPr>
        <w:pStyle w:val="29"/>
        <w:numPr>
          <w:ilvl w:val="1"/>
          <w:numId w:val="100"/>
        </w:numPr>
        <w:spacing w:line="360" w:lineRule="auto"/>
        <w:ind w:left="426" w:hanging="426" w:firstLineChars="0"/>
        <w:rPr>
          <w:rFonts w:ascii="黑体" w:hAnsi="黑体" w:eastAsia="黑体"/>
        </w:rPr>
      </w:pPr>
      <w:r>
        <w:rPr>
          <w:rFonts w:hint="eastAsia" w:ascii="黑体" w:hAnsi="黑体" w:eastAsia="黑体"/>
        </w:rPr>
        <w:t>评标时，评标委员会各成员应当独立对每个投标人的投标文件进行评价，并汇总每个投</w:t>
      </w:r>
    </w:p>
    <w:p w14:paraId="3B42FA31">
      <w:pPr>
        <w:pStyle w:val="29"/>
        <w:spacing w:line="360" w:lineRule="auto"/>
        <w:ind w:left="426" w:firstLine="0" w:firstLineChars="0"/>
        <w:rPr>
          <w:rFonts w:ascii="黑体" w:hAnsi="黑体" w:eastAsia="黑体"/>
        </w:rPr>
      </w:pPr>
      <w:r>
        <w:rPr>
          <w:rFonts w:hint="eastAsia" w:ascii="黑体" w:hAnsi="黑体" w:eastAsia="黑体"/>
        </w:rPr>
        <w:t>标人的得分。</w:t>
      </w:r>
    </w:p>
    <w:p w14:paraId="6842B289">
      <w:pPr>
        <w:pStyle w:val="29"/>
        <w:numPr>
          <w:ilvl w:val="1"/>
          <w:numId w:val="100"/>
        </w:numPr>
        <w:spacing w:line="360" w:lineRule="auto"/>
        <w:ind w:left="426" w:hanging="426" w:firstLineChars="0"/>
        <w:rPr>
          <w:rFonts w:ascii="黑体" w:hAnsi="黑体" w:eastAsia="黑体"/>
          <w:color w:val="000000" w:themeColor="text1"/>
          <w14:textFill>
            <w14:solidFill>
              <w14:schemeClr w14:val="tx1"/>
            </w14:solidFill>
          </w14:textFill>
        </w:rPr>
      </w:pPr>
      <w:r>
        <w:rPr>
          <w:rFonts w:hint="eastAsia" w:ascii="黑体" w:hAnsi="黑体" w:eastAsia="黑体"/>
        </w:rPr>
        <w:t>评标过程中，不得去掉报价中的最高报价和最低报价。</w:t>
      </w:r>
    </w:p>
    <w:p w14:paraId="7F787DDD">
      <w:pPr>
        <w:pStyle w:val="29"/>
        <w:numPr>
          <w:ilvl w:val="0"/>
          <w:numId w:val="94"/>
        </w:numPr>
        <w:spacing w:before="312" w:beforeLines="100" w:line="360" w:lineRule="auto"/>
        <w:ind w:firstLineChars="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投标无效的情形</w:t>
      </w:r>
    </w:p>
    <w:p w14:paraId="4C818311">
      <w:pPr>
        <w:pStyle w:val="29"/>
        <w:numPr>
          <w:ilvl w:val="0"/>
          <w:numId w:val="95"/>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详见资格性审查、符合性审查和招标文件其他投标无效条款。</w:t>
      </w:r>
    </w:p>
    <w:p w14:paraId="4BFF0D14">
      <w:pPr>
        <w:pStyle w:val="29"/>
        <w:numPr>
          <w:ilvl w:val="0"/>
          <w:numId w:val="94"/>
        </w:numPr>
        <w:spacing w:before="312" w:beforeLines="100" w:line="360" w:lineRule="auto"/>
        <w:ind w:firstLineChars="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详细评审</w:t>
      </w:r>
    </w:p>
    <w:p w14:paraId="12A593FB">
      <w:pPr>
        <w:pStyle w:val="29"/>
        <w:numPr>
          <w:ilvl w:val="0"/>
          <w:numId w:val="95"/>
        </w:numPr>
        <w:tabs>
          <w:tab w:val="left" w:pos="426"/>
        </w:tabs>
        <w:spacing w:line="360" w:lineRule="auto"/>
        <w:ind w:firstLineChars="0"/>
        <w:rPr>
          <w:rFonts w:ascii="黑体" w:hAnsi="黑体" w:eastAsia="黑体"/>
          <w:bCs/>
          <w:szCs w:val="21"/>
        </w:rPr>
      </w:pPr>
      <w:r>
        <w:rPr>
          <w:rFonts w:hint="eastAsia" w:ascii="黑体" w:hAnsi="黑体" w:eastAsia="黑体"/>
          <w:bCs/>
          <w:szCs w:val="21"/>
        </w:rPr>
        <w:t>评标委员会应当按照招标文件中规定的评标方法和标准，对符合性审查合格的投标文件进行商务和技术评估，综合比较与评价。具体商务、技术部分的</w:t>
      </w:r>
      <w:bookmarkStart w:id="51" w:name="_Hlk75740750"/>
      <w:r>
        <w:rPr>
          <w:rFonts w:hint="eastAsia" w:ascii="黑体" w:hAnsi="黑体" w:eastAsia="黑体"/>
          <w:bCs/>
          <w:szCs w:val="21"/>
        </w:rPr>
        <w:t>评审</w:t>
      </w:r>
      <w:bookmarkEnd w:id="51"/>
      <w:r>
        <w:rPr>
          <w:rFonts w:hint="eastAsia" w:ascii="黑体" w:hAnsi="黑体" w:eastAsia="黑体"/>
          <w:bCs/>
          <w:szCs w:val="21"/>
        </w:rPr>
        <w:t>因素详见</w:t>
      </w:r>
      <w:r>
        <w:rPr>
          <w:rFonts w:hint="eastAsia" w:ascii="黑体" w:hAnsi="黑体" w:eastAsia="黑体"/>
        </w:rPr>
        <w:t>《商务、技术评审细则》（附表三）。</w:t>
      </w:r>
    </w:p>
    <w:p w14:paraId="752AC43F">
      <w:pPr>
        <w:pStyle w:val="29"/>
        <w:numPr>
          <w:ilvl w:val="0"/>
          <w:numId w:val="94"/>
        </w:numPr>
        <w:spacing w:before="312" w:beforeLines="100" w:line="360" w:lineRule="auto"/>
        <w:ind w:firstLineChars="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价格评审</w:t>
      </w:r>
    </w:p>
    <w:p w14:paraId="04B78A58">
      <w:pPr>
        <w:pStyle w:val="29"/>
        <w:numPr>
          <w:ilvl w:val="0"/>
          <w:numId w:val="95"/>
        </w:numPr>
        <w:tabs>
          <w:tab w:val="left" w:pos="426"/>
        </w:tabs>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投标文件报价出现前后不一致的，除招标文件另有规定外，按照下列规定修正：</w:t>
      </w:r>
    </w:p>
    <w:p w14:paraId="1043035A">
      <w:pPr>
        <w:pStyle w:val="29"/>
        <w:numPr>
          <w:ilvl w:val="1"/>
          <w:numId w:val="101"/>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color w:val="000000" w:themeColor="text1"/>
          <w14:textFill>
            <w14:solidFill>
              <w14:schemeClr w14:val="tx1"/>
            </w14:solidFill>
          </w14:textFill>
        </w:rPr>
        <w:t>投标文件中开标一览表（报价表）内容与投标文件中相应内容不一致的，以开标一览表（报价表）为准；</w:t>
      </w:r>
    </w:p>
    <w:p w14:paraId="75E43BB4">
      <w:pPr>
        <w:pStyle w:val="29"/>
        <w:numPr>
          <w:ilvl w:val="1"/>
          <w:numId w:val="101"/>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大写金额和小写金额不一致的，以大写金额为准；</w:t>
      </w:r>
    </w:p>
    <w:p w14:paraId="4FD36871">
      <w:pPr>
        <w:pStyle w:val="29"/>
        <w:numPr>
          <w:ilvl w:val="1"/>
          <w:numId w:val="101"/>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单价金额小数点或者百分比有明显错位的，以开标一览表的总价为准，并修改单价；</w:t>
      </w:r>
    </w:p>
    <w:p w14:paraId="7C5AA139">
      <w:pPr>
        <w:pStyle w:val="29"/>
        <w:numPr>
          <w:ilvl w:val="1"/>
          <w:numId w:val="101"/>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总价金额与按单价汇总金额不一致的，以单价金额计算结果为准。</w:t>
      </w:r>
    </w:p>
    <w:p w14:paraId="3BE7F04F">
      <w:pPr>
        <w:pStyle w:val="29"/>
        <w:tabs>
          <w:tab w:val="left" w:pos="426"/>
        </w:tabs>
        <w:spacing w:line="360" w:lineRule="auto"/>
        <w:ind w:left="567" w:firstLine="0" w:firstLineChars="0"/>
        <w:rPr>
          <w:rFonts w:ascii="黑体" w:hAnsi="黑体" w:eastAsia="黑体"/>
          <w:bCs/>
          <w:color w:val="auto"/>
          <w:szCs w:val="21"/>
          <w:highlight w:val="none"/>
        </w:rPr>
      </w:pPr>
      <w:r>
        <w:rPr>
          <w:rFonts w:hint="eastAsia" w:ascii="黑体" w:hAnsi="黑体" w:eastAsia="黑体"/>
          <w:bCs/>
          <w:color w:val="000000" w:themeColor="text1"/>
          <w:szCs w:val="21"/>
          <w14:textFill>
            <w14:solidFill>
              <w14:schemeClr w14:val="tx1"/>
            </w14:solidFill>
          </w14:textFill>
        </w:rPr>
        <w:t>同时出现两种以上不一致的，按照前款规定的顺序修正。修正后的报价</w:t>
      </w:r>
      <w:r>
        <w:rPr>
          <w:rFonts w:hint="eastAsia" w:ascii="黑体" w:hAnsi="黑体" w:eastAsia="黑体" w:cs="宋体"/>
          <w:color w:val="000000" w:themeColor="text1"/>
          <w:szCs w:val="21"/>
          <w:lang w:eastAsia="zh-TW"/>
          <w14:textFill>
            <w14:solidFill>
              <w14:schemeClr w14:val="tx1"/>
            </w14:solidFill>
          </w14:textFill>
        </w:rPr>
        <w:t>按照《政府采购货物和服务招标投标管理办法》第五十一条第二款的规定</w:t>
      </w:r>
      <w:r>
        <w:rPr>
          <w:rFonts w:hint="eastAsia" w:ascii="黑体" w:hAnsi="黑体" w:eastAsia="黑体"/>
          <w:bCs/>
          <w:color w:val="000000" w:themeColor="text1"/>
          <w:szCs w:val="21"/>
          <w14:textFill>
            <w14:solidFill>
              <w14:schemeClr w14:val="tx1"/>
            </w14:solidFill>
          </w14:textFill>
        </w:rPr>
        <w:t>经投标人确认后产生约束力，</w:t>
      </w:r>
      <w:r>
        <w:rPr>
          <w:rFonts w:hint="eastAsia" w:ascii="黑体" w:hAnsi="黑体" w:eastAsia="黑体"/>
          <w:bCs/>
          <w:color w:val="auto"/>
          <w:szCs w:val="21"/>
          <w:highlight w:val="none"/>
        </w:rPr>
        <w:t>投标人不确认的，其投标无效。</w:t>
      </w:r>
    </w:p>
    <w:p w14:paraId="204604FE">
      <w:pPr>
        <w:pStyle w:val="29"/>
        <w:numPr>
          <w:ilvl w:val="1"/>
          <w:numId w:val="101"/>
        </w:numPr>
        <w:spacing w:line="360" w:lineRule="auto"/>
        <w:ind w:firstLineChars="0"/>
        <w:rPr>
          <w:rFonts w:ascii="黑体" w:hAnsi="黑体" w:eastAsia="黑体"/>
          <w:bCs/>
          <w:color w:val="auto"/>
          <w:szCs w:val="21"/>
          <w:highlight w:val="none"/>
        </w:rPr>
      </w:pPr>
      <w:bookmarkStart w:id="52" w:name="_Hlk86745538"/>
      <w:r>
        <w:rPr>
          <w:rFonts w:hint="eastAsia" w:ascii="黑体" w:hAnsi="黑体" w:eastAsia="黑体"/>
          <w:bCs/>
          <w:color w:val="auto"/>
          <w:szCs w:val="21"/>
          <w:highlight w:val="none"/>
        </w:rPr>
        <w:t>投标文件中</w:t>
      </w:r>
      <w:bookmarkStart w:id="53" w:name="_Hlk81348653"/>
      <w:r>
        <w:rPr>
          <w:rFonts w:hint="eastAsia" w:ascii="黑体" w:hAnsi="黑体" w:eastAsia="黑体"/>
          <w:bCs/>
          <w:color w:val="auto"/>
          <w:szCs w:val="21"/>
          <w:highlight w:val="none"/>
        </w:rPr>
        <w:t>开标一览表（报价表）、</w:t>
      </w:r>
      <w:r>
        <w:rPr>
          <w:rFonts w:hint="eastAsia" w:ascii="黑体" w:hAnsi="黑体" w:eastAsia="黑体"/>
          <w:color w:val="auto"/>
          <w:szCs w:val="21"/>
          <w:highlight w:val="none"/>
        </w:rPr>
        <w:t>分项报价表</w:t>
      </w:r>
      <w:r>
        <w:rPr>
          <w:rFonts w:hint="eastAsia" w:ascii="黑体" w:hAnsi="黑体" w:eastAsia="黑体"/>
          <w:bCs/>
          <w:color w:val="auto"/>
          <w:szCs w:val="21"/>
          <w:highlight w:val="none"/>
        </w:rPr>
        <w:t>内容</w:t>
      </w:r>
      <w:bookmarkEnd w:id="53"/>
      <w:r>
        <w:rPr>
          <w:rFonts w:hint="eastAsia" w:ascii="黑体" w:hAnsi="黑体" w:eastAsia="黑体"/>
          <w:bCs/>
          <w:color w:val="auto"/>
          <w:szCs w:val="21"/>
          <w:highlight w:val="none"/>
        </w:rPr>
        <w:t>与唱标信封中开标一览表（报价表、</w:t>
      </w:r>
      <w:r>
        <w:rPr>
          <w:rFonts w:hint="eastAsia" w:ascii="黑体" w:hAnsi="黑体" w:eastAsia="黑体"/>
          <w:color w:val="auto"/>
          <w:szCs w:val="21"/>
          <w:highlight w:val="none"/>
        </w:rPr>
        <w:t>分项报价报</w:t>
      </w:r>
      <w:r>
        <w:rPr>
          <w:rFonts w:hint="eastAsia" w:ascii="黑体" w:hAnsi="黑体" w:eastAsia="黑体"/>
          <w:bCs/>
          <w:color w:val="auto"/>
          <w:szCs w:val="21"/>
          <w:highlight w:val="none"/>
        </w:rPr>
        <w:t>内容不一致的，以唱标信封中开标一览表（报价表）、</w:t>
      </w:r>
      <w:r>
        <w:rPr>
          <w:rFonts w:hint="eastAsia" w:ascii="黑体" w:hAnsi="黑体" w:eastAsia="黑体"/>
          <w:color w:val="auto"/>
          <w:szCs w:val="21"/>
          <w:highlight w:val="none"/>
        </w:rPr>
        <w:t>分项报价表</w:t>
      </w:r>
      <w:r>
        <w:rPr>
          <w:rFonts w:hint="eastAsia" w:ascii="黑体" w:hAnsi="黑体" w:eastAsia="黑体"/>
          <w:bCs/>
          <w:color w:val="auto"/>
          <w:szCs w:val="21"/>
          <w:highlight w:val="none"/>
        </w:rPr>
        <w:t>内容为准。</w:t>
      </w:r>
    </w:p>
    <w:bookmarkEnd w:id="52"/>
    <w:p w14:paraId="4BFAD00E">
      <w:pPr>
        <w:pStyle w:val="29"/>
        <w:numPr>
          <w:ilvl w:val="0"/>
          <w:numId w:val="95"/>
        </w:numPr>
        <w:tabs>
          <w:tab w:val="left" w:pos="426"/>
        </w:tabs>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700C7C41">
      <w:pPr>
        <w:pStyle w:val="29"/>
        <w:numPr>
          <w:ilvl w:val="0"/>
          <w:numId w:val="95"/>
        </w:numPr>
        <w:tabs>
          <w:tab w:val="left" w:pos="426"/>
        </w:tabs>
        <w:spacing w:before="312" w:beforeLines="100" w:line="360" w:lineRule="auto"/>
        <w:ind w:firstLineChars="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政府采购政策落实</w:t>
      </w:r>
    </w:p>
    <w:p w14:paraId="2A07BB48">
      <w:pPr>
        <w:pStyle w:val="29"/>
        <w:numPr>
          <w:ilvl w:val="1"/>
          <w:numId w:val="102"/>
        </w:numPr>
        <w:spacing w:line="360" w:lineRule="auto"/>
        <w:ind w:firstLineChars="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对小型或微型企业投标的扶持</w:t>
      </w:r>
    </w:p>
    <w:p w14:paraId="05A881C4">
      <w:pPr>
        <w:pStyle w:val="29"/>
        <w:numPr>
          <w:ilvl w:val="2"/>
          <w:numId w:val="103"/>
        </w:numPr>
        <w:spacing w:line="360" w:lineRule="auto"/>
        <w:ind w:firstLineChars="0"/>
        <w:rPr>
          <w:rFonts w:ascii="黑体" w:hAnsi="黑体" w:eastAsia="黑体"/>
          <w:bCs/>
          <w:color w:val="auto"/>
          <w:szCs w:val="21"/>
          <w:highlight w:val="none"/>
        </w:rPr>
      </w:pPr>
      <w:bookmarkStart w:id="54" w:name="_Hlk90987722"/>
      <w:r>
        <w:rPr>
          <w:rFonts w:hint="eastAsia" w:ascii="黑体" w:hAnsi="黑体" w:eastAsia="黑体"/>
          <w:bCs/>
          <w:color w:val="auto"/>
          <w:szCs w:val="21"/>
          <w:highlight w:val="none"/>
        </w:rPr>
        <w:t>根据财政部、工业和信息化部制定《政府采购促进中小企业发展管理办法》（财库[</w:t>
      </w:r>
      <w:r>
        <w:rPr>
          <w:rFonts w:ascii="黑体" w:hAnsi="黑体" w:eastAsia="黑体"/>
          <w:bCs/>
          <w:color w:val="auto"/>
          <w:szCs w:val="21"/>
          <w:highlight w:val="none"/>
        </w:rPr>
        <w:t>2020]46</w:t>
      </w:r>
      <w:r>
        <w:rPr>
          <w:rFonts w:hint="eastAsia" w:ascii="黑体" w:hAnsi="黑体" w:eastAsia="黑体"/>
          <w:bCs/>
          <w:color w:val="auto"/>
          <w:szCs w:val="21"/>
          <w:highlight w:val="none"/>
        </w:rPr>
        <w:t>号）的规定，对小微企业报价给予</w:t>
      </w:r>
      <w:r>
        <w:rPr>
          <w:rFonts w:ascii="黑体" w:hAnsi="黑体" w:eastAsia="黑体"/>
          <w:bCs/>
          <w:color w:val="auto"/>
          <w:szCs w:val="21"/>
          <w:highlight w:val="none"/>
        </w:rPr>
        <w:t>10</w:t>
      </w:r>
      <w:r>
        <w:rPr>
          <w:rFonts w:hint="eastAsia" w:ascii="黑体" w:hAnsi="黑体" w:eastAsia="黑体"/>
          <w:bCs/>
          <w:color w:val="auto"/>
          <w:szCs w:val="21"/>
          <w:highlight w:val="none"/>
        </w:rPr>
        <w:t>%的扣除，用扣除后的价格参与评审。参加政府采购活动的中小企业应当提供《中小企业声明函》（</w:t>
      </w:r>
      <w:bookmarkEnd w:id="54"/>
      <w:r>
        <w:rPr>
          <w:rFonts w:hint="eastAsia" w:ascii="黑体" w:hAnsi="黑体" w:eastAsia="黑体"/>
          <w:bCs/>
          <w:color w:val="auto"/>
          <w:szCs w:val="21"/>
          <w:highlight w:val="none"/>
        </w:rPr>
        <w:t>格式详见招标文件第七部分投标文件格式）。</w:t>
      </w:r>
    </w:p>
    <w:p w14:paraId="2C86F00E">
      <w:pPr>
        <w:pStyle w:val="29"/>
        <w:numPr>
          <w:ilvl w:val="1"/>
          <w:numId w:val="102"/>
        </w:numPr>
        <w:spacing w:line="360" w:lineRule="auto"/>
        <w:ind w:firstLineChars="0"/>
        <w:rPr>
          <w:rFonts w:ascii="黑体" w:hAnsi="黑体" w:eastAsia="黑体"/>
          <w:b/>
          <w:bCs/>
          <w:color w:val="auto"/>
          <w:szCs w:val="21"/>
          <w:highlight w:val="none"/>
        </w:rPr>
      </w:pPr>
      <w:r>
        <w:rPr>
          <w:rFonts w:hint="eastAsia" w:ascii="黑体" w:hAnsi="黑体" w:eastAsia="黑体"/>
          <w:b/>
          <w:bCs/>
          <w:color w:val="auto"/>
          <w:szCs w:val="21"/>
          <w:highlight w:val="none"/>
        </w:rPr>
        <w:t>对监狱企业投标的扶持</w:t>
      </w:r>
    </w:p>
    <w:p w14:paraId="4FB4173C">
      <w:pPr>
        <w:pStyle w:val="29"/>
        <w:numPr>
          <w:ilvl w:val="2"/>
          <w:numId w:val="104"/>
        </w:numPr>
        <w:spacing w:line="360" w:lineRule="auto"/>
        <w:ind w:firstLineChars="0"/>
        <w:rPr>
          <w:rFonts w:ascii="黑体" w:hAnsi="黑体" w:eastAsia="黑体"/>
          <w:bCs/>
          <w:color w:val="auto"/>
          <w:szCs w:val="21"/>
          <w:highlight w:val="none"/>
        </w:rPr>
      </w:pPr>
      <w:r>
        <w:rPr>
          <w:rFonts w:hint="eastAsia" w:ascii="黑体" w:hAnsi="黑体" w:eastAsia="黑体"/>
          <w:bCs/>
          <w:color w:val="auto"/>
          <w:szCs w:val="21"/>
          <w:highlight w:val="none"/>
        </w:rPr>
        <w:t>为发挥政府采购支持监狱企业发展的作用，根据《关于政府采购支持监狱企业发展有关问题的通知》（财库</w:t>
      </w:r>
      <w:r>
        <w:rPr>
          <w:rFonts w:ascii="黑体" w:hAnsi="黑体" w:eastAsia="黑体"/>
          <w:bCs/>
          <w:color w:val="auto"/>
          <w:szCs w:val="21"/>
          <w:highlight w:val="none"/>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招标文件第七部分投标文件格式）</w:t>
      </w:r>
    </w:p>
    <w:p w14:paraId="4AEC43F2">
      <w:pPr>
        <w:pStyle w:val="29"/>
        <w:numPr>
          <w:ilvl w:val="1"/>
          <w:numId w:val="102"/>
        </w:numPr>
        <w:spacing w:line="360" w:lineRule="auto"/>
        <w:ind w:firstLineChars="0"/>
        <w:rPr>
          <w:rFonts w:ascii="黑体" w:hAnsi="黑体" w:eastAsia="黑体"/>
          <w:b/>
          <w:bCs/>
          <w:color w:val="auto"/>
          <w:szCs w:val="21"/>
          <w:highlight w:val="none"/>
        </w:rPr>
      </w:pPr>
      <w:r>
        <w:rPr>
          <w:rFonts w:hint="eastAsia" w:ascii="黑体" w:hAnsi="黑体" w:eastAsia="黑体"/>
          <w:b/>
          <w:bCs/>
          <w:color w:val="auto"/>
          <w:szCs w:val="21"/>
          <w:highlight w:val="none"/>
        </w:rPr>
        <w:t>对残疾人福利性单位投标的扶持</w:t>
      </w:r>
    </w:p>
    <w:p w14:paraId="64F76B03">
      <w:pPr>
        <w:pStyle w:val="29"/>
        <w:numPr>
          <w:ilvl w:val="2"/>
          <w:numId w:val="105"/>
        </w:numPr>
        <w:spacing w:line="360" w:lineRule="auto"/>
        <w:ind w:left="708" w:hanging="707" w:hangingChars="337"/>
        <w:rPr>
          <w:rFonts w:ascii="黑体" w:hAnsi="黑体" w:eastAsia="黑体"/>
          <w:bCs/>
          <w:color w:val="auto"/>
          <w:szCs w:val="21"/>
          <w:highlight w:val="none"/>
        </w:rPr>
      </w:pPr>
      <w:r>
        <w:rPr>
          <w:rFonts w:hint="eastAsia" w:ascii="黑体" w:hAnsi="黑体" w:eastAsia="黑体"/>
          <w:bCs/>
          <w:color w:val="auto"/>
          <w:szCs w:val="21"/>
          <w:highlight w:val="none"/>
        </w:rPr>
        <w:t>为了发挥政府采购促进残疾人就业的作用，根据财政部</w:t>
      </w:r>
      <w:r>
        <w:rPr>
          <w:rFonts w:ascii="黑体" w:hAnsi="黑体" w:eastAsia="黑体"/>
          <w:bCs/>
          <w:color w:val="auto"/>
          <w:szCs w:val="21"/>
          <w:highlight w:val="none"/>
        </w:rPr>
        <w:t xml:space="preserve"> </w:t>
      </w:r>
      <w:r>
        <w:rPr>
          <w:rFonts w:hint="eastAsia" w:ascii="黑体" w:hAnsi="黑体" w:eastAsia="黑体"/>
          <w:bCs/>
          <w:color w:val="auto"/>
          <w:szCs w:val="21"/>
          <w:highlight w:val="none"/>
        </w:rPr>
        <w:t>民政部</w:t>
      </w:r>
      <w:r>
        <w:rPr>
          <w:rFonts w:ascii="黑体" w:hAnsi="黑体" w:eastAsia="黑体"/>
          <w:bCs/>
          <w:color w:val="auto"/>
          <w:szCs w:val="21"/>
          <w:highlight w:val="none"/>
        </w:rPr>
        <w:t xml:space="preserve"> </w:t>
      </w:r>
      <w:r>
        <w:rPr>
          <w:rFonts w:hint="eastAsia" w:ascii="黑体" w:hAnsi="黑体" w:eastAsia="黑体"/>
          <w:bCs/>
          <w:color w:val="auto"/>
          <w:szCs w:val="21"/>
          <w:highlight w:val="none"/>
        </w:rPr>
        <w:t>中国残疾人联合会《关于促进残疾人就业政府采购政策的通知》（财库</w:t>
      </w:r>
      <w:r>
        <w:rPr>
          <w:rFonts w:ascii="黑体" w:hAnsi="黑体" w:eastAsia="黑体"/>
          <w:bCs/>
          <w:color w:val="auto"/>
          <w:szCs w:val="21"/>
          <w:highlight w:val="none"/>
        </w:rPr>
        <w:t>[2017]</w:t>
      </w:r>
      <w:r>
        <w:rPr>
          <w:rFonts w:hint="eastAsia" w:ascii="黑体" w:hAnsi="黑体" w:eastAsia="黑体"/>
          <w:bCs/>
          <w:color w:val="auto"/>
          <w:szCs w:val="21"/>
          <w:highlight w:val="none"/>
        </w:rPr>
        <w:t>1</w:t>
      </w:r>
      <w:r>
        <w:rPr>
          <w:rFonts w:ascii="黑体" w:hAnsi="黑体" w:eastAsia="黑体"/>
          <w:bCs/>
          <w:color w:val="auto"/>
          <w:szCs w:val="21"/>
          <w:highlight w:val="none"/>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黑体" w:hAnsi="黑体" w:eastAsia="黑体"/>
          <w:bCs/>
          <w:color w:val="auto"/>
          <w:szCs w:val="21"/>
          <w:highlight w:val="none"/>
        </w:rPr>
        <w:t>（格式详见招标文件第七部分投标文件格式）。</w:t>
      </w:r>
    </w:p>
    <w:p w14:paraId="2E8EEFA0">
      <w:pPr>
        <w:pStyle w:val="29"/>
        <w:numPr>
          <w:ilvl w:val="1"/>
          <w:numId w:val="102"/>
        </w:numPr>
        <w:spacing w:line="360" w:lineRule="auto"/>
        <w:ind w:firstLineChars="0"/>
        <w:rPr>
          <w:rFonts w:ascii="黑体" w:hAnsi="黑体" w:eastAsia="黑体"/>
          <w:bCs/>
          <w:color w:val="auto"/>
          <w:szCs w:val="21"/>
          <w:highlight w:val="none"/>
        </w:rPr>
      </w:pPr>
      <w:r>
        <w:rPr>
          <w:rFonts w:hint="eastAsia" w:ascii="黑体" w:hAnsi="黑体" w:eastAsia="黑体"/>
          <w:bCs/>
          <w:color w:val="auto"/>
          <w:szCs w:val="21"/>
          <w:highlight w:val="none"/>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ascii="黑体" w:hAnsi="黑体" w:eastAsia="黑体"/>
          <w:bCs/>
          <w:color w:val="auto"/>
          <w:szCs w:val="21"/>
          <w:highlight w:val="none"/>
        </w:rPr>
        <w:t>4</w:t>
      </w:r>
      <w:r>
        <w:rPr>
          <w:rFonts w:hint="eastAsia" w:ascii="黑体" w:hAnsi="黑体" w:eastAsia="黑体"/>
          <w:bCs/>
          <w:color w:val="auto"/>
          <w:szCs w:val="21"/>
          <w:highlight w:val="none"/>
        </w:rPr>
        <w:t>%的扣除</w:t>
      </w:r>
      <w:r>
        <w:rPr>
          <w:rFonts w:ascii="黑体" w:hAnsi="黑体" w:eastAsia="黑体"/>
          <w:bCs/>
          <w:color w:val="auto"/>
          <w:szCs w:val="21"/>
          <w:highlight w:val="none"/>
        </w:rPr>
        <w:t>。</w:t>
      </w:r>
    </w:p>
    <w:p w14:paraId="3E07AB0A">
      <w:pPr>
        <w:pStyle w:val="29"/>
        <w:numPr>
          <w:ilvl w:val="1"/>
          <w:numId w:val="102"/>
        </w:numPr>
        <w:spacing w:line="360" w:lineRule="auto"/>
        <w:ind w:firstLineChars="0"/>
        <w:rPr>
          <w:rFonts w:ascii="黑体" w:hAnsi="黑体" w:eastAsia="黑体"/>
          <w:b/>
          <w:color w:val="auto"/>
        </w:rPr>
      </w:pPr>
      <w:bookmarkStart w:id="55" w:name="_Hlk86745708"/>
      <w:bookmarkStart w:id="56" w:name="_Hlk90987823"/>
      <w:r>
        <w:rPr>
          <w:rFonts w:hint="eastAsia" w:ascii="黑体" w:hAnsi="黑体" w:eastAsia="黑体"/>
          <w:b/>
          <w:color w:val="auto"/>
        </w:rPr>
        <w:t>监狱企业产品、残疾人福利性单位产品价格扣除</w:t>
      </w:r>
    </w:p>
    <w:p w14:paraId="1B76EEE4">
      <w:pPr>
        <w:pStyle w:val="29"/>
        <w:spacing w:line="360" w:lineRule="auto"/>
        <w:ind w:left="567" w:firstLine="0" w:firstLineChars="0"/>
        <w:rPr>
          <w:rFonts w:ascii="黑体" w:hAnsi="黑体" w:eastAsia="黑体"/>
          <w:bCs/>
          <w:color w:val="auto"/>
        </w:rPr>
      </w:pPr>
      <w:r>
        <w:rPr>
          <w:rFonts w:hint="eastAsia" w:ascii="黑体" w:hAnsi="黑体" w:eastAsia="黑体"/>
          <w:bCs/>
          <w:color w:val="auto"/>
        </w:rPr>
        <w:t>监狱企业、</w:t>
      </w:r>
      <w:r>
        <w:rPr>
          <w:rFonts w:ascii="黑体" w:hAnsi="黑体" w:eastAsia="黑体"/>
          <w:bCs/>
          <w:color w:val="auto"/>
        </w:rPr>
        <w:t>残疾人福利性单位视同小微企业</w:t>
      </w:r>
      <w:r>
        <w:rPr>
          <w:rFonts w:hint="eastAsia" w:ascii="黑体" w:hAnsi="黑体" w:eastAsia="黑体"/>
          <w:bCs/>
          <w:color w:val="auto"/>
        </w:rPr>
        <w:t>，按上述第</w:t>
      </w:r>
      <w:r>
        <w:rPr>
          <w:rFonts w:ascii="黑体" w:hAnsi="黑体" w:eastAsia="黑体"/>
          <w:bCs/>
          <w:color w:val="auto"/>
        </w:rPr>
        <w:t>8.1.1</w:t>
      </w:r>
      <w:r>
        <w:rPr>
          <w:rFonts w:hint="eastAsia" w:ascii="黑体" w:hAnsi="黑体" w:eastAsia="黑体"/>
          <w:bCs/>
          <w:color w:val="auto"/>
        </w:rPr>
        <w:t>、8</w:t>
      </w:r>
      <w:r>
        <w:rPr>
          <w:rFonts w:ascii="黑体" w:hAnsi="黑体" w:eastAsia="黑体"/>
          <w:bCs/>
          <w:color w:val="auto"/>
        </w:rPr>
        <w:t>.4</w:t>
      </w:r>
      <w:r>
        <w:rPr>
          <w:rFonts w:hint="eastAsia" w:ascii="黑体" w:hAnsi="黑体" w:eastAsia="黑体"/>
          <w:bCs/>
          <w:color w:val="auto"/>
        </w:rPr>
        <w:t>条款享受评审中价格扣除。</w:t>
      </w:r>
    </w:p>
    <w:bookmarkEnd w:id="55"/>
    <w:p w14:paraId="59732B95">
      <w:pPr>
        <w:pStyle w:val="29"/>
        <w:numPr>
          <w:ilvl w:val="1"/>
          <w:numId w:val="102"/>
        </w:numPr>
        <w:spacing w:line="360" w:lineRule="auto"/>
        <w:ind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投标人同时为小型、微型企业、监狱企业、残疾人福利性单位任两种或以上情况的，评审中只享受一次价格扣除，不重复进行价格扣除。</w:t>
      </w:r>
    </w:p>
    <w:bookmarkEnd w:id="56"/>
    <w:p w14:paraId="5147004C">
      <w:pPr>
        <w:pStyle w:val="29"/>
        <w:numPr>
          <w:ilvl w:val="1"/>
          <w:numId w:val="102"/>
        </w:numPr>
        <w:spacing w:line="360" w:lineRule="auto"/>
        <w:ind w:firstLineChars="0"/>
        <w:rPr>
          <w:rFonts w:ascii="黑体" w:hAnsi="黑体" w:eastAsia="黑体"/>
          <w:b/>
          <w:color w:val="auto"/>
        </w:rPr>
      </w:pPr>
      <w:r>
        <w:rPr>
          <w:rFonts w:hint="eastAsia" w:ascii="黑体" w:hAnsi="黑体" w:eastAsia="黑体"/>
          <w:b/>
          <w:color w:val="auto"/>
        </w:rPr>
        <w:t>节能产品、环境标志产品价格扣除：</w:t>
      </w:r>
    </w:p>
    <w:p w14:paraId="2BE34624">
      <w:pPr>
        <w:pStyle w:val="29"/>
        <w:numPr>
          <w:ilvl w:val="0"/>
          <w:numId w:val="106"/>
        </w:numPr>
        <w:spacing w:line="360" w:lineRule="auto"/>
        <w:ind w:left="709" w:hanging="709" w:firstLineChars="0"/>
        <w:rPr>
          <w:rFonts w:ascii="黑体" w:hAnsi="黑体" w:eastAsia="黑体"/>
          <w:color w:val="auto"/>
          <w:szCs w:val="21"/>
        </w:rPr>
      </w:pPr>
      <w:r>
        <w:rPr>
          <w:rFonts w:hint="eastAsia" w:ascii="黑体" w:hAnsi="黑体" w:eastAsia="黑体"/>
          <w:color w:val="auto"/>
          <w:szCs w:val="21"/>
        </w:rPr>
        <w:t>投标产品(针对非政府强制采购产品)纳入财政部、发展改革委颁发最新节能产品政府采购品目清单的，</w:t>
      </w:r>
      <w:r>
        <w:rPr>
          <w:rFonts w:hint="eastAsia" w:ascii="黑体" w:hAnsi="黑体" w:eastAsia="黑体"/>
          <w:bCs/>
          <w:color w:val="auto"/>
        </w:rPr>
        <w:t>对</w:t>
      </w:r>
      <w:r>
        <w:rPr>
          <w:rFonts w:hint="eastAsia" w:ascii="黑体" w:hAnsi="黑体" w:eastAsia="黑体"/>
          <w:color w:val="auto"/>
          <w:szCs w:val="21"/>
        </w:rPr>
        <w:t>节能</w:t>
      </w:r>
      <w:r>
        <w:rPr>
          <w:rFonts w:hint="eastAsia" w:ascii="黑体" w:hAnsi="黑体" w:eastAsia="黑体"/>
          <w:bCs/>
          <w:color w:val="auto"/>
        </w:rPr>
        <w:t>产品的价格给予1%的扣除，用扣除后的价格参与评审。（</w:t>
      </w:r>
      <w:r>
        <w:rPr>
          <w:rFonts w:hint="eastAsia" w:ascii="黑体" w:hAnsi="黑体" w:eastAsia="黑体"/>
          <w:color w:val="auto"/>
          <w:szCs w:val="21"/>
        </w:rPr>
        <w:t>提供投标产品有效期内的节能产品认证证书复印件加盖投标人公章）。</w:t>
      </w:r>
    </w:p>
    <w:p w14:paraId="4906A772">
      <w:pPr>
        <w:pStyle w:val="29"/>
        <w:numPr>
          <w:ilvl w:val="0"/>
          <w:numId w:val="106"/>
        </w:numPr>
        <w:spacing w:line="360" w:lineRule="auto"/>
        <w:ind w:left="709" w:hanging="709" w:firstLineChars="0"/>
        <w:rPr>
          <w:rFonts w:ascii="黑体" w:hAnsi="黑体" w:eastAsia="黑体"/>
          <w:color w:val="auto"/>
          <w:szCs w:val="21"/>
        </w:rPr>
      </w:pPr>
      <w:r>
        <w:rPr>
          <w:rFonts w:hint="eastAsia" w:ascii="黑体" w:hAnsi="黑体" w:eastAsia="黑体"/>
          <w:color w:val="auto"/>
          <w:szCs w:val="21"/>
        </w:rPr>
        <w:t>投标产品纳入财政部、环境保护部颁布最新环境标志产品政府采购品目清单的，</w:t>
      </w:r>
      <w:r>
        <w:rPr>
          <w:rFonts w:hint="eastAsia" w:ascii="黑体" w:hAnsi="黑体" w:eastAsia="黑体"/>
          <w:bCs/>
          <w:color w:val="auto"/>
        </w:rPr>
        <w:t>对</w:t>
      </w:r>
      <w:r>
        <w:rPr>
          <w:rFonts w:hint="eastAsia" w:ascii="黑体" w:hAnsi="黑体" w:eastAsia="黑体"/>
          <w:color w:val="auto"/>
          <w:szCs w:val="21"/>
        </w:rPr>
        <w:t>环境标志产品</w:t>
      </w:r>
      <w:r>
        <w:rPr>
          <w:rFonts w:hint="eastAsia" w:ascii="黑体" w:hAnsi="黑体" w:eastAsia="黑体"/>
          <w:bCs/>
          <w:color w:val="auto"/>
        </w:rPr>
        <w:t>的价格给予1%的扣除，用扣除后的价格参与评审。（</w:t>
      </w:r>
      <w:r>
        <w:rPr>
          <w:rFonts w:hint="eastAsia" w:ascii="黑体" w:hAnsi="黑体" w:eastAsia="黑体"/>
          <w:color w:val="auto"/>
          <w:szCs w:val="21"/>
        </w:rPr>
        <w:t>提供投标产品有效期内的环境标志产品认证证书复印件加盖投标人公章）。</w:t>
      </w:r>
    </w:p>
    <w:p w14:paraId="1F52AE7C">
      <w:pPr>
        <w:pStyle w:val="29"/>
        <w:numPr>
          <w:ilvl w:val="1"/>
          <w:numId w:val="102"/>
        </w:numPr>
        <w:spacing w:line="360" w:lineRule="auto"/>
        <w:ind w:firstLineChars="0"/>
        <w:rPr>
          <w:rFonts w:ascii="黑体" w:hAnsi="黑体" w:eastAsia="黑体"/>
          <w:bCs/>
          <w:color w:val="auto"/>
          <w:szCs w:val="21"/>
        </w:rPr>
      </w:pPr>
      <w:r>
        <w:rPr>
          <w:rFonts w:hint="eastAsia" w:ascii="黑体" w:hAnsi="黑体" w:eastAsia="黑体"/>
          <w:bCs/>
          <w:color w:val="000000" w:themeColor="text1"/>
          <w:szCs w:val="21"/>
          <w14:textFill>
            <w14:solidFill>
              <w14:schemeClr w14:val="tx1"/>
            </w14:solidFill>
          </w14:textFill>
        </w:rPr>
        <w:t>价格分应当采用低价优先法计算，即满足招标文件要求且投标价格最低的投标报价为评</w:t>
      </w:r>
      <w:r>
        <w:rPr>
          <w:rFonts w:hint="eastAsia" w:ascii="黑体" w:hAnsi="黑体" w:eastAsia="黑体"/>
          <w:bCs/>
          <w:color w:val="auto"/>
          <w:szCs w:val="21"/>
        </w:rPr>
        <w:t>标基准价，其价格分为满分。其他投标人的价格分统一按照下列公式计算：</w:t>
      </w:r>
    </w:p>
    <w:p w14:paraId="41FC9E5E">
      <w:pPr>
        <w:pStyle w:val="29"/>
        <w:spacing w:line="360" w:lineRule="auto"/>
        <w:ind w:left="567" w:firstLine="0" w:firstLineChars="0"/>
        <w:jc w:val="left"/>
        <w:rPr>
          <w:rFonts w:ascii="黑体" w:hAnsi="黑体" w:eastAsia="黑体"/>
          <w:color w:val="auto"/>
        </w:rPr>
      </w:pPr>
      <w:r>
        <w:rPr>
          <w:rFonts w:hint="eastAsia" w:ascii="黑体" w:hAnsi="黑体" w:eastAsia="黑体"/>
          <w:bCs/>
          <w:color w:val="auto"/>
          <w:szCs w:val="21"/>
        </w:rPr>
        <w:t>投标人价格得分</w:t>
      </w:r>
      <w:r>
        <w:rPr>
          <w:rFonts w:ascii="黑体" w:hAnsi="黑体" w:eastAsia="黑体"/>
          <w:bCs/>
          <w:color w:val="auto"/>
          <w:szCs w:val="21"/>
        </w:rPr>
        <w:t>=(评标基准价／</w:t>
      </w:r>
      <w:r>
        <w:rPr>
          <w:rFonts w:hint="eastAsia" w:ascii="黑体" w:hAnsi="黑体" w:eastAsia="黑体"/>
          <w:bCs/>
          <w:color w:val="auto"/>
          <w:szCs w:val="21"/>
        </w:rPr>
        <w:t>投标报价</w:t>
      </w:r>
      <w:r>
        <w:rPr>
          <w:rFonts w:ascii="黑体" w:hAnsi="黑体" w:eastAsia="黑体"/>
          <w:bCs/>
          <w:color w:val="auto"/>
          <w:szCs w:val="21"/>
        </w:rPr>
        <w:t>)×</w:t>
      </w:r>
      <w:r>
        <w:rPr>
          <w:rFonts w:hint="eastAsia" w:ascii="黑体" w:hAnsi="黑体" w:eastAsia="黑体"/>
          <w:color w:val="auto"/>
        </w:rPr>
        <w:t>价格权值</w:t>
      </w:r>
      <w:r>
        <w:rPr>
          <w:rFonts w:ascii="黑体" w:hAnsi="黑体" w:eastAsia="黑体"/>
          <w:bCs/>
          <w:color w:val="auto"/>
          <w:szCs w:val="21"/>
        </w:rPr>
        <w:t>×100</w:t>
      </w:r>
    </w:p>
    <w:p w14:paraId="13545564">
      <w:pPr>
        <w:spacing w:line="360" w:lineRule="auto"/>
        <w:ind w:firstLine="565" w:firstLineChars="280"/>
        <w:jc w:val="left"/>
        <w:rPr>
          <w:rFonts w:ascii="黑体" w:hAnsi="黑体" w:eastAsia="黑体"/>
          <w:bCs/>
          <w:color w:val="auto"/>
          <w:spacing w:val="-4"/>
          <w:szCs w:val="21"/>
        </w:rPr>
      </w:pPr>
      <w:r>
        <w:rPr>
          <w:rFonts w:hint="eastAsia" w:ascii="黑体" w:hAnsi="黑体" w:eastAsia="黑体"/>
          <w:bCs/>
          <w:color w:val="auto"/>
          <w:spacing w:val="-4"/>
          <w:szCs w:val="21"/>
        </w:rPr>
        <w:t>注：1.投标报价换算成（1-投标下浮率），换算后的投标报价仅作为价格评审使用。</w:t>
      </w:r>
    </w:p>
    <w:p w14:paraId="255C9D9E">
      <w:pPr>
        <w:tabs>
          <w:tab w:val="left" w:pos="567"/>
        </w:tabs>
        <w:spacing w:line="360" w:lineRule="auto"/>
        <w:ind w:firstLine="565" w:firstLineChars="280"/>
        <w:jc w:val="left"/>
        <w:rPr>
          <w:rFonts w:ascii="黑体" w:hAnsi="黑体" w:eastAsia="黑体"/>
          <w:bCs/>
          <w:color w:val="000000" w:themeColor="text1"/>
          <w:spacing w:val="-4"/>
          <w:szCs w:val="21"/>
          <w14:textFill>
            <w14:solidFill>
              <w14:schemeClr w14:val="tx1"/>
            </w14:solidFill>
          </w14:textFill>
        </w:rPr>
      </w:pPr>
      <w:r>
        <w:rPr>
          <w:rFonts w:hint="eastAsia" w:ascii="黑体" w:hAnsi="黑体" w:eastAsia="黑体"/>
          <w:bCs/>
          <w:color w:val="000000" w:themeColor="text1"/>
          <w:spacing w:val="-4"/>
          <w:szCs w:val="21"/>
          <w14:textFill>
            <w14:solidFill>
              <w14:schemeClr w14:val="tx1"/>
            </w14:solidFill>
          </w14:textFill>
        </w:rPr>
        <w:t>2.因落实政府采购政策进行价格调整的，以调整后的价格计算评标基准价和投标报价。</w:t>
      </w:r>
    </w:p>
    <w:p w14:paraId="6D178A64">
      <w:pPr>
        <w:pStyle w:val="29"/>
        <w:numPr>
          <w:ilvl w:val="0"/>
          <w:numId w:val="95"/>
        </w:numPr>
        <w:tabs>
          <w:tab w:val="left" w:pos="426"/>
        </w:tabs>
        <w:spacing w:before="156" w:beforeLines="50" w:after="156" w:afterLines="50" w:line="360" w:lineRule="auto"/>
        <w:ind w:firstLineChars="0"/>
        <w:rPr>
          <w:rFonts w:ascii="黑体" w:hAnsi="黑体" w:eastAsia="黑体"/>
          <w:b/>
          <w:bCs/>
          <w:szCs w:val="21"/>
        </w:rPr>
      </w:pPr>
      <w:r>
        <w:rPr>
          <w:rFonts w:hint="eastAsia" w:ascii="黑体" w:hAnsi="黑体" w:eastAsia="黑体"/>
          <w:b/>
          <w:bCs/>
          <w:szCs w:val="21"/>
        </w:rPr>
        <w:t>商务技术及价格评分</w:t>
      </w:r>
      <w:r>
        <w:rPr>
          <w:rFonts w:hint="eastAsia" w:ascii="黑体" w:hAnsi="黑体" w:eastAsia="黑体"/>
          <w:b/>
          <w:bCs/>
        </w:rPr>
        <w:t>权值</w:t>
      </w:r>
      <w:r>
        <w:rPr>
          <w:rFonts w:hint="eastAsia" w:ascii="黑体" w:hAnsi="黑体" w:eastAsia="黑体"/>
          <w:b/>
          <w:bCs/>
          <w:szCs w:val="21"/>
        </w:rPr>
        <w:t>分配</w:t>
      </w:r>
      <w:r>
        <w:rPr>
          <w:rFonts w:hint="eastAsia" w:ascii="黑体" w:hAnsi="黑体" w:eastAsia="黑体"/>
          <w:b/>
          <w:bCs/>
          <w:szCs w:val="21"/>
          <w:lang w:eastAsia="zh-CN"/>
        </w:rPr>
        <w:t>（</w:t>
      </w:r>
      <w:r>
        <w:rPr>
          <w:rFonts w:hint="eastAsia" w:ascii="黑体" w:hAnsi="黑体" w:eastAsia="黑体"/>
          <w:b/>
          <w:bCs/>
          <w:szCs w:val="21"/>
          <w:lang w:val="en-US" w:eastAsia="zh-CN"/>
        </w:rPr>
        <w:t>适用包A/包B</w:t>
      </w:r>
      <w:r>
        <w:rPr>
          <w:rFonts w:hint="eastAsia" w:ascii="黑体" w:hAnsi="黑体" w:eastAsia="黑体"/>
          <w:b/>
          <w:bCs/>
          <w:szCs w:val="21"/>
          <w:lang w:eastAsia="zh-CN"/>
        </w:rPr>
        <w:t>）</w:t>
      </w:r>
    </w:p>
    <w:tbl>
      <w:tblPr>
        <w:tblStyle w:val="19"/>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711"/>
        <w:gridCol w:w="1897"/>
        <w:gridCol w:w="1895"/>
        <w:gridCol w:w="1895"/>
        <w:gridCol w:w="1369"/>
      </w:tblGrid>
      <w:tr w14:paraId="52B7F9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6" w:type="pct"/>
            <w:vAlign w:val="center"/>
          </w:tcPr>
          <w:p w14:paraId="361A9538">
            <w:pPr>
              <w:jc w:val="center"/>
              <w:rPr>
                <w:rFonts w:ascii="黑体" w:hAnsi="黑体" w:eastAsia="黑体"/>
              </w:rPr>
            </w:pPr>
            <w:r>
              <w:rPr>
                <w:rFonts w:hint="eastAsia" w:ascii="黑体" w:hAnsi="黑体" w:eastAsia="黑体"/>
              </w:rPr>
              <w:t>评分项目</w:t>
            </w:r>
          </w:p>
        </w:tc>
        <w:tc>
          <w:tcPr>
            <w:tcW w:w="1082" w:type="pct"/>
            <w:vAlign w:val="center"/>
          </w:tcPr>
          <w:p w14:paraId="3C37832E">
            <w:pPr>
              <w:jc w:val="center"/>
              <w:rPr>
                <w:rFonts w:ascii="黑体" w:hAnsi="黑体" w:eastAsia="黑体"/>
              </w:rPr>
            </w:pPr>
            <w:r>
              <w:rPr>
                <w:rFonts w:hint="eastAsia" w:ascii="黑体" w:hAnsi="黑体" w:eastAsia="黑体"/>
              </w:rPr>
              <w:t>价格部分</w:t>
            </w:r>
          </w:p>
        </w:tc>
        <w:tc>
          <w:tcPr>
            <w:tcW w:w="1081" w:type="pct"/>
            <w:vAlign w:val="center"/>
          </w:tcPr>
          <w:p w14:paraId="1CECEF04">
            <w:pPr>
              <w:jc w:val="center"/>
              <w:rPr>
                <w:rFonts w:ascii="黑体" w:hAnsi="黑体" w:eastAsia="黑体"/>
              </w:rPr>
            </w:pPr>
            <w:r>
              <w:rPr>
                <w:rFonts w:hint="eastAsia" w:ascii="黑体" w:hAnsi="黑体" w:eastAsia="黑体"/>
              </w:rPr>
              <w:t>商务部分</w:t>
            </w:r>
          </w:p>
        </w:tc>
        <w:tc>
          <w:tcPr>
            <w:tcW w:w="1081" w:type="pct"/>
            <w:vAlign w:val="center"/>
          </w:tcPr>
          <w:p w14:paraId="7A630667">
            <w:pPr>
              <w:jc w:val="center"/>
              <w:rPr>
                <w:rFonts w:ascii="黑体" w:hAnsi="黑体" w:eastAsia="黑体"/>
              </w:rPr>
            </w:pPr>
            <w:r>
              <w:rPr>
                <w:rFonts w:hint="eastAsia" w:ascii="黑体" w:hAnsi="黑体" w:eastAsia="黑体"/>
              </w:rPr>
              <w:t>技术部分</w:t>
            </w:r>
          </w:p>
        </w:tc>
        <w:tc>
          <w:tcPr>
            <w:tcW w:w="780" w:type="pct"/>
            <w:vAlign w:val="center"/>
          </w:tcPr>
          <w:p w14:paraId="04BA122D">
            <w:pPr>
              <w:jc w:val="center"/>
              <w:rPr>
                <w:rFonts w:ascii="黑体" w:hAnsi="黑体" w:eastAsia="黑体"/>
              </w:rPr>
            </w:pPr>
            <w:r>
              <w:rPr>
                <w:rFonts w:hint="eastAsia" w:ascii="黑体" w:hAnsi="黑体" w:eastAsia="黑体"/>
              </w:rPr>
              <w:t>合计</w:t>
            </w:r>
          </w:p>
        </w:tc>
      </w:tr>
      <w:tr w14:paraId="7A4EA1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6" w:type="pct"/>
            <w:vAlign w:val="center"/>
          </w:tcPr>
          <w:p w14:paraId="5EB506F8">
            <w:pPr>
              <w:jc w:val="center"/>
              <w:rPr>
                <w:rFonts w:ascii="黑体" w:hAnsi="黑体" w:eastAsia="黑体"/>
              </w:rPr>
            </w:pPr>
            <w:r>
              <w:rPr>
                <w:rFonts w:hint="eastAsia" w:ascii="黑体" w:hAnsi="黑体" w:eastAsia="黑体"/>
              </w:rPr>
              <w:t>权值（%）</w:t>
            </w:r>
          </w:p>
        </w:tc>
        <w:tc>
          <w:tcPr>
            <w:tcW w:w="1082" w:type="pct"/>
            <w:vAlign w:val="center"/>
          </w:tcPr>
          <w:p w14:paraId="6FF9DA1C">
            <w:pPr>
              <w:jc w:val="center"/>
              <w:rPr>
                <w:rFonts w:ascii="黑体" w:hAnsi="黑体" w:eastAsia="黑体"/>
              </w:rPr>
            </w:pPr>
            <w:r>
              <w:rPr>
                <w:rFonts w:hint="eastAsia" w:ascii="黑体" w:hAnsi="黑体" w:eastAsia="黑体"/>
                <w:lang w:val="en-US" w:eastAsia="zh-CN"/>
              </w:rPr>
              <w:t>30</w:t>
            </w:r>
            <w:r>
              <w:rPr>
                <w:rFonts w:hint="eastAsia" w:ascii="黑体" w:hAnsi="黑体" w:eastAsia="黑体"/>
              </w:rPr>
              <w:t>%</w:t>
            </w:r>
          </w:p>
        </w:tc>
        <w:tc>
          <w:tcPr>
            <w:tcW w:w="1081" w:type="pct"/>
            <w:vAlign w:val="center"/>
          </w:tcPr>
          <w:p w14:paraId="06E87BE5">
            <w:pPr>
              <w:jc w:val="center"/>
              <w:rPr>
                <w:rFonts w:ascii="黑体" w:hAnsi="黑体" w:eastAsia="黑体"/>
                <w:highlight w:val="red"/>
              </w:rPr>
            </w:pPr>
            <w:r>
              <w:rPr>
                <w:rFonts w:hint="eastAsia" w:ascii="黑体" w:hAnsi="黑体" w:eastAsia="黑体"/>
                <w:lang w:val="en-US" w:eastAsia="zh-CN"/>
              </w:rPr>
              <w:t>15</w:t>
            </w:r>
            <w:r>
              <w:rPr>
                <w:rFonts w:hint="eastAsia" w:ascii="黑体" w:hAnsi="黑体" w:eastAsia="黑体"/>
              </w:rPr>
              <w:t>%</w:t>
            </w:r>
          </w:p>
        </w:tc>
        <w:tc>
          <w:tcPr>
            <w:tcW w:w="1081" w:type="pct"/>
            <w:vAlign w:val="center"/>
          </w:tcPr>
          <w:p w14:paraId="4C771720">
            <w:pPr>
              <w:jc w:val="center"/>
              <w:rPr>
                <w:rFonts w:ascii="黑体" w:hAnsi="黑体" w:eastAsia="黑体"/>
                <w:i/>
                <w:highlight w:val="red"/>
              </w:rPr>
            </w:pPr>
            <w:r>
              <w:rPr>
                <w:rFonts w:hint="eastAsia" w:ascii="黑体" w:hAnsi="黑体" w:eastAsia="黑体"/>
                <w:lang w:val="en-US" w:eastAsia="zh-CN"/>
              </w:rPr>
              <w:t>55</w:t>
            </w:r>
            <w:r>
              <w:rPr>
                <w:rFonts w:hint="eastAsia" w:ascii="黑体" w:hAnsi="黑体" w:eastAsia="黑体"/>
              </w:rPr>
              <w:t>%</w:t>
            </w:r>
          </w:p>
        </w:tc>
        <w:tc>
          <w:tcPr>
            <w:tcW w:w="780" w:type="pct"/>
          </w:tcPr>
          <w:p w14:paraId="4D030BEC">
            <w:pPr>
              <w:jc w:val="center"/>
              <w:rPr>
                <w:rFonts w:ascii="黑体" w:hAnsi="黑体" w:eastAsia="黑体"/>
                <w:highlight w:val="red"/>
              </w:rPr>
            </w:pPr>
            <w:r>
              <w:rPr>
                <w:rFonts w:hint="eastAsia" w:ascii="黑体" w:hAnsi="黑体" w:eastAsia="黑体"/>
                <w:lang w:val="en-US" w:eastAsia="zh-CN"/>
              </w:rPr>
              <w:t>100</w:t>
            </w:r>
            <w:r>
              <w:rPr>
                <w:rFonts w:hint="eastAsia" w:ascii="黑体" w:hAnsi="黑体" w:eastAsia="黑体"/>
              </w:rPr>
              <w:t>%</w:t>
            </w:r>
          </w:p>
        </w:tc>
      </w:tr>
    </w:tbl>
    <w:p w14:paraId="2703B2B2">
      <w:pPr>
        <w:pStyle w:val="29"/>
        <w:numPr>
          <w:ilvl w:val="0"/>
          <w:numId w:val="107"/>
        </w:numPr>
        <w:spacing w:before="156" w:beforeLines="50"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综合得分＝商务得分＋技术得分＋价格得分</w:t>
      </w:r>
    </w:p>
    <w:p w14:paraId="53EB14B4">
      <w:pPr>
        <w:pStyle w:val="29"/>
        <w:numPr>
          <w:ilvl w:val="0"/>
          <w:numId w:val="95"/>
        </w:numPr>
        <w:tabs>
          <w:tab w:val="left" w:pos="426"/>
        </w:tabs>
        <w:spacing w:line="360" w:lineRule="auto"/>
        <w:ind w:firstLineChars="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中标候选人</w:t>
      </w:r>
    </w:p>
    <w:p w14:paraId="45C42DA0">
      <w:pPr>
        <w:pStyle w:val="29"/>
        <w:numPr>
          <w:ilvl w:val="1"/>
          <w:numId w:val="108"/>
        </w:numPr>
        <w:spacing w:line="360" w:lineRule="auto"/>
        <w:ind w:firstLineChars="0"/>
        <w:rPr>
          <w:rFonts w:ascii="黑体" w:hAnsi="黑体" w:eastAsia="黑体"/>
          <w:bCs/>
          <w:color w:val="auto"/>
          <w:szCs w:val="21"/>
        </w:rPr>
      </w:pPr>
      <w:r>
        <w:rPr>
          <w:rFonts w:hint="eastAsia" w:ascii="黑体" w:hAnsi="黑体" w:eastAsia="黑体"/>
          <w:bCs/>
          <w:color w:val="auto"/>
          <w:szCs w:val="21"/>
        </w:rPr>
        <w:t>评标委员会将根据各投标人的评标排序，依次推荐本项目（各采购包）的中标候选人，起草并签署评标报告。本项目（各采购包）评标委员会共（各）推荐</w:t>
      </w:r>
      <w:r>
        <w:rPr>
          <w:rFonts w:ascii="黑体" w:hAnsi="黑体" w:eastAsia="黑体"/>
          <w:bCs/>
          <w:color w:val="auto"/>
          <w:szCs w:val="21"/>
          <w:u w:val="single"/>
        </w:rPr>
        <w:t>2</w:t>
      </w:r>
      <w:r>
        <w:rPr>
          <w:rFonts w:hint="eastAsia" w:ascii="黑体" w:hAnsi="黑体" w:eastAsia="黑体"/>
          <w:bCs/>
          <w:color w:val="auto"/>
          <w:szCs w:val="21"/>
        </w:rPr>
        <w:t>名中标候选人。</w:t>
      </w:r>
      <w:r>
        <w:rPr>
          <w:rFonts w:hint="eastAsia" w:ascii="黑体" w:hAnsi="黑体" w:eastAsia="黑体"/>
          <w:bCs/>
          <w:color w:val="auto"/>
          <w:szCs w:val="21"/>
          <w:lang w:val="en-US" w:eastAsia="zh-CN"/>
        </w:rPr>
        <w:t>本项目兼投不兼中。</w:t>
      </w:r>
    </w:p>
    <w:p w14:paraId="0A1E2C77">
      <w:pPr>
        <w:pStyle w:val="29"/>
        <w:numPr>
          <w:ilvl w:val="1"/>
          <w:numId w:val="108"/>
        </w:numPr>
        <w:tabs>
          <w:tab w:val="left" w:pos="567"/>
          <w:tab w:val="left" w:pos="709"/>
        </w:tabs>
        <w:spacing w:line="360" w:lineRule="auto"/>
        <w:ind w:firstLineChars="0"/>
        <w:rPr>
          <w:rFonts w:ascii="黑体" w:hAnsi="黑体" w:eastAsia="黑体"/>
          <w:bCs/>
          <w:szCs w:val="21"/>
        </w:rPr>
      </w:pPr>
      <w:r>
        <w:rPr>
          <w:rFonts w:hint="eastAsia" w:ascii="黑体" w:hAnsi="黑体" w:eastAsia="黑体"/>
          <w:bCs/>
          <w:szCs w:val="21"/>
        </w:rPr>
        <w:t>使用综合评分法的采购项目：提供相同品牌产品或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bookmarkStart w:id="57" w:name="_Hlk81183397"/>
      <w:r>
        <w:rPr>
          <w:rFonts w:hint="eastAsia" w:ascii="黑体" w:hAnsi="黑体" w:eastAsia="黑体"/>
          <w:bCs/>
          <w:szCs w:val="21"/>
        </w:rPr>
        <w:t>非单一产品采购项目，采购人将根据采购项目技术构成、产品价格比重等合理确定核心产品，并在招标文件中载明。多家投标人提供的核心产品品牌相同的，按上述规定处理。</w:t>
      </w:r>
    </w:p>
    <w:bookmarkEnd w:id="57"/>
    <w:p w14:paraId="7664BB0A">
      <w:pPr>
        <w:pStyle w:val="29"/>
        <w:numPr>
          <w:ilvl w:val="1"/>
          <w:numId w:val="108"/>
        </w:numPr>
        <w:tabs>
          <w:tab w:val="left" w:pos="567"/>
          <w:tab w:val="left" w:pos="709"/>
        </w:tabs>
        <w:spacing w:line="360" w:lineRule="auto"/>
        <w:ind w:firstLineChars="0"/>
        <w:rPr>
          <w:rFonts w:ascii="黑体" w:hAnsi="黑体" w:eastAsia="黑体"/>
        </w:rPr>
      </w:pPr>
      <w:r>
        <w:rPr>
          <w:rFonts w:hint="eastAsia" w:ascii="黑体" w:hAnsi="黑体" w:eastAsia="黑体"/>
          <w:bCs/>
          <w:szCs w:val="21"/>
        </w:rPr>
        <w:t>采</w:t>
      </w:r>
      <w:r>
        <w:rPr>
          <w:rFonts w:ascii="黑体" w:hAnsi="黑体" w:eastAsia="黑体"/>
          <w:bCs/>
          <w:szCs w:val="21"/>
        </w:rPr>
        <w:t>用综合评分法的，</w:t>
      </w:r>
      <w:r>
        <w:rPr>
          <w:rFonts w:hint="eastAsia" w:ascii="黑体" w:hAnsi="黑体" w:eastAsia="黑体"/>
          <w:bCs/>
          <w:szCs w:val="21"/>
        </w:rPr>
        <w:t>评审结果</w:t>
      </w:r>
      <w:r>
        <w:rPr>
          <w:rFonts w:ascii="黑体" w:hAnsi="黑体" w:eastAsia="黑体"/>
          <w:bCs/>
          <w:szCs w:val="21"/>
        </w:rPr>
        <w:t>按评审后得分由高到低的顺序排列。得分相同的，按投标报价由低到高顺序排列。</w:t>
      </w:r>
      <w:r>
        <w:rPr>
          <w:rFonts w:hint="eastAsia" w:ascii="黑体" w:hAnsi="黑体" w:eastAsia="黑体"/>
          <w:bCs/>
          <w:szCs w:val="21"/>
        </w:rPr>
        <w:t>得分且投标报价相同并列的</w:t>
      </w:r>
      <w:r>
        <w:rPr>
          <w:rFonts w:hint="eastAsia" w:ascii="黑体" w:hAnsi="黑体" w:eastAsia="黑体"/>
          <w:bCs/>
          <w:szCs w:val="21"/>
          <w:lang w:val="en-US" w:eastAsia="zh-CN"/>
        </w:rPr>
        <w:tab/>
      </w:r>
      <w:r>
        <w:rPr>
          <w:rFonts w:hint="eastAsia" w:ascii="黑体" w:hAnsi="黑体" w:eastAsia="黑体"/>
          <w:bCs/>
          <w:szCs w:val="21"/>
        </w:rPr>
        <w:t>。投标文件满足招标文件全部实质性要求，且按照评审因素的量化指标评审得分最高的投标人为排名第一的中标候选人。</w:t>
      </w:r>
    </w:p>
    <w:p w14:paraId="1BC47BB0">
      <w:pPr>
        <w:pStyle w:val="29"/>
        <w:pageBreakBefore/>
        <w:numPr>
          <w:ilvl w:val="0"/>
          <w:numId w:val="109"/>
        </w:numPr>
        <w:spacing w:before="156" w:beforeLines="50" w:after="312" w:afterLines="100" w:line="360" w:lineRule="auto"/>
        <w:ind w:left="422" w:hanging="422" w:hangingChars="20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附表一</w:t>
      </w:r>
      <w:r>
        <w:rPr>
          <w:rFonts w:ascii="黑体" w:hAnsi="黑体" w:eastAsia="黑体"/>
          <w:b/>
          <w:bCs/>
          <w:color w:val="000000" w:themeColor="text1"/>
          <w:szCs w:val="21"/>
          <w14:textFill>
            <w14:solidFill>
              <w14:schemeClr w14:val="tx1"/>
            </w14:solidFill>
          </w14:textFill>
        </w:rPr>
        <w:t xml:space="preserve"> </w:t>
      </w:r>
      <w:bookmarkStart w:id="58" w:name="_Hlk79422957"/>
      <w:r>
        <w:rPr>
          <w:rFonts w:hint="eastAsia" w:ascii="黑体" w:hAnsi="黑体" w:eastAsia="黑体"/>
          <w:b/>
          <w:bCs/>
          <w:color w:val="000000" w:themeColor="text1"/>
          <w:szCs w:val="21"/>
          <w14:textFill>
            <w14:solidFill>
              <w14:schemeClr w14:val="tx1"/>
            </w14:solidFill>
          </w14:textFill>
        </w:rPr>
        <w:t>资格性审查表</w:t>
      </w:r>
      <w:bookmarkEnd w:id="58"/>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2117"/>
        <w:gridCol w:w="5877"/>
      </w:tblGrid>
      <w:tr w14:paraId="32468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1" w:type="pct"/>
            <w:vAlign w:val="center"/>
          </w:tcPr>
          <w:p w14:paraId="6AFF3892">
            <w:pPr>
              <w:spacing w:line="360" w:lineRule="auto"/>
              <w:jc w:val="center"/>
              <w:rPr>
                <w:rFonts w:ascii="黑体" w:hAnsi="黑体" w:eastAsia="黑体"/>
                <w:b/>
                <w:szCs w:val="21"/>
              </w:rPr>
            </w:pPr>
            <w:r>
              <w:rPr>
                <w:rFonts w:hint="eastAsia" w:ascii="黑体" w:hAnsi="黑体" w:eastAsia="黑体"/>
                <w:b/>
                <w:szCs w:val="21"/>
              </w:rPr>
              <w:t>序号</w:t>
            </w:r>
          </w:p>
        </w:tc>
        <w:tc>
          <w:tcPr>
            <w:tcW w:w="4558" w:type="pct"/>
            <w:gridSpan w:val="2"/>
            <w:tcBorders>
              <w:tl2br w:val="nil"/>
            </w:tcBorders>
            <w:vAlign w:val="center"/>
          </w:tcPr>
          <w:p w14:paraId="58D1E911">
            <w:pPr>
              <w:spacing w:line="360" w:lineRule="auto"/>
              <w:jc w:val="center"/>
              <w:rPr>
                <w:rFonts w:ascii="黑体" w:hAnsi="黑体" w:eastAsia="黑体"/>
                <w:b/>
                <w:szCs w:val="21"/>
              </w:rPr>
            </w:pPr>
            <w:r>
              <w:rPr>
                <w:rFonts w:hint="eastAsia" w:ascii="黑体" w:hAnsi="黑体" w:eastAsia="黑体"/>
                <w:b/>
                <w:szCs w:val="21"/>
              </w:rPr>
              <w:t>评审内容</w:t>
            </w:r>
          </w:p>
        </w:tc>
      </w:tr>
      <w:tr w14:paraId="61809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1" w:type="pct"/>
            <w:vAlign w:val="center"/>
          </w:tcPr>
          <w:p w14:paraId="53190137">
            <w:pPr>
              <w:spacing w:line="360" w:lineRule="auto"/>
              <w:jc w:val="center"/>
              <w:rPr>
                <w:rFonts w:ascii="黑体" w:hAnsi="黑体" w:eastAsia="黑体"/>
                <w:bCs/>
                <w:szCs w:val="21"/>
              </w:rPr>
            </w:pPr>
            <w:r>
              <w:rPr>
                <w:rFonts w:hint="eastAsia" w:ascii="黑体" w:hAnsi="黑体" w:eastAsia="黑体"/>
                <w:bCs/>
                <w:szCs w:val="21"/>
              </w:rPr>
              <w:t>1</w:t>
            </w:r>
          </w:p>
        </w:tc>
        <w:tc>
          <w:tcPr>
            <w:tcW w:w="4558" w:type="pct"/>
            <w:gridSpan w:val="2"/>
            <w:tcBorders>
              <w:tl2br w:val="nil"/>
            </w:tcBorders>
            <w:vAlign w:val="center"/>
          </w:tcPr>
          <w:p w14:paraId="06A9ED73">
            <w:pPr>
              <w:spacing w:line="360" w:lineRule="auto"/>
              <w:jc w:val="left"/>
              <w:rPr>
                <w:rFonts w:ascii="黑体" w:hAnsi="黑体" w:eastAsia="黑体"/>
                <w:bCs/>
                <w:szCs w:val="21"/>
              </w:rPr>
            </w:pPr>
            <w:r>
              <w:rPr>
                <w:rFonts w:hint="eastAsia" w:ascii="黑体" w:hAnsi="黑体" w:eastAsia="黑体"/>
                <w:szCs w:val="21"/>
              </w:rPr>
              <w:t>投标供应商应具备《中华人民共和国政府采购法》第二十二条规定的条件，提供下列材料：</w:t>
            </w:r>
          </w:p>
        </w:tc>
      </w:tr>
      <w:tr w14:paraId="04F27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1" w:type="pct"/>
            <w:vAlign w:val="center"/>
          </w:tcPr>
          <w:p w14:paraId="33F8F08F">
            <w:pPr>
              <w:jc w:val="center"/>
              <w:rPr>
                <w:rFonts w:ascii="黑体" w:hAnsi="黑体" w:eastAsia="黑体"/>
                <w:szCs w:val="21"/>
              </w:rPr>
            </w:pPr>
            <w:r>
              <w:rPr>
                <w:rFonts w:hint="eastAsia" w:ascii="黑体" w:hAnsi="黑体" w:eastAsia="黑体"/>
                <w:szCs w:val="21"/>
              </w:rPr>
              <w:t>1</w:t>
            </w:r>
            <w:r>
              <w:rPr>
                <w:rFonts w:ascii="黑体" w:hAnsi="黑体" w:eastAsia="黑体"/>
                <w:szCs w:val="21"/>
              </w:rPr>
              <w:t>.1</w:t>
            </w:r>
          </w:p>
        </w:tc>
        <w:tc>
          <w:tcPr>
            <w:tcW w:w="1207" w:type="pct"/>
            <w:tcBorders>
              <w:tl2br w:val="nil"/>
            </w:tcBorders>
            <w:vAlign w:val="center"/>
          </w:tcPr>
          <w:p w14:paraId="703169C6">
            <w:pPr>
              <w:spacing w:line="360" w:lineRule="auto"/>
              <w:jc w:val="left"/>
              <w:rPr>
                <w:rFonts w:ascii="黑体" w:hAnsi="黑体" w:eastAsia="黑体"/>
                <w:szCs w:val="21"/>
              </w:rPr>
            </w:pPr>
            <w:r>
              <w:rPr>
                <w:rFonts w:hint="eastAsia" w:ascii="黑体" w:hAnsi="黑体" w:eastAsia="黑体"/>
                <w:szCs w:val="21"/>
              </w:rPr>
              <w:t>具有独立承担民事责任的能力</w:t>
            </w:r>
          </w:p>
        </w:tc>
        <w:tc>
          <w:tcPr>
            <w:tcW w:w="3350" w:type="pct"/>
            <w:vAlign w:val="center"/>
          </w:tcPr>
          <w:p w14:paraId="32B3CA3D">
            <w:pPr>
              <w:widowControl/>
              <w:shd w:val="clear" w:color="auto" w:fill="FFFFFF"/>
              <w:spacing w:line="360" w:lineRule="auto"/>
              <w:textAlignment w:val="baseline"/>
              <w:rPr>
                <w:rFonts w:ascii="黑体" w:hAnsi="黑体" w:eastAsia="黑体" w:cs="宋体"/>
                <w:kern w:val="0"/>
                <w:szCs w:val="21"/>
              </w:rPr>
            </w:pPr>
            <w:r>
              <w:rPr>
                <w:rFonts w:hint="eastAsia" w:ascii="黑体" w:hAnsi="黑体" w:eastAsia="黑体" w:cs="宋体"/>
                <w:kern w:val="0"/>
                <w:szCs w:val="21"/>
              </w:rPr>
              <w:t>具有独立承担民事责任的能力：提供在中华人民共和国境内注册的法人或其他组织的营业执照或事业单位法人证书或社会团体法 人登记证书复印件，如投标人为自然人的提供自然人身份证明复印件；如国家另有规定的，则从 其规定。（分支机构投标，须取得具有法人资格的总公司（总所）出具给分支机构的授权书，并 提供总公司（总所）和分支机构的营业执照（执业许可证）复印件。已由总公司（总所）授权的 ，总公司（总所）取得的相关资质证书对分支机构有效，法律法规或者行业另有规定的除外。）</w:t>
            </w:r>
          </w:p>
        </w:tc>
      </w:tr>
      <w:tr w14:paraId="7254D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1" w:type="pct"/>
            <w:vAlign w:val="center"/>
          </w:tcPr>
          <w:p w14:paraId="55C13BFC">
            <w:pPr>
              <w:jc w:val="center"/>
              <w:rPr>
                <w:rFonts w:ascii="黑体" w:hAnsi="黑体" w:eastAsia="黑体"/>
                <w:szCs w:val="21"/>
              </w:rPr>
            </w:pPr>
            <w:r>
              <w:rPr>
                <w:rFonts w:ascii="黑体" w:hAnsi="黑体" w:eastAsia="黑体"/>
                <w:szCs w:val="21"/>
              </w:rPr>
              <w:t>1.</w:t>
            </w:r>
            <w:r>
              <w:rPr>
                <w:rFonts w:hint="eastAsia" w:ascii="黑体" w:hAnsi="黑体" w:eastAsia="黑体"/>
                <w:szCs w:val="21"/>
              </w:rPr>
              <w:t>2</w:t>
            </w:r>
          </w:p>
        </w:tc>
        <w:tc>
          <w:tcPr>
            <w:tcW w:w="1207" w:type="pct"/>
            <w:tcBorders>
              <w:tl2br w:val="nil"/>
            </w:tcBorders>
            <w:vAlign w:val="center"/>
          </w:tcPr>
          <w:p w14:paraId="712725C9">
            <w:pPr>
              <w:spacing w:line="360" w:lineRule="auto"/>
              <w:jc w:val="left"/>
              <w:rPr>
                <w:rFonts w:ascii="黑体" w:hAnsi="黑体" w:eastAsia="黑体"/>
                <w:szCs w:val="21"/>
                <w:highlight w:val="red"/>
              </w:rPr>
            </w:pPr>
            <w:r>
              <w:rPr>
                <w:rFonts w:hint="eastAsia" w:ascii="黑体" w:hAnsi="黑体" w:eastAsia="黑体" w:cs="宋体"/>
                <w:kern w:val="0"/>
                <w:szCs w:val="21"/>
              </w:rPr>
              <w:t>有依法缴纳税收和社会保障资金的良好记录</w:t>
            </w:r>
          </w:p>
        </w:tc>
        <w:tc>
          <w:tcPr>
            <w:tcW w:w="3350" w:type="pct"/>
            <w:vAlign w:val="center"/>
          </w:tcPr>
          <w:p w14:paraId="05E177CD">
            <w:pPr>
              <w:spacing w:line="360" w:lineRule="auto"/>
              <w:jc w:val="left"/>
              <w:rPr>
                <w:rFonts w:ascii="黑体" w:hAnsi="黑体" w:eastAsia="黑体"/>
                <w:bCs/>
                <w:szCs w:val="21"/>
              </w:rPr>
            </w:pPr>
            <w:r>
              <w:rPr>
                <w:rFonts w:hint="eastAsia" w:ascii="黑体" w:hAnsi="黑体" w:eastAsia="黑体" w:cs="宋体"/>
                <w:kern w:val="0"/>
                <w:szCs w:val="21"/>
              </w:rPr>
              <w:t>提供资格声明函，详见投标文件格式。</w:t>
            </w:r>
          </w:p>
        </w:tc>
      </w:tr>
      <w:tr w14:paraId="04CEC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1" w:type="pct"/>
            <w:vAlign w:val="center"/>
          </w:tcPr>
          <w:p w14:paraId="3C9C0A25">
            <w:pPr>
              <w:jc w:val="center"/>
              <w:rPr>
                <w:rFonts w:ascii="黑体" w:hAnsi="黑体" w:eastAsia="黑体"/>
                <w:szCs w:val="21"/>
              </w:rPr>
            </w:pPr>
            <w:r>
              <w:rPr>
                <w:rFonts w:ascii="黑体" w:hAnsi="黑体" w:eastAsia="黑体"/>
                <w:szCs w:val="21"/>
              </w:rPr>
              <w:t>1.3</w:t>
            </w:r>
          </w:p>
        </w:tc>
        <w:tc>
          <w:tcPr>
            <w:tcW w:w="1207" w:type="pct"/>
            <w:tcBorders>
              <w:tl2br w:val="nil"/>
            </w:tcBorders>
            <w:vAlign w:val="center"/>
          </w:tcPr>
          <w:p w14:paraId="493DF9CB">
            <w:pPr>
              <w:spacing w:line="360" w:lineRule="auto"/>
              <w:jc w:val="left"/>
              <w:rPr>
                <w:rFonts w:ascii="黑体" w:hAnsi="黑体" w:eastAsia="黑体"/>
                <w:szCs w:val="21"/>
                <w:highlight w:val="red"/>
              </w:rPr>
            </w:pPr>
            <w:r>
              <w:rPr>
                <w:rFonts w:hint="eastAsia" w:ascii="黑体" w:hAnsi="黑体" w:eastAsia="黑体" w:cs="宋体"/>
                <w:kern w:val="0"/>
                <w:szCs w:val="21"/>
              </w:rPr>
              <w:t>具有良好的商业信誉和健全的财务会计制度</w:t>
            </w:r>
          </w:p>
        </w:tc>
        <w:tc>
          <w:tcPr>
            <w:tcW w:w="3350" w:type="pct"/>
            <w:vAlign w:val="center"/>
          </w:tcPr>
          <w:p w14:paraId="69A4BE1B">
            <w:pPr>
              <w:spacing w:line="360" w:lineRule="auto"/>
              <w:jc w:val="left"/>
              <w:rPr>
                <w:rFonts w:ascii="黑体" w:hAnsi="黑体" w:eastAsia="黑体"/>
                <w:bCs/>
                <w:szCs w:val="21"/>
              </w:rPr>
            </w:pPr>
            <w:r>
              <w:rPr>
                <w:rFonts w:hint="eastAsia" w:ascii="黑体" w:hAnsi="黑体" w:eastAsia="黑体" w:cs="宋体"/>
                <w:kern w:val="0"/>
                <w:szCs w:val="21"/>
              </w:rPr>
              <w:t>提供资格声明函，详见投标文件格式。</w:t>
            </w:r>
          </w:p>
        </w:tc>
      </w:tr>
      <w:tr w14:paraId="02A30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1" w:type="pct"/>
            <w:vAlign w:val="center"/>
          </w:tcPr>
          <w:p w14:paraId="0C2A8781">
            <w:pPr>
              <w:jc w:val="center"/>
              <w:rPr>
                <w:rFonts w:ascii="黑体" w:hAnsi="黑体" w:eastAsia="黑体"/>
                <w:szCs w:val="21"/>
              </w:rPr>
            </w:pPr>
            <w:r>
              <w:rPr>
                <w:rFonts w:ascii="黑体" w:hAnsi="黑体" w:eastAsia="黑体"/>
                <w:szCs w:val="21"/>
              </w:rPr>
              <w:t>1.4</w:t>
            </w:r>
          </w:p>
        </w:tc>
        <w:tc>
          <w:tcPr>
            <w:tcW w:w="1207" w:type="pct"/>
            <w:tcBorders>
              <w:tl2br w:val="nil"/>
            </w:tcBorders>
            <w:vAlign w:val="center"/>
          </w:tcPr>
          <w:p w14:paraId="569D2279">
            <w:pPr>
              <w:spacing w:line="360" w:lineRule="auto"/>
              <w:jc w:val="left"/>
              <w:rPr>
                <w:rFonts w:ascii="黑体" w:hAnsi="黑体" w:eastAsia="黑体"/>
                <w:szCs w:val="21"/>
              </w:rPr>
            </w:pPr>
            <w:r>
              <w:rPr>
                <w:rFonts w:hint="eastAsia" w:ascii="黑体" w:hAnsi="黑体" w:eastAsia="黑体"/>
                <w:szCs w:val="21"/>
              </w:rPr>
              <w:t>履行合同所必须的设备和专业技术能力</w:t>
            </w:r>
          </w:p>
        </w:tc>
        <w:tc>
          <w:tcPr>
            <w:tcW w:w="3350" w:type="pct"/>
            <w:vAlign w:val="center"/>
          </w:tcPr>
          <w:p w14:paraId="65406827">
            <w:pPr>
              <w:spacing w:line="360" w:lineRule="auto"/>
              <w:jc w:val="left"/>
              <w:rPr>
                <w:rFonts w:ascii="黑体" w:hAnsi="黑体" w:eastAsia="黑体"/>
                <w:bCs/>
                <w:szCs w:val="21"/>
              </w:rPr>
            </w:pPr>
            <w:r>
              <w:rPr>
                <w:rFonts w:hint="eastAsia" w:ascii="黑体" w:hAnsi="黑体" w:eastAsia="黑体"/>
                <w:bCs/>
                <w:szCs w:val="21"/>
              </w:rPr>
              <w:t>提供资格声明函，详见投标文件格式。</w:t>
            </w:r>
          </w:p>
        </w:tc>
      </w:tr>
      <w:tr w14:paraId="0245B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1" w:type="pct"/>
            <w:vAlign w:val="center"/>
          </w:tcPr>
          <w:p w14:paraId="43D34B64">
            <w:pPr>
              <w:jc w:val="center"/>
              <w:rPr>
                <w:rFonts w:ascii="黑体" w:hAnsi="黑体" w:eastAsia="黑体"/>
                <w:szCs w:val="21"/>
              </w:rPr>
            </w:pPr>
            <w:r>
              <w:rPr>
                <w:rFonts w:ascii="黑体" w:hAnsi="黑体" w:eastAsia="黑体"/>
                <w:szCs w:val="21"/>
              </w:rPr>
              <w:t>1.</w:t>
            </w:r>
            <w:r>
              <w:rPr>
                <w:rFonts w:hint="eastAsia" w:ascii="黑体" w:hAnsi="黑体" w:eastAsia="黑体"/>
                <w:szCs w:val="21"/>
              </w:rPr>
              <w:t>5</w:t>
            </w:r>
          </w:p>
        </w:tc>
        <w:tc>
          <w:tcPr>
            <w:tcW w:w="1207" w:type="pct"/>
            <w:tcBorders>
              <w:tl2br w:val="nil"/>
            </w:tcBorders>
            <w:vAlign w:val="center"/>
          </w:tcPr>
          <w:p w14:paraId="1C000EBA">
            <w:pPr>
              <w:spacing w:line="360" w:lineRule="auto"/>
              <w:jc w:val="left"/>
              <w:rPr>
                <w:rFonts w:ascii="黑体" w:hAnsi="黑体" w:eastAsia="黑体" w:cs="Times New Roman"/>
                <w:szCs w:val="21"/>
              </w:rPr>
            </w:pPr>
            <w:r>
              <w:rPr>
                <w:rFonts w:hint="eastAsia" w:ascii="黑体" w:hAnsi="黑体" w:eastAsia="黑体" w:cs="Times New Roman"/>
                <w:szCs w:val="21"/>
              </w:rPr>
              <w:t>参加采购活动前3年内，在经营活动中没有重大违法记录：</w:t>
            </w:r>
          </w:p>
        </w:tc>
        <w:tc>
          <w:tcPr>
            <w:tcW w:w="3350" w:type="pct"/>
            <w:vAlign w:val="center"/>
          </w:tcPr>
          <w:p w14:paraId="13B8E6AE">
            <w:pPr>
              <w:spacing w:line="360" w:lineRule="auto"/>
              <w:rPr>
                <w:rFonts w:ascii="黑体" w:hAnsi="黑体" w:eastAsia="黑体"/>
                <w:bCs/>
                <w:szCs w:val="21"/>
              </w:rPr>
            </w:pPr>
            <w:r>
              <w:rPr>
                <w:rFonts w:hint="eastAsia" w:ascii="黑体" w:hAnsi="黑体" w:eastAsia="黑体"/>
                <w:bCs/>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941C66B">
            <w:pPr>
              <w:spacing w:line="360" w:lineRule="auto"/>
              <w:rPr>
                <w:rFonts w:ascii="黑体" w:hAnsi="黑体" w:eastAsia="黑体"/>
                <w:bCs/>
                <w:szCs w:val="21"/>
              </w:rPr>
            </w:pPr>
            <w:r>
              <w:rPr>
                <w:rFonts w:hint="eastAsia" w:ascii="黑体" w:hAnsi="黑体" w:eastAsia="黑体"/>
                <w:bCs/>
                <w:szCs w:val="21"/>
              </w:rPr>
              <w:t>提供资格声明函，详见投标文件格式。</w:t>
            </w:r>
          </w:p>
        </w:tc>
      </w:tr>
      <w:tr w14:paraId="003B0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1" w:type="pct"/>
            <w:vAlign w:val="center"/>
          </w:tcPr>
          <w:p w14:paraId="47BFCE03">
            <w:pPr>
              <w:jc w:val="center"/>
              <w:rPr>
                <w:rFonts w:ascii="黑体" w:hAnsi="黑体" w:eastAsia="黑体"/>
                <w:szCs w:val="21"/>
              </w:rPr>
            </w:pPr>
            <w:r>
              <w:rPr>
                <w:rFonts w:ascii="黑体" w:hAnsi="黑体" w:eastAsia="黑体"/>
                <w:szCs w:val="21"/>
              </w:rPr>
              <w:t>1.</w:t>
            </w:r>
            <w:r>
              <w:rPr>
                <w:rFonts w:hint="eastAsia" w:ascii="黑体" w:hAnsi="黑体" w:eastAsia="黑体"/>
                <w:szCs w:val="21"/>
              </w:rPr>
              <w:t>6</w:t>
            </w:r>
          </w:p>
        </w:tc>
        <w:tc>
          <w:tcPr>
            <w:tcW w:w="1207" w:type="pct"/>
            <w:tcBorders>
              <w:tl2br w:val="nil"/>
            </w:tcBorders>
            <w:vAlign w:val="center"/>
          </w:tcPr>
          <w:p w14:paraId="244F2255">
            <w:pPr>
              <w:spacing w:line="360" w:lineRule="auto"/>
              <w:jc w:val="left"/>
              <w:rPr>
                <w:rFonts w:ascii="黑体" w:hAnsi="黑体" w:eastAsia="黑体"/>
                <w:szCs w:val="21"/>
              </w:rPr>
            </w:pPr>
            <w:r>
              <w:rPr>
                <w:rFonts w:hint="eastAsia" w:ascii="黑体" w:hAnsi="黑体" w:eastAsia="黑体"/>
                <w:szCs w:val="21"/>
              </w:rPr>
              <w:t>信用记录</w:t>
            </w:r>
          </w:p>
        </w:tc>
        <w:tc>
          <w:tcPr>
            <w:tcW w:w="3350" w:type="pct"/>
            <w:vAlign w:val="center"/>
          </w:tcPr>
          <w:p w14:paraId="0AE4EE2D">
            <w:pPr>
              <w:spacing w:line="360" w:lineRule="auto"/>
              <w:rPr>
                <w:rFonts w:ascii="黑体" w:hAnsi="黑体" w:eastAsia="黑体"/>
                <w:bCs/>
                <w:szCs w:val="21"/>
              </w:rPr>
            </w:pPr>
            <w:r>
              <w:rPr>
                <w:rFonts w:hint="eastAsia" w:ascii="黑体" w:hAnsi="黑体" w:eastAsia="黑体"/>
                <w:bCs/>
                <w:szCs w:val="21"/>
              </w:rPr>
              <w:t>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tc>
      </w:tr>
      <w:tr w14:paraId="0F94A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1" w:type="pct"/>
            <w:vAlign w:val="center"/>
          </w:tcPr>
          <w:p w14:paraId="73BA4285">
            <w:pPr>
              <w:jc w:val="center"/>
              <w:rPr>
                <w:rFonts w:ascii="黑体" w:hAnsi="黑体" w:eastAsia="黑体"/>
              </w:rPr>
            </w:pPr>
            <w:r>
              <w:rPr>
                <w:rFonts w:ascii="黑体" w:hAnsi="黑体" w:eastAsia="黑体"/>
              </w:rPr>
              <w:t>2</w:t>
            </w:r>
          </w:p>
        </w:tc>
        <w:tc>
          <w:tcPr>
            <w:tcW w:w="1207" w:type="pct"/>
            <w:tcBorders>
              <w:tl2br w:val="nil"/>
            </w:tcBorders>
            <w:vAlign w:val="center"/>
          </w:tcPr>
          <w:p w14:paraId="7DF62E2A">
            <w:pPr>
              <w:spacing w:line="360" w:lineRule="auto"/>
              <w:rPr>
                <w:rFonts w:ascii="黑体" w:hAnsi="黑体" w:eastAsia="黑体" w:cs="宋体"/>
                <w:kern w:val="0"/>
                <w:szCs w:val="21"/>
              </w:rPr>
            </w:pPr>
            <w:r>
              <w:rPr>
                <w:rFonts w:hint="eastAsia" w:ascii="黑体" w:hAnsi="黑体" w:eastAsia="黑体" w:cs="宋体"/>
                <w:kern w:val="0"/>
                <w:szCs w:val="21"/>
              </w:rPr>
              <w:t>供应商必须符合法律、行政法规规定的其他条件</w:t>
            </w:r>
          </w:p>
        </w:tc>
        <w:tc>
          <w:tcPr>
            <w:tcW w:w="3350" w:type="pct"/>
            <w:tcBorders>
              <w:tl2br w:val="nil"/>
            </w:tcBorders>
            <w:vAlign w:val="center"/>
          </w:tcPr>
          <w:p w14:paraId="6489F904">
            <w:pPr>
              <w:spacing w:line="360" w:lineRule="auto"/>
              <w:rPr>
                <w:rFonts w:ascii="黑体" w:hAnsi="黑体" w:eastAsia="黑体" w:cs="宋体"/>
                <w:kern w:val="0"/>
                <w:szCs w:val="21"/>
              </w:rPr>
            </w:pPr>
            <w:r>
              <w:rPr>
                <w:rFonts w:hint="eastAsia" w:ascii="黑体" w:hAnsi="黑体" w:eastAsia="黑体" w:cs="宋体"/>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w:t>
            </w:r>
          </w:p>
          <w:p w14:paraId="73276721">
            <w:pPr>
              <w:spacing w:line="360" w:lineRule="auto"/>
              <w:rPr>
                <w:rFonts w:ascii="黑体" w:hAnsi="黑体" w:eastAsia="黑体" w:cs="宋体"/>
                <w:kern w:val="0"/>
                <w:szCs w:val="21"/>
              </w:rPr>
            </w:pPr>
            <w:r>
              <w:rPr>
                <w:rFonts w:hint="eastAsia" w:ascii="黑体" w:hAnsi="黑体" w:eastAsia="黑体"/>
                <w:bCs/>
                <w:szCs w:val="21"/>
              </w:rPr>
              <w:t>提供资格声明函，详见投标文件格式。</w:t>
            </w:r>
          </w:p>
        </w:tc>
      </w:tr>
      <w:tr w14:paraId="67852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1" w:type="pct"/>
            <w:vAlign w:val="center"/>
          </w:tcPr>
          <w:p w14:paraId="5441E367">
            <w:pPr>
              <w:jc w:val="center"/>
              <w:rPr>
                <w:rFonts w:ascii="黑体" w:hAnsi="黑体" w:eastAsia="黑体"/>
              </w:rPr>
            </w:pPr>
            <w:r>
              <w:rPr>
                <w:rFonts w:ascii="黑体" w:hAnsi="黑体" w:eastAsia="黑体"/>
              </w:rPr>
              <w:t>3</w:t>
            </w:r>
          </w:p>
        </w:tc>
        <w:tc>
          <w:tcPr>
            <w:tcW w:w="1207" w:type="pct"/>
            <w:tcBorders>
              <w:tl2br w:val="nil"/>
            </w:tcBorders>
            <w:vAlign w:val="center"/>
          </w:tcPr>
          <w:p w14:paraId="7EBDC0C7">
            <w:pPr>
              <w:spacing w:line="360" w:lineRule="auto"/>
              <w:jc w:val="left"/>
              <w:rPr>
                <w:rFonts w:ascii="黑体" w:hAnsi="黑体" w:eastAsia="黑体"/>
                <w:szCs w:val="21"/>
              </w:rPr>
            </w:pPr>
            <w:r>
              <w:rPr>
                <w:rFonts w:hint="eastAsia" w:ascii="黑体" w:hAnsi="黑体" w:eastAsia="黑体"/>
                <w:szCs w:val="21"/>
              </w:rPr>
              <w:t>落实政府采购政策需满足的资格要求</w:t>
            </w:r>
          </w:p>
        </w:tc>
        <w:tc>
          <w:tcPr>
            <w:tcW w:w="3350" w:type="pct"/>
            <w:vAlign w:val="center"/>
          </w:tcPr>
          <w:p w14:paraId="509994BE">
            <w:pPr>
              <w:spacing w:line="360" w:lineRule="auto"/>
              <w:jc w:val="center"/>
              <w:rPr>
                <w:rFonts w:ascii="黑体" w:hAnsi="黑体" w:eastAsia="黑体"/>
                <w:bCs/>
                <w:szCs w:val="21"/>
              </w:rPr>
            </w:pPr>
            <w:r>
              <w:rPr>
                <w:rFonts w:hint="eastAsia" w:ascii="黑体" w:hAnsi="黑体" w:eastAsia="黑体"/>
                <w:bCs/>
                <w:szCs w:val="21"/>
              </w:rPr>
              <w:t>无</w:t>
            </w:r>
          </w:p>
        </w:tc>
      </w:tr>
      <w:tr w14:paraId="3EB5B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1" w:type="pct"/>
            <w:vAlign w:val="center"/>
          </w:tcPr>
          <w:p w14:paraId="418D12CD">
            <w:pPr>
              <w:jc w:val="center"/>
              <w:rPr>
                <w:rFonts w:ascii="黑体" w:hAnsi="黑体" w:eastAsia="黑体"/>
              </w:rPr>
            </w:pPr>
            <w:r>
              <w:rPr>
                <w:rFonts w:ascii="黑体" w:hAnsi="黑体" w:eastAsia="黑体"/>
              </w:rPr>
              <w:t>4</w:t>
            </w:r>
          </w:p>
        </w:tc>
        <w:tc>
          <w:tcPr>
            <w:tcW w:w="1207" w:type="pct"/>
            <w:tcBorders>
              <w:tl2br w:val="nil"/>
            </w:tcBorders>
            <w:vAlign w:val="center"/>
          </w:tcPr>
          <w:p w14:paraId="5C1721EE">
            <w:pPr>
              <w:spacing w:line="360" w:lineRule="auto"/>
              <w:jc w:val="left"/>
              <w:rPr>
                <w:rFonts w:ascii="黑体" w:hAnsi="黑体" w:eastAsia="黑体"/>
                <w:szCs w:val="21"/>
              </w:rPr>
            </w:pPr>
            <w:r>
              <w:rPr>
                <w:rFonts w:hint="eastAsia" w:ascii="黑体" w:hAnsi="黑体" w:eastAsia="黑体"/>
                <w:szCs w:val="21"/>
              </w:rPr>
              <w:t>本项目的特定资格要求</w:t>
            </w:r>
          </w:p>
        </w:tc>
        <w:tc>
          <w:tcPr>
            <w:tcW w:w="3350" w:type="pct"/>
            <w:vAlign w:val="center"/>
          </w:tcPr>
          <w:p w14:paraId="18F0DF97">
            <w:pPr>
              <w:spacing w:line="360" w:lineRule="auto"/>
              <w:jc w:val="left"/>
              <w:rPr>
                <w:rFonts w:hint="eastAsia" w:ascii="黑体" w:hAnsi="黑体" w:eastAsia="黑体"/>
                <w:b/>
                <w:bCs w:val="0"/>
                <w:szCs w:val="21"/>
              </w:rPr>
            </w:pPr>
            <w:r>
              <w:rPr>
                <w:rFonts w:hint="eastAsia" w:ascii="黑体" w:hAnsi="黑体" w:eastAsia="黑体"/>
                <w:b/>
                <w:bCs w:val="0"/>
                <w:szCs w:val="21"/>
              </w:rPr>
              <w:t>具备以下任一条件：</w:t>
            </w:r>
          </w:p>
          <w:p w14:paraId="4BA9EFCD">
            <w:pPr>
              <w:spacing w:line="360" w:lineRule="auto"/>
              <w:jc w:val="left"/>
              <w:rPr>
                <w:rFonts w:hint="eastAsia" w:ascii="黑体" w:hAnsi="黑体" w:eastAsia="黑体"/>
                <w:b/>
                <w:bCs w:val="0"/>
                <w:szCs w:val="21"/>
              </w:rPr>
            </w:pPr>
            <w:r>
              <w:rPr>
                <w:rFonts w:hint="eastAsia" w:ascii="黑体" w:hAnsi="黑体" w:eastAsia="黑体"/>
                <w:b/>
                <w:bCs w:val="0"/>
                <w:szCs w:val="21"/>
              </w:rPr>
              <w:t>1)如供应商为所投产品生产企业：所投产品为第二类医疗器械或第三类医疗器械，提供监督管理部门签发的有效的《医疗器械生产许可证》，投标产品若属于中国医疗器械注册管理范围内的，则应取得监督管理部门颁发的相应的《中华人民共和国医疗器械注册证》；</w:t>
            </w:r>
          </w:p>
          <w:p w14:paraId="46E5B118">
            <w:pPr>
              <w:spacing w:line="360" w:lineRule="auto"/>
              <w:jc w:val="left"/>
              <w:rPr>
                <w:rFonts w:ascii="黑体" w:hAnsi="黑体" w:eastAsia="黑体"/>
                <w:bCs/>
                <w:szCs w:val="21"/>
              </w:rPr>
            </w:pPr>
            <w:r>
              <w:rPr>
                <w:rFonts w:hint="eastAsia" w:ascii="黑体" w:hAnsi="黑体" w:eastAsia="黑体"/>
                <w:b/>
                <w:bCs w:val="0"/>
                <w:szCs w:val="21"/>
              </w:rPr>
              <w:t>2)如供应商为所投产品代理商或授权供应商：第三类医疗器械须提供《医疗器械经营许可证》，投标产品若属于中国医疗器械注册管理范围内的，则同时提供监督管理部门颁发的相应的《中华人民共和国医疗器械注册证》（如国家另有规定，则适用其规定）。</w:t>
            </w:r>
          </w:p>
        </w:tc>
      </w:tr>
    </w:tbl>
    <w:p w14:paraId="3BF65A1D">
      <w:pPr>
        <w:rPr>
          <w:color w:val="000000" w:themeColor="text1"/>
          <w14:textFill>
            <w14:solidFill>
              <w14:schemeClr w14:val="tx1"/>
            </w14:solidFill>
          </w14:textFill>
        </w:rPr>
      </w:pPr>
    </w:p>
    <w:p w14:paraId="74EBE9B1">
      <w:pPr>
        <w:pStyle w:val="29"/>
        <w:numPr>
          <w:ilvl w:val="0"/>
          <w:numId w:val="110"/>
        </w:numPr>
        <w:spacing w:before="156" w:beforeLines="50" w:line="360" w:lineRule="auto"/>
        <w:ind w:firstLineChars="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说明：</w:t>
      </w:r>
    </w:p>
    <w:p w14:paraId="50F2ED01">
      <w:pPr>
        <w:spacing w:line="360" w:lineRule="auto"/>
        <w:ind w:firstLine="420" w:firstLineChars="200"/>
        <w:rPr>
          <w:rFonts w:ascii="黑体" w:hAnsi="黑体" w:eastAsia="黑体"/>
          <w:szCs w:val="21"/>
        </w:rPr>
      </w:pPr>
      <w:r>
        <w:rPr>
          <w:rFonts w:hint="eastAsia" w:ascii="黑体" w:hAnsi="黑体" w:eastAsia="黑体"/>
          <w:szCs w:val="21"/>
        </w:rPr>
        <w:t>投标人必须严格按照《资格性审查表》的评审内容的要求如实提供证明材料并应加盖投标人公章，若投标人不满足《资格性审查表》中任何情形之一的，则其投标无效。</w:t>
      </w:r>
    </w:p>
    <w:p w14:paraId="085DC072">
      <w:pPr>
        <w:pStyle w:val="29"/>
        <w:pageBreakBefore/>
        <w:numPr>
          <w:ilvl w:val="0"/>
          <w:numId w:val="109"/>
        </w:numPr>
        <w:spacing w:before="156" w:beforeLines="50" w:after="312" w:afterLines="100" w:line="360" w:lineRule="auto"/>
        <w:ind w:left="422" w:hanging="422" w:hangingChars="20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附表二</w:t>
      </w:r>
      <w:r>
        <w:rPr>
          <w:rFonts w:ascii="黑体" w:hAnsi="黑体" w:eastAsia="黑体"/>
          <w:b/>
          <w:bCs/>
          <w:color w:val="000000" w:themeColor="text1"/>
          <w:szCs w:val="21"/>
          <w14:textFill>
            <w14:solidFill>
              <w14:schemeClr w14:val="tx1"/>
            </w14:solidFill>
          </w14:textFill>
        </w:rPr>
        <w:t xml:space="preserve"> </w:t>
      </w:r>
      <w:bookmarkStart w:id="59" w:name="_Hlk79425582"/>
      <w:r>
        <w:rPr>
          <w:rFonts w:ascii="黑体" w:hAnsi="黑体" w:eastAsia="黑体"/>
          <w:b/>
          <w:bCs/>
          <w:color w:val="000000" w:themeColor="text1"/>
          <w:szCs w:val="21"/>
          <w14:textFill>
            <w14:solidFill>
              <w14:schemeClr w14:val="tx1"/>
            </w14:solidFill>
          </w14:textFill>
        </w:rPr>
        <w:t xml:space="preserve"> </w:t>
      </w:r>
      <w:bookmarkStart w:id="60" w:name="_Hlk80867805"/>
      <w:r>
        <w:rPr>
          <w:rFonts w:ascii="黑体" w:hAnsi="黑体" w:eastAsia="黑体"/>
          <w:b/>
          <w:bCs/>
          <w:color w:val="000000" w:themeColor="text1"/>
          <w:szCs w:val="21"/>
          <w14:textFill>
            <w14:solidFill>
              <w14:schemeClr w14:val="tx1"/>
            </w14:solidFill>
          </w14:textFill>
        </w:rPr>
        <w:t>符合性审查表</w:t>
      </w:r>
      <w:bookmarkEnd w:id="59"/>
      <w:bookmarkEnd w:id="60"/>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2"/>
        <w:gridCol w:w="7755"/>
      </w:tblGrid>
      <w:tr w14:paraId="6FA91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577" w:type="pct"/>
            <w:vAlign w:val="center"/>
          </w:tcPr>
          <w:p w14:paraId="29A43514">
            <w:pPr>
              <w:spacing w:line="360" w:lineRule="auto"/>
              <w:jc w:val="center"/>
              <w:rPr>
                <w:rFonts w:ascii="黑体" w:hAnsi="黑体" w:eastAsia="黑体"/>
                <w:b/>
                <w:szCs w:val="21"/>
              </w:rPr>
            </w:pPr>
            <w:r>
              <w:rPr>
                <w:rFonts w:hint="eastAsia" w:ascii="黑体" w:hAnsi="黑体" w:eastAsia="黑体"/>
                <w:b/>
                <w:szCs w:val="21"/>
              </w:rPr>
              <w:t>序号</w:t>
            </w:r>
          </w:p>
        </w:tc>
        <w:tc>
          <w:tcPr>
            <w:tcW w:w="4422" w:type="pct"/>
            <w:vAlign w:val="center"/>
          </w:tcPr>
          <w:p w14:paraId="1B94FD09">
            <w:pPr>
              <w:spacing w:line="360" w:lineRule="auto"/>
              <w:jc w:val="center"/>
              <w:rPr>
                <w:rFonts w:ascii="黑体" w:hAnsi="黑体" w:eastAsia="黑体" w:cs="Times New Roman"/>
                <w:b/>
                <w:szCs w:val="21"/>
              </w:rPr>
            </w:pPr>
            <w:r>
              <w:rPr>
                <w:rFonts w:hint="eastAsia" w:ascii="黑体" w:hAnsi="黑体" w:eastAsia="黑体" w:cs="Times New Roman"/>
                <w:b/>
                <w:szCs w:val="21"/>
              </w:rPr>
              <w:t>评审内容</w:t>
            </w:r>
          </w:p>
        </w:tc>
      </w:tr>
      <w:tr w14:paraId="25096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577" w:type="pct"/>
            <w:vAlign w:val="center"/>
          </w:tcPr>
          <w:p w14:paraId="43ED8C4D">
            <w:pPr>
              <w:spacing w:line="360" w:lineRule="auto"/>
              <w:jc w:val="center"/>
              <w:rPr>
                <w:rFonts w:hint="eastAsia" w:ascii="黑体" w:hAnsi="黑体" w:eastAsia="黑体"/>
                <w:bCs/>
                <w:szCs w:val="21"/>
                <w:lang w:eastAsia="zh-CN"/>
              </w:rPr>
            </w:pPr>
            <w:r>
              <w:rPr>
                <w:rFonts w:hint="eastAsia" w:ascii="黑体" w:hAnsi="黑体" w:eastAsia="黑体"/>
                <w:bCs/>
                <w:szCs w:val="21"/>
                <w:lang w:val="en-US" w:eastAsia="zh-CN"/>
              </w:rPr>
              <w:t>1</w:t>
            </w:r>
          </w:p>
        </w:tc>
        <w:tc>
          <w:tcPr>
            <w:tcW w:w="4422" w:type="pct"/>
            <w:vAlign w:val="center"/>
          </w:tcPr>
          <w:p w14:paraId="0B2C491B">
            <w:pPr>
              <w:spacing w:line="360" w:lineRule="auto"/>
              <w:jc w:val="left"/>
              <w:rPr>
                <w:rFonts w:ascii="黑体" w:hAnsi="黑体" w:eastAsia="黑体" w:cs="Times New Roman"/>
                <w:szCs w:val="21"/>
              </w:rPr>
            </w:pPr>
            <w:r>
              <w:rPr>
                <w:rFonts w:hint="eastAsia" w:ascii="黑体" w:hAnsi="黑体" w:eastAsia="黑体" w:cs="Times New Roman"/>
                <w:szCs w:val="21"/>
              </w:rPr>
              <w:t>投标报价不超过</w:t>
            </w:r>
            <w:r>
              <w:rPr>
                <w:rFonts w:hint="eastAsia" w:ascii="黑体" w:hAnsi="黑体" w:eastAsia="黑体"/>
                <w:szCs w:val="21"/>
              </w:rPr>
              <w:t>本项目采购预算或最高限价。</w:t>
            </w:r>
          </w:p>
        </w:tc>
      </w:tr>
      <w:tr w14:paraId="62359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 w:type="pct"/>
            <w:vAlign w:val="center"/>
          </w:tcPr>
          <w:p w14:paraId="751830F6">
            <w:pPr>
              <w:spacing w:line="360" w:lineRule="auto"/>
              <w:jc w:val="center"/>
              <w:rPr>
                <w:rFonts w:hint="eastAsia" w:ascii="黑体" w:hAnsi="黑体" w:eastAsia="黑体"/>
                <w:bCs/>
                <w:szCs w:val="21"/>
                <w:lang w:eastAsia="zh-CN"/>
              </w:rPr>
            </w:pPr>
            <w:r>
              <w:rPr>
                <w:rFonts w:hint="eastAsia" w:ascii="黑体" w:hAnsi="黑体" w:eastAsia="黑体"/>
                <w:bCs/>
                <w:szCs w:val="21"/>
                <w:lang w:val="en-US" w:eastAsia="zh-CN"/>
              </w:rPr>
              <w:t>2</w:t>
            </w:r>
          </w:p>
        </w:tc>
        <w:tc>
          <w:tcPr>
            <w:tcW w:w="4422" w:type="pct"/>
            <w:vAlign w:val="center"/>
          </w:tcPr>
          <w:p w14:paraId="3C1B56B6">
            <w:pPr>
              <w:spacing w:line="360" w:lineRule="auto"/>
              <w:jc w:val="left"/>
              <w:rPr>
                <w:rFonts w:ascii="黑体" w:hAnsi="黑体" w:eastAsia="黑体" w:cs="Times New Roman"/>
                <w:szCs w:val="21"/>
              </w:rPr>
            </w:pPr>
            <w:r>
              <w:rPr>
                <w:rFonts w:hint="eastAsia" w:ascii="黑体" w:hAnsi="黑体" w:eastAsia="黑体" w:cs="Times New Roman"/>
                <w:szCs w:val="21"/>
              </w:rPr>
              <w:t>法人授权委托证明。</w:t>
            </w:r>
          </w:p>
          <w:p w14:paraId="7FDA5C01">
            <w:pPr>
              <w:spacing w:line="360" w:lineRule="auto"/>
              <w:jc w:val="left"/>
              <w:rPr>
                <w:rFonts w:ascii="黑体" w:hAnsi="黑体" w:eastAsia="黑体" w:cs="Times New Roman"/>
                <w:szCs w:val="21"/>
              </w:rPr>
            </w:pPr>
            <w:r>
              <w:rPr>
                <w:rFonts w:hint="eastAsia" w:ascii="黑体" w:hAnsi="黑体" w:eastAsia="黑体" w:cs="Times New Roman"/>
                <w:szCs w:val="21"/>
              </w:rPr>
              <w:t>(投标人代表为法定代表人的除外)</w:t>
            </w:r>
          </w:p>
        </w:tc>
      </w:tr>
      <w:tr w14:paraId="50B40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577" w:type="pct"/>
            <w:vAlign w:val="center"/>
          </w:tcPr>
          <w:p w14:paraId="3CEE7B25">
            <w:pPr>
              <w:spacing w:line="360" w:lineRule="auto"/>
              <w:jc w:val="center"/>
              <w:rPr>
                <w:rFonts w:hint="eastAsia" w:ascii="黑体" w:hAnsi="黑体" w:eastAsia="黑体"/>
                <w:bCs/>
                <w:szCs w:val="21"/>
                <w:lang w:eastAsia="zh-CN"/>
              </w:rPr>
            </w:pPr>
            <w:r>
              <w:rPr>
                <w:rFonts w:hint="eastAsia" w:ascii="黑体" w:hAnsi="黑体" w:eastAsia="黑体"/>
                <w:bCs/>
                <w:szCs w:val="21"/>
                <w:lang w:val="en-US" w:eastAsia="zh-CN"/>
              </w:rPr>
              <w:t>3</w:t>
            </w:r>
          </w:p>
        </w:tc>
        <w:tc>
          <w:tcPr>
            <w:tcW w:w="4422" w:type="pct"/>
            <w:vAlign w:val="center"/>
          </w:tcPr>
          <w:p w14:paraId="23F7115C">
            <w:pPr>
              <w:spacing w:line="360" w:lineRule="auto"/>
              <w:jc w:val="left"/>
              <w:rPr>
                <w:rFonts w:ascii="黑体" w:hAnsi="黑体" w:eastAsia="黑体" w:cs="Times New Roman"/>
                <w:szCs w:val="21"/>
              </w:rPr>
            </w:pPr>
            <w:r>
              <w:rPr>
                <w:rFonts w:hint="eastAsia" w:ascii="黑体" w:hAnsi="黑体" w:eastAsia="黑体" w:cs="Times New Roman"/>
                <w:szCs w:val="21"/>
              </w:rPr>
              <w:t>投标函已提交并符合招标文件要求的，且投标有效期不少于招标文件中载明的投标有效期。</w:t>
            </w:r>
          </w:p>
        </w:tc>
      </w:tr>
      <w:tr w14:paraId="2F286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577" w:type="pct"/>
            <w:vAlign w:val="center"/>
          </w:tcPr>
          <w:p w14:paraId="255A6A50">
            <w:pPr>
              <w:spacing w:line="360" w:lineRule="auto"/>
              <w:jc w:val="center"/>
              <w:rPr>
                <w:rFonts w:hint="eastAsia" w:ascii="黑体" w:hAnsi="黑体" w:eastAsia="黑体"/>
                <w:bCs/>
                <w:szCs w:val="21"/>
                <w:lang w:eastAsia="zh-CN"/>
              </w:rPr>
            </w:pPr>
            <w:r>
              <w:rPr>
                <w:rFonts w:hint="eastAsia" w:ascii="黑体" w:hAnsi="黑体" w:eastAsia="黑体"/>
                <w:bCs/>
                <w:szCs w:val="21"/>
                <w:lang w:val="en-US" w:eastAsia="zh-CN"/>
              </w:rPr>
              <w:t>4</w:t>
            </w:r>
          </w:p>
        </w:tc>
        <w:tc>
          <w:tcPr>
            <w:tcW w:w="4422" w:type="pct"/>
            <w:vAlign w:val="center"/>
          </w:tcPr>
          <w:p w14:paraId="18AD3D41">
            <w:pPr>
              <w:spacing w:line="360" w:lineRule="auto"/>
              <w:jc w:val="left"/>
              <w:rPr>
                <w:rFonts w:ascii="黑体" w:hAnsi="黑体" w:eastAsia="黑体"/>
                <w:szCs w:val="21"/>
              </w:rPr>
            </w:pPr>
            <w:r>
              <w:rPr>
                <w:rFonts w:hint="eastAsia" w:ascii="黑体" w:hAnsi="黑体" w:eastAsia="黑体" w:cs="Times New Roman"/>
                <w:szCs w:val="21"/>
              </w:rPr>
              <w:t>投标文件的签署、盖章符合招标文件要求。</w:t>
            </w:r>
          </w:p>
        </w:tc>
      </w:tr>
      <w:tr w14:paraId="17D5C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77" w:type="pct"/>
            <w:vAlign w:val="center"/>
          </w:tcPr>
          <w:p w14:paraId="3BBC7662">
            <w:pPr>
              <w:spacing w:line="360" w:lineRule="auto"/>
              <w:jc w:val="center"/>
              <w:rPr>
                <w:rFonts w:hint="eastAsia" w:ascii="黑体" w:hAnsi="黑体" w:eastAsia="黑体"/>
                <w:bCs/>
                <w:szCs w:val="21"/>
                <w:lang w:eastAsia="zh-CN"/>
              </w:rPr>
            </w:pPr>
            <w:r>
              <w:rPr>
                <w:rFonts w:hint="eastAsia" w:ascii="黑体" w:hAnsi="黑体" w:eastAsia="黑体"/>
                <w:bCs/>
                <w:szCs w:val="21"/>
                <w:lang w:val="en-US" w:eastAsia="zh-CN"/>
              </w:rPr>
              <w:t>5</w:t>
            </w:r>
          </w:p>
        </w:tc>
        <w:tc>
          <w:tcPr>
            <w:tcW w:w="4422" w:type="pct"/>
            <w:vAlign w:val="center"/>
          </w:tcPr>
          <w:p w14:paraId="48166DCF">
            <w:pPr>
              <w:spacing w:line="360" w:lineRule="auto"/>
              <w:jc w:val="left"/>
              <w:rPr>
                <w:rFonts w:ascii="黑体" w:hAnsi="黑体" w:eastAsia="黑体"/>
                <w:bCs/>
                <w:szCs w:val="21"/>
              </w:rPr>
            </w:pPr>
            <w:r>
              <w:rPr>
                <w:rFonts w:hint="eastAsia" w:ascii="黑体" w:hAnsi="黑体" w:eastAsia="黑体"/>
                <w:bCs/>
                <w:szCs w:val="21"/>
              </w:rPr>
              <w:t>采购需求当中的★条款满足要求。</w:t>
            </w:r>
          </w:p>
          <w:p w14:paraId="1F7F80BB">
            <w:pPr>
              <w:spacing w:line="360" w:lineRule="auto"/>
              <w:jc w:val="left"/>
              <w:rPr>
                <w:rFonts w:ascii="黑体" w:hAnsi="黑体" w:eastAsia="黑体"/>
                <w:bCs/>
                <w:szCs w:val="21"/>
              </w:rPr>
            </w:pPr>
            <w:r>
              <w:rPr>
                <w:rFonts w:hint="eastAsia" w:ascii="黑体" w:hAnsi="黑体" w:eastAsia="黑体"/>
                <w:bCs/>
                <w:szCs w:val="21"/>
              </w:rPr>
              <w:t>(若本项目无★条款，此项通过)</w:t>
            </w:r>
          </w:p>
        </w:tc>
      </w:tr>
      <w:tr w14:paraId="3602F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77" w:type="pct"/>
            <w:vAlign w:val="center"/>
          </w:tcPr>
          <w:p w14:paraId="7FEE294C">
            <w:pPr>
              <w:spacing w:line="360" w:lineRule="auto"/>
              <w:jc w:val="center"/>
              <w:rPr>
                <w:rFonts w:hint="eastAsia" w:ascii="黑体" w:hAnsi="黑体" w:eastAsia="黑体"/>
                <w:bCs/>
                <w:szCs w:val="21"/>
                <w:lang w:eastAsia="zh-CN"/>
              </w:rPr>
            </w:pPr>
            <w:r>
              <w:rPr>
                <w:rFonts w:hint="eastAsia" w:ascii="黑体" w:hAnsi="黑体" w:eastAsia="黑体"/>
                <w:bCs/>
                <w:szCs w:val="21"/>
                <w:lang w:val="en-US" w:eastAsia="zh-CN"/>
              </w:rPr>
              <w:t>6</w:t>
            </w:r>
          </w:p>
        </w:tc>
        <w:tc>
          <w:tcPr>
            <w:tcW w:w="4422" w:type="pct"/>
            <w:vAlign w:val="center"/>
          </w:tcPr>
          <w:p w14:paraId="6EB34357">
            <w:pPr>
              <w:spacing w:line="360" w:lineRule="auto"/>
              <w:jc w:val="left"/>
              <w:rPr>
                <w:rFonts w:ascii="黑体" w:hAnsi="黑体" w:eastAsia="黑体"/>
                <w:bCs/>
                <w:szCs w:val="21"/>
              </w:rPr>
            </w:pPr>
            <w:r>
              <w:rPr>
                <w:rFonts w:hint="eastAsia" w:ascii="黑体" w:hAnsi="黑体" w:eastAsia="黑体"/>
                <w:bCs/>
                <w:szCs w:val="21"/>
              </w:rPr>
              <w:t>投标文件未出现选择性报价或有附加条件报价的情形。</w:t>
            </w:r>
          </w:p>
        </w:tc>
      </w:tr>
      <w:tr w14:paraId="5B496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77" w:type="pct"/>
            <w:vAlign w:val="center"/>
          </w:tcPr>
          <w:p w14:paraId="29DA723B">
            <w:pPr>
              <w:spacing w:line="360" w:lineRule="auto"/>
              <w:jc w:val="center"/>
              <w:rPr>
                <w:rFonts w:hint="eastAsia" w:ascii="黑体" w:hAnsi="黑体" w:eastAsia="黑体"/>
                <w:bCs/>
                <w:szCs w:val="21"/>
                <w:lang w:eastAsia="zh-CN"/>
              </w:rPr>
            </w:pPr>
            <w:r>
              <w:rPr>
                <w:rFonts w:hint="eastAsia" w:ascii="黑体" w:hAnsi="黑体" w:eastAsia="黑体"/>
                <w:bCs/>
                <w:szCs w:val="21"/>
                <w:lang w:val="en-US" w:eastAsia="zh-CN"/>
              </w:rPr>
              <w:t>7</w:t>
            </w:r>
          </w:p>
        </w:tc>
        <w:tc>
          <w:tcPr>
            <w:tcW w:w="4422" w:type="pct"/>
            <w:vAlign w:val="center"/>
          </w:tcPr>
          <w:p w14:paraId="3C5D06AB">
            <w:pPr>
              <w:spacing w:line="360" w:lineRule="auto"/>
              <w:jc w:val="left"/>
              <w:rPr>
                <w:rFonts w:ascii="黑体" w:hAnsi="黑体" w:eastAsia="黑体"/>
                <w:bCs/>
                <w:szCs w:val="21"/>
              </w:rPr>
            </w:pPr>
            <w:r>
              <w:rPr>
                <w:rFonts w:hint="eastAsia" w:ascii="黑体" w:hAnsi="黑体" w:eastAsia="黑体"/>
                <w:bCs/>
                <w:szCs w:val="21"/>
              </w:rPr>
              <w:t>投标文件没有招标文件中规定的其它无效投标条款的。</w:t>
            </w:r>
          </w:p>
        </w:tc>
      </w:tr>
      <w:tr w14:paraId="0D64B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77" w:type="pct"/>
            <w:vAlign w:val="center"/>
          </w:tcPr>
          <w:p w14:paraId="294FBD8A">
            <w:pPr>
              <w:spacing w:line="360" w:lineRule="auto"/>
              <w:jc w:val="center"/>
              <w:rPr>
                <w:rFonts w:hint="eastAsia" w:ascii="黑体" w:hAnsi="黑体" w:eastAsia="黑体"/>
                <w:bCs/>
                <w:szCs w:val="21"/>
                <w:lang w:eastAsia="zh-CN"/>
              </w:rPr>
            </w:pPr>
            <w:r>
              <w:rPr>
                <w:rFonts w:hint="eastAsia" w:ascii="黑体" w:hAnsi="黑体" w:eastAsia="黑体"/>
                <w:bCs/>
                <w:szCs w:val="21"/>
                <w:lang w:val="en-US" w:eastAsia="zh-CN"/>
              </w:rPr>
              <w:t>8</w:t>
            </w:r>
          </w:p>
        </w:tc>
        <w:tc>
          <w:tcPr>
            <w:tcW w:w="4422" w:type="pct"/>
            <w:vAlign w:val="center"/>
          </w:tcPr>
          <w:p w14:paraId="7327279A">
            <w:pPr>
              <w:spacing w:line="360" w:lineRule="auto"/>
              <w:jc w:val="left"/>
              <w:rPr>
                <w:rFonts w:ascii="黑体" w:hAnsi="黑体" w:eastAsia="黑体"/>
                <w:bCs/>
                <w:szCs w:val="21"/>
              </w:rPr>
            </w:pPr>
            <w:r>
              <w:rPr>
                <w:rFonts w:hint="eastAsia" w:ascii="黑体" w:hAnsi="黑体" w:eastAsia="黑体"/>
                <w:bCs/>
                <w:szCs w:val="21"/>
              </w:rPr>
              <w:t>按有关法律、法规、规章不属于投标无效的。</w:t>
            </w:r>
          </w:p>
        </w:tc>
      </w:tr>
    </w:tbl>
    <w:p w14:paraId="66281C73">
      <w:pPr>
        <w:pStyle w:val="29"/>
        <w:numPr>
          <w:ilvl w:val="0"/>
          <w:numId w:val="110"/>
        </w:numPr>
        <w:spacing w:before="468" w:beforeLines="150" w:line="360" w:lineRule="auto"/>
        <w:ind w:firstLineChars="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说明：</w:t>
      </w:r>
    </w:p>
    <w:p w14:paraId="4C546796">
      <w:pPr>
        <w:spacing w:before="156" w:beforeLines="50" w:line="360" w:lineRule="auto"/>
        <w:ind w:firstLine="420" w:firstLineChars="200"/>
        <w:rPr>
          <w:rFonts w:ascii="宋体" w:hAnsi="宋体" w:eastAsia="宋体"/>
          <w:b/>
          <w:bCs/>
          <w:color w:val="000000" w:themeColor="text1"/>
          <w:szCs w:val="21"/>
          <w14:textFill>
            <w14:solidFill>
              <w14:schemeClr w14:val="tx1"/>
            </w14:solidFill>
          </w14:textFill>
        </w:rPr>
      </w:pPr>
      <w:r>
        <w:rPr>
          <w:rFonts w:hint="eastAsia" w:ascii="黑体" w:hAnsi="黑体" w:eastAsia="黑体"/>
          <w:szCs w:val="21"/>
        </w:rPr>
        <w:t>投标人必须严格按照《符合性审查表》的评审内容的要求如实提供证明材料并应加盖投标人公章，若投标人不满足《符合性审查表》中任何情形之一的，则其投标无效。</w:t>
      </w:r>
    </w:p>
    <w:p w14:paraId="60F62B2A">
      <w:pPr>
        <w:pStyle w:val="29"/>
        <w:keepNext w:val="0"/>
        <w:keepLines w:val="0"/>
        <w:pageBreakBefore/>
        <w:widowControl w:val="0"/>
        <w:numPr>
          <w:ilvl w:val="0"/>
          <w:numId w:val="109"/>
        </w:numPr>
        <w:kinsoku/>
        <w:wordWrap/>
        <w:overflowPunct/>
        <w:topLinePunct w:val="0"/>
        <w:autoSpaceDE/>
        <w:autoSpaceDN/>
        <w:bidi w:val="0"/>
        <w:adjustRightInd/>
        <w:snapToGrid/>
        <w:spacing w:line="360" w:lineRule="auto"/>
        <w:ind w:left="0" w:hanging="422" w:hangingChars="200"/>
        <w:textAlignment w:val="auto"/>
        <w:rPr>
          <w:rFonts w:ascii="黑体" w:hAnsi="黑体" w:eastAsia="黑体"/>
          <w:b/>
          <w:bCs/>
          <w:color w:val="auto"/>
          <w:szCs w:val="21"/>
          <w:highlight w:val="none"/>
        </w:rPr>
      </w:pPr>
      <w:r>
        <w:rPr>
          <w:rFonts w:hint="eastAsia" w:ascii="黑体" w:hAnsi="黑体" w:eastAsia="黑体"/>
          <w:b/>
          <w:bCs/>
          <w:color w:val="000000" w:themeColor="text1"/>
          <w:szCs w:val="21"/>
          <w14:textFill>
            <w14:solidFill>
              <w14:schemeClr w14:val="tx1"/>
            </w14:solidFill>
          </w14:textFill>
        </w:rPr>
        <w:t>附表三</w:t>
      </w:r>
      <w:r>
        <w:rPr>
          <w:rFonts w:ascii="黑体" w:hAnsi="黑体" w:eastAsia="黑体"/>
          <w:b/>
          <w:bCs/>
          <w:color w:val="000000" w:themeColor="text1"/>
          <w:szCs w:val="21"/>
          <w14:textFill>
            <w14:solidFill>
              <w14:schemeClr w14:val="tx1"/>
            </w14:solidFill>
          </w14:textFill>
        </w:rPr>
        <w:t xml:space="preserve">  详细评审表</w:t>
      </w:r>
      <w:r>
        <w:rPr>
          <w:rFonts w:hint="eastAsia" w:ascii="黑体" w:hAnsi="黑体" w:eastAsia="黑体"/>
          <w:b/>
          <w:bCs/>
          <w:color w:val="000000" w:themeColor="text1"/>
          <w:szCs w:val="21"/>
          <w14:textFill>
            <w14:solidFill>
              <w14:schemeClr w14:val="tx1"/>
            </w14:solidFill>
          </w14:textFill>
        </w:rPr>
        <w:t>（含商务、技术评审细则）</w:t>
      </w:r>
      <w:r>
        <w:rPr>
          <w:rFonts w:hint="eastAsia" w:ascii="黑体" w:hAnsi="黑体" w:eastAsia="黑体"/>
          <w:b/>
          <w:bCs/>
          <w:color w:val="000000" w:themeColor="text1"/>
          <w:szCs w:val="21"/>
          <w14:textFill>
            <w14:solidFill>
              <w14:schemeClr w14:val="tx1"/>
            </w14:solidFill>
          </w14:textFill>
        </w:rPr>
        <w:br w:type="textWrapping"/>
      </w:r>
      <w:r>
        <w:rPr>
          <w:rFonts w:hint="eastAsia" w:ascii="黑体" w:hAnsi="黑体" w:eastAsia="黑体"/>
          <w:b/>
          <w:bCs/>
          <w:color w:val="auto"/>
          <w:szCs w:val="21"/>
          <w:highlight w:val="none"/>
          <w:lang w:val="en-US" w:eastAsia="zh-CN"/>
        </w:rPr>
        <w:t>包A：</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155"/>
        <w:gridCol w:w="675"/>
        <w:gridCol w:w="6228"/>
      </w:tblGrid>
      <w:tr w14:paraId="7E6BF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04" w:type="pct"/>
            <w:vAlign w:val="center"/>
          </w:tcPr>
          <w:p w14:paraId="00E07A8C">
            <w:pPr>
              <w:pStyle w:val="35"/>
              <w:spacing w:after="62" w:afterLines="20" w:line="440" w:lineRule="exact"/>
              <w:ind w:firstLine="0" w:firstLineChars="0"/>
              <w:jc w:val="center"/>
              <w:rPr>
                <w:rFonts w:ascii="黑体" w:hAnsi="黑体" w:eastAsia="黑体"/>
                <w:b/>
                <w:color w:val="auto"/>
                <w:sz w:val="21"/>
                <w:szCs w:val="21"/>
                <w:highlight w:val="none"/>
              </w:rPr>
            </w:pPr>
            <w:r>
              <w:rPr>
                <w:rFonts w:hint="eastAsia" w:ascii="黑体" w:hAnsi="黑体" w:eastAsia="黑体"/>
                <w:b/>
                <w:color w:val="auto"/>
                <w:sz w:val="21"/>
                <w:szCs w:val="21"/>
                <w:highlight w:val="none"/>
              </w:rPr>
              <w:t>序号</w:t>
            </w:r>
          </w:p>
        </w:tc>
        <w:tc>
          <w:tcPr>
            <w:tcW w:w="658" w:type="pct"/>
            <w:vAlign w:val="center"/>
          </w:tcPr>
          <w:p w14:paraId="6E2046DE">
            <w:pPr>
              <w:pStyle w:val="35"/>
              <w:spacing w:after="62" w:afterLines="20" w:line="440" w:lineRule="exact"/>
              <w:ind w:firstLine="0" w:firstLineChars="0"/>
              <w:jc w:val="center"/>
              <w:rPr>
                <w:rFonts w:ascii="黑体" w:hAnsi="黑体" w:eastAsia="黑体"/>
                <w:b/>
                <w:color w:val="auto"/>
                <w:sz w:val="21"/>
                <w:szCs w:val="21"/>
                <w:highlight w:val="none"/>
              </w:rPr>
            </w:pPr>
            <w:r>
              <w:rPr>
                <w:rFonts w:hint="eastAsia" w:ascii="黑体" w:hAnsi="黑体" w:eastAsia="黑体"/>
                <w:b/>
                <w:color w:val="auto"/>
                <w:sz w:val="21"/>
                <w:szCs w:val="21"/>
                <w:highlight w:val="none"/>
              </w:rPr>
              <w:t>评分内容</w:t>
            </w:r>
          </w:p>
        </w:tc>
        <w:tc>
          <w:tcPr>
            <w:tcW w:w="384" w:type="pct"/>
            <w:vAlign w:val="center"/>
          </w:tcPr>
          <w:p w14:paraId="6AF0ADF4">
            <w:pPr>
              <w:pStyle w:val="35"/>
              <w:spacing w:after="62" w:afterLines="20" w:line="440" w:lineRule="exact"/>
              <w:ind w:firstLine="0" w:firstLineChars="0"/>
              <w:jc w:val="center"/>
              <w:rPr>
                <w:rFonts w:ascii="黑体" w:hAnsi="黑体" w:eastAsia="黑体"/>
                <w:b/>
                <w:color w:val="auto"/>
                <w:sz w:val="21"/>
                <w:szCs w:val="21"/>
                <w:highlight w:val="none"/>
              </w:rPr>
            </w:pPr>
            <w:r>
              <w:rPr>
                <w:rFonts w:hint="eastAsia" w:ascii="黑体" w:hAnsi="黑体" w:eastAsia="黑体"/>
                <w:b/>
                <w:color w:val="auto"/>
                <w:sz w:val="21"/>
                <w:szCs w:val="21"/>
                <w:highlight w:val="none"/>
              </w:rPr>
              <w:t>分值</w:t>
            </w:r>
          </w:p>
        </w:tc>
        <w:tc>
          <w:tcPr>
            <w:tcW w:w="3551" w:type="pct"/>
            <w:vAlign w:val="center"/>
          </w:tcPr>
          <w:p w14:paraId="3DC48EB7">
            <w:pPr>
              <w:pStyle w:val="35"/>
              <w:spacing w:after="62" w:afterLines="20" w:line="440" w:lineRule="exact"/>
              <w:ind w:firstLine="0" w:firstLineChars="0"/>
              <w:jc w:val="center"/>
              <w:rPr>
                <w:rFonts w:ascii="黑体" w:hAnsi="黑体" w:eastAsia="黑体"/>
                <w:b/>
                <w:color w:val="auto"/>
                <w:sz w:val="21"/>
                <w:szCs w:val="21"/>
                <w:highlight w:val="none"/>
              </w:rPr>
            </w:pPr>
            <w:r>
              <w:rPr>
                <w:rFonts w:hint="eastAsia" w:ascii="黑体" w:hAnsi="黑体" w:eastAsia="黑体"/>
                <w:b/>
                <w:color w:val="auto"/>
                <w:sz w:val="21"/>
                <w:szCs w:val="21"/>
                <w:highlight w:val="none"/>
              </w:rPr>
              <w:t>评审标准</w:t>
            </w:r>
          </w:p>
        </w:tc>
      </w:tr>
      <w:tr w14:paraId="64086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14:paraId="6BE4FBFE">
            <w:pPr>
              <w:pStyle w:val="35"/>
              <w:spacing w:after="62" w:afterLines="20" w:line="440" w:lineRule="exact"/>
              <w:ind w:firstLine="0" w:firstLineChars="0"/>
              <w:jc w:val="center"/>
              <w:rPr>
                <w:rFonts w:ascii="黑体" w:hAnsi="黑体" w:eastAsia="黑体"/>
                <w:b/>
                <w:color w:val="auto"/>
                <w:sz w:val="21"/>
                <w:szCs w:val="21"/>
                <w:highlight w:val="none"/>
              </w:rPr>
            </w:pPr>
            <w:r>
              <w:rPr>
                <w:rFonts w:hint="eastAsia" w:ascii="黑体" w:hAnsi="黑体" w:eastAsia="黑体"/>
                <w:b/>
                <w:color w:val="auto"/>
                <w:sz w:val="21"/>
                <w:szCs w:val="21"/>
                <w:highlight w:val="none"/>
              </w:rPr>
              <w:t>商务评审细则（</w:t>
            </w:r>
            <w:r>
              <w:rPr>
                <w:rFonts w:hint="eastAsia" w:ascii="黑体" w:hAnsi="黑体" w:eastAsia="黑体"/>
                <w:b/>
                <w:color w:val="auto"/>
                <w:sz w:val="21"/>
                <w:szCs w:val="21"/>
                <w:highlight w:val="none"/>
                <w:lang w:val="en-US" w:eastAsia="zh-CN"/>
              </w:rPr>
              <w:t>15</w:t>
            </w:r>
            <w:r>
              <w:rPr>
                <w:rFonts w:hint="eastAsia" w:ascii="黑体" w:hAnsi="黑体" w:eastAsia="黑体"/>
                <w:b/>
                <w:color w:val="auto"/>
                <w:sz w:val="21"/>
                <w:szCs w:val="21"/>
                <w:highlight w:val="none"/>
              </w:rPr>
              <w:t>分）</w:t>
            </w:r>
          </w:p>
        </w:tc>
      </w:tr>
      <w:tr w14:paraId="502B6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04" w:type="pct"/>
            <w:vAlign w:val="center"/>
          </w:tcPr>
          <w:p w14:paraId="13F57719">
            <w:pPr>
              <w:spacing w:before="31" w:beforeLines="10" w:after="93" w:afterLines="30" w:line="440" w:lineRule="exact"/>
              <w:jc w:val="center"/>
              <w:rPr>
                <w:rFonts w:hint="eastAsia" w:ascii="黑体" w:hAnsi="黑体" w:eastAsia="黑体"/>
                <w:color w:val="auto"/>
                <w:szCs w:val="21"/>
                <w:highlight w:val="none"/>
                <w:lang w:eastAsia="zh-CN"/>
              </w:rPr>
            </w:pPr>
            <w:r>
              <w:rPr>
                <w:rFonts w:hint="eastAsia" w:ascii="黑体" w:hAnsi="黑体" w:eastAsia="黑体"/>
                <w:color w:val="auto"/>
                <w:szCs w:val="21"/>
                <w:highlight w:val="none"/>
                <w:lang w:val="en-US" w:eastAsia="zh-CN"/>
              </w:rPr>
              <w:t>1</w:t>
            </w:r>
          </w:p>
        </w:tc>
        <w:tc>
          <w:tcPr>
            <w:tcW w:w="658" w:type="pct"/>
            <w:vAlign w:val="center"/>
          </w:tcPr>
          <w:p w14:paraId="2D115806">
            <w:pPr>
              <w:spacing w:before="31" w:beforeLines="10" w:after="30" w:line="440" w:lineRule="exact"/>
              <w:jc w:val="center"/>
              <w:rPr>
                <w:rFonts w:ascii="黑体" w:hAnsi="黑体" w:eastAsia="黑体"/>
                <w:bCs/>
                <w:color w:val="auto"/>
                <w:szCs w:val="21"/>
                <w:highlight w:val="none"/>
              </w:rPr>
            </w:pPr>
            <w:r>
              <w:rPr>
                <w:rFonts w:ascii="黑体" w:hAnsi="黑体" w:eastAsia="黑体"/>
                <w:bCs/>
                <w:color w:val="auto"/>
                <w:szCs w:val="21"/>
                <w:highlight w:val="none"/>
              </w:rPr>
              <w:t>企业业绩</w:t>
            </w:r>
          </w:p>
        </w:tc>
        <w:tc>
          <w:tcPr>
            <w:tcW w:w="384" w:type="pct"/>
            <w:vAlign w:val="center"/>
          </w:tcPr>
          <w:p w14:paraId="66AA51D0">
            <w:pPr>
              <w:widowControl/>
              <w:spacing w:before="31" w:beforeLines="10" w:after="30" w:line="440" w:lineRule="exact"/>
              <w:jc w:val="center"/>
              <w:rPr>
                <w:rFonts w:ascii="黑体" w:hAnsi="黑体" w:eastAsia="黑体"/>
                <w:bCs/>
                <w:color w:val="auto"/>
                <w:szCs w:val="21"/>
                <w:highlight w:val="none"/>
              </w:rPr>
            </w:pPr>
            <w:r>
              <w:rPr>
                <w:rFonts w:hint="eastAsia" w:ascii="黑体" w:hAnsi="黑体" w:eastAsia="黑体"/>
                <w:bCs/>
                <w:color w:val="auto"/>
                <w:szCs w:val="21"/>
                <w:highlight w:val="none"/>
                <w:lang w:val="en-US" w:eastAsia="zh-CN"/>
              </w:rPr>
              <w:t>12</w:t>
            </w:r>
            <w:r>
              <w:rPr>
                <w:rFonts w:hint="eastAsia" w:ascii="黑体" w:hAnsi="黑体" w:eastAsia="黑体"/>
                <w:bCs/>
                <w:color w:val="auto"/>
                <w:szCs w:val="21"/>
                <w:highlight w:val="none"/>
              </w:rPr>
              <w:t>分</w:t>
            </w:r>
          </w:p>
        </w:tc>
        <w:tc>
          <w:tcPr>
            <w:tcW w:w="3551" w:type="pct"/>
            <w:vAlign w:val="center"/>
          </w:tcPr>
          <w:p w14:paraId="4593E909">
            <w:pPr>
              <w:spacing w:line="440" w:lineRule="exact"/>
              <w:rPr>
                <w:rFonts w:ascii="黑体" w:hAnsi="黑体" w:eastAsia="黑体"/>
                <w:color w:val="auto"/>
                <w:szCs w:val="21"/>
                <w:highlight w:val="none"/>
              </w:rPr>
            </w:pPr>
            <w:r>
              <w:rPr>
                <w:rFonts w:hint="eastAsia" w:ascii="黑体" w:hAnsi="黑体" w:eastAsia="黑体"/>
                <w:color w:val="auto"/>
                <w:szCs w:val="21"/>
                <w:highlight w:val="none"/>
              </w:rPr>
              <w:t>投标人</w:t>
            </w:r>
            <w:r>
              <w:rPr>
                <w:rFonts w:ascii="黑体" w:hAnsi="黑体" w:eastAsia="黑体"/>
                <w:color w:val="auto"/>
                <w:szCs w:val="21"/>
                <w:highlight w:val="none"/>
              </w:rPr>
              <w:t>提供</w:t>
            </w:r>
            <w:r>
              <w:rPr>
                <w:rFonts w:hint="eastAsia" w:ascii="黑体" w:hAnsi="黑体" w:eastAsia="黑体"/>
                <w:color w:val="auto"/>
                <w:szCs w:val="21"/>
                <w:highlight w:val="none"/>
                <w:lang w:val="en-US" w:eastAsia="zh-CN"/>
              </w:rPr>
              <w:t>医疗</w:t>
            </w:r>
            <w:r>
              <w:rPr>
                <w:rFonts w:hint="eastAsia" w:ascii="黑体" w:hAnsi="黑体" w:eastAsia="黑体"/>
                <w:color w:val="auto"/>
                <w:szCs w:val="21"/>
                <w:highlight w:val="none"/>
              </w:rPr>
              <w:t>设备类</w:t>
            </w:r>
            <w:r>
              <w:rPr>
                <w:rFonts w:hint="eastAsia" w:ascii="黑体" w:hAnsi="黑体" w:eastAsia="黑体"/>
                <w:color w:val="auto"/>
                <w:szCs w:val="21"/>
                <w:highlight w:val="none"/>
                <w:lang w:val="en-US" w:eastAsia="zh-CN"/>
              </w:rPr>
              <w:t>项目</w:t>
            </w:r>
            <w:r>
              <w:rPr>
                <w:rFonts w:ascii="黑体" w:hAnsi="黑体" w:eastAsia="黑体"/>
                <w:color w:val="auto"/>
                <w:szCs w:val="21"/>
                <w:highlight w:val="none"/>
              </w:rPr>
              <w:t>业绩，每提供一</w:t>
            </w:r>
            <w:r>
              <w:rPr>
                <w:rFonts w:hint="eastAsia" w:ascii="黑体" w:hAnsi="黑体" w:eastAsia="黑体"/>
                <w:color w:val="auto"/>
                <w:szCs w:val="21"/>
                <w:highlight w:val="none"/>
              </w:rPr>
              <w:t>个</w:t>
            </w:r>
            <w:r>
              <w:rPr>
                <w:rFonts w:ascii="黑体" w:hAnsi="黑体" w:eastAsia="黑体"/>
                <w:color w:val="auto"/>
                <w:szCs w:val="21"/>
                <w:highlight w:val="none"/>
              </w:rPr>
              <w:t>得</w:t>
            </w:r>
            <w:r>
              <w:rPr>
                <w:rFonts w:hint="eastAsia" w:ascii="黑体" w:hAnsi="黑体" w:eastAsia="黑体"/>
                <w:color w:val="auto"/>
                <w:szCs w:val="21"/>
                <w:highlight w:val="none"/>
                <w:lang w:val="en-US" w:eastAsia="zh-CN"/>
              </w:rPr>
              <w:t>3</w:t>
            </w:r>
            <w:r>
              <w:rPr>
                <w:rFonts w:ascii="黑体" w:hAnsi="黑体" w:eastAsia="黑体"/>
                <w:color w:val="auto"/>
                <w:szCs w:val="21"/>
                <w:highlight w:val="none"/>
              </w:rPr>
              <w:t>分，最高得</w:t>
            </w:r>
            <w:r>
              <w:rPr>
                <w:rFonts w:hint="eastAsia" w:ascii="黑体" w:hAnsi="黑体" w:eastAsia="黑体"/>
                <w:color w:val="auto"/>
                <w:szCs w:val="21"/>
                <w:highlight w:val="none"/>
                <w:lang w:val="en-US" w:eastAsia="zh-CN"/>
              </w:rPr>
              <w:t>12</w:t>
            </w:r>
            <w:r>
              <w:rPr>
                <w:rFonts w:ascii="黑体" w:hAnsi="黑体" w:eastAsia="黑体"/>
                <w:color w:val="auto"/>
                <w:szCs w:val="21"/>
                <w:highlight w:val="none"/>
              </w:rPr>
              <w:t>分。</w:t>
            </w:r>
          </w:p>
          <w:p w14:paraId="5229F552">
            <w:pPr>
              <w:spacing w:line="440" w:lineRule="exact"/>
              <w:rPr>
                <w:rFonts w:ascii="黑体" w:hAnsi="黑体" w:eastAsia="黑体"/>
                <w:b/>
                <w:bCs/>
                <w:color w:val="auto"/>
                <w:szCs w:val="21"/>
                <w:highlight w:val="none"/>
                <w:u w:val="single"/>
              </w:rPr>
            </w:pPr>
            <w:r>
              <w:rPr>
                <w:rFonts w:ascii="黑体" w:hAnsi="黑体" w:eastAsia="黑体"/>
                <w:b/>
                <w:bCs/>
                <w:color w:val="auto"/>
                <w:szCs w:val="21"/>
                <w:highlight w:val="none"/>
                <w:u w:val="single"/>
              </w:rPr>
              <w:t>注：须合同复印件加盖投标人公章，未提供不得分</w:t>
            </w:r>
            <w:r>
              <w:rPr>
                <w:rFonts w:hint="eastAsia" w:ascii="黑体" w:hAnsi="黑体" w:eastAsia="黑体"/>
                <w:b/>
                <w:bCs/>
                <w:color w:val="auto"/>
                <w:szCs w:val="21"/>
                <w:highlight w:val="none"/>
                <w:u w:val="single"/>
              </w:rPr>
              <w:t>。</w:t>
            </w:r>
          </w:p>
        </w:tc>
      </w:tr>
      <w:tr w14:paraId="0B288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04" w:type="pct"/>
            <w:vAlign w:val="center"/>
          </w:tcPr>
          <w:p w14:paraId="2E9C23CA">
            <w:pPr>
              <w:spacing w:before="31" w:beforeLines="10" w:after="93" w:afterLines="30" w:line="440" w:lineRule="exact"/>
              <w:jc w:val="center"/>
              <w:rPr>
                <w:rFonts w:hint="eastAsia" w:ascii="黑体" w:hAnsi="黑体" w:eastAsia="黑体"/>
                <w:color w:val="auto"/>
                <w:szCs w:val="21"/>
                <w:highlight w:val="none"/>
                <w:lang w:eastAsia="zh-CN"/>
              </w:rPr>
            </w:pPr>
            <w:r>
              <w:rPr>
                <w:rFonts w:hint="eastAsia" w:ascii="黑体" w:hAnsi="黑体" w:eastAsia="黑体"/>
                <w:color w:val="auto"/>
                <w:szCs w:val="21"/>
                <w:highlight w:val="none"/>
                <w:lang w:val="en-US" w:eastAsia="zh-CN"/>
              </w:rPr>
              <w:t>2</w:t>
            </w:r>
          </w:p>
        </w:tc>
        <w:tc>
          <w:tcPr>
            <w:tcW w:w="658" w:type="pct"/>
            <w:vAlign w:val="center"/>
          </w:tcPr>
          <w:p w14:paraId="076525B9">
            <w:pPr>
              <w:spacing w:before="31" w:beforeLines="10" w:after="30" w:line="440" w:lineRule="exact"/>
              <w:jc w:val="center"/>
              <w:rPr>
                <w:rFonts w:hint="default"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服务便利性</w:t>
            </w:r>
          </w:p>
        </w:tc>
        <w:tc>
          <w:tcPr>
            <w:tcW w:w="384" w:type="pct"/>
            <w:vAlign w:val="center"/>
          </w:tcPr>
          <w:p w14:paraId="0DA20A61">
            <w:pPr>
              <w:widowControl/>
              <w:spacing w:before="31" w:beforeLines="10" w:after="30" w:line="440" w:lineRule="exact"/>
              <w:jc w:val="center"/>
              <w:rPr>
                <w:rFonts w:ascii="黑体" w:hAnsi="黑体" w:eastAsia="黑体"/>
                <w:color w:val="auto"/>
                <w:szCs w:val="21"/>
                <w:highlight w:val="none"/>
              </w:rPr>
            </w:pPr>
            <w:r>
              <w:rPr>
                <w:rFonts w:hint="eastAsia" w:ascii="黑体" w:hAnsi="黑体" w:eastAsia="黑体"/>
                <w:color w:val="auto"/>
                <w:szCs w:val="21"/>
                <w:highlight w:val="none"/>
                <w:lang w:val="en-US" w:eastAsia="zh-CN"/>
              </w:rPr>
              <w:t>3</w:t>
            </w:r>
            <w:r>
              <w:rPr>
                <w:rFonts w:hint="eastAsia" w:ascii="黑体" w:hAnsi="黑体" w:eastAsia="黑体"/>
                <w:color w:val="auto"/>
                <w:szCs w:val="21"/>
                <w:highlight w:val="none"/>
              </w:rPr>
              <w:t>分</w:t>
            </w:r>
          </w:p>
        </w:tc>
        <w:tc>
          <w:tcPr>
            <w:tcW w:w="3551" w:type="pct"/>
            <w:vAlign w:val="center"/>
          </w:tcPr>
          <w:p w14:paraId="2363770A">
            <w:pPr>
              <w:spacing w:before="31" w:beforeLines="10" w:after="30" w:line="440" w:lineRule="exact"/>
              <w:rPr>
                <w:rFonts w:hint="eastAsia" w:ascii="黑体" w:hAnsi="黑体" w:eastAsia="黑体"/>
                <w:b w:val="0"/>
                <w:bCs w:val="0"/>
                <w:color w:val="auto"/>
                <w:szCs w:val="21"/>
                <w:highlight w:val="none"/>
                <w:u w:val="none"/>
              </w:rPr>
            </w:pPr>
            <w:r>
              <w:rPr>
                <w:rFonts w:hint="eastAsia" w:ascii="黑体" w:hAnsi="黑体" w:eastAsia="黑体"/>
                <w:b w:val="0"/>
                <w:bCs w:val="0"/>
                <w:color w:val="auto"/>
                <w:szCs w:val="21"/>
                <w:highlight w:val="none"/>
                <w:u w:val="none"/>
              </w:rPr>
              <w:t>根据投标人提供的服务响应时间承诺进行评审：</w:t>
            </w:r>
          </w:p>
          <w:p w14:paraId="758C8C1E">
            <w:pPr>
              <w:spacing w:line="360" w:lineRule="auto"/>
              <w:rPr>
                <w:rFonts w:ascii="黑体" w:hAnsi="黑体" w:eastAsia="黑体"/>
                <w:color w:val="auto"/>
                <w:szCs w:val="21"/>
                <w:highlight w:val="none"/>
              </w:rPr>
            </w:pPr>
            <w:r>
              <w:rPr>
                <w:rFonts w:hint="eastAsia" w:ascii="黑体" w:hAnsi="黑体" w:eastAsia="黑体"/>
                <w:b w:val="0"/>
                <w:bCs w:val="0"/>
                <w:color w:val="auto"/>
                <w:szCs w:val="21"/>
                <w:highlight w:val="none"/>
                <w:u w:val="none"/>
              </w:rPr>
              <w:t>①</w:t>
            </w:r>
            <w:r>
              <w:rPr>
                <w:rFonts w:hint="eastAsia" w:ascii="黑体" w:hAnsi="黑体" w:eastAsia="黑体"/>
                <w:color w:val="auto"/>
                <w:szCs w:val="21"/>
                <w:highlight w:val="none"/>
              </w:rPr>
              <w:t>投标人承诺在接到采购人通知后3</w:t>
            </w:r>
            <w:r>
              <w:rPr>
                <w:rFonts w:ascii="黑体" w:hAnsi="黑体" w:eastAsia="黑体"/>
                <w:color w:val="auto"/>
                <w:szCs w:val="21"/>
                <w:highlight w:val="none"/>
              </w:rPr>
              <w:t>0</w:t>
            </w:r>
            <w:r>
              <w:rPr>
                <w:rFonts w:hint="eastAsia" w:ascii="黑体" w:hAnsi="黑体" w:eastAsia="黑体"/>
                <w:color w:val="auto"/>
                <w:szCs w:val="21"/>
                <w:highlight w:val="none"/>
              </w:rPr>
              <w:t>分钟内响应，</w:t>
            </w:r>
            <w:r>
              <w:rPr>
                <w:rFonts w:hint="eastAsia" w:ascii="黑体" w:hAnsi="黑体" w:eastAsia="黑体"/>
                <w:color w:val="auto"/>
                <w:szCs w:val="21"/>
                <w:highlight w:val="none"/>
                <w:lang w:val="en-US" w:eastAsia="zh-CN"/>
              </w:rPr>
              <w:t>1</w:t>
            </w:r>
            <w:r>
              <w:rPr>
                <w:rFonts w:hint="eastAsia" w:ascii="黑体" w:hAnsi="黑体" w:eastAsia="黑体"/>
                <w:color w:val="auto"/>
                <w:szCs w:val="21"/>
                <w:highlight w:val="none"/>
              </w:rPr>
              <w:t>个小时内到达现场，得</w:t>
            </w:r>
            <w:r>
              <w:rPr>
                <w:rFonts w:hint="eastAsia" w:ascii="黑体" w:hAnsi="黑体" w:eastAsia="黑体"/>
                <w:color w:val="auto"/>
                <w:szCs w:val="21"/>
                <w:highlight w:val="none"/>
                <w:lang w:val="en-US" w:eastAsia="zh-CN"/>
              </w:rPr>
              <w:t>3</w:t>
            </w:r>
            <w:r>
              <w:rPr>
                <w:rFonts w:hint="eastAsia" w:ascii="黑体" w:hAnsi="黑体" w:eastAsia="黑体"/>
                <w:color w:val="auto"/>
                <w:szCs w:val="21"/>
                <w:highlight w:val="none"/>
              </w:rPr>
              <w:t>分；</w:t>
            </w:r>
          </w:p>
          <w:p w14:paraId="6D749AAC">
            <w:pPr>
              <w:spacing w:line="360" w:lineRule="auto"/>
              <w:rPr>
                <w:rFonts w:ascii="黑体" w:hAnsi="黑体" w:eastAsia="黑体"/>
                <w:color w:val="auto"/>
                <w:szCs w:val="21"/>
                <w:highlight w:val="none"/>
              </w:rPr>
            </w:pPr>
            <w:r>
              <w:rPr>
                <w:rFonts w:hint="eastAsia" w:ascii="黑体" w:hAnsi="黑体" w:eastAsia="黑体"/>
                <w:color w:val="auto"/>
                <w:szCs w:val="21"/>
                <w:highlight w:val="none"/>
              </w:rPr>
              <w:t>②投标人承诺在接到采购人通知后3</w:t>
            </w:r>
            <w:r>
              <w:rPr>
                <w:rFonts w:ascii="黑体" w:hAnsi="黑体" w:eastAsia="黑体"/>
                <w:color w:val="auto"/>
                <w:szCs w:val="21"/>
                <w:highlight w:val="none"/>
              </w:rPr>
              <w:t>0</w:t>
            </w:r>
            <w:r>
              <w:rPr>
                <w:rFonts w:hint="eastAsia" w:ascii="黑体" w:hAnsi="黑体" w:eastAsia="黑体"/>
                <w:color w:val="auto"/>
                <w:szCs w:val="21"/>
                <w:highlight w:val="none"/>
              </w:rPr>
              <w:t>分钟内响应，</w:t>
            </w:r>
            <w:r>
              <w:rPr>
                <w:rFonts w:hint="eastAsia" w:ascii="黑体" w:hAnsi="黑体" w:eastAsia="黑体"/>
                <w:color w:val="auto"/>
                <w:szCs w:val="21"/>
                <w:highlight w:val="none"/>
                <w:lang w:val="en-US" w:eastAsia="zh-CN"/>
              </w:rPr>
              <w:t>2</w:t>
            </w:r>
            <w:r>
              <w:rPr>
                <w:rFonts w:hint="eastAsia" w:ascii="黑体" w:hAnsi="黑体" w:eastAsia="黑体"/>
                <w:color w:val="auto"/>
                <w:szCs w:val="21"/>
                <w:highlight w:val="none"/>
              </w:rPr>
              <w:t>个小时内到达现场，得</w:t>
            </w:r>
            <w:r>
              <w:rPr>
                <w:rFonts w:hint="eastAsia" w:ascii="黑体" w:hAnsi="黑体" w:eastAsia="黑体"/>
                <w:color w:val="auto"/>
                <w:szCs w:val="21"/>
                <w:highlight w:val="none"/>
                <w:lang w:val="en-US" w:eastAsia="zh-CN"/>
              </w:rPr>
              <w:t>2</w:t>
            </w:r>
            <w:r>
              <w:rPr>
                <w:rFonts w:hint="eastAsia" w:ascii="黑体" w:hAnsi="黑体" w:eastAsia="黑体"/>
                <w:color w:val="auto"/>
                <w:szCs w:val="21"/>
                <w:highlight w:val="none"/>
              </w:rPr>
              <w:t>分</w:t>
            </w:r>
            <w:r>
              <w:rPr>
                <w:rFonts w:hint="eastAsia" w:ascii="黑体" w:hAnsi="黑体" w:eastAsia="黑体"/>
                <w:color w:val="auto"/>
                <w:szCs w:val="21"/>
                <w:highlight w:val="none"/>
                <w:lang w:eastAsia="zh-CN"/>
              </w:rPr>
              <w:t>；</w:t>
            </w:r>
          </w:p>
          <w:p w14:paraId="3AC6F457">
            <w:pPr>
              <w:spacing w:before="31" w:beforeLines="10" w:after="30" w:line="440" w:lineRule="exact"/>
              <w:rPr>
                <w:rFonts w:hint="eastAsia" w:ascii="黑体" w:hAnsi="黑体" w:eastAsia="黑体"/>
                <w:color w:val="auto"/>
                <w:szCs w:val="21"/>
                <w:highlight w:val="none"/>
              </w:rPr>
            </w:pPr>
            <w:r>
              <w:rPr>
                <w:rFonts w:hint="eastAsia" w:ascii="黑体" w:hAnsi="黑体" w:eastAsia="黑体"/>
                <w:color w:val="auto"/>
                <w:szCs w:val="21"/>
                <w:highlight w:val="none"/>
              </w:rPr>
              <w:t>③投标人承诺在接到采购人通知后3</w:t>
            </w:r>
            <w:r>
              <w:rPr>
                <w:rFonts w:ascii="黑体" w:hAnsi="黑体" w:eastAsia="黑体"/>
                <w:color w:val="auto"/>
                <w:szCs w:val="21"/>
                <w:highlight w:val="none"/>
              </w:rPr>
              <w:t>0</w:t>
            </w:r>
            <w:r>
              <w:rPr>
                <w:rFonts w:hint="eastAsia" w:ascii="黑体" w:hAnsi="黑体" w:eastAsia="黑体"/>
                <w:color w:val="auto"/>
                <w:szCs w:val="21"/>
                <w:highlight w:val="none"/>
              </w:rPr>
              <w:t>分钟内响应，</w:t>
            </w:r>
            <w:r>
              <w:rPr>
                <w:rFonts w:ascii="黑体" w:hAnsi="黑体" w:eastAsia="黑体"/>
                <w:color w:val="auto"/>
                <w:szCs w:val="21"/>
                <w:highlight w:val="none"/>
              </w:rPr>
              <w:t>3</w:t>
            </w:r>
            <w:r>
              <w:rPr>
                <w:rFonts w:hint="eastAsia" w:ascii="黑体" w:hAnsi="黑体" w:eastAsia="黑体"/>
                <w:color w:val="auto"/>
                <w:szCs w:val="21"/>
                <w:highlight w:val="none"/>
              </w:rPr>
              <w:t>个小时内到达现场，得</w:t>
            </w:r>
            <w:r>
              <w:rPr>
                <w:rFonts w:hint="eastAsia" w:ascii="黑体" w:hAnsi="黑体" w:eastAsia="黑体"/>
                <w:color w:val="auto"/>
                <w:szCs w:val="21"/>
                <w:highlight w:val="none"/>
                <w:lang w:val="en-US" w:eastAsia="zh-CN"/>
              </w:rPr>
              <w:t>1</w:t>
            </w:r>
            <w:r>
              <w:rPr>
                <w:rFonts w:hint="eastAsia" w:ascii="黑体" w:hAnsi="黑体" w:eastAsia="黑体"/>
                <w:color w:val="auto"/>
                <w:szCs w:val="21"/>
                <w:highlight w:val="none"/>
              </w:rPr>
              <w:t>分</w:t>
            </w:r>
            <w:r>
              <w:rPr>
                <w:rFonts w:hint="eastAsia" w:ascii="黑体" w:hAnsi="黑体" w:eastAsia="黑体"/>
                <w:color w:val="auto"/>
                <w:szCs w:val="21"/>
                <w:highlight w:val="none"/>
                <w:lang w:eastAsia="zh-CN"/>
              </w:rPr>
              <w:t>；</w:t>
            </w:r>
          </w:p>
          <w:p w14:paraId="319C8CC3">
            <w:pPr>
              <w:spacing w:before="31" w:beforeLines="10" w:after="30" w:line="440" w:lineRule="exact"/>
              <w:rPr>
                <w:rFonts w:hint="eastAsia" w:ascii="黑体" w:hAnsi="黑体" w:eastAsia="黑体"/>
                <w:b/>
                <w:bCs/>
                <w:color w:val="auto"/>
                <w:szCs w:val="21"/>
                <w:highlight w:val="none"/>
                <w:u w:val="none"/>
              </w:rPr>
            </w:pPr>
            <w:r>
              <w:rPr>
                <w:rFonts w:hint="eastAsia" w:ascii="宋体" w:hAnsi="宋体" w:eastAsia="宋体" w:cs="宋体"/>
                <w:b/>
                <w:bCs/>
                <w:color w:val="auto"/>
                <w:szCs w:val="21"/>
                <w:highlight w:val="none"/>
                <w:u w:val="none"/>
              </w:rPr>
              <w:t>④</w:t>
            </w:r>
            <w:r>
              <w:rPr>
                <w:rFonts w:hint="eastAsia" w:ascii="黑体" w:hAnsi="黑体" w:eastAsia="黑体"/>
                <w:b w:val="0"/>
                <w:bCs w:val="0"/>
                <w:color w:val="auto"/>
                <w:szCs w:val="21"/>
                <w:highlight w:val="none"/>
                <w:u w:val="none"/>
              </w:rPr>
              <w:t>未提供对应方案不得分</w:t>
            </w:r>
            <w:r>
              <w:rPr>
                <w:rFonts w:hint="eastAsia" w:ascii="黑体" w:hAnsi="黑体" w:eastAsia="黑体"/>
                <w:b/>
                <w:bCs/>
                <w:color w:val="auto"/>
                <w:szCs w:val="21"/>
                <w:highlight w:val="none"/>
                <w:u w:val="none"/>
              </w:rPr>
              <w:t>。</w:t>
            </w:r>
          </w:p>
          <w:p w14:paraId="16E31D19">
            <w:pPr>
              <w:spacing w:before="31" w:beforeLines="10" w:after="30" w:line="440" w:lineRule="exact"/>
              <w:rPr>
                <w:rFonts w:ascii="黑体" w:hAnsi="黑体" w:eastAsia="黑体"/>
                <w:b/>
                <w:color w:val="auto"/>
                <w:szCs w:val="21"/>
                <w:highlight w:val="none"/>
                <w:u w:val="single"/>
              </w:rPr>
            </w:pPr>
            <w:r>
              <w:rPr>
                <w:rFonts w:hint="eastAsia" w:ascii="黑体" w:hAnsi="黑体" w:eastAsia="黑体"/>
                <w:b/>
                <w:bCs/>
                <w:color w:val="auto"/>
                <w:szCs w:val="21"/>
                <w:highlight w:val="none"/>
                <w:u w:val="single"/>
              </w:rPr>
              <w:t>注：投标人须提供服务承诺函</w:t>
            </w:r>
            <w:r>
              <w:rPr>
                <w:rFonts w:hint="eastAsia" w:ascii="黑体" w:hAnsi="黑体" w:eastAsia="黑体"/>
                <w:b/>
                <w:bCs/>
                <w:color w:val="auto"/>
                <w:szCs w:val="21"/>
                <w:highlight w:val="none"/>
                <w:u w:val="single"/>
                <w:lang w:eastAsia="zh-CN"/>
              </w:rPr>
              <w:t>（</w:t>
            </w:r>
            <w:r>
              <w:rPr>
                <w:rFonts w:hint="eastAsia" w:ascii="黑体" w:hAnsi="黑体" w:eastAsia="黑体"/>
                <w:b/>
                <w:bCs/>
                <w:color w:val="auto"/>
                <w:szCs w:val="21"/>
                <w:highlight w:val="none"/>
                <w:u w:val="single"/>
                <w:lang w:val="en-US" w:eastAsia="zh-CN"/>
              </w:rPr>
              <w:t>格式自拟</w:t>
            </w:r>
            <w:r>
              <w:rPr>
                <w:rFonts w:hint="eastAsia" w:ascii="黑体" w:hAnsi="黑体" w:eastAsia="黑体"/>
                <w:b/>
                <w:bCs/>
                <w:color w:val="auto"/>
                <w:szCs w:val="21"/>
                <w:highlight w:val="none"/>
                <w:u w:val="single"/>
                <w:lang w:eastAsia="zh-CN"/>
              </w:rPr>
              <w:t>）</w:t>
            </w:r>
            <w:r>
              <w:rPr>
                <w:rFonts w:hint="eastAsia" w:ascii="黑体" w:hAnsi="黑体" w:eastAsia="黑体"/>
                <w:b/>
                <w:bCs/>
                <w:color w:val="auto"/>
                <w:szCs w:val="21"/>
                <w:highlight w:val="none"/>
                <w:u w:val="single"/>
              </w:rPr>
              <w:t>加盖投标人公章。</w:t>
            </w:r>
          </w:p>
        </w:tc>
      </w:tr>
      <w:tr w14:paraId="710D8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14:paraId="0861C0C2">
            <w:pPr>
              <w:pStyle w:val="35"/>
              <w:spacing w:after="62" w:afterLines="20" w:line="440" w:lineRule="exact"/>
              <w:ind w:firstLine="0" w:firstLineChars="0"/>
              <w:jc w:val="center"/>
              <w:rPr>
                <w:rFonts w:ascii="黑体" w:hAnsi="黑体" w:eastAsia="黑体"/>
                <w:color w:val="auto"/>
                <w:highlight w:val="none"/>
              </w:rPr>
            </w:pPr>
            <w:r>
              <w:rPr>
                <w:rFonts w:hint="eastAsia" w:ascii="黑体" w:hAnsi="黑体" w:eastAsia="黑体"/>
                <w:b/>
                <w:color w:val="auto"/>
                <w:sz w:val="21"/>
                <w:szCs w:val="21"/>
                <w:highlight w:val="none"/>
              </w:rPr>
              <w:t>技术评审细则（</w:t>
            </w:r>
            <w:r>
              <w:rPr>
                <w:rFonts w:hint="eastAsia" w:ascii="黑体" w:hAnsi="黑体" w:eastAsia="黑体"/>
                <w:b/>
                <w:color w:val="auto"/>
                <w:sz w:val="21"/>
                <w:szCs w:val="21"/>
                <w:highlight w:val="none"/>
                <w:lang w:val="en-US" w:eastAsia="zh-CN"/>
              </w:rPr>
              <w:t>55</w:t>
            </w:r>
            <w:r>
              <w:rPr>
                <w:rFonts w:hint="eastAsia" w:ascii="黑体" w:hAnsi="黑体" w:eastAsia="黑体"/>
                <w:b/>
                <w:color w:val="auto"/>
                <w:sz w:val="21"/>
                <w:szCs w:val="21"/>
                <w:highlight w:val="none"/>
              </w:rPr>
              <w:t>分）</w:t>
            </w:r>
          </w:p>
        </w:tc>
      </w:tr>
      <w:tr w14:paraId="5240F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04" w:type="pct"/>
            <w:vAlign w:val="center"/>
          </w:tcPr>
          <w:p w14:paraId="4AC6322E">
            <w:pPr>
              <w:spacing w:before="31" w:beforeLines="10" w:after="93" w:afterLines="30" w:line="440" w:lineRule="exact"/>
              <w:jc w:val="center"/>
              <w:rPr>
                <w:rFonts w:hint="eastAsia"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1</w:t>
            </w:r>
          </w:p>
        </w:tc>
        <w:tc>
          <w:tcPr>
            <w:tcW w:w="1155" w:type="dxa"/>
            <w:vAlign w:val="center"/>
          </w:tcPr>
          <w:p w14:paraId="24D94A16">
            <w:pPr>
              <w:spacing w:before="31" w:beforeLines="10" w:after="30" w:line="440" w:lineRule="exact"/>
              <w:jc w:val="center"/>
              <w:rPr>
                <w:rFonts w:ascii="黑体" w:hAnsi="黑体" w:eastAsia="黑体"/>
                <w:color w:val="auto"/>
                <w:szCs w:val="21"/>
                <w:highlight w:val="none"/>
              </w:rPr>
            </w:pPr>
            <w:r>
              <w:rPr>
                <w:rFonts w:ascii="黑体" w:hAnsi="黑体" w:eastAsia="黑体"/>
                <w:color w:val="auto"/>
                <w:szCs w:val="21"/>
                <w:highlight w:val="none"/>
              </w:rPr>
              <w:t>技术响应程度</w:t>
            </w:r>
          </w:p>
        </w:tc>
        <w:tc>
          <w:tcPr>
            <w:tcW w:w="675" w:type="dxa"/>
            <w:vAlign w:val="center"/>
          </w:tcPr>
          <w:p w14:paraId="11AB471D">
            <w:pPr>
              <w:widowControl/>
              <w:spacing w:before="31" w:beforeLines="10" w:after="30" w:line="440" w:lineRule="exact"/>
              <w:jc w:val="center"/>
              <w:rPr>
                <w:rFonts w:ascii="黑体" w:hAnsi="黑体" w:eastAsia="黑体"/>
                <w:color w:val="auto"/>
                <w:szCs w:val="21"/>
                <w:highlight w:val="none"/>
              </w:rPr>
            </w:pPr>
            <w:r>
              <w:rPr>
                <w:rFonts w:hint="eastAsia" w:ascii="黑体" w:hAnsi="黑体" w:eastAsia="黑体"/>
                <w:color w:val="auto"/>
                <w:szCs w:val="21"/>
                <w:highlight w:val="none"/>
                <w:lang w:val="en-US" w:eastAsia="zh-CN"/>
              </w:rPr>
              <w:t>11</w:t>
            </w:r>
            <w:r>
              <w:rPr>
                <w:rFonts w:hint="eastAsia" w:ascii="黑体" w:hAnsi="黑体" w:eastAsia="黑体"/>
                <w:color w:val="auto"/>
                <w:szCs w:val="21"/>
                <w:highlight w:val="none"/>
              </w:rPr>
              <w:t>分</w:t>
            </w:r>
          </w:p>
        </w:tc>
        <w:tc>
          <w:tcPr>
            <w:tcW w:w="6228" w:type="dxa"/>
            <w:vAlign w:val="center"/>
          </w:tcPr>
          <w:p w14:paraId="15A6A2B6">
            <w:pPr>
              <w:spacing w:before="31" w:beforeLines="10" w:after="30" w:line="440" w:lineRule="exact"/>
              <w:rPr>
                <w:rFonts w:ascii="黑体" w:hAnsi="黑体" w:eastAsia="黑体"/>
                <w:color w:val="auto"/>
                <w:szCs w:val="21"/>
                <w:highlight w:val="none"/>
              </w:rPr>
            </w:pPr>
            <w:r>
              <w:rPr>
                <w:rFonts w:hint="eastAsia" w:ascii="黑体" w:hAnsi="黑体" w:eastAsia="黑体"/>
                <w:color w:val="auto"/>
                <w:szCs w:val="21"/>
                <w:highlight w:val="none"/>
              </w:rPr>
              <w:t>根据投标人所投产品对《采购需求》中加注</w:t>
            </w:r>
            <w:r>
              <w:rPr>
                <w:rFonts w:ascii="黑体" w:hAnsi="黑体" w:eastAsia="黑体"/>
                <w:color w:val="auto"/>
                <w:szCs w:val="21"/>
                <w:highlight w:val="none"/>
              </w:rPr>
              <w:t>“▲”</w:t>
            </w:r>
            <w:r>
              <w:rPr>
                <w:rFonts w:hint="eastAsia" w:ascii="黑体" w:hAnsi="黑体" w:eastAsia="黑体"/>
                <w:color w:val="auto"/>
                <w:szCs w:val="21"/>
                <w:highlight w:val="none"/>
              </w:rPr>
              <w:t>号的技术参数响应情况进行评分：全部满足的得</w:t>
            </w:r>
            <w:r>
              <w:rPr>
                <w:rFonts w:hint="eastAsia" w:ascii="黑体" w:hAnsi="黑体" w:eastAsia="黑体"/>
                <w:color w:val="auto"/>
                <w:szCs w:val="21"/>
                <w:highlight w:val="none"/>
                <w:lang w:val="en-US" w:eastAsia="zh-CN"/>
              </w:rPr>
              <w:t>11</w:t>
            </w:r>
            <w:r>
              <w:rPr>
                <w:rFonts w:hint="eastAsia" w:ascii="黑体" w:hAnsi="黑体" w:eastAsia="黑体"/>
                <w:color w:val="auto"/>
                <w:szCs w:val="21"/>
                <w:highlight w:val="none"/>
              </w:rPr>
              <w:t>分，每负偏离一项扣</w:t>
            </w:r>
            <w:r>
              <w:rPr>
                <w:rFonts w:hint="eastAsia" w:ascii="黑体" w:hAnsi="黑体" w:eastAsia="黑体"/>
                <w:color w:val="auto"/>
                <w:szCs w:val="21"/>
                <w:highlight w:val="none"/>
                <w:lang w:val="en-US" w:eastAsia="zh-CN"/>
              </w:rPr>
              <w:t>1</w:t>
            </w:r>
            <w:r>
              <w:rPr>
                <w:rFonts w:hint="eastAsia" w:ascii="黑体" w:hAnsi="黑体" w:eastAsia="黑体"/>
                <w:color w:val="auto"/>
                <w:szCs w:val="21"/>
                <w:highlight w:val="none"/>
              </w:rPr>
              <w:t>分，扣完为止。</w:t>
            </w:r>
          </w:p>
          <w:p w14:paraId="43D570A4">
            <w:pPr>
              <w:spacing w:before="31" w:beforeLines="10" w:after="30" w:line="440" w:lineRule="exact"/>
              <w:rPr>
                <w:rFonts w:ascii="黑体" w:hAnsi="黑体" w:eastAsia="黑体"/>
                <w:color w:val="auto"/>
                <w:szCs w:val="21"/>
                <w:highlight w:val="none"/>
              </w:rPr>
            </w:pPr>
            <w:r>
              <w:rPr>
                <w:rFonts w:hint="eastAsia" w:ascii="黑体" w:hAnsi="黑体" w:eastAsia="黑体"/>
                <w:b/>
                <w:bCs/>
                <w:color w:val="auto"/>
                <w:szCs w:val="21"/>
                <w:highlight w:val="none"/>
                <w:u w:val="single"/>
              </w:rPr>
              <w:t>注：投标人必须按照《▲号条款要求扣分明细响应表》要求逐条响应并按以下要求提供证明材料：①单项条款中有要求的按要求提供证明材料；②未要求提供证明资料的，则投标文件中须提供所投产品制造商的公开网址链接及参数截图或制造商针对本项目所作的技术参数说明或第三方检测机构出具的检测报告复印件加盖投标人公章。</w:t>
            </w:r>
          </w:p>
        </w:tc>
      </w:tr>
      <w:tr w14:paraId="2EA73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04" w:type="pct"/>
            <w:shd w:val="clear" w:color="auto" w:fill="auto"/>
            <w:vAlign w:val="center"/>
          </w:tcPr>
          <w:p w14:paraId="3222654F">
            <w:pPr>
              <w:spacing w:before="31" w:beforeLines="10" w:after="93" w:afterLines="30" w:line="440" w:lineRule="exact"/>
              <w:jc w:val="center"/>
              <w:rPr>
                <w:rFonts w:hint="default" w:ascii="黑体" w:hAnsi="黑体" w:eastAsia="黑体" w:cstheme="minorBidi"/>
                <w:color w:val="auto"/>
                <w:kern w:val="2"/>
                <w:sz w:val="21"/>
                <w:szCs w:val="21"/>
                <w:highlight w:val="none"/>
                <w:lang w:val="en-US" w:eastAsia="zh-CN" w:bidi="ar-SA"/>
              </w:rPr>
            </w:pPr>
            <w:r>
              <w:rPr>
                <w:rFonts w:hint="eastAsia" w:ascii="黑体" w:hAnsi="黑体" w:eastAsia="黑体" w:cstheme="minorBidi"/>
                <w:color w:val="auto"/>
                <w:kern w:val="2"/>
                <w:sz w:val="21"/>
                <w:szCs w:val="21"/>
                <w:highlight w:val="none"/>
                <w:lang w:val="en-US" w:eastAsia="zh-CN" w:bidi="ar-SA"/>
              </w:rPr>
              <w:t>2</w:t>
            </w:r>
          </w:p>
        </w:tc>
        <w:tc>
          <w:tcPr>
            <w:tcW w:w="658" w:type="pct"/>
            <w:shd w:val="clear" w:color="auto" w:fill="auto"/>
            <w:vAlign w:val="center"/>
          </w:tcPr>
          <w:p w14:paraId="262F60D9">
            <w:pPr>
              <w:spacing w:before="31" w:beforeLines="10" w:after="30" w:line="440" w:lineRule="exact"/>
              <w:jc w:val="center"/>
              <w:rPr>
                <w:rFonts w:ascii="黑体" w:hAnsi="黑体" w:eastAsia="黑体"/>
                <w:bCs/>
                <w:color w:val="auto"/>
                <w:szCs w:val="21"/>
                <w:highlight w:val="none"/>
              </w:rPr>
            </w:pPr>
            <w:r>
              <w:rPr>
                <w:rFonts w:hint="eastAsia" w:ascii="黑体" w:hAnsi="黑体" w:eastAsia="黑体"/>
                <w:bCs/>
                <w:color w:val="auto"/>
                <w:szCs w:val="21"/>
                <w:highlight w:val="none"/>
              </w:rPr>
              <w:t>项目实施方案</w:t>
            </w:r>
          </w:p>
          <w:p w14:paraId="7E39005A">
            <w:pPr>
              <w:spacing w:before="31" w:beforeLines="10" w:after="30" w:line="440" w:lineRule="exact"/>
              <w:jc w:val="center"/>
              <w:rPr>
                <w:rFonts w:ascii="黑体" w:hAnsi="黑体" w:eastAsia="黑体" w:cstheme="minorBidi"/>
                <w:color w:val="auto"/>
                <w:kern w:val="2"/>
                <w:sz w:val="21"/>
                <w:szCs w:val="21"/>
                <w:highlight w:val="none"/>
                <w:lang w:val="en-US" w:eastAsia="zh-CN" w:bidi="ar-SA"/>
              </w:rPr>
            </w:pPr>
          </w:p>
        </w:tc>
        <w:tc>
          <w:tcPr>
            <w:tcW w:w="384" w:type="pct"/>
            <w:shd w:val="clear" w:color="auto" w:fill="auto"/>
            <w:vAlign w:val="center"/>
          </w:tcPr>
          <w:p w14:paraId="6A2BBCBE">
            <w:pPr>
              <w:widowControl/>
              <w:spacing w:before="31" w:beforeLines="10" w:after="30" w:line="440" w:lineRule="exact"/>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bCs/>
                <w:color w:val="auto"/>
                <w:szCs w:val="21"/>
                <w:highlight w:val="none"/>
                <w:lang w:val="en-US" w:eastAsia="zh-CN"/>
              </w:rPr>
              <w:t>10</w:t>
            </w:r>
            <w:r>
              <w:rPr>
                <w:rFonts w:hint="eastAsia" w:ascii="黑体" w:hAnsi="黑体" w:eastAsia="黑体"/>
                <w:bCs/>
                <w:color w:val="auto"/>
                <w:szCs w:val="21"/>
                <w:highlight w:val="none"/>
              </w:rPr>
              <w:t>分</w:t>
            </w:r>
          </w:p>
        </w:tc>
        <w:tc>
          <w:tcPr>
            <w:tcW w:w="3551" w:type="pct"/>
            <w:shd w:val="clear" w:color="auto" w:fill="auto"/>
            <w:vAlign w:val="center"/>
          </w:tcPr>
          <w:p w14:paraId="53A35F97">
            <w:pPr>
              <w:spacing w:before="31" w:beforeLines="10" w:after="30" w:line="440" w:lineRule="exact"/>
              <w:rPr>
                <w:rFonts w:ascii="黑体" w:hAnsi="黑体" w:eastAsia="黑体" w:cs="宋体"/>
                <w:color w:val="auto"/>
                <w:kern w:val="0"/>
                <w:szCs w:val="21"/>
                <w:highlight w:val="none"/>
              </w:rPr>
            </w:pPr>
            <w:r>
              <w:rPr>
                <w:rFonts w:hint="eastAsia" w:ascii="黑体" w:hAnsi="黑体" w:eastAsia="黑体" w:cs="宋体"/>
                <w:color w:val="auto"/>
                <w:kern w:val="0"/>
                <w:szCs w:val="21"/>
                <w:highlight w:val="none"/>
              </w:rPr>
              <w:t>根据采购需求的“项目实施要求”，对投标人提供的项目实施方案（包含但不限于①包装及保管方案、②安装与调试方案）进行评审：</w:t>
            </w:r>
          </w:p>
          <w:p w14:paraId="6A6C7195">
            <w:pPr>
              <w:spacing w:before="31" w:beforeLines="10" w:after="30" w:line="440" w:lineRule="exact"/>
              <w:rPr>
                <w:rFonts w:ascii="黑体" w:hAnsi="黑体" w:eastAsia="黑体" w:cs="宋体"/>
                <w:color w:val="auto"/>
                <w:kern w:val="0"/>
                <w:szCs w:val="21"/>
                <w:highlight w:val="none"/>
              </w:rPr>
            </w:pPr>
            <w:r>
              <w:rPr>
                <w:rFonts w:hint="eastAsia" w:ascii="黑体" w:hAnsi="黑体" w:eastAsia="黑体" w:cs="宋体"/>
                <w:color w:val="auto"/>
                <w:kern w:val="0"/>
                <w:szCs w:val="21"/>
                <w:highlight w:val="none"/>
              </w:rPr>
              <w:t>①项目实施方案详实具体，可操作性</w:t>
            </w:r>
            <w:r>
              <w:rPr>
                <w:rFonts w:hint="eastAsia" w:ascii="黑体" w:hAnsi="黑体" w:eastAsia="黑体" w:cs="宋体"/>
                <w:color w:val="auto"/>
                <w:kern w:val="0"/>
                <w:szCs w:val="21"/>
                <w:highlight w:val="none"/>
                <w:lang w:val="en-US" w:eastAsia="zh-CN"/>
              </w:rPr>
              <w:t>非常高，各项实施措施制度非常全面有逻辑，能完全满足采购需求的，得10分</w:t>
            </w:r>
            <w:r>
              <w:rPr>
                <w:rFonts w:hint="eastAsia" w:ascii="黑体" w:hAnsi="黑体" w:eastAsia="黑体" w:cs="宋体"/>
                <w:color w:val="auto"/>
                <w:kern w:val="0"/>
                <w:szCs w:val="21"/>
                <w:highlight w:val="none"/>
              </w:rPr>
              <w:t>；</w:t>
            </w:r>
          </w:p>
          <w:p w14:paraId="65019288">
            <w:pPr>
              <w:spacing w:before="31" w:beforeLines="10" w:after="30" w:line="440" w:lineRule="exact"/>
              <w:rPr>
                <w:rFonts w:ascii="黑体" w:hAnsi="黑体" w:eastAsia="黑体" w:cs="宋体"/>
                <w:color w:val="auto"/>
                <w:kern w:val="0"/>
                <w:szCs w:val="21"/>
                <w:highlight w:val="none"/>
              </w:rPr>
            </w:pPr>
            <w:r>
              <w:rPr>
                <w:rFonts w:hint="eastAsia" w:ascii="黑体" w:hAnsi="黑体" w:eastAsia="黑体" w:cs="宋体"/>
                <w:color w:val="auto"/>
                <w:kern w:val="0"/>
                <w:szCs w:val="21"/>
                <w:highlight w:val="none"/>
              </w:rPr>
              <w:t>②项目实施方案具体，可操作性</w:t>
            </w:r>
            <w:r>
              <w:rPr>
                <w:rFonts w:hint="eastAsia" w:ascii="黑体" w:hAnsi="黑体" w:eastAsia="黑体" w:cs="宋体"/>
                <w:color w:val="auto"/>
                <w:kern w:val="0"/>
                <w:szCs w:val="21"/>
                <w:highlight w:val="none"/>
                <w:lang w:val="en-US" w:eastAsia="zh-CN"/>
              </w:rPr>
              <w:t>高，各项实施措施制度全面有逻辑，能满足采购需求的，得7分</w:t>
            </w:r>
            <w:r>
              <w:rPr>
                <w:rFonts w:hint="eastAsia" w:ascii="黑体" w:hAnsi="黑体" w:eastAsia="黑体" w:cs="宋体"/>
                <w:color w:val="auto"/>
                <w:kern w:val="0"/>
                <w:szCs w:val="21"/>
                <w:highlight w:val="none"/>
              </w:rPr>
              <w:t>；</w:t>
            </w:r>
          </w:p>
          <w:p w14:paraId="72CFB98B">
            <w:pPr>
              <w:spacing w:before="31" w:beforeLines="10" w:after="30" w:line="440" w:lineRule="exact"/>
              <w:rPr>
                <w:rFonts w:ascii="黑体" w:hAnsi="黑体" w:eastAsia="黑体" w:cs="宋体"/>
                <w:color w:val="auto"/>
                <w:kern w:val="0"/>
                <w:szCs w:val="21"/>
                <w:highlight w:val="none"/>
              </w:rPr>
            </w:pPr>
            <w:r>
              <w:rPr>
                <w:rFonts w:hint="eastAsia" w:ascii="黑体" w:hAnsi="黑体" w:eastAsia="黑体" w:cs="宋体"/>
                <w:color w:val="auto"/>
                <w:kern w:val="0"/>
                <w:szCs w:val="21"/>
                <w:highlight w:val="none"/>
              </w:rPr>
              <w:fldChar w:fldCharType="begin"/>
            </w:r>
            <w:r>
              <w:rPr>
                <w:rFonts w:hint="eastAsia" w:ascii="黑体" w:hAnsi="黑体" w:eastAsia="黑体" w:cs="宋体"/>
                <w:color w:val="auto"/>
                <w:kern w:val="0"/>
                <w:szCs w:val="21"/>
                <w:highlight w:val="none"/>
              </w:rPr>
              <w:instrText xml:space="preserve"> = 3 \* GB3 \* MERGEFORMAT </w:instrText>
            </w:r>
            <w:r>
              <w:rPr>
                <w:rFonts w:hint="eastAsia" w:ascii="黑体" w:hAnsi="黑体" w:eastAsia="黑体" w:cs="宋体"/>
                <w:color w:val="auto"/>
                <w:kern w:val="0"/>
                <w:szCs w:val="21"/>
                <w:highlight w:val="none"/>
              </w:rPr>
              <w:fldChar w:fldCharType="separate"/>
            </w:r>
            <w:r>
              <w:rPr>
                <w:rFonts w:hint="eastAsia" w:ascii="黑体" w:hAnsi="黑体" w:eastAsia="黑体" w:cs="宋体"/>
                <w:color w:val="auto"/>
                <w:kern w:val="0"/>
                <w:szCs w:val="21"/>
                <w:highlight w:val="none"/>
              </w:rPr>
              <w:t>③</w:t>
            </w:r>
            <w:r>
              <w:rPr>
                <w:rFonts w:hint="eastAsia" w:ascii="黑体" w:hAnsi="黑体" w:eastAsia="黑体" w:cs="宋体"/>
                <w:color w:val="auto"/>
                <w:kern w:val="0"/>
                <w:szCs w:val="21"/>
                <w:highlight w:val="none"/>
              </w:rPr>
              <w:fldChar w:fldCharType="end"/>
            </w:r>
            <w:r>
              <w:rPr>
                <w:rFonts w:hint="eastAsia" w:ascii="黑体" w:hAnsi="黑体" w:eastAsia="黑体" w:cs="宋体"/>
                <w:color w:val="auto"/>
                <w:kern w:val="0"/>
                <w:szCs w:val="21"/>
                <w:highlight w:val="none"/>
              </w:rPr>
              <w:t>项目实施方案</w:t>
            </w:r>
            <w:r>
              <w:rPr>
                <w:rFonts w:hint="eastAsia" w:ascii="黑体" w:hAnsi="黑体" w:eastAsia="黑体" w:cs="宋体"/>
                <w:color w:val="auto"/>
                <w:kern w:val="0"/>
                <w:szCs w:val="21"/>
                <w:highlight w:val="none"/>
                <w:lang w:val="en-US" w:eastAsia="zh-CN"/>
              </w:rPr>
              <w:t>较全面</w:t>
            </w:r>
            <w:r>
              <w:rPr>
                <w:rFonts w:hint="eastAsia" w:ascii="黑体" w:hAnsi="黑体" w:eastAsia="黑体" w:cs="宋体"/>
                <w:color w:val="auto"/>
                <w:kern w:val="0"/>
                <w:szCs w:val="21"/>
                <w:highlight w:val="none"/>
              </w:rPr>
              <w:t>，可操作性</w:t>
            </w:r>
            <w:r>
              <w:rPr>
                <w:rFonts w:hint="eastAsia" w:ascii="黑体" w:hAnsi="黑体" w:eastAsia="黑体" w:cs="宋体"/>
                <w:color w:val="auto"/>
                <w:kern w:val="0"/>
                <w:szCs w:val="21"/>
                <w:highlight w:val="none"/>
                <w:lang w:val="en-US" w:eastAsia="zh-CN"/>
              </w:rPr>
              <w:t>较高，各项实施措施制度有逻辑，基本能满足采购需求的，得4分</w:t>
            </w:r>
            <w:r>
              <w:rPr>
                <w:rFonts w:hint="eastAsia" w:ascii="黑体" w:hAnsi="黑体" w:eastAsia="黑体" w:cs="宋体"/>
                <w:color w:val="auto"/>
                <w:kern w:val="0"/>
                <w:szCs w:val="21"/>
                <w:highlight w:val="none"/>
              </w:rPr>
              <w:t>；</w:t>
            </w:r>
          </w:p>
          <w:p w14:paraId="3CD6A297">
            <w:pPr>
              <w:spacing w:before="31" w:beforeLines="10" w:after="30" w:line="440" w:lineRule="exact"/>
              <w:rPr>
                <w:rFonts w:hint="eastAsia" w:ascii="黑体" w:hAnsi="黑体" w:eastAsia="黑体" w:cs="宋体"/>
                <w:color w:val="auto"/>
                <w:kern w:val="0"/>
                <w:szCs w:val="21"/>
                <w:highlight w:val="none"/>
              </w:rPr>
            </w:pPr>
            <w:r>
              <w:rPr>
                <w:rFonts w:hint="eastAsia" w:ascii="黑体" w:hAnsi="黑体" w:eastAsia="黑体" w:cs="宋体"/>
                <w:color w:val="auto"/>
                <w:kern w:val="0"/>
                <w:szCs w:val="21"/>
                <w:highlight w:val="none"/>
              </w:rPr>
              <w:fldChar w:fldCharType="begin"/>
            </w:r>
            <w:r>
              <w:rPr>
                <w:rFonts w:hint="eastAsia" w:ascii="黑体" w:hAnsi="黑体" w:eastAsia="黑体" w:cs="宋体"/>
                <w:color w:val="auto"/>
                <w:kern w:val="0"/>
                <w:szCs w:val="21"/>
                <w:highlight w:val="none"/>
              </w:rPr>
              <w:instrText xml:space="preserve"> = 4 \* GB3 \* MERGEFORMAT </w:instrText>
            </w:r>
            <w:r>
              <w:rPr>
                <w:rFonts w:hint="eastAsia" w:ascii="黑体" w:hAnsi="黑体" w:eastAsia="黑体" w:cs="宋体"/>
                <w:color w:val="auto"/>
                <w:kern w:val="0"/>
                <w:szCs w:val="21"/>
                <w:highlight w:val="none"/>
              </w:rPr>
              <w:fldChar w:fldCharType="separate"/>
            </w:r>
            <w:r>
              <w:rPr>
                <w:rFonts w:hint="eastAsia" w:ascii="黑体" w:hAnsi="黑体" w:eastAsia="黑体" w:cs="宋体"/>
                <w:color w:val="auto"/>
                <w:kern w:val="0"/>
                <w:szCs w:val="21"/>
                <w:highlight w:val="none"/>
              </w:rPr>
              <w:t>④</w:t>
            </w:r>
            <w:r>
              <w:rPr>
                <w:rFonts w:hint="eastAsia" w:ascii="黑体" w:hAnsi="黑体" w:eastAsia="黑体" w:cs="宋体"/>
                <w:color w:val="auto"/>
                <w:kern w:val="0"/>
                <w:szCs w:val="21"/>
                <w:highlight w:val="none"/>
              </w:rPr>
              <w:fldChar w:fldCharType="end"/>
            </w:r>
            <w:r>
              <w:rPr>
                <w:rFonts w:hint="eastAsia" w:ascii="黑体" w:hAnsi="黑体" w:eastAsia="黑体" w:cs="宋体"/>
                <w:color w:val="auto"/>
                <w:kern w:val="0"/>
                <w:szCs w:val="21"/>
                <w:highlight w:val="none"/>
              </w:rPr>
              <w:t>项目实施方案</w:t>
            </w:r>
            <w:r>
              <w:rPr>
                <w:rFonts w:hint="eastAsia" w:ascii="黑体" w:hAnsi="黑体" w:eastAsia="黑体" w:cs="宋体"/>
                <w:color w:val="auto"/>
                <w:kern w:val="0"/>
                <w:szCs w:val="21"/>
                <w:highlight w:val="none"/>
                <w:lang w:val="en-US" w:eastAsia="zh-CN"/>
              </w:rPr>
              <w:t>简单</w:t>
            </w:r>
            <w:r>
              <w:rPr>
                <w:rFonts w:hint="eastAsia" w:ascii="黑体" w:hAnsi="黑体" w:eastAsia="黑体" w:cs="宋体"/>
                <w:color w:val="auto"/>
                <w:kern w:val="0"/>
                <w:szCs w:val="21"/>
                <w:highlight w:val="none"/>
              </w:rPr>
              <w:t>，</w:t>
            </w:r>
            <w:r>
              <w:rPr>
                <w:rFonts w:hint="eastAsia" w:ascii="黑体" w:hAnsi="黑体" w:eastAsia="黑体" w:cs="宋体"/>
                <w:color w:val="auto"/>
                <w:kern w:val="0"/>
                <w:szCs w:val="21"/>
                <w:highlight w:val="none"/>
                <w:lang w:val="en-US" w:eastAsia="zh-CN"/>
              </w:rPr>
              <w:t>有一定的可操作性，各项实施措施制度内容单一，只能满足部分采购需求的，得1分</w:t>
            </w:r>
          </w:p>
          <w:p w14:paraId="1A0CAC67">
            <w:pPr>
              <w:spacing w:before="31" w:beforeLines="10" w:after="30" w:line="440" w:lineRule="exact"/>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宋体"/>
                <w:color w:val="auto"/>
                <w:kern w:val="0"/>
                <w:szCs w:val="21"/>
                <w:highlight w:val="none"/>
              </w:rPr>
              <w:t>⑤未提供方案的不得分。</w:t>
            </w:r>
          </w:p>
        </w:tc>
      </w:tr>
      <w:tr w14:paraId="51644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04" w:type="pct"/>
            <w:vAlign w:val="center"/>
          </w:tcPr>
          <w:p w14:paraId="710CBDB2">
            <w:pPr>
              <w:spacing w:before="31" w:beforeLines="10" w:after="93" w:afterLines="30" w:line="440" w:lineRule="exact"/>
              <w:jc w:val="center"/>
              <w:rPr>
                <w:rFonts w:hint="eastAsia"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3</w:t>
            </w:r>
          </w:p>
        </w:tc>
        <w:tc>
          <w:tcPr>
            <w:tcW w:w="658" w:type="pct"/>
            <w:vAlign w:val="center"/>
          </w:tcPr>
          <w:p w14:paraId="500FB454">
            <w:pPr>
              <w:spacing w:before="31" w:beforeLines="10" w:after="30" w:line="440" w:lineRule="exact"/>
              <w:jc w:val="center"/>
              <w:rPr>
                <w:rFonts w:ascii="黑体" w:hAnsi="黑体" w:eastAsia="黑体"/>
                <w:bCs/>
                <w:color w:val="auto"/>
                <w:szCs w:val="21"/>
                <w:highlight w:val="none"/>
              </w:rPr>
            </w:pPr>
            <w:r>
              <w:rPr>
                <w:rFonts w:hint="eastAsia" w:ascii="黑体" w:hAnsi="黑体" w:eastAsia="黑体"/>
                <w:bCs/>
                <w:color w:val="auto"/>
                <w:szCs w:val="21"/>
                <w:highlight w:val="none"/>
              </w:rPr>
              <w:t>质量保证方案</w:t>
            </w:r>
          </w:p>
        </w:tc>
        <w:tc>
          <w:tcPr>
            <w:tcW w:w="384" w:type="pct"/>
            <w:vAlign w:val="center"/>
          </w:tcPr>
          <w:p w14:paraId="4A25FFB7">
            <w:pPr>
              <w:widowControl/>
              <w:spacing w:before="31" w:beforeLines="10" w:after="30" w:line="440" w:lineRule="exact"/>
              <w:jc w:val="center"/>
              <w:rPr>
                <w:rFonts w:ascii="黑体" w:hAnsi="黑体" w:eastAsia="黑体"/>
                <w:bCs/>
                <w:color w:val="auto"/>
                <w:szCs w:val="21"/>
                <w:highlight w:val="none"/>
              </w:rPr>
            </w:pPr>
            <w:r>
              <w:rPr>
                <w:rFonts w:hint="eastAsia" w:ascii="黑体" w:hAnsi="黑体" w:eastAsia="黑体"/>
                <w:bCs/>
                <w:color w:val="auto"/>
                <w:szCs w:val="21"/>
                <w:highlight w:val="none"/>
                <w:lang w:val="en-US" w:eastAsia="zh-CN"/>
              </w:rPr>
              <w:t>10</w:t>
            </w:r>
            <w:r>
              <w:rPr>
                <w:rFonts w:hint="eastAsia" w:ascii="黑体" w:hAnsi="黑体" w:eastAsia="黑体"/>
                <w:bCs/>
                <w:color w:val="auto"/>
                <w:szCs w:val="21"/>
                <w:highlight w:val="none"/>
              </w:rPr>
              <w:t>分</w:t>
            </w:r>
          </w:p>
        </w:tc>
        <w:tc>
          <w:tcPr>
            <w:tcW w:w="3551" w:type="pct"/>
            <w:vAlign w:val="center"/>
          </w:tcPr>
          <w:p w14:paraId="58682426">
            <w:pPr>
              <w:spacing w:before="31" w:beforeLines="10" w:after="30" w:line="440" w:lineRule="exact"/>
              <w:rPr>
                <w:rFonts w:ascii="黑体" w:hAnsi="黑体" w:eastAsia="黑体"/>
                <w:color w:val="auto"/>
                <w:szCs w:val="21"/>
                <w:highlight w:val="none"/>
              </w:rPr>
            </w:pPr>
            <w:r>
              <w:rPr>
                <w:rFonts w:hint="eastAsia" w:ascii="黑体" w:hAnsi="黑体" w:eastAsia="黑体"/>
                <w:color w:val="auto"/>
                <w:szCs w:val="21"/>
                <w:highlight w:val="none"/>
              </w:rPr>
              <w:t>根据采购需求的“质量保证要求”，对投标人提供的质量保证方案进行评审：</w:t>
            </w:r>
          </w:p>
          <w:p w14:paraId="5B95013D">
            <w:pPr>
              <w:spacing w:before="31" w:beforeLines="10" w:after="30" w:line="440" w:lineRule="exact"/>
              <w:rPr>
                <w:rFonts w:ascii="黑体" w:hAnsi="黑体" w:eastAsia="黑体"/>
                <w:color w:val="auto"/>
                <w:szCs w:val="21"/>
                <w:highlight w:val="none"/>
              </w:rPr>
            </w:pPr>
            <w:r>
              <w:rPr>
                <w:rFonts w:hint="eastAsia" w:ascii="黑体" w:hAnsi="黑体" w:eastAsia="黑体" w:cs="宋体"/>
                <w:color w:val="auto"/>
                <w:kern w:val="0"/>
                <w:szCs w:val="21"/>
                <w:highlight w:val="none"/>
              </w:rPr>
              <w:t>①</w:t>
            </w:r>
            <w:r>
              <w:rPr>
                <w:rFonts w:hint="eastAsia" w:ascii="黑体" w:hAnsi="黑体" w:eastAsia="黑体"/>
                <w:color w:val="auto"/>
                <w:szCs w:val="21"/>
                <w:highlight w:val="none"/>
              </w:rPr>
              <w:t>质量保证方案详实具体，</w:t>
            </w:r>
            <w:r>
              <w:rPr>
                <w:rFonts w:hint="eastAsia" w:ascii="黑体" w:hAnsi="黑体" w:eastAsia="黑体"/>
                <w:color w:val="auto"/>
                <w:szCs w:val="21"/>
                <w:highlight w:val="none"/>
                <w:lang w:val="en-US" w:eastAsia="zh-CN"/>
              </w:rPr>
              <w:t>针对性非常高</w:t>
            </w:r>
            <w:r>
              <w:rPr>
                <w:rFonts w:hint="eastAsia" w:ascii="黑体" w:hAnsi="黑体" w:eastAsia="黑体"/>
                <w:color w:val="auto"/>
                <w:szCs w:val="21"/>
                <w:highlight w:val="none"/>
              </w:rPr>
              <w:t>，</w:t>
            </w:r>
            <w:r>
              <w:rPr>
                <w:rFonts w:hint="eastAsia" w:ascii="黑体" w:hAnsi="黑体" w:eastAsia="黑体"/>
                <w:color w:val="auto"/>
                <w:szCs w:val="21"/>
                <w:highlight w:val="none"/>
                <w:lang w:val="en-US" w:eastAsia="zh-CN"/>
              </w:rPr>
              <w:t>质量保障措施健全</w:t>
            </w:r>
            <w:r>
              <w:rPr>
                <w:rFonts w:hint="eastAsia" w:ascii="黑体" w:hAnsi="黑体" w:eastAsia="黑体"/>
                <w:color w:val="auto"/>
                <w:szCs w:val="21"/>
                <w:highlight w:val="none"/>
              </w:rPr>
              <w:t>，</w:t>
            </w:r>
            <w:r>
              <w:rPr>
                <w:rFonts w:hint="eastAsia" w:ascii="黑体" w:hAnsi="黑体" w:eastAsia="黑体"/>
                <w:color w:val="auto"/>
                <w:szCs w:val="21"/>
                <w:highlight w:val="none"/>
                <w:lang w:val="en-US" w:eastAsia="zh-CN"/>
              </w:rPr>
              <w:t>在质保期内建立详细的包修、包退换、包维护保养措施的，</w:t>
            </w:r>
            <w:r>
              <w:rPr>
                <w:rFonts w:hint="eastAsia" w:ascii="黑体" w:hAnsi="黑体" w:eastAsia="黑体"/>
                <w:color w:val="auto"/>
                <w:szCs w:val="21"/>
                <w:highlight w:val="none"/>
              </w:rPr>
              <w:t>得</w:t>
            </w:r>
            <w:r>
              <w:rPr>
                <w:rFonts w:hint="eastAsia" w:ascii="黑体" w:hAnsi="黑体" w:eastAsia="黑体"/>
                <w:color w:val="auto"/>
                <w:szCs w:val="21"/>
                <w:highlight w:val="none"/>
                <w:lang w:val="en-US" w:eastAsia="zh-CN"/>
              </w:rPr>
              <w:t>10</w:t>
            </w:r>
            <w:r>
              <w:rPr>
                <w:rFonts w:hint="eastAsia" w:ascii="黑体" w:hAnsi="黑体" w:eastAsia="黑体"/>
                <w:color w:val="auto"/>
                <w:szCs w:val="21"/>
                <w:highlight w:val="none"/>
              </w:rPr>
              <w:t>分；</w:t>
            </w:r>
          </w:p>
          <w:p w14:paraId="7D6D9B2E">
            <w:pPr>
              <w:spacing w:before="31" w:beforeLines="10" w:after="30" w:line="440" w:lineRule="exact"/>
              <w:rPr>
                <w:rFonts w:ascii="黑体" w:hAnsi="黑体" w:eastAsia="黑体"/>
                <w:color w:val="auto"/>
                <w:szCs w:val="21"/>
                <w:highlight w:val="none"/>
              </w:rPr>
            </w:pPr>
            <w:r>
              <w:rPr>
                <w:rFonts w:hint="eastAsia" w:ascii="黑体" w:hAnsi="黑体" w:eastAsia="黑体" w:cs="宋体"/>
                <w:color w:val="auto"/>
                <w:kern w:val="0"/>
                <w:szCs w:val="21"/>
                <w:highlight w:val="none"/>
              </w:rPr>
              <w:t>②</w:t>
            </w:r>
            <w:r>
              <w:rPr>
                <w:rFonts w:hint="eastAsia" w:ascii="黑体" w:hAnsi="黑体" w:eastAsia="黑体"/>
                <w:color w:val="auto"/>
                <w:szCs w:val="21"/>
                <w:highlight w:val="none"/>
              </w:rPr>
              <w:t>质量保证方案具体，</w:t>
            </w:r>
            <w:r>
              <w:rPr>
                <w:rFonts w:hint="eastAsia" w:ascii="黑体" w:hAnsi="黑体" w:eastAsia="黑体"/>
                <w:color w:val="auto"/>
                <w:szCs w:val="21"/>
                <w:highlight w:val="none"/>
                <w:lang w:val="en-US" w:eastAsia="zh-CN"/>
              </w:rPr>
              <w:t>针对性高</w:t>
            </w:r>
            <w:r>
              <w:rPr>
                <w:rFonts w:hint="eastAsia" w:ascii="黑体" w:hAnsi="黑体" w:eastAsia="黑体"/>
                <w:color w:val="auto"/>
                <w:szCs w:val="21"/>
                <w:highlight w:val="none"/>
              </w:rPr>
              <w:t>，</w:t>
            </w:r>
            <w:r>
              <w:rPr>
                <w:rFonts w:hint="eastAsia" w:ascii="黑体" w:hAnsi="黑体" w:eastAsia="黑体"/>
                <w:color w:val="auto"/>
                <w:szCs w:val="21"/>
                <w:highlight w:val="none"/>
                <w:lang w:val="en-US" w:eastAsia="zh-CN"/>
              </w:rPr>
              <w:t>质量保障措施健全</w:t>
            </w:r>
            <w:r>
              <w:rPr>
                <w:rFonts w:hint="eastAsia" w:ascii="黑体" w:hAnsi="黑体" w:eastAsia="黑体"/>
                <w:color w:val="auto"/>
                <w:szCs w:val="21"/>
                <w:highlight w:val="none"/>
              </w:rPr>
              <w:t>，</w:t>
            </w:r>
            <w:r>
              <w:rPr>
                <w:rFonts w:hint="eastAsia" w:ascii="黑体" w:hAnsi="黑体" w:eastAsia="黑体"/>
                <w:color w:val="auto"/>
                <w:szCs w:val="21"/>
                <w:highlight w:val="none"/>
                <w:lang w:val="en-US" w:eastAsia="zh-CN"/>
              </w:rPr>
              <w:t>在质保期内建立较全面的包修、包退换、包维护保养措施的，</w:t>
            </w:r>
            <w:r>
              <w:rPr>
                <w:rFonts w:hint="eastAsia" w:ascii="黑体" w:hAnsi="黑体" w:eastAsia="黑体"/>
                <w:color w:val="auto"/>
                <w:szCs w:val="21"/>
                <w:highlight w:val="none"/>
              </w:rPr>
              <w:t>得</w:t>
            </w:r>
            <w:r>
              <w:rPr>
                <w:rFonts w:hint="eastAsia" w:ascii="黑体" w:hAnsi="黑体" w:eastAsia="黑体"/>
                <w:color w:val="auto"/>
                <w:szCs w:val="21"/>
                <w:highlight w:val="none"/>
                <w:lang w:val="en-US" w:eastAsia="zh-CN"/>
              </w:rPr>
              <w:t>7</w:t>
            </w:r>
            <w:r>
              <w:rPr>
                <w:rFonts w:hint="eastAsia" w:ascii="黑体" w:hAnsi="黑体" w:eastAsia="黑体"/>
                <w:color w:val="auto"/>
                <w:szCs w:val="21"/>
                <w:highlight w:val="none"/>
              </w:rPr>
              <w:t>分；</w:t>
            </w:r>
          </w:p>
          <w:p w14:paraId="2C0736EC">
            <w:pPr>
              <w:spacing w:before="31" w:beforeLines="10" w:after="30" w:line="440" w:lineRule="exact"/>
              <w:rPr>
                <w:rFonts w:ascii="黑体" w:hAnsi="黑体" w:eastAsia="黑体"/>
                <w:color w:val="auto"/>
                <w:szCs w:val="21"/>
                <w:highlight w:val="none"/>
              </w:rPr>
            </w:pPr>
            <w:r>
              <w:rPr>
                <w:rFonts w:hint="eastAsia" w:ascii="黑体" w:hAnsi="黑体" w:eastAsia="黑体" w:cs="宋体"/>
                <w:color w:val="auto"/>
                <w:kern w:val="0"/>
                <w:szCs w:val="21"/>
                <w:highlight w:val="none"/>
              </w:rPr>
              <w:fldChar w:fldCharType="begin"/>
            </w:r>
            <w:r>
              <w:rPr>
                <w:rFonts w:hint="eastAsia" w:ascii="黑体" w:hAnsi="黑体" w:eastAsia="黑体" w:cs="宋体"/>
                <w:color w:val="auto"/>
                <w:kern w:val="0"/>
                <w:szCs w:val="21"/>
                <w:highlight w:val="none"/>
              </w:rPr>
              <w:instrText xml:space="preserve"> = 3 \* GB3 \* MERGEFORMAT </w:instrText>
            </w:r>
            <w:r>
              <w:rPr>
                <w:rFonts w:hint="eastAsia" w:ascii="黑体" w:hAnsi="黑体" w:eastAsia="黑体" w:cs="宋体"/>
                <w:color w:val="auto"/>
                <w:kern w:val="0"/>
                <w:szCs w:val="21"/>
                <w:highlight w:val="none"/>
              </w:rPr>
              <w:fldChar w:fldCharType="separate"/>
            </w:r>
            <w:r>
              <w:rPr>
                <w:rFonts w:hint="eastAsia" w:ascii="黑体" w:hAnsi="黑体" w:eastAsia="黑体" w:cs="宋体"/>
                <w:color w:val="auto"/>
                <w:kern w:val="0"/>
                <w:szCs w:val="21"/>
                <w:highlight w:val="none"/>
              </w:rPr>
              <w:t>③</w:t>
            </w:r>
            <w:r>
              <w:rPr>
                <w:rFonts w:hint="eastAsia" w:ascii="黑体" w:hAnsi="黑体" w:eastAsia="黑体" w:cs="宋体"/>
                <w:color w:val="auto"/>
                <w:kern w:val="0"/>
                <w:szCs w:val="21"/>
                <w:highlight w:val="none"/>
              </w:rPr>
              <w:fldChar w:fldCharType="end"/>
            </w:r>
            <w:r>
              <w:rPr>
                <w:rFonts w:hint="eastAsia" w:ascii="黑体" w:hAnsi="黑体" w:eastAsia="黑体"/>
                <w:color w:val="auto"/>
                <w:szCs w:val="21"/>
                <w:highlight w:val="none"/>
              </w:rPr>
              <w:t>质量保证方案</w:t>
            </w:r>
            <w:r>
              <w:rPr>
                <w:rFonts w:hint="eastAsia" w:ascii="黑体" w:hAnsi="黑体" w:eastAsia="黑体"/>
                <w:color w:val="auto"/>
                <w:szCs w:val="21"/>
                <w:highlight w:val="none"/>
                <w:lang w:val="en-US" w:eastAsia="zh-CN"/>
              </w:rPr>
              <w:t>较全面</w:t>
            </w:r>
            <w:r>
              <w:rPr>
                <w:rFonts w:hint="eastAsia" w:ascii="黑体" w:hAnsi="黑体" w:eastAsia="黑体"/>
                <w:color w:val="auto"/>
                <w:szCs w:val="21"/>
                <w:highlight w:val="none"/>
              </w:rPr>
              <w:t>，</w:t>
            </w:r>
            <w:r>
              <w:rPr>
                <w:rFonts w:hint="eastAsia" w:ascii="黑体" w:hAnsi="黑体" w:eastAsia="黑体"/>
                <w:color w:val="auto"/>
                <w:szCs w:val="21"/>
                <w:highlight w:val="none"/>
                <w:lang w:val="en-US" w:eastAsia="zh-CN"/>
              </w:rPr>
              <w:t>有一定针对性</w:t>
            </w:r>
            <w:r>
              <w:rPr>
                <w:rFonts w:hint="eastAsia" w:ascii="黑体" w:hAnsi="黑体" w:eastAsia="黑体"/>
                <w:color w:val="auto"/>
                <w:szCs w:val="21"/>
                <w:highlight w:val="none"/>
              </w:rPr>
              <w:t>，</w:t>
            </w:r>
            <w:r>
              <w:rPr>
                <w:rFonts w:hint="eastAsia" w:ascii="黑体" w:hAnsi="黑体" w:eastAsia="黑体"/>
                <w:color w:val="auto"/>
                <w:szCs w:val="21"/>
                <w:highlight w:val="none"/>
                <w:lang w:val="en-US" w:eastAsia="zh-CN"/>
              </w:rPr>
              <w:t>质量保障措施基本完善</w:t>
            </w:r>
            <w:r>
              <w:rPr>
                <w:rFonts w:hint="eastAsia" w:ascii="黑体" w:hAnsi="黑体" w:eastAsia="黑体"/>
                <w:color w:val="auto"/>
                <w:szCs w:val="21"/>
                <w:highlight w:val="none"/>
              </w:rPr>
              <w:t>，</w:t>
            </w:r>
            <w:r>
              <w:rPr>
                <w:rFonts w:hint="eastAsia" w:ascii="黑体" w:hAnsi="黑体" w:eastAsia="黑体"/>
                <w:color w:val="auto"/>
                <w:szCs w:val="21"/>
                <w:highlight w:val="none"/>
                <w:lang w:val="en-US" w:eastAsia="zh-CN"/>
              </w:rPr>
              <w:t>在质保期内建立简单的包修、包退换、包维护保养措施的，</w:t>
            </w:r>
            <w:r>
              <w:rPr>
                <w:rFonts w:hint="eastAsia" w:ascii="黑体" w:hAnsi="黑体" w:eastAsia="黑体"/>
                <w:color w:val="auto"/>
                <w:szCs w:val="21"/>
                <w:highlight w:val="none"/>
              </w:rPr>
              <w:t>得</w:t>
            </w:r>
            <w:r>
              <w:rPr>
                <w:rFonts w:hint="eastAsia" w:ascii="黑体" w:hAnsi="黑体" w:eastAsia="黑体"/>
                <w:color w:val="auto"/>
                <w:szCs w:val="21"/>
                <w:highlight w:val="none"/>
                <w:lang w:val="en-US" w:eastAsia="zh-CN"/>
              </w:rPr>
              <w:t>4</w:t>
            </w:r>
            <w:r>
              <w:rPr>
                <w:rFonts w:hint="eastAsia" w:ascii="黑体" w:hAnsi="黑体" w:eastAsia="黑体"/>
                <w:color w:val="auto"/>
                <w:szCs w:val="21"/>
                <w:highlight w:val="none"/>
              </w:rPr>
              <w:t>分；</w:t>
            </w:r>
          </w:p>
          <w:p w14:paraId="693ACE2C">
            <w:pPr>
              <w:spacing w:before="31" w:beforeLines="10" w:after="30" w:line="440" w:lineRule="exact"/>
              <w:rPr>
                <w:rFonts w:hint="eastAsia" w:ascii="黑体" w:hAnsi="黑体" w:eastAsia="黑体" w:cs="宋体"/>
                <w:color w:val="auto"/>
                <w:kern w:val="0"/>
                <w:szCs w:val="21"/>
                <w:highlight w:val="none"/>
              </w:rPr>
            </w:pPr>
            <w:r>
              <w:rPr>
                <w:rFonts w:hint="eastAsia" w:ascii="黑体" w:hAnsi="黑体" w:eastAsia="黑体" w:cs="宋体"/>
                <w:color w:val="auto"/>
                <w:kern w:val="0"/>
                <w:szCs w:val="21"/>
                <w:highlight w:val="none"/>
              </w:rPr>
              <w:fldChar w:fldCharType="begin"/>
            </w:r>
            <w:r>
              <w:rPr>
                <w:rFonts w:hint="eastAsia" w:ascii="黑体" w:hAnsi="黑体" w:eastAsia="黑体" w:cs="宋体"/>
                <w:color w:val="auto"/>
                <w:kern w:val="0"/>
                <w:szCs w:val="21"/>
                <w:highlight w:val="none"/>
              </w:rPr>
              <w:instrText xml:space="preserve"> = 4 \* GB3 \* MERGEFORMAT </w:instrText>
            </w:r>
            <w:r>
              <w:rPr>
                <w:rFonts w:hint="eastAsia" w:ascii="黑体" w:hAnsi="黑体" w:eastAsia="黑体" w:cs="宋体"/>
                <w:color w:val="auto"/>
                <w:kern w:val="0"/>
                <w:szCs w:val="21"/>
                <w:highlight w:val="none"/>
              </w:rPr>
              <w:fldChar w:fldCharType="separate"/>
            </w:r>
            <w:r>
              <w:rPr>
                <w:rFonts w:hint="eastAsia" w:ascii="黑体" w:hAnsi="黑体" w:eastAsia="黑体" w:cs="宋体"/>
                <w:color w:val="auto"/>
                <w:kern w:val="0"/>
                <w:szCs w:val="21"/>
                <w:highlight w:val="none"/>
              </w:rPr>
              <w:t>④</w:t>
            </w:r>
            <w:r>
              <w:rPr>
                <w:rFonts w:hint="eastAsia" w:ascii="黑体" w:hAnsi="黑体" w:eastAsia="黑体" w:cs="宋体"/>
                <w:color w:val="auto"/>
                <w:kern w:val="0"/>
                <w:szCs w:val="21"/>
                <w:highlight w:val="none"/>
              </w:rPr>
              <w:fldChar w:fldCharType="end"/>
            </w:r>
            <w:r>
              <w:rPr>
                <w:rFonts w:hint="eastAsia" w:ascii="黑体" w:hAnsi="黑体" w:eastAsia="黑体"/>
                <w:color w:val="auto"/>
                <w:szCs w:val="21"/>
                <w:highlight w:val="none"/>
              </w:rPr>
              <w:t>质量保证方案</w:t>
            </w:r>
            <w:r>
              <w:rPr>
                <w:rFonts w:hint="eastAsia" w:ascii="黑体" w:hAnsi="黑体" w:eastAsia="黑体"/>
                <w:color w:val="auto"/>
                <w:szCs w:val="21"/>
                <w:highlight w:val="none"/>
                <w:lang w:val="en-US" w:eastAsia="zh-CN"/>
              </w:rPr>
              <w:t>简单</w:t>
            </w:r>
            <w:r>
              <w:rPr>
                <w:rFonts w:hint="eastAsia" w:ascii="黑体" w:hAnsi="黑体" w:eastAsia="黑体"/>
                <w:color w:val="auto"/>
                <w:szCs w:val="21"/>
                <w:highlight w:val="none"/>
              </w:rPr>
              <w:t>，</w:t>
            </w:r>
            <w:r>
              <w:rPr>
                <w:rFonts w:hint="eastAsia" w:ascii="黑体" w:hAnsi="黑体" w:eastAsia="黑体"/>
                <w:color w:val="auto"/>
                <w:szCs w:val="21"/>
                <w:highlight w:val="none"/>
                <w:lang w:val="en-US" w:eastAsia="zh-CN"/>
              </w:rPr>
              <w:t>质量保障措施内容单一</w:t>
            </w:r>
            <w:r>
              <w:rPr>
                <w:rFonts w:hint="eastAsia" w:ascii="黑体" w:hAnsi="黑体" w:eastAsia="黑体"/>
                <w:color w:val="auto"/>
                <w:szCs w:val="21"/>
                <w:highlight w:val="none"/>
              </w:rPr>
              <w:t>，</w:t>
            </w:r>
            <w:r>
              <w:rPr>
                <w:rFonts w:hint="eastAsia" w:ascii="黑体" w:hAnsi="黑体" w:eastAsia="黑体"/>
                <w:color w:val="auto"/>
                <w:szCs w:val="21"/>
                <w:highlight w:val="none"/>
                <w:lang w:val="en-US" w:eastAsia="zh-CN"/>
              </w:rPr>
              <w:t>在质保期内建立内容有缺漏的包修、包退换、包维护保养措施的，</w:t>
            </w:r>
            <w:r>
              <w:rPr>
                <w:rFonts w:hint="eastAsia" w:ascii="黑体" w:hAnsi="黑体" w:eastAsia="黑体"/>
                <w:color w:val="auto"/>
                <w:szCs w:val="21"/>
                <w:highlight w:val="none"/>
              </w:rPr>
              <w:t>得</w:t>
            </w:r>
            <w:r>
              <w:rPr>
                <w:rFonts w:hint="eastAsia" w:ascii="黑体" w:hAnsi="黑体" w:eastAsia="黑体"/>
                <w:color w:val="auto"/>
                <w:szCs w:val="21"/>
                <w:highlight w:val="none"/>
                <w:lang w:val="en-US" w:eastAsia="zh-CN"/>
              </w:rPr>
              <w:t>1</w:t>
            </w:r>
            <w:r>
              <w:rPr>
                <w:rFonts w:hint="eastAsia" w:ascii="黑体" w:hAnsi="黑体" w:eastAsia="黑体"/>
                <w:color w:val="auto"/>
                <w:szCs w:val="21"/>
                <w:highlight w:val="none"/>
              </w:rPr>
              <w:t>分；</w:t>
            </w:r>
          </w:p>
          <w:p w14:paraId="5FB95D7C">
            <w:pPr>
              <w:spacing w:before="31" w:beforeLines="10" w:after="30" w:line="440" w:lineRule="exact"/>
              <w:rPr>
                <w:rFonts w:ascii="黑体" w:hAnsi="黑体" w:eastAsia="黑体" w:cs="宋体"/>
                <w:color w:val="auto"/>
                <w:kern w:val="0"/>
                <w:szCs w:val="21"/>
                <w:highlight w:val="none"/>
              </w:rPr>
            </w:pPr>
            <w:r>
              <w:rPr>
                <w:rFonts w:hint="eastAsia" w:ascii="黑体" w:hAnsi="黑体" w:eastAsia="黑体" w:cs="宋体"/>
                <w:color w:val="auto"/>
                <w:kern w:val="0"/>
                <w:szCs w:val="21"/>
                <w:highlight w:val="none"/>
              </w:rPr>
              <w:t>⑤未提供方案的不得分。</w:t>
            </w:r>
          </w:p>
        </w:tc>
      </w:tr>
      <w:tr w14:paraId="7A927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04" w:type="pct"/>
            <w:vAlign w:val="center"/>
          </w:tcPr>
          <w:p w14:paraId="3B894473">
            <w:pPr>
              <w:spacing w:before="31" w:beforeLines="10" w:after="93" w:afterLines="30" w:line="440" w:lineRule="exact"/>
              <w:jc w:val="center"/>
              <w:rPr>
                <w:rFonts w:hint="eastAsia"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4</w:t>
            </w:r>
          </w:p>
        </w:tc>
        <w:tc>
          <w:tcPr>
            <w:tcW w:w="658" w:type="pct"/>
            <w:vAlign w:val="center"/>
          </w:tcPr>
          <w:p w14:paraId="44D06188">
            <w:pPr>
              <w:spacing w:before="31" w:beforeLines="10" w:after="30" w:line="440" w:lineRule="exact"/>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货物运输方案</w:t>
            </w:r>
          </w:p>
        </w:tc>
        <w:tc>
          <w:tcPr>
            <w:tcW w:w="384" w:type="pct"/>
            <w:vAlign w:val="center"/>
          </w:tcPr>
          <w:p w14:paraId="77E1F769">
            <w:pPr>
              <w:widowControl/>
              <w:spacing w:before="31" w:beforeLines="10" w:after="30" w:line="440" w:lineRule="exact"/>
              <w:jc w:val="center"/>
              <w:rPr>
                <w:rFonts w:hint="default"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10分</w:t>
            </w:r>
          </w:p>
        </w:tc>
        <w:tc>
          <w:tcPr>
            <w:tcW w:w="3551" w:type="pct"/>
            <w:vAlign w:val="center"/>
          </w:tcPr>
          <w:p w14:paraId="71E04F3B">
            <w:pPr>
              <w:spacing w:before="31" w:beforeLines="10" w:after="30" w:line="440" w:lineRule="exact"/>
              <w:rPr>
                <w:rFonts w:hint="eastAsia" w:ascii="黑体" w:hAnsi="黑体" w:eastAsia="黑体"/>
                <w:color w:val="auto"/>
                <w:szCs w:val="21"/>
                <w:highlight w:val="none"/>
                <w:lang w:eastAsia="zh-CN"/>
              </w:rPr>
            </w:pPr>
            <w:r>
              <w:rPr>
                <w:rFonts w:hint="eastAsia" w:ascii="黑体" w:hAnsi="黑体" w:eastAsia="黑体"/>
                <w:color w:val="auto"/>
                <w:szCs w:val="21"/>
                <w:highlight w:val="none"/>
              </w:rPr>
              <w:t>根据投标人提供的针对本项目的货品运输方案(包括但不限于</w:t>
            </w:r>
            <w:r>
              <w:rPr>
                <w:rFonts w:hint="eastAsia" w:ascii="黑体" w:hAnsi="黑体" w:eastAsia="黑体" w:cs="黑体"/>
                <w:color w:val="auto"/>
                <w:szCs w:val="21"/>
                <w:highlight w:val="none"/>
                <w:lang w:val="en-US" w:eastAsia="zh-CN"/>
              </w:rPr>
              <w:t>①</w:t>
            </w:r>
            <w:r>
              <w:rPr>
                <w:rFonts w:hint="eastAsia" w:ascii="黑体" w:hAnsi="黑体" w:eastAsia="黑体"/>
                <w:color w:val="auto"/>
                <w:szCs w:val="21"/>
                <w:highlight w:val="none"/>
              </w:rPr>
              <w:t>货品运送能否达到用户需求书的要求</w:t>
            </w:r>
            <w:r>
              <w:rPr>
                <w:rFonts w:hint="eastAsia" w:ascii="黑体" w:hAnsi="黑体" w:eastAsia="黑体"/>
                <w:color w:val="auto"/>
                <w:szCs w:val="21"/>
                <w:highlight w:val="none"/>
                <w:lang w:eastAsia="zh-CN"/>
              </w:rPr>
              <w:t>；</w:t>
            </w:r>
            <w:r>
              <w:rPr>
                <w:rFonts w:hint="eastAsia" w:ascii="黑体" w:hAnsi="黑体" w:eastAsia="黑体" w:cs="黑体"/>
                <w:color w:val="auto"/>
                <w:szCs w:val="21"/>
                <w:highlight w:val="none"/>
                <w:lang w:val="en-US" w:eastAsia="zh-CN"/>
              </w:rPr>
              <w:t>②</w:t>
            </w:r>
            <w:r>
              <w:rPr>
                <w:rFonts w:hint="eastAsia" w:ascii="黑体" w:hAnsi="黑体" w:eastAsia="黑体"/>
                <w:color w:val="auto"/>
                <w:szCs w:val="21"/>
                <w:highlight w:val="none"/>
              </w:rPr>
              <w:t>配送时效是否能满足采购人需求)进行评审</w:t>
            </w:r>
            <w:r>
              <w:rPr>
                <w:rFonts w:hint="eastAsia" w:ascii="黑体" w:hAnsi="黑体" w:eastAsia="黑体"/>
                <w:color w:val="auto"/>
                <w:szCs w:val="21"/>
                <w:highlight w:val="none"/>
                <w:lang w:eastAsia="zh-CN"/>
              </w:rPr>
              <w:t>：</w:t>
            </w:r>
          </w:p>
          <w:p w14:paraId="69F9E6FD">
            <w:pPr>
              <w:spacing w:before="31" w:beforeLines="10" w:after="30" w:line="440" w:lineRule="exact"/>
              <w:rPr>
                <w:rFonts w:hint="eastAsia" w:ascii="黑体" w:hAnsi="黑体" w:eastAsia="黑体"/>
                <w:color w:val="auto"/>
                <w:szCs w:val="21"/>
                <w:highlight w:val="none"/>
                <w:lang w:eastAsia="zh-CN"/>
              </w:rPr>
            </w:pPr>
            <w:r>
              <w:rPr>
                <w:rFonts w:hint="eastAsia" w:ascii="黑体" w:hAnsi="黑体" w:eastAsia="黑体"/>
                <w:color w:val="auto"/>
                <w:szCs w:val="21"/>
                <w:highlight w:val="none"/>
              </w:rPr>
              <w:t>①运输方案描述清晰明确、有条理，运输工具、货品容器具有非常规范的消毒要求及频次，有完善的装卸及运输保障措施能确保货品装卸及运输过程完好无损</w:t>
            </w:r>
            <w:r>
              <w:rPr>
                <w:rFonts w:hint="eastAsia" w:ascii="黑体" w:hAnsi="黑体" w:eastAsia="黑体"/>
                <w:color w:val="auto"/>
                <w:szCs w:val="21"/>
                <w:highlight w:val="none"/>
                <w:lang w:eastAsia="zh-CN"/>
              </w:rPr>
              <w:t>；</w:t>
            </w:r>
            <w:r>
              <w:rPr>
                <w:rFonts w:hint="eastAsia" w:ascii="黑体" w:hAnsi="黑体" w:eastAsia="黑体"/>
                <w:color w:val="auto"/>
                <w:szCs w:val="21"/>
                <w:highlight w:val="none"/>
              </w:rPr>
              <w:t>配送时效完全满足采购需求的</w:t>
            </w:r>
            <w:r>
              <w:rPr>
                <w:rFonts w:hint="eastAsia" w:ascii="黑体" w:hAnsi="黑体" w:eastAsia="黑体"/>
                <w:color w:val="auto"/>
                <w:szCs w:val="21"/>
                <w:highlight w:val="none"/>
                <w:lang w:eastAsia="zh-CN"/>
              </w:rPr>
              <w:t>，</w:t>
            </w:r>
            <w:r>
              <w:rPr>
                <w:rFonts w:hint="eastAsia" w:ascii="黑体" w:hAnsi="黑体" w:eastAsia="黑体"/>
                <w:color w:val="auto"/>
                <w:szCs w:val="21"/>
                <w:highlight w:val="none"/>
              </w:rPr>
              <w:t>得10分</w:t>
            </w:r>
            <w:r>
              <w:rPr>
                <w:rFonts w:hint="eastAsia" w:ascii="黑体" w:hAnsi="黑体" w:eastAsia="黑体"/>
                <w:color w:val="auto"/>
                <w:szCs w:val="21"/>
                <w:highlight w:val="none"/>
                <w:lang w:eastAsia="zh-CN"/>
              </w:rPr>
              <w:t>；</w:t>
            </w:r>
          </w:p>
          <w:p w14:paraId="378EA5FB">
            <w:pPr>
              <w:spacing w:before="31" w:beforeLines="10" w:after="30" w:line="440" w:lineRule="exact"/>
              <w:rPr>
                <w:rFonts w:hint="eastAsia" w:ascii="黑体" w:hAnsi="黑体" w:eastAsia="黑体"/>
                <w:color w:val="auto"/>
                <w:szCs w:val="21"/>
                <w:highlight w:val="none"/>
                <w:lang w:eastAsia="zh-CN"/>
              </w:rPr>
            </w:pPr>
            <w:r>
              <w:rPr>
                <w:rFonts w:hint="eastAsia" w:ascii="黑体" w:hAnsi="黑体" w:eastAsia="黑体"/>
                <w:color w:val="auto"/>
                <w:szCs w:val="21"/>
                <w:highlight w:val="none"/>
              </w:rPr>
              <w:t>②运输方案描述清晰，运输工具、货品容器有规范的消毒要求及频次，有装卸及运输保障措施，货品装卸及运输确保无损伤配送时效</w:t>
            </w:r>
            <w:r>
              <w:rPr>
                <w:rFonts w:hint="eastAsia" w:ascii="黑体" w:hAnsi="黑体" w:eastAsia="黑体"/>
                <w:color w:val="auto"/>
                <w:szCs w:val="21"/>
                <w:highlight w:val="none"/>
                <w:lang w:val="en-US" w:eastAsia="zh-CN"/>
              </w:rPr>
              <w:t>能</w:t>
            </w:r>
            <w:r>
              <w:rPr>
                <w:rFonts w:hint="eastAsia" w:ascii="黑体" w:hAnsi="黑体" w:eastAsia="黑体"/>
                <w:color w:val="auto"/>
                <w:szCs w:val="21"/>
                <w:highlight w:val="none"/>
              </w:rPr>
              <w:t>满足采购需求的</w:t>
            </w:r>
            <w:r>
              <w:rPr>
                <w:rFonts w:hint="eastAsia" w:ascii="黑体" w:hAnsi="黑体" w:eastAsia="黑体"/>
                <w:color w:val="auto"/>
                <w:szCs w:val="21"/>
                <w:highlight w:val="none"/>
                <w:lang w:eastAsia="zh-CN"/>
              </w:rPr>
              <w:t>，</w:t>
            </w:r>
            <w:r>
              <w:rPr>
                <w:rFonts w:hint="eastAsia" w:ascii="黑体" w:hAnsi="黑体" w:eastAsia="黑体"/>
                <w:color w:val="auto"/>
                <w:szCs w:val="21"/>
                <w:highlight w:val="none"/>
              </w:rPr>
              <w:t>得</w:t>
            </w:r>
            <w:r>
              <w:rPr>
                <w:rFonts w:hint="eastAsia" w:ascii="黑体" w:hAnsi="黑体" w:eastAsia="黑体"/>
                <w:color w:val="auto"/>
                <w:szCs w:val="21"/>
                <w:highlight w:val="none"/>
                <w:lang w:val="en-US" w:eastAsia="zh-CN"/>
              </w:rPr>
              <w:t>7</w:t>
            </w:r>
            <w:r>
              <w:rPr>
                <w:rFonts w:hint="eastAsia" w:ascii="黑体" w:hAnsi="黑体" w:eastAsia="黑体"/>
                <w:color w:val="auto"/>
                <w:szCs w:val="21"/>
                <w:highlight w:val="none"/>
              </w:rPr>
              <w:t>分</w:t>
            </w:r>
            <w:r>
              <w:rPr>
                <w:rFonts w:hint="eastAsia" w:ascii="黑体" w:hAnsi="黑体" w:eastAsia="黑体"/>
                <w:color w:val="auto"/>
                <w:szCs w:val="21"/>
                <w:highlight w:val="none"/>
                <w:lang w:eastAsia="zh-CN"/>
              </w:rPr>
              <w:t>；</w:t>
            </w:r>
          </w:p>
          <w:p w14:paraId="5C5E832E">
            <w:pPr>
              <w:spacing w:before="31" w:beforeLines="10" w:after="30" w:line="440" w:lineRule="exact"/>
              <w:rPr>
                <w:rFonts w:hint="eastAsia" w:ascii="黑体" w:hAnsi="黑体" w:eastAsia="黑体"/>
                <w:color w:val="auto"/>
                <w:szCs w:val="21"/>
                <w:highlight w:val="none"/>
                <w:lang w:eastAsia="zh-CN"/>
              </w:rPr>
            </w:pPr>
            <w:r>
              <w:rPr>
                <w:rFonts w:hint="eastAsia" w:ascii="黑体" w:hAnsi="黑体" w:eastAsia="黑体"/>
                <w:color w:val="auto"/>
                <w:szCs w:val="21"/>
                <w:highlight w:val="none"/>
              </w:rPr>
              <w:t>③运输方案</w:t>
            </w:r>
            <w:r>
              <w:rPr>
                <w:rFonts w:hint="eastAsia" w:ascii="黑体" w:hAnsi="黑体" w:eastAsia="黑体"/>
                <w:color w:val="auto"/>
                <w:szCs w:val="21"/>
                <w:highlight w:val="none"/>
                <w:lang w:val="en-US" w:eastAsia="zh-CN"/>
              </w:rPr>
              <w:t>较</w:t>
            </w:r>
            <w:r>
              <w:rPr>
                <w:rFonts w:hint="eastAsia" w:ascii="黑体" w:hAnsi="黑体" w:eastAsia="黑体"/>
                <w:color w:val="auto"/>
                <w:szCs w:val="21"/>
                <w:highlight w:val="none"/>
              </w:rPr>
              <w:t>清晰，运输工具、货品容器有消毒，有</w:t>
            </w:r>
            <w:r>
              <w:rPr>
                <w:rFonts w:hint="eastAsia" w:ascii="黑体" w:hAnsi="黑体" w:eastAsia="黑体"/>
                <w:color w:val="auto"/>
                <w:szCs w:val="21"/>
                <w:highlight w:val="none"/>
                <w:lang w:val="en-US" w:eastAsia="zh-CN"/>
              </w:rPr>
              <w:t>简单的</w:t>
            </w:r>
            <w:r>
              <w:rPr>
                <w:rFonts w:hint="eastAsia" w:ascii="黑体" w:hAnsi="黑体" w:eastAsia="黑体"/>
                <w:color w:val="auto"/>
                <w:szCs w:val="21"/>
                <w:highlight w:val="none"/>
              </w:rPr>
              <w:t>装卸及运输保障措施，货品装卸及运输配送时效基本满足采购需求的</w:t>
            </w:r>
            <w:r>
              <w:rPr>
                <w:rFonts w:hint="eastAsia" w:ascii="黑体" w:hAnsi="黑体" w:eastAsia="黑体"/>
                <w:color w:val="auto"/>
                <w:szCs w:val="21"/>
                <w:highlight w:val="none"/>
                <w:lang w:eastAsia="zh-CN"/>
              </w:rPr>
              <w:t>，</w:t>
            </w:r>
            <w:r>
              <w:rPr>
                <w:rFonts w:hint="eastAsia" w:ascii="黑体" w:hAnsi="黑体" w:eastAsia="黑体"/>
                <w:color w:val="auto"/>
                <w:szCs w:val="21"/>
                <w:highlight w:val="none"/>
              </w:rPr>
              <w:t>得</w:t>
            </w:r>
            <w:r>
              <w:rPr>
                <w:rFonts w:hint="eastAsia" w:ascii="黑体" w:hAnsi="黑体" w:eastAsia="黑体"/>
                <w:color w:val="auto"/>
                <w:szCs w:val="21"/>
                <w:highlight w:val="none"/>
                <w:lang w:val="en-US" w:eastAsia="zh-CN"/>
              </w:rPr>
              <w:t>4</w:t>
            </w:r>
            <w:r>
              <w:rPr>
                <w:rFonts w:hint="eastAsia" w:ascii="黑体" w:hAnsi="黑体" w:eastAsia="黑体"/>
                <w:color w:val="auto"/>
                <w:szCs w:val="21"/>
                <w:highlight w:val="none"/>
              </w:rPr>
              <w:t>分</w:t>
            </w:r>
            <w:r>
              <w:rPr>
                <w:rFonts w:hint="eastAsia" w:ascii="黑体" w:hAnsi="黑体" w:eastAsia="黑体"/>
                <w:color w:val="auto"/>
                <w:szCs w:val="21"/>
                <w:highlight w:val="none"/>
                <w:lang w:eastAsia="zh-CN"/>
              </w:rPr>
              <w:t>；</w:t>
            </w:r>
          </w:p>
          <w:p w14:paraId="50A3C046">
            <w:pPr>
              <w:spacing w:before="31" w:beforeLines="10" w:after="30" w:line="440" w:lineRule="exact"/>
              <w:rPr>
                <w:rFonts w:hint="eastAsia" w:ascii="黑体" w:hAnsi="黑体" w:eastAsia="黑体"/>
                <w:color w:val="auto"/>
                <w:szCs w:val="21"/>
                <w:highlight w:val="none"/>
              </w:rPr>
            </w:pPr>
            <w:r>
              <w:rPr>
                <w:rFonts w:hint="eastAsia" w:ascii="黑体" w:hAnsi="黑体" w:eastAsia="黑体"/>
                <w:color w:val="auto"/>
                <w:szCs w:val="21"/>
                <w:highlight w:val="none"/>
              </w:rPr>
              <w:t>④有简单的运输方案描述</w:t>
            </w:r>
            <w:r>
              <w:rPr>
                <w:rFonts w:hint="eastAsia" w:ascii="黑体" w:hAnsi="黑体" w:eastAsia="黑体"/>
                <w:color w:val="auto"/>
                <w:szCs w:val="21"/>
                <w:highlight w:val="none"/>
                <w:lang w:eastAsia="zh-CN"/>
              </w:rPr>
              <w:t>，</w:t>
            </w:r>
            <w:r>
              <w:rPr>
                <w:rFonts w:hint="eastAsia" w:ascii="黑体" w:hAnsi="黑体" w:eastAsia="黑体"/>
                <w:color w:val="auto"/>
                <w:szCs w:val="21"/>
                <w:highlight w:val="none"/>
              </w:rPr>
              <w:t>未能提供装卸及运输保障措施，无法保障货品装卸及运输过程无损伤</w:t>
            </w:r>
            <w:r>
              <w:rPr>
                <w:rFonts w:hint="eastAsia" w:ascii="黑体" w:hAnsi="黑体" w:eastAsia="黑体"/>
                <w:color w:val="auto"/>
                <w:szCs w:val="21"/>
                <w:highlight w:val="none"/>
                <w:lang w:eastAsia="zh-CN"/>
              </w:rPr>
              <w:t>；</w:t>
            </w:r>
            <w:r>
              <w:rPr>
                <w:rFonts w:hint="eastAsia" w:ascii="黑体" w:hAnsi="黑体" w:eastAsia="黑体"/>
                <w:color w:val="auto"/>
                <w:szCs w:val="21"/>
                <w:highlight w:val="none"/>
              </w:rPr>
              <w:t>配送时效未能满足采购需求的得</w:t>
            </w:r>
            <w:r>
              <w:rPr>
                <w:rFonts w:hint="eastAsia" w:ascii="黑体" w:hAnsi="黑体" w:eastAsia="黑体"/>
                <w:color w:val="auto"/>
                <w:szCs w:val="21"/>
                <w:highlight w:val="none"/>
                <w:lang w:val="en-US" w:eastAsia="zh-CN"/>
              </w:rPr>
              <w:t>1</w:t>
            </w:r>
            <w:r>
              <w:rPr>
                <w:rFonts w:hint="eastAsia" w:ascii="黑体" w:hAnsi="黑体" w:eastAsia="黑体"/>
                <w:color w:val="auto"/>
                <w:szCs w:val="21"/>
                <w:highlight w:val="none"/>
              </w:rPr>
              <w:t>分</w:t>
            </w:r>
            <w:r>
              <w:rPr>
                <w:rFonts w:hint="eastAsia" w:ascii="黑体" w:hAnsi="黑体" w:eastAsia="黑体"/>
                <w:color w:val="auto"/>
                <w:szCs w:val="21"/>
                <w:highlight w:val="none"/>
                <w:lang w:eastAsia="zh-CN"/>
              </w:rPr>
              <w:t>；</w:t>
            </w:r>
          </w:p>
          <w:p w14:paraId="04541312">
            <w:pPr>
              <w:spacing w:before="31" w:beforeLines="10" w:after="30" w:line="440" w:lineRule="exact"/>
              <w:rPr>
                <w:rFonts w:ascii="黑体" w:hAnsi="黑体" w:eastAsia="黑体"/>
                <w:color w:val="auto"/>
                <w:szCs w:val="21"/>
                <w:highlight w:val="none"/>
              </w:rPr>
            </w:pPr>
            <w:r>
              <w:rPr>
                <w:rFonts w:hint="eastAsia" w:ascii="黑体" w:hAnsi="黑体" w:eastAsia="黑体" w:cs="黑体"/>
                <w:color w:val="auto"/>
                <w:szCs w:val="21"/>
                <w:highlight w:val="none"/>
              </w:rPr>
              <w:t>⑤</w:t>
            </w:r>
            <w:r>
              <w:rPr>
                <w:rFonts w:hint="eastAsia" w:ascii="黑体" w:hAnsi="黑体" w:eastAsia="黑体"/>
                <w:color w:val="auto"/>
                <w:szCs w:val="21"/>
                <w:highlight w:val="none"/>
              </w:rPr>
              <w:t>未提供对应方案的不得分。</w:t>
            </w:r>
          </w:p>
        </w:tc>
      </w:tr>
      <w:tr w14:paraId="628DE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04" w:type="pct"/>
            <w:vAlign w:val="center"/>
          </w:tcPr>
          <w:p w14:paraId="4C2AA950">
            <w:pPr>
              <w:spacing w:before="31" w:beforeLines="10" w:after="93" w:afterLines="30" w:line="440" w:lineRule="exact"/>
              <w:jc w:val="center"/>
              <w:rPr>
                <w:rFonts w:hint="eastAsia"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5</w:t>
            </w:r>
          </w:p>
        </w:tc>
        <w:tc>
          <w:tcPr>
            <w:tcW w:w="658" w:type="pct"/>
            <w:vAlign w:val="center"/>
          </w:tcPr>
          <w:p w14:paraId="2752DF17">
            <w:pPr>
              <w:spacing w:before="31" w:beforeLines="10" w:after="30" w:line="440" w:lineRule="exact"/>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售后服务方案</w:t>
            </w:r>
          </w:p>
        </w:tc>
        <w:tc>
          <w:tcPr>
            <w:tcW w:w="384" w:type="pct"/>
            <w:vAlign w:val="center"/>
          </w:tcPr>
          <w:p w14:paraId="32B18691">
            <w:pPr>
              <w:widowControl/>
              <w:spacing w:before="31" w:beforeLines="10" w:after="30" w:line="440" w:lineRule="exact"/>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9分</w:t>
            </w:r>
          </w:p>
        </w:tc>
        <w:tc>
          <w:tcPr>
            <w:tcW w:w="3551" w:type="pct"/>
            <w:vAlign w:val="center"/>
          </w:tcPr>
          <w:p w14:paraId="045CA255">
            <w:pPr>
              <w:spacing w:before="31" w:beforeLines="10" w:after="30" w:line="440" w:lineRule="exact"/>
              <w:rPr>
                <w:rFonts w:hint="eastAsia" w:ascii="黑体" w:hAnsi="黑体" w:eastAsia="黑体"/>
                <w:color w:val="000000" w:themeColor="text1"/>
                <w:szCs w:val="21"/>
                <w:lang w:eastAsia="zh-CN"/>
                <w14:textFill>
                  <w14:solidFill>
                    <w14:schemeClr w14:val="tx1"/>
                  </w14:solidFill>
                </w14:textFill>
              </w:rPr>
            </w:pPr>
            <w:r>
              <w:rPr>
                <w:rFonts w:hint="eastAsia" w:ascii="黑体" w:hAnsi="黑体" w:eastAsia="黑体"/>
                <w:color w:val="auto"/>
                <w:szCs w:val="21"/>
                <w:highlight w:val="none"/>
              </w:rPr>
              <w:t>根据采购需求的“</w:t>
            </w:r>
            <w:r>
              <w:rPr>
                <w:rFonts w:hint="eastAsia" w:ascii="黑体" w:hAnsi="黑体" w:eastAsia="黑体"/>
                <w:color w:val="auto"/>
                <w:szCs w:val="21"/>
                <w:highlight w:val="none"/>
                <w:lang w:val="en-US" w:eastAsia="zh-CN"/>
              </w:rPr>
              <w:t>售后服务（质保期）及培训要求</w:t>
            </w:r>
            <w:r>
              <w:rPr>
                <w:rFonts w:hint="eastAsia" w:ascii="黑体" w:hAnsi="黑体" w:eastAsia="黑体"/>
                <w:color w:val="auto"/>
                <w:szCs w:val="21"/>
                <w:highlight w:val="none"/>
              </w:rPr>
              <w:t>”，对投标人提供的</w:t>
            </w:r>
            <w:r>
              <w:rPr>
                <w:rFonts w:hint="eastAsia" w:ascii="黑体" w:hAnsi="黑体" w:eastAsia="黑体"/>
                <w:color w:val="auto"/>
                <w:szCs w:val="21"/>
                <w:highlight w:val="none"/>
                <w:lang w:val="en-US" w:eastAsia="zh-CN"/>
              </w:rPr>
              <w:t>售后服务</w:t>
            </w:r>
            <w:r>
              <w:rPr>
                <w:rFonts w:hint="eastAsia" w:ascii="黑体" w:hAnsi="黑体" w:eastAsia="黑体"/>
                <w:color w:val="auto"/>
                <w:szCs w:val="21"/>
                <w:highlight w:val="none"/>
              </w:rPr>
              <w:t>方案进行评审</w:t>
            </w:r>
          </w:p>
          <w:p w14:paraId="66FB7186">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①</w:t>
            </w:r>
            <w:r>
              <w:rPr>
                <w:rFonts w:hint="eastAsia" w:ascii="黑体" w:hAnsi="黑体" w:eastAsia="黑体"/>
                <w:color w:val="000000" w:themeColor="text1"/>
                <w:szCs w:val="21"/>
                <w14:textFill>
                  <w14:solidFill>
                    <w14:schemeClr w14:val="tx1"/>
                  </w14:solidFill>
                </w14:textFill>
              </w:rPr>
              <w:t>对设备质保期作出的保证承诺优于</w:t>
            </w:r>
            <w:r>
              <w:rPr>
                <w:rFonts w:hint="eastAsia" w:ascii="黑体" w:hAnsi="黑体" w:eastAsia="黑体"/>
                <w:color w:val="000000" w:themeColor="text1"/>
                <w:szCs w:val="21"/>
                <w:lang w:val="en-US" w:eastAsia="zh-CN"/>
                <w14:textFill>
                  <w14:solidFill>
                    <w14:schemeClr w14:val="tx1"/>
                  </w14:solidFill>
                </w14:textFill>
              </w:rPr>
              <w:t>采购</w:t>
            </w:r>
            <w:r>
              <w:rPr>
                <w:rFonts w:hint="eastAsia" w:ascii="黑体" w:hAnsi="黑体" w:eastAsia="黑体"/>
                <w:color w:val="000000" w:themeColor="text1"/>
                <w:szCs w:val="21"/>
                <w14:textFill>
                  <w14:solidFill>
                    <w14:schemeClr w14:val="tx1"/>
                  </w14:solidFill>
                </w14:textFill>
              </w:rPr>
              <w:t>需求，维护保养方案详细具体，对</w:t>
            </w:r>
            <w:r>
              <w:rPr>
                <w:rFonts w:hint="eastAsia" w:ascii="黑体" w:hAnsi="黑体" w:eastAsia="黑体"/>
                <w:color w:val="000000" w:themeColor="text1"/>
                <w:szCs w:val="21"/>
                <w:lang w:val="en-US" w:eastAsia="zh-CN"/>
                <w14:textFill>
                  <w14:solidFill>
                    <w14:schemeClr w14:val="tx1"/>
                  </w14:solidFill>
                </w14:textFill>
              </w:rPr>
              <w:t>用户</w:t>
            </w:r>
            <w:r>
              <w:rPr>
                <w:rFonts w:hint="eastAsia" w:ascii="黑体" w:hAnsi="黑体" w:eastAsia="黑体"/>
                <w:color w:val="000000" w:themeColor="text1"/>
                <w:szCs w:val="21"/>
                <w14:textFill>
                  <w14:solidFill>
                    <w14:schemeClr w14:val="tx1"/>
                  </w14:solidFill>
                </w14:textFill>
              </w:rPr>
              <w:t>人员的培训方案系统科学、培训计划安排合理得当，维护保养方案及技术人员培训方案各项内容均具备</w:t>
            </w:r>
            <w:r>
              <w:rPr>
                <w:rFonts w:hint="eastAsia" w:ascii="黑体" w:hAnsi="黑体" w:eastAsia="黑体"/>
                <w:color w:val="000000" w:themeColor="text1"/>
                <w:szCs w:val="21"/>
                <w:lang w:val="en-US" w:eastAsia="zh-CN"/>
                <w14:textFill>
                  <w14:solidFill>
                    <w14:schemeClr w14:val="tx1"/>
                  </w14:solidFill>
                </w14:textFill>
              </w:rPr>
              <w:t>的</w:t>
            </w:r>
            <w:r>
              <w:rPr>
                <w:rFonts w:hint="eastAsia" w:ascii="黑体" w:hAnsi="黑体" w:eastAsia="黑体"/>
                <w:color w:val="000000" w:themeColor="text1"/>
                <w:szCs w:val="21"/>
                <w14:textFill>
                  <w14:solidFill>
                    <w14:schemeClr w14:val="tx1"/>
                  </w14:solidFill>
                </w14:textFill>
              </w:rPr>
              <w:t>，</w:t>
            </w:r>
            <w:r>
              <w:rPr>
                <w:rFonts w:hint="eastAsia" w:ascii="黑体" w:hAnsi="黑体" w:eastAsia="黑体"/>
                <w:color w:val="000000" w:themeColor="text1"/>
                <w:szCs w:val="21"/>
                <w:lang w:val="en-US" w:eastAsia="zh-CN"/>
                <w14:textFill>
                  <w14:solidFill>
                    <w14:schemeClr w14:val="tx1"/>
                  </w14:solidFill>
                </w14:textFill>
              </w:rPr>
              <w:t>得9分；</w:t>
            </w:r>
          </w:p>
          <w:p w14:paraId="0EC7765F">
            <w:pPr>
              <w:spacing w:before="31" w:beforeLines="10" w:after="30" w:line="440" w:lineRule="exact"/>
              <w:rPr>
                <w:rFonts w:hint="eastAsia" w:ascii="黑体" w:hAnsi="黑体" w:eastAsia="黑体"/>
                <w:color w:val="000000" w:themeColor="text1"/>
                <w:szCs w:val="21"/>
                <w:lang w:eastAsia="zh-CN"/>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②</w:t>
            </w:r>
            <w:r>
              <w:rPr>
                <w:rFonts w:hint="eastAsia" w:ascii="黑体" w:hAnsi="黑体" w:eastAsia="黑体"/>
                <w:color w:val="000000" w:themeColor="text1"/>
                <w:szCs w:val="21"/>
                <w14:textFill>
                  <w14:solidFill>
                    <w14:schemeClr w14:val="tx1"/>
                  </w14:solidFill>
                </w14:textFill>
              </w:rPr>
              <w:t>对设备质保期作出的保证承诺满足</w:t>
            </w:r>
            <w:r>
              <w:rPr>
                <w:rFonts w:hint="eastAsia" w:ascii="黑体" w:hAnsi="黑体" w:eastAsia="黑体"/>
                <w:color w:val="000000" w:themeColor="text1"/>
                <w:szCs w:val="21"/>
                <w:lang w:val="en-US" w:eastAsia="zh-CN"/>
                <w14:textFill>
                  <w14:solidFill>
                    <w14:schemeClr w14:val="tx1"/>
                  </w14:solidFill>
                </w14:textFill>
              </w:rPr>
              <w:t>采购</w:t>
            </w:r>
            <w:r>
              <w:rPr>
                <w:rFonts w:hint="eastAsia" w:ascii="黑体" w:hAnsi="黑体" w:eastAsia="黑体"/>
                <w:color w:val="000000" w:themeColor="text1"/>
                <w:szCs w:val="21"/>
                <w14:textFill>
                  <w14:solidFill>
                    <w14:schemeClr w14:val="tx1"/>
                  </w14:solidFill>
                </w14:textFill>
              </w:rPr>
              <w:t>需求，维护保养方案详细具体，对</w:t>
            </w:r>
            <w:r>
              <w:rPr>
                <w:rFonts w:hint="eastAsia" w:ascii="黑体" w:hAnsi="黑体" w:eastAsia="黑体"/>
                <w:color w:val="000000" w:themeColor="text1"/>
                <w:szCs w:val="21"/>
                <w:lang w:val="en-US" w:eastAsia="zh-CN"/>
                <w14:textFill>
                  <w14:solidFill>
                    <w14:schemeClr w14:val="tx1"/>
                  </w14:solidFill>
                </w14:textFill>
              </w:rPr>
              <w:t>用户</w:t>
            </w:r>
            <w:r>
              <w:rPr>
                <w:rFonts w:hint="eastAsia" w:ascii="黑体" w:hAnsi="黑体" w:eastAsia="黑体"/>
                <w:color w:val="000000" w:themeColor="text1"/>
                <w:szCs w:val="21"/>
                <w14:textFill>
                  <w14:solidFill>
                    <w14:schemeClr w14:val="tx1"/>
                  </w14:solidFill>
                </w14:textFill>
              </w:rPr>
              <w:t>人员的培训方案及培训计划</w:t>
            </w:r>
            <w:r>
              <w:rPr>
                <w:rFonts w:hint="eastAsia" w:ascii="黑体" w:hAnsi="黑体" w:eastAsia="黑体"/>
                <w:color w:val="000000" w:themeColor="text1"/>
                <w:szCs w:val="21"/>
                <w:lang w:val="en-US" w:eastAsia="zh-CN"/>
                <w14:textFill>
                  <w14:solidFill>
                    <w14:schemeClr w14:val="tx1"/>
                  </w14:solidFill>
                </w14:textFill>
              </w:rPr>
              <w:t>逻辑性强</w:t>
            </w:r>
            <w:r>
              <w:rPr>
                <w:rFonts w:hint="eastAsia" w:ascii="黑体" w:hAnsi="黑体" w:eastAsia="黑体"/>
                <w:color w:val="000000" w:themeColor="text1"/>
                <w:szCs w:val="21"/>
                <w14:textFill>
                  <w14:solidFill>
                    <w14:schemeClr w14:val="tx1"/>
                  </w14:solidFill>
                </w14:textFill>
              </w:rPr>
              <w:t>，维护保养方案及技术人员培训方案各项内容均具备的</w:t>
            </w:r>
            <w:r>
              <w:rPr>
                <w:rFonts w:hint="eastAsia" w:ascii="黑体" w:hAnsi="黑体" w:eastAsia="黑体"/>
                <w:color w:val="000000" w:themeColor="text1"/>
                <w:szCs w:val="21"/>
                <w:lang w:eastAsia="zh-CN"/>
                <w14:textFill>
                  <w14:solidFill>
                    <w14:schemeClr w14:val="tx1"/>
                  </w14:solidFill>
                </w14:textFill>
              </w:rPr>
              <w:t>，</w:t>
            </w:r>
            <w:r>
              <w:rPr>
                <w:rFonts w:hint="eastAsia" w:ascii="黑体" w:hAnsi="黑体" w:eastAsia="黑体"/>
                <w:color w:val="000000" w:themeColor="text1"/>
                <w:szCs w:val="21"/>
                <w14:textFill>
                  <w14:solidFill>
                    <w14:schemeClr w14:val="tx1"/>
                  </w14:solidFill>
                </w14:textFill>
              </w:rPr>
              <w:t>得</w:t>
            </w:r>
            <w:r>
              <w:rPr>
                <w:rFonts w:hint="eastAsia" w:ascii="黑体" w:hAnsi="黑体" w:eastAsia="黑体"/>
                <w:color w:val="000000" w:themeColor="text1"/>
                <w:szCs w:val="21"/>
                <w:lang w:val="en-US" w:eastAsia="zh-CN"/>
                <w14:textFill>
                  <w14:solidFill>
                    <w14:schemeClr w14:val="tx1"/>
                  </w14:solidFill>
                </w14:textFill>
              </w:rPr>
              <w:t>6</w:t>
            </w:r>
            <w:r>
              <w:rPr>
                <w:rFonts w:hint="eastAsia" w:ascii="黑体" w:hAnsi="黑体" w:eastAsia="黑体"/>
                <w:color w:val="000000" w:themeColor="text1"/>
                <w:szCs w:val="21"/>
                <w14:textFill>
                  <w14:solidFill>
                    <w14:schemeClr w14:val="tx1"/>
                  </w14:solidFill>
                </w14:textFill>
              </w:rPr>
              <w:t>分</w:t>
            </w:r>
            <w:r>
              <w:rPr>
                <w:rFonts w:hint="eastAsia" w:ascii="黑体" w:hAnsi="黑体" w:eastAsia="黑体"/>
                <w:color w:val="000000" w:themeColor="text1"/>
                <w:szCs w:val="21"/>
                <w:lang w:eastAsia="zh-CN"/>
                <w14:textFill>
                  <w14:solidFill>
                    <w14:schemeClr w14:val="tx1"/>
                  </w14:solidFill>
                </w14:textFill>
              </w:rPr>
              <w:t>；</w:t>
            </w:r>
          </w:p>
          <w:p w14:paraId="018E288F">
            <w:pPr>
              <w:spacing w:before="31" w:beforeLines="10" w:after="30" w:line="440" w:lineRule="exact"/>
              <w:rPr>
                <w:rFonts w:hint="eastAsia" w:ascii="黑体" w:hAnsi="黑体" w:eastAsia="黑体"/>
                <w:color w:val="000000" w:themeColor="text1"/>
                <w:szCs w:val="21"/>
                <w:lang w:eastAsia="zh-CN"/>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③</w:t>
            </w:r>
            <w:r>
              <w:rPr>
                <w:rFonts w:hint="eastAsia" w:ascii="黑体" w:hAnsi="黑体" w:eastAsia="黑体"/>
                <w:color w:val="000000" w:themeColor="text1"/>
                <w:szCs w:val="21"/>
                <w14:textFill>
                  <w14:solidFill>
                    <w14:schemeClr w14:val="tx1"/>
                  </w14:solidFill>
                </w14:textFill>
              </w:rPr>
              <w:t>对设备质保期作出的保证承诺满足</w:t>
            </w:r>
            <w:r>
              <w:rPr>
                <w:rFonts w:hint="eastAsia" w:ascii="黑体" w:hAnsi="黑体" w:eastAsia="黑体"/>
                <w:color w:val="000000" w:themeColor="text1"/>
                <w:szCs w:val="21"/>
                <w:lang w:val="en-US" w:eastAsia="zh-CN"/>
                <w14:textFill>
                  <w14:solidFill>
                    <w14:schemeClr w14:val="tx1"/>
                  </w14:solidFill>
                </w14:textFill>
              </w:rPr>
              <w:t>采购</w:t>
            </w:r>
            <w:r>
              <w:rPr>
                <w:rFonts w:hint="eastAsia" w:ascii="黑体" w:hAnsi="黑体" w:eastAsia="黑体"/>
                <w:color w:val="000000" w:themeColor="text1"/>
                <w:szCs w:val="21"/>
                <w14:textFill>
                  <w14:solidFill>
                    <w14:schemeClr w14:val="tx1"/>
                  </w14:solidFill>
                </w14:textFill>
              </w:rPr>
              <w:t>需求，维护保养方案、维护保养方式方法</w:t>
            </w:r>
            <w:r>
              <w:rPr>
                <w:rFonts w:hint="eastAsia" w:ascii="黑体" w:hAnsi="黑体" w:eastAsia="黑体"/>
                <w:color w:val="000000" w:themeColor="text1"/>
                <w:szCs w:val="21"/>
                <w:lang w:val="en-US" w:eastAsia="zh-CN"/>
                <w14:textFill>
                  <w14:solidFill>
                    <w14:schemeClr w14:val="tx1"/>
                  </w14:solidFill>
                </w14:textFill>
              </w:rPr>
              <w:t>较具体</w:t>
            </w:r>
            <w:r>
              <w:rPr>
                <w:rFonts w:hint="eastAsia" w:ascii="黑体" w:hAnsi="黑体" w:eastAsia="黑体"/>
                <w:color w:val="000000" w:themeColor="text1"/>
                <w:szCs w:val="21"/>
                <w14:textFill>
                  <w14:solidFill>
                    <w14:schemeClr w14:val="tx1"/>
                  </w14:solidFill>
                </w14:textFill>
              </w:rPr>
              <w:t>，对</w:t>
            </w:r>
            <w:r>
              <w:rPr>
                <w:rFonts w:hint="eastAsia" w:ascii="黑体" w:hAnsi="黑体" w:eastAsia="黑体"/>
                <w:color w:val="000000" w:themeColor="text1"/>
                <w:szCs w:val="21"/>
                <w:lang w:val="en-US" w:eastAsia="zh-CN"/>
                <w14:textFill>
                  <w14:solidFill>
                    <w14:schemeClr w14:val="tx1"/>
                  </w14:solidFill>
                </w14:textFill>
              </w:rPr>
              <w:t>用户</w:t>
            </w:r>
            <w:r>
              <w:rPr>
                <w:rFonts w:hint="eastAsia" w:ascii="黑体" w:hAnsi="黑体" w:eastAsia="黑体"/>
                <w:color w:val="000000" w:themeColor="text1"/>
                <w:szCs w:val="21"/>
                <w14:textFill>
                  <w14:solidFill>
                    <w14:schemeClr w14:val="tx1"/>
                  </w14:solidFill>
                </w14:textFill>
              </w:rPr>
              <w:t>人员的培训方案及培训计划安排</w:t>
            </w:r>
            <w:r>
              <w:rPr>
                <w:rFonts w:hint="eastAsia" w:ascii="黑体" w:hAnsi="黑体" w:eastAsia="黑体"/>
                <w:color w:val="000000" w:themeColor="text1"/>
                <w:szCs w:val="21"/>
                <w:lang w:val="en-US" w:eastAsia="zh-CN"/>
                <w14:textFill>
                  <w14:solidFill>
                    <w14:schemeClr w14:val="tx1"/>
                  </w14:solidFill>
                </w14:textFill>
              </w:rPr>
              <w:t>有一定针对性</w:t>
            </w:r>
            <w:r>
              <w:rPr>
                <w:rFonts w:hint="eastAsia" w:ascii="黑体" w:hAnsi="黑体" w:eastAsia="黑体"/>
                <w:color w:val="000000" w:themeColor="text1"/>
                <w:szCs w:val="21"/>
                <w14:textFill>
                  <w14:solidFill>
                    <w14:schemeClr w14:val="tx1"/>
                  </w14:solidFill>
                </w14:textFill>
              </w:rPr>
              <w:t>，维护保养方案及技术人员培训方案部分内容有</w:t>
            </w:r>
            <w:r>
              <w:rPr>
                <w:rFonts w:hint="eastAsia" w:ascii="黑体" w:hAnsi="黑体" w:eastAsia="黑体"/>
                <w:color w:val="000000" w:themeColor="text1"/>
                <w:szCs w:val="21"/>
                <w:lang w:val="en-US" w:eastAsia="zh-CN"/>
                <w14:textFill>
                  <w14:solidFill>
                    <w14:schemeClr w14:val="tx1"/>
                  </w14:solidFill>
                </w14:textFill>
              </w:rPr>
              <w:t>缺漏的，</w:t>
            </w:r>
            <w:r>
              <w:rPr>
                <w:rFonts w:hint="eastAsia" w:ascii="黑体" w:hAnsi="黑体" w:eastAsia="黑体"/>
                <w:color w:val="000000" w:themeColor="text1"/>
                <w:szCs w:val="21"/>
                <w14:textFill>
                  <w14:solidFill>
                    <w14:schemeClr w14:val="tx1"/>
                  </w14:solidFill>
                </w14:textFill>
              </w:rPr>
              <w:t>得</w:t>
            </w:r>
            <w:r>
              <w:rPr>
                <w:rFonts w:hint="eastAsia" w:ascii="黑体" w:hAnsi="黑体" w:eastAsia="黑体"/>
                <w:color w:val="000000" w:themeColor="text1"/>
                <w:szCs w:val="21"/>
                <w:lang w:val="en-US" w:eastAsia="zh-CN"/>
                <w14:textFill>
                  <w14:solidFill>
                    <w14:schemeClr w14:val="tx1"/>
                  </w14:solidFill>
                </w14:textFill>
              </w:rPr>
              <w:t>3</w:t>
            </w:r>
            <w:r>
              <w:rPr>
                <w:rFonts w:hint="eastAsia" w:ascii="黑体" w:hAnsi="黑体" w:eastAsia="黑体"/>
                <w:color w:val="000000" w:themeColor="text1"/>
                <w:szCs w:val="21"/>
                <w14:textFill>
                  <w14:solidFill>
                    <w14:schemeClr w14:val="tx1"/>
                  </w14:solidFill>
                </w14:textFill>
              </w:rPr>
              <w:t>分</w:t>
            </w:r>
            <w:r>
              <w:rPr>
                <w:rFonts w:hint="eastAsia" w:ascii="黑体" w:hAnsi="黑体" w:eastAsia="黑体"/>
                <w:color w:val="000000" w:themeColor="text1"/>
                <w:szCs w:val="21"/>
                <w:lang w:eastAsia="zh-CN"/>
                <w14:textFill>
                  <w14:solidFill>
                    <w14:schemeClr w14:val="tx1"/>
                  </w14:solidFill>
                </w14:textFill>
              </w:rPr>
              <w:t>；</w:t>
            </w:r>
          </w:p>
          <w:p w14:paraId="7ED5B7D5">
            <w:pPr>
              <w:spacing w:before="31" w:beforeLines="10" w:after="30" w:line="440" w:lineRule="exact"/>
              <w:rPr>
                <w:rFonts w:hint="eastAsia" w:ascii="黑体" w:hAnsi="黑体" w:eastAsia="黑体"/>
                <w:color w:val="000000" w:themeColor="text1"/>
                <w:szCs w:val="21"/>
                <w:lang w:eastAsia="zh-CN"/>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④</w:t>
            </w:r>
            <w:r>
              <w:rPr>
                <w:rFonts w:hint="eastAsia" w:ascii="黑体" w:hAnsi="黑体" w:eastAsia="黑体"/>
                <w:color w:val="000000" w:themeColor="text1"/>
                <w:szCs w:val="21"/>
                <w14:textFill>
                  <w14:solidFill>
                    <w14:schemeClr w14:val="tx1"/>
                  </w14:solidFill>
                </w14:textFill>
              </w:rPr>
              <w:t>对设备质保期作出的保证承诺</w:t>
            </w:r>
            <w:r>
              <w:rPr>
                <w:rFonts w:hint="eastAsia" w:ascii="黑体" w:hAnsi="黑体" w:eastAsia="黑体"/>
                <w:color w:val="000000" w:themeColor="text1"/>
                <w:szCs w:val="21"/>
                <w:lang w:val="en-US" w:eastAsia="zh-CN"/>
                <w14:textFill>
                  <w14:solidFill>
                    <w14:schemeClr w14:val="tx1"/>
                  </w14:solidFill>
                </w14:textFill>
              </w:rPr>
              <w:t>只能满足部分采购</w:t>
            </w:r>
            <w:r>
              <w:rPr>
                <w:rFonts w:hint="eastAsia" w:ascii="黑体" w:hAnsi="黑体" w:eastAsia="黑体"/>
                <w:color w:val="000000" w:themeColor="text1"/>
                <w:szCs w:val="21"/>
                <w14:textFill>
                  <w14:solidFill>
                    <w14:schemeClr w14:val="tx1"/>
                  </w14:solidFill>
                </w14:textFill>
              </w:rPr>
              <w:t>需求，维护保养方案、维护保养方式方法</w:t>
            </w:r>
            <w:r>
              <w:rPr>
                <w:rFonts w:hint="eastAsia" w:ascii="黑体" w:hAnsi="黑体" w:eastAsia="黑体"/>
                <w:color w:val="000000" w:themeColor="text1"/>
                <w:szCs w:val="21"/>
                <w:lang w:val="en-US" w:eastAsia="zh-CN"/>
                <w14:textFill>
                  <w14:solidFill>
                    <w14:schemeClr w14:val="tx1"/>
                  </w14:solidFill>
                </w14:textFill>
              </w:rPr>
              <w:t>内容简单</w:t>
            </w:r>
            <w:r>
              <w:rPr>
                <w:rFonts w:hint="eastAsia" w:ascii="黑体" w:hAnsi="黑体" w:eastAsia="黑体"/>
                <w:color w:val="000000" w:themeColor="text1"/>
                <w:szCs w:val="21"/>
                <w14:textFill>
                  <w14:solidFill>
                    <w14:schemeClr w14:val="tx1"/>
                  </w14:solidFill>
                </w14:textFill>
              </w:rPr>
              <w:t>，对</w:t>
            </w:r>
            <w:r>
              <w:rPr>
                <w:rFonts w:hint="eastAsia" w:ascii="黑体" w:hAnsi="黑体" w:eastAsia="黑体"/>
                <w:color w:val="000000" w:themeColor="text1"/>
                <w:szCs w:val="21"/>
                <w:lang w:val="en-US" w:eastAsia="zh-CN"/>
                <w14:textFill>
                  <w14:solidFill>
                    <w14:schemeClr w14:val="tx1"/>
                  </w14:solidFill>
                </w14:textFill>
              </w:rPr>
              <w:t>用户</w:t>
            </w:r>
            <w:r>
              <w:rPr>
                <w:rFonts w:hint="eastAsia" w:ascii="黑体" w:hAnsi="黑体" w:eastAsia="黑体"/>
                <w:color w:val="000000" w:themeColor="text1"/>
                <w:szCs w:val="21"/>
                <w14:textFill>
                  <w14:solidFill>
                    <w14:schemeClr w14:val="tx1"/>
                  </w14:solidFill>
                </w14:textFill>
              </w:rPr>
              <w:t>人员的培训方案及培训计划安排</w:t>
            </w:r>
            <w:r>
              <w:rPr>
                <w:rFonts w:hint="eastAsia" w:ascii="黑体" w:hAnsi="黑体" w:eastAsia="黑体"/>
                <w:color w:val="000000" w:themeColor="text1"/>
                <w:szCs w:val="21"/>
                <w:lang w:val="en-US" w:eastAsia="zh-CN"/>
                <w14:textFill>
                  <w14:solidFill>
                    <w14:schemeClr w14:val="tx1"/>
                  </w14:solidFill>
                </w14:textFill>
              </w:rPr>
              <w:t>不合理</w:t>
            </w:r>
            <w:r>
              <w:rPr>
                <w:rFonts w:hint="eastAsia" w:ascii="黑体" w:hAnsi="黑体" w:eastAsia="黑体"/>
                <w:color w:val="000000" w:themeColor="text1"/>
                <w:szCs w:val="21"/>
                <w14:textFill>
                  <w14:solidFill>
                    <w14:schemeClr w14:val="tx1"/>
                  </w14:solidFill>
                </w14:textFill>
              </w:rPr>
              <w:t>的</w:t>
            </w:r>
            <w:r>
              <w:rPr>
                <w:rFonts w:hint="eastAsia" w:ascii="黑体" w:hAnsi="黑体" w:eastAsia="黑体"/>
                <w:color w:val="000000" w:themeColor="text1"/>
                <w:szCs w:val="21"/>
                <w:lang w:eastAsia="zh-CN"/>
                <w14:textFill>
                  <w14:solidFill>
                    <w14:schemeClr w14:val="tx1"/>
                  </w14:solidFill>
                </w14:textFill>
              </w:rPr>
              <w:t>，</w:t>
            </w:r>
            <w:r>
              <w:rPr>
                <w:rFonts w:hint="eastAsia" w:ascii="黑体" w:hAnsi="黑体" w:eastAsia="黑体"/>
                <w:color w:val="000000" w:themeColor="text1"/>
                <w:szCs w:val="21"/>
                <w14:textFill>
                  <w14:solidFill>
                    <w14:schemeClr w14:val="tx1"/>
                  </w14:solidFill>
                </w14:textFill>
              </w:rPr>
              <w:t>得</w:t>
            </w:r>
            <w:r>
              <w:rPr>
                <w:rFonts w:hint="eastAsia" w:ascii="黑体" w:hAnsi="黑体" w:eastAsia="黑体"/>
                <w:color w:val="000000" w:themeColor="text1"/>
                <w:szCs w:val="21"/>
                <w:lang w:val="en-US" w:eastAsia="zh-CN"/>
                <w14:textFill>
                  <w14:solidFill>
                    <w14:schemeClr w14:val="tx1"/>
                  </w14:solidFill>
                </w14:textFill>
              </w:rPr>
              <w:t>1</w:t>
            </w:r>
            <w:r>
              <w:rPr>
                <w:rFonts w:hint="eastAsia" w:ascii="黑体" w:hAnsi="黑体" w:eastAsia="黑体"/>
                <w:color w:val="000000" w:themeColor="text1"/>
                <w:szCs w:val="21"/>
                <w14:textFill>
                  <w14:solidFill>
                    <w14:schemeClr w14:val="tx1"/>
                  </w14:solidFill>
                </w14:textFill>
              </w:rPr>
              <w:t>分</w:t>
            </w:r>
            <w:r>
              <w:rPr>
                <w:rFonts w:hint="eastAsia" w:ascii="黑体" w:hAnsi="黑体" w:eastAsia="黑体"/>
                <w:color w:val="000000" w:themeColor="text1"/>
                <w:szCs w:val="21"/>
                <w:lang w:eastAsia="zh-CN"/>
                <w14:textFill>
                  <w14:solidFill>
                    <w14:schemeClr w14:val="tx1"/>
                  </w14:solidFill>
                </w14:textFill>
              </w:rPr>
              <w:t>；</w:t>
            </w:r>
          </w:p>
          <w:p w14:paraId="3CE5928A">
            <w:pPr>
              <w:spacing w:before="31" w:beforeLines="10" w:after="30" w:line="440" w:lineRule="exact"/>
              <w:rPr>
                <w:rFonts w:hint="eastAsia" w:ascii="黑体" w:hAnsi="黑体" w:eastAsia="黑体" w:cs="宋体"/>
                <w:color w:val="auto"/>
                <w:kern w:val="0"/>
                <w:szCs w:val="21"/>
                <w:highlight w:val="none"/>
              </w:rPr>
            </w:pPr>
            <w:r>
              <w:rPr>
                <w:rFonts w:hint="eastAsia" w:ascii="黑体" w:hAnsi="黑体" w:eastAsia="黑体" w:cs="黑体"/>
                <w:color w:val="000000" w:themeColor="text1"/>
                <w:szCs w:val="21"/>
                <w14:textFill>
                  <w14:solidFill>
                    <w14:schemeClr w14:val="tx1"/>
                  </w14:solidFill>
                </w14:textFill>
              </w:rPr>
              <w:t>⑤</w:t>
            </w:r>
            <w:r>
              <w:rPr>
                <w:rFonts w:hint="eastAsia" w:ascii="黑体" w:hAnsi="黑体" w:eastAsia="黑体"/>
                <w:color w:val="000000" w:themeColor="text1"/>
                <w:szCs w:val="21"/>
                <w14:textFill>
                  <w14:solidFill>
                    <w14:schemeClr w14:val="tx1"/>
                  </w14:solidFill>
                </w14:textFill>
              </w:rPr>
              <w:t>没有作出质保期保证承诺或</w:t>
            </w:r>
            <w:r>
              <w:rPr>
                <w:rFonts w:hint="eastAsia" w:ascii="黑体" w:hAnsi="黑体" w:eastAsia="黑体" w:cs="宋体"/>
                <w:color w:val="auto"/>
                <w:kern w:val="0"/>
                <w:szCs w:val="21"/>
                <w:highlight w:val="none"/>
              </w:rPr>
              <w:t>未提供方案的不得分</w:t>
            </w:r>
            <w:r>
              <w:rPr>
                <w:rFonts w:hint="eastAsia" w:ascii="黑体" w:hAnsi="黑体" w:eastAsia="黑体"/>
                <w:color w:val="000000" w:themeColor="text1"/>
                <w:szCs w:val="21"/>
                <w14:textFill>
                  <w14:solidFill>
                    <w14:schemeClr w14:val="tx1"/>
                  </w14:solidFill>
                </w14:textFill>
              </w:rPr>
              <w:t>。</w:t>
            </w:r>
          </w:p>
        </w:tc>
      </w:tr>
      <w:tr w14:paraId="0042D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04" w:type="pct"/>
            <w:vAlign w:val="center"/>
          </w:tcPr>
          <w:p w14:paraId="19D496C9">
            <w:pPr>
              <w:spacing w:before="31" w:beforeLines="10" w:after="93" w:afterLines="30" w:line="440" w:lineRule="exact"/>
              <w:jc w:val="center"/>
              <w:rPr>
                <w:rFonts w:hint="default"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6</w:t>
            </w:r>
          </w:p>
        </w:tc>
        <w:tc>
          <w:tcPr>
            <w:tcW w:w="658" w:type="pct"/>
            <w:shd w:val="clear" w:color="auto" w:fill="auto"/>
            <w:vAlign w:val="center"/>
          </w:tcPr>
          <w:p w14:paraId="13EAE9D9">
            <w:pPr>
              <w:spacing w:before="31" w:beforeLines="10" w:after="30" w:line="440" w:lineRule="exact"/>
              <w:jc w:val="center"/>
              <w:rPr>
                <w:rFonts w:hint="eastAsia" w:ascii="黑体" w:hAnsi="黑体" w:eastAsia="黑体" w:cstheme="minorBidi"/>
                <w:bCs/>
                <w:color w:val="auto"/>
                <w:kern w:val="2"/>
                <w:sz w:val="21"/>
                <w:szCs w:val="21"/>
                <w:highlight w:val="none"/>
                <w:lang w:val="en-US" w:eastAsia="zh-CN" w:bidi="ar-SA"/>
              </w:rPr>
            </w:pPr>
            <w:r>
              <w:rPr>
                <w:rFonts w:hint="eastAsia" w:ascii="黑体" w:hAnsi="黑体" w:eastAsia="黑体"/>
                <w:color w:val="auto"/>
                <w:szCs w:val="21"/>
                <w:highlight w:val="none"/>
              </w:rPr>
              <w:t>应急维护预案</w:t>
            </w:r>
          </w:p>
        </w:tc>
        <w:tc>
          <w:tcPr>
            <w:tcW w:w="384" w:type="pct"/>
            <w:shd w:val="clear" w:color="auto" w:fill="auto"/>
            <w:vAlign w:val="center"/>
          </w:tcPr>
          <w:p w14:paraId="4A60C7DF">
            <w:pPr>
              <w:widowControl/>
              <w:spacing w:before="31" w:beforeLines="10" w:after="30" w:line="440" w:lineRule="exact"/>
              <w:jc w:val="center"/>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olor w:val="auto"/>
                <w:szCs w:val="21"/>
                <w:highlight w:val="none"/>
                <w:lang w:val="en-US" w:eastAsia="zh-CN"/>
              </w:rPr>
              <w:t>5</w:t>
            </w:r>
            <w:r>
              <w:rPr>
                <w:rFonts w:hint="eastAsia" w:ascii="黑体" w:hAnsi="黑体" w:eastAsia="黑体"/>
                <w:color w:val="auto"/>
                <w:szCs w:val="21"/>
                <w:highlight w:val="none"/>
              </w:rPr>
              <w:t>分</w:t>
            </w:r>
          </w:p>
        </w:tc>
        <w:tc>
          <w:tcPr>
            <w:tcW w:w="3551" w:type="pct"/>
            <w:shd w:val="clear" w:color="auto" w:fill="auto"/>
            <w:vAlign w:val="center"/>
          </w:tcPr>
          <w:p w14:paraId="50E76BB9">
            <w:pPr>
              <w:spacing w:before="31" w:beforeLines="10" w:after="30" w:line="440" w:lineRule="exact"/>
              <w:rPr>
                <w:rFonts w:ascii="黑体" w:hAnsi="黑体" w:eastAsia="黑体"/>
                <w:bCs/>
                <w:color w:val="auto"/>
                <w:szCs w:val="21"/>
                <w:highlight w:val="none"/>
              </w:rPr>
            </w:pPr>
            <w:r>
              <w:rPr>
                <w:rFonts w:hint="eastAsia" w:ascii="黑体" w:hAnsi="黑体" w:eastAsia="黑体"/>
                <w:bCs/>
                <w:color w:val="auto"/>
                <w:szCs w:val="21"/>
                <w:highlight w:val="none"/>
              </w:rPr>
              <w:t>根据采购需求的“应急维护要求”，对投标人提供的应急维护预案（包括但不限于①应急响应时间、②应急维护措施）进行评审：</w:t>
            </w:r>
          </w:p>
          <w:p w14:paraId="50942670">
            <w:pPr>
              <w:spacing w:before="31" w:beforeLines="10" w:after="30" w:line="440" w:lineRule="exact"/>
              <w:rPr>
                <w:rFonts w:ascii="黑体" w:hAnsi="黑体" w:eastAsia="黑体"/>
                <w:bCs/>
                <w:color w:val="auto"/>
                <w:szCs w:val="21"/>
                <w:highlight w:val="none"/>
              </w:rPr>
            </w:pPr>
            <w:r>
              <w:rPr>
                <w:rFonts w:hint="eastAsia" w:ascii="黑体" w:hAnsi="黑体" w:eastAsia="黑体"/>
                <w:color w:val="auto"/>
                <w:szCs w:val="21"/>
                <w:highlight w:val="none"/>
              </w:rPr>
              <w:t>①</w:t>
            </w:r>
            <w:r>
              <w:rPr>
                <w:rFonts w:hint="eastAsia" w:ascii="黑体" w:hAnsi="黑体" w:eastAsia="黑体"/>
                <w:bCs/>
                <w:color w:val="auto"/>
                <w:szCs w:val="21"/>
                <w:highlight w:val="none"/>
              </w:rPr>
              <w:t>应急维护预案</w:t>
            </w:r>
            <w:r>
              <w:rPr>
                <w:rFonts w:hint="eastAsia" w:ascii="黑体" w:hAnsi="黑体" w:eastAsia="黑体"/>
                <w:bCs/>
                <w:color w:val="auto"/>
                <w:szCs w:val="21"/>
                <w:highlight w:val="none"/>
                <w:lang w:val="en-US" w:eastAsia="zh-CN"/>
              </w:rPr>
              <w:t>充分全面，并配备保障应急事件所需的保障人员和预备人员，针对突发事件提供的应急措施能非常有效保障本项目实施的，得5分</w:t>
            </w:r>
            <w:r>
              <w:rPr>
                <w:rFonts w:hint="eastAsia" w:ascii="黑体" w:hAnsi="黑体" w:eastAsia="黑体"/>
                <w:bCs/>
                <w:color w:val="auto"/>
                <w:szCs w:val="21"/>
                <w:highlight w:val="none"/>
              </w:rPr>
              <w:t>；</w:t>
            </w:r>
          </w:p>
          <w:p w14:paraId="0AA1A1AD">
            <w:pPr>
              <w:spacing w:before="31" w:beforeLines="10" w:after="30" w:line="440" w:lineRule="exact"/>
              <w:rPr>
                <w:rFonts w:ascii="黑体" w:hAnsi="黑体" w:eastAsia="黑体"/>
                <w:bCs/>
                <w:color w:val="auto"/>
                <w:szCs w:val="21"/>
                <w:highlight w:val="none"/>
              </w:rPr>
            </w:pPr>
            <w:r>
              <w:rPr>
                <w:rFonts w:hint="eastAsia" w:ascii="黑体" w:hAnsi="黑体" w:eastAsia="黑体"/>
                <w:color w:val="auto"/>
                <w:szCs w:val="21"/>
                <w:highlight w:val="none"/>
              </w:rPr>
              <w:t>②</w:t>
            </w:r>
            <w:r>
              <w:rPr>
                <w:rFonts w:hint="eastAsia" w:ascii="黑体" w:hAnsi="黑体" w:eastAsia="黑体"/>
                <w:bCs/>
                <w:color w:val="auto"/>
                <w:szCs w:val="21"/>
                <w:highlight w:val="none"/>
              </w:rPr>
              <w:t>应急维护预案</w:t>
            </w:r>
            <w:r>
              <w:rPr>
                <w:rFonts w:hint="eastAsia" w:ascii="黑体" w:hAnsi="黑体" w:eastAsia="黑体"/>
                <w:bCs/>
                <w:color w:val="auto"/>
                <w:szCs w:val="21"/>
                <w:highlight w:val="none"/>
                <w:lang w:val="en-US" w:eastAsia="zh-CN"/>
              </w:rPr>
              <w:t>全面，并配备保障应急事件所需的保障人员和预备人员，针对突发事件提供的应急措施能有效保障本项目实施的，得3分</w:t>
            </w:r>
            <w:r>
              <w:rPr>
                <w:rFonts w:hint="eastAsia" w:ascii="黑体" w:hAnsi="黑体" w:eastAsia="黑体"/>
                <w:bCs/>
                <w:color w:val="auto"/>
                <w:szCs w:val="21"/>
                <w:highlight w:val="none"/>
              </w:rPr>
              <w:t>；</w:t>
            </w:r>
          </w:p>
          <w:p w14:paraId="57F58EA6">
            <w:pPr>
              <w:spacing w:before="31" w:beforeLines="10" w:after="30" w:line="440" w:lineRule="exact"/>
              <w:rPr>
                <w:rFonts w:ascii="黑体" w:hAnsi="黑体" w:eastAsia="黑体"/>
                <w:bCs/>
                <w:color w:val="auto"/>
                <w:szCs w:val="21"/>
                <w:highlight w:val="none"/>
              </w:rPr>
            </w:pPr>
            <w:r>
              <w:rPr>
                <w:rFonts w:hint="eastAsia" w:ascii="黑体" w:hAnsi="黑体" w:eastAsia="黑体"/>
                <w:color w:val="auto"/>
                <w:szCs w:val="21"/>
                <w:highlight w:val="none"/>
              </w:rPr>
              <w:t>③</w:t>
            </w:r>
            <w:r>
              <w:rPr>
                <w:rFonts w:hint="eastAsia" w:ascii="黑体" w:hAnsi="黑体" w:eastAsia="黑体"/>
                <w:bCs/>
                <w:color w:val="auto"/>
                <w:szCs w:val="21"/>
                <w:highlight w:val="none"/>
              </w:rPr>
              <w:t>应急维护预案</w:t>
            </w:r>
            <w:r>
              <w:rPr>
                <w:rFonts w:hint="eastAsia" w:ascii="黑体" w:hAnsi="黑体" w:eastAsia="黑体"/>
                <w:bCs/>
                <w:color w:val="auto"/>
                <w:szCs w:val="21"/>
                <w:highlight w:val="none"/>
                <w:lang w:val="en-US" w:eastAsia="zh-CN"/>
              </w:rPr>
              <w:t>较全，有配备保障应急事件所需的保障人员，针对突发事件提供的应急措施基本能保障本项目实施的，得2分</w:t>
            </w:r>
            <w:r>
              <w:rPr>
                <w:rFonts w:hint="eastAsia" w:ascii="黑体" w:hAnsi="黑体" w:eastAsia="黑体"/>
                <w:bCs/>
                <w:color w:val="auto"/>
                <w:szCs w:val="21"/>
                <w:highlight w:val="none"/>
              </w:rPr>
              <w:t>；</w:t>
            </w:r>
          </w:p>
          <w:p w14:paraId="413F190A">
            <w:pPr>
              <w:spacing w:before="31" w:beforeLines="10" w:after="30" w:line="440" w:lineRule="exact"/>
              <w:rPr>
                <w:rFonts w:hint="eastAsia" w:ascii="黑体" w:hAnsi="黑体" w:eastAsia="黑体"/>
                <w:color w:val="auto"/>
                <w:szCs w:val="21"/>
                <w:highlight w:val="none"/>
              </w:rPr>
            </w:pPr>
            <w:r>
              <w:rPr>
                <w:rFonts w:hint="eastAsia" w:ascii="黑体" w:hAnsi="黑体" w:eastAsia="黑体"/>
                <w:color w:val="auto"/>
                <w:szCs w:val="21"/>
                <w:highlight w:val="none"/>
              </w:rPr>
              <w:fldChar w:fldCharType="begin"/>
            </w:r>
            <w:r>
              <w:rPr>
                <w:rFonts w:hint="eastAsia" w:ascii="黑体" w:hAnsi="黑体" w:eastAsia="黑体"/>
                <w:color w:val="auto"/>
                <w:szCs w:val="21"/>
                <w:highlight w:val="none"/>
              </w:rPr>
              <w:instrText xml:space="preserve"> = 4 \* GB3 \* MERGEFORMAT </w:instrText>
            </w:r>
            <w:r>
              <w:rPr>
                <w:rFonts w:hint="eastAsia" w:ascii="黑体" w:hAnsi="黑体" w:eastAsia="黑体"/>
                <w:color w:val="auto"/>
                <w:szCs w:val="21"/>
                <w:highlight w:val="none"/>
              </w:rPr>
              <w:fldChar w:fldCharType="separate"/>
            </w:r>
            <w:r>
              <w:rPr>
                <w:rFonts w:hint="eastAsia" w:ascii="黑体" w:hAnsi="黑体" w:eastAsia="黑体"/>
                <w:color w:val="auto"/>
                <w:szCs w:val="21"/>
                <w:highlight w:val="none"/>
              </w:rPr>
              <w:t>④</w:t>
            </w:r>
            <w:r>
              <w:rPr>
                <w:rFonts w:hint="eastAsia" w:ascii="黑体" w:hAnsi="黑体" w:eastAsia="黑体"/>
                <w:color w:val="auto"/>
                <w:szCs w:val="21"/>
                <w:highlight w:val="none"/>
              </w:rPr>
              <w:fldChar w:fldCharType="end"/>
            </w:r>
            <w:r>
              <w:rPr>
                <w:rFonts w:hint="eastAsia" w:ascii="黑体" w:hAnsi="黑体" w:eastAsia="黑体"/>
                <w:bCs/>
                <w:color w:val="auto"/>
                <w:szCs w:val="21"/>
                <w:highlight w:val="none"/>
              </w:rPr>
              <w:t>应急维护预案</w:t>
            </w:r>
            <w:r>
              <w:rPr>
                <w:rFonts w:hint="eastAsia" w:ascii="黑体" w:hAnsi="黑体" w:eastAsia="黑体"/>
                <w:bCs/>
                <w:color w:val="auto"/>
                <w:szCs w:val="21"/>
                <w:highlight w:val="none"/>
                <w:lang w:val="en-US" w:eastAsia="zh-CN"/>
              </w:rPr>
              <w:t>简单，无配备保障人员和预备人员，有简单的应急措施的，得1分</w:t>
            </w:r>
            <w:r>
              <w:rPr>
                <w:rFonts w:hint="eastAsia" w:ascii="黑体" w:hAnsi="黑体" w:eastAsia="黑体"/>
                <w:bCs/>
                <w:color w:val="auto"/>
                <w:szCs w:val="21"/>
                <w:highlight w:val="none"/>
              </w:rPr>
              <w:t>；</w:t>
            </w:r>
          </w:p>
          <w:p w14:paraId="2C0E0026">
            <w:pPr>
              <w:spacing w:before="31" w:beforeLines="10" w:after="30" w:line="440" w:lineRule="exact"/>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黑体"/>
                <w:color w:val="auto"/>
                <w:kern w:val="0"/>
                <w:szCs w:val="21"/>
                <w:highlight w:val="none"/>
              </w:rPr>
              <w:t>⑤</w:t>
            </w:r>
            <w:r>
              <w:rPr>
                <w:rFonts w:hint="eastAsia" w:ascii="黑体" w:hAnsi="黑体" w:eastAsia="黑体" w:cs="宋体"/>
                <w:color w:val="auto"/>
                <w:kern w:val="0"/>
                <w:szCs w:val="21"/>
                <w:highlight w:val="none"/>
              </w:rPr>
              <w:t>未提供方案的不得分。</w:t>
            </w:r>
          </w:p>
        </w:tc>
      </w:tr>
    </w:tbl>
    <w:p w14:paraId="5914C8E9">
      <w:pPr>
        <w:rPr>
          <w:color w:val="auto"/>
          <w:highlight w:val="none"/>
        </w:rPr>
      </w:pPr>
      <w:r>
        <w:rPr>
          <w:color w:val="auto"/>
          <w:highlight w:val="none"/>
        </w:rPr>
        <w:br w:type="page"/>
      </w:r>
    </w:p>
    <w:p w14:paraId="01409D83">
      <w:pPr>
        <w:pStyle w:val="29"/>
        <w:keepNext w:val="0"/>
        <w:keepLines w:val="0"/>
        <w:pageBreakBefore/>
        <w:widowControl w:val="0"/>
        <w:numPr>
          <w:ilvl w:val="0"/>
          <w:numId w:val="109"/>
        </w:numPr>
        <w:kinsoku/>
        <w:wordWrap/>
        <w:overflowPunct/>
        <w:topLinePunct w:val="0"/>
        <w:autoSpaceDE/>
        <w:autoSpaceDN/>
        <w:bidi w:val="0"/>
        <w:adjustRightInd/>
        <w:snapToGrid/>
        <w:spacing w:before="312" w:beforeLines="100" w:line="360" w:lineRule="auto"/>
        <w:ind w:left="0" w:hanging="422" w:hangingChars="200"/>
        <w:textAlignment w:val="auto"/>
        <w:rPr>
          <w:rFonts w:ascii="黑体" w:hAnsi="黑体" w:eastAsia="黑体"/>
          <w:b/>
          <w:bCs/>
          <w:color w:val="auto"/>
          <w:szCs w:val="21"/>
          <w:highlight w:val="none"/>
        </w:rPr>
      </w:pPr>
      <w:r>
        <w:rPr>
          <w:rFonts w:hint="eastAsia" w:ascii="黑体" w:hAnsi="黑体" w:eastAsia="黑体"/>
          <w:b/>
          <w:bCs/>
          <w:color w:val="auto"/>
          <w:szCs w:val="21"/>
          <w:highlight w:val="none"/>
          <w:lang w:val="en-US" w:eastAsia="zh-CN"/>
        </w:rPr>
        <w:t>包B：</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095"/>
        <w:gridCol w:w="765"/>
        <w:gridCol w:w="6213"/>
      </w:tblGrid>
      <w:tr w14:paraId="5C10F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5" w:type="pct"/>
            <w:vAlign w:val="center"/>
          </w:tcPr>
          <w:p w14:paraId="1ED087B9">
            <w:pPr>
              <w:pStyle w:val="35"/>
              <w:spacing w:after="62" w:afterLines="20" w:line="440" w:lineRule="exact"/>
              <w:ind w:firstLine="0" w:firstLineChars="0"/>
              <w:jc w:val="center"/>
              <w:rPr>
                <w:rFonts w:ascii="黑体" w:hAnsi="黑体" w:eastAsia="黑体"/>
                <w:b/>
                <w:color w:val="auto"/>
                <w:sz w:val="21"/>
                <w:szCs w:val="21"/>
                <w:highlight w:val="none"/>
              </w:rPr>
            </w:pPr>
            <w:r>
              <w:rPr>
                <w:rFonts w:hint="eastAsia" w:ascii="黑体" w:hAnsi="黑体" w:eastAsia="黑体"/>
                <w:b/>
                <w:color w:val="auto"/>
                <w:sz w:val="21"/>
                <w:szCs w:val="21"/>
                <w:highlight w:val="none"/>
              </w:rPr>
              <w:t>序号</w:t>
            </w:r>
          </w:p>
        </w:tc>
        <w:tc>
          <w:tcPr>
            <w:tcW w:w="624" w:type="pct"/>
            <w:vAlign w:val="center"/>
          </w:tcPr>
          <w:p w14:paraId="7540129E">
            <w:pPr>
              <w:pStyle w:val="35"/>
              <w:spacing w:after="62" w:afterLines="20" w:line="440" w:lineRule="exact"/>
              <w:ind w:firstLine="0" w:firstLineChars="0"/>
              <w:jc w:val="center"/>
              <w:rPr>
                <w:rFonts w:ascii="黑体" w:hAnsi="黑体" w:eastAsia="黑体"/>
                <w:b/>
                <w:color w:val="auto"/>
                <w:sz w:val="21"/>
                <w:szCs w:val="21"/>
                <w:highlight w:val="none"/>
              </w:rPr>
            </w:pPr>
            <w:r>
              <w:rPr>
                <w:rFonts w:hint="eastAsia" w:ascii="黑体" w:hAnsi="黑体" w:eastAsia="黑体"/>
                <w:b/>
                <w:color w:val="auto"/>
                <w:sz w:val="21"/>
                <w:szCs w:val="21"/>
                <w:highlight w:val="none"/>
              </w:rPr>
              <w:t>评分内容</w:t>
            </w:r>
          </w:p>
        </w:tc>
        <w:tc>
          <w:tcPr>
            <w:tcW w:w="436" w:type="pct"/>
            <w:vAlign w:val="center"/>
          </w:tcPr>
          <w:p w14:paraId="0CAA46D5">
            <w:pPr>
              <w:pStyle w:val="35"/>
              <w:spacing w:after="62" w:afterLines="20" w:line="440" w:lineRule="exact"/>
              <w:ind w:firstLine="0" w:firstLineChars="0"/>
              <w:jc w:val="center"/>
              <w:rPr>
                <w:rFonts w:ascii="黑体" w:hAnsi="黑体" w:eastAsia="黑体"/>
                <w:b/>
                <w:color w:val="auto"/>
                <w:sz w:val="21"/>
                <w:szCs w:val="21"/>
                <w:highlight w:val="none"/>
              </w:rPr>
            </w:pPr>
            <w:r>
              <w:rPr>
                <w:rFonts w:hint="eastAsia" w:ascii="黑体" w:hAnsi="黑体" w:eastAsia="黑体"/>
                <w:b/>
                <w:color w:val="auto"/>
                <w:sz w:val="21"/>
                <w:szCs w:val="21"/>
                <w:highlight w:val="none"/>
              </w:rPr>
              <w:t>分值</w:t>
            </w:r>
          </w:p>
        </w:tc>
        <w:tc>
          <w:tcPr>
            <w:tcW w:w="3543" w:type="pct"/>
            <w:vAlign w:val="center"/>
          </w:tcPr>
          <w:p w14:paraId="2437D3C1">
            <w:pPr>
              <w:pStyle w:val="35"/>
              <w:spacing w:after="62" w:afterLines="20" w:line="440" w:lineRule="exact"/>
              <w:ind w:firstLine="0" w:firstLineChars="0"/>
              <w:jc w:val="center"/>
              <w:rPr>
                <w:rFonts w:ascii="黑体" w:hAnsi="黑体" w:eastAsia="黑体"/>
                <w:b/>
                <w:color w:val="auto"/>
                <w:sz w:val="21"/>
                <w:szCs w:val="21"/>
                <w:highlight w:val="none"/>
              </w:rPr>
            </w:pPr>
            <w:r>
              <w:rPr>
                <w:rFonts w:hint="eastAsia" w:ascii="黑体" w:hAnsi="黑体" w:eastAsia="黑体"/>
                <w:b/>
                <w:color w:val="auto"/>
                <w:sz w:val="21"/>
                <w:szCs w:val="21"/>
                <w:highlight w:val="none"/>
              </w:rPr>
              <w:t>评审标准</w:t>
            </w:r>
          </w:p>
        </w:tc>
      </w:tr>
      <w:tr w14:paraId="37EF5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14:paraId="79C440C6">
            <w:pPr>
              <w:pStyle w:val="35"/>
              <w:spacing w:after="62" w:afterLines="20" w:line="440" w:lineRule="exact"/>
              <w:ind w:firstLine="0" w:firstLineChars="0"/>
              <w:jc w:val="center"/>
              <w:rPr>
                <w:rFonts w:ascii="黑体" w:hAnsi="黑体" w:eastAsia="黑体"/>
                <w:b/>
                <w:color w:val="auto"/>
                <w:sz w:val="21"/>
                <w:szCs w:val="21"/>
                <w:highlight w:val="none"/>
              </w:rPr>
            </w:pPr>
            <w:r>
              <w:rPr>
                <w:rFonts w:hint="eastAsia" w:ascii="黑体" w:hAnsi="黑体" w:eastAsia="黑体"/>
                <w:b/>
                <w:color w:val="auto"/>
                <w:sz w:val="21"/>
                <w:szCs w:val="21"/>
                <w:highlight w:val="none"/>
              </w:rPr>
              <w:t>商务评审细则（</w:t>
            </w:r>
            <w:r>
              <w:rPr>
                <w:rFonts w:hint="eastAsia" w:ascii="黑体" w:hAnsi="黑体" w:eastAsia="黑体"/>
                <w:b/>
                <w:color w:val="auto"/>
                <w:sz w:val="21"/>
                <w:szCs w:val="21"/>
                <w:highlight w:val="none"/>
                <w:lang w:val="en-US" w:eastAsia="zh-CN"/>
              </w:rPr>
              <w:t>15</w:t>
            </w:r>
            <w:r>
              <w:rPr>
                <w:rFonts w:hint="eastAsia" w:ascii="黑体" w:hAnsi="黑体" w:eastAsia="黑体"/>
                <w:b/>
                <w:color w:val="auto"/>
                <w:sz w:val="21"/>
                <w:szCs w:val="21"/>
                <w:highlight w:val="none"/>
              </w:rPr>
              <w:t>分）</w:t>
            </w:r>
          </w:p>
        </w:tc>
      </w:tr>
      <w:tr w14:paraId="6077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5" w:type="pct"/>
            <w:vAlign w:val="center"/>
          </w:tcPr>
          <w:p w14:paraId="3C9186F2">
            <w:pPr>
              <w:spacing w:before="31" w:beforeLines="10" w:after="93" w:afterLines="30" w:line="440" w:lineRule="exact"/>
              <w:jc w:val="center"/>
              <w:rPr>
                <w:rFonts w:hint="eastAsia" w:ascii="黑体" w:hAnsi="黑体" w:eastAsia="黑体"/>
                <w:color w:val="auto"/>
                <w:szCs w:val="21"/>
                <w:highlight w:val="none"/>
                <w:lang w:eastAsia="zh-CN"/>
              </w:rPr>
            </w:pPr>
            <w:r>
              <w:rPr>
                <w:rFonts w:hint="eastAsia" w:ascii="黑体" w:hAnsi="黑体" w:eastAsia="黑体"/>
                <w:color w:val="auto"/>
                <w:szCs w:val="21"/>
                <w:highlight w:val="none"/>
                <w:lang w:val="en-US" w:eastAsia="zh-CN"/>
              </w:rPr>
              <w:t>1</w:t>
            </w:r>
          </w:p>
        </w:tc>
        <w:tc>
          <w:tcPr>
            <w:tcW w:w="624" w:type="pct"/>
            <w:vAlign w:val="center"/>
          </w:tcPr>
          <w:p w14:paraId="141526D5">
            <w:pPr>
              <w:spacing w:before="31" w:beforeLines="10" w:after="30" w:line="440" w:lineRule="exact"/>
              <w:jc w:val="center"/>
              <w:rPr>
                <w:rFonts w:ascii="黑体" w:hAnsi="黑体" w:eastAsia="黑体"/>
                <w:bCs/>
                <w:color w:val="auto"/>
                <w:szCs w:val="21"/>
                <w:highlight w:val="none"/>
              </w:rPr>
            </w:pPr>
            <w:r>
              <w:rPr>
                <w:rFonts w:ascii="黑体" w:hAnsi="黑体" w:eastAsia="黑体"/>
                <w:bCs/>
                <w:color w:val="auto"/>
                <w:szCs w:val="21"/>
                <w:highlight w:val="none"/>
              </w:rPr>
              <w:t>企业业绩</w:t>
            </w:r>
          </w:p>
        </w:tc>
        <w:tc>
          <w:tcPr>
            <w:tcW w:w="436" w:type="pct"/>
            <w:vAlign w:val="center"/>
          </w:tcPr>
          <w:p w14:paraId="64344464">
            <w:pPr>
              <w:widowControl/>
              <w:spacing w:before="31" w:beforeLines="10" w:after="30" w:line="440" w:lineRule="exact"/>
              <w:jc w:val="center"/>
              <w:rPr>
                <w:rFonts w:ascii="黑体" w:hAnsi="黑体" w:eastAsia="黑体"/>
                <w:bCs/>
                <w:color w:val="auto"/>
                <w:szCs w:val="21"/>
                <w:highlight w:val="none"/>
              </w:rPr>
            </w:pPr>
            <w:r>
              <w:rPr>
                <w:rFonts w:hint="eastAsia" w:ascii="黑体" w:hAnsi="黑体" w:eastAsia="黑体"/>
                <w:bCs/>
                <w:color w:val="auto"/>
                <w:szCs w:val="21"/>
                <w:highlight w:val="none"/>
                <w:lang w:val="en-US" w:eastAsia="zh-CN"/>
              </w:rPr>
              <w:t>12</w:t>
            </w:r>
            <w:r>
              <w:rPr>
                <w:rFonts w:hint="eastAsia" w:ascii="黑体" w:hAnsi="黑体" w:eastAsia="黑体"/>
                <w:bCs/>
                <w:color w:val="auto"/>
                <w:szCs w:val="21"/>
                <w:highlight w:val="none"/>
              </w:rPr>
              <w:t>分</w:t>
            </w:r>
          </w:p>
        </w:tc>
        <w:tc>
          <w:tcPr>
            <w:tcW w:w="3543" w:type="pct"/>
            <w:vAlign w:val="center"/>
          </w:tcPr>
          <w:p w14:paraId="610714FA">
            <w:pPr>
              <w:spacing w:line="440" w:lineRule="exact"/>
              <w:rPr>
                <w:rFonts w:ascii="黑体" w:hAnsi="黑体" w:eastAsia="黑体"/>
                <w:color w:val="auto"/>
                <w:szCs w:val="21"/>
                <w:highlight w:val="none"/>
              </w:rPr>
            </w:pPr>
            <w:r>
              <w:rPr>
                <w:rFonts w:hint="eastAsia" w:ascii="黑体" w:hAnsi="黑体" w:eastAsia="黑体"/>
                <w:color w:val="auto"/>
                <w:szCs w:val="21"/>
                <w:highlight w:val="none"/>
              </w:rPr>
              <w:t>投标人</w:t>
            </w:r>
            <w:r>
              <w:rPr>
                <w:rFonts w:ascii="黑体" w:hAnsi="黑体" w:eastAsia="黑体"/>
                <w:color w:val="auto"/>
                <w:szCs w:val="21"/>
                <w:highlight w:val="none"/>
              </w:rPr>
              <w:t>提供</w:t>
            </w:r>
            <w:r>
              <w:rPr>
                <w:rFonts w:hint="eastAsia" w:ascii="黑体" w:hAnsi="黑体" w:eastAsia="黑体"/>
                <w:color w:val="auto"/>
                <w:szCs w:val="21"/>
                <w:highlight w:val="none"/>
                <w:lang w:val="en-US" w:eastAsia="zh-CN"/>
              </w:rPr>
              <w:t>医疗</w:t>
            </w:r>
            <w:r>
              <w:rPr>
                <w:rFonts w:hint="eastAsia" w:ascii="黑体" w:hAnsi="黑体" w:eastAsia="黑体"/>
                <w:color w:val="auto"/>
                <w:szCs w:val="21"/>
                <w:highlight w:val="none"/>
              </w:rPr>
              <w:t>设备类</w:t>
            </w:r>
            <w:r>
              <w:rPr>
                <w:rFonts w:hint="eastAsia" w:ascii="黑体" w:hAnsi="黑体" w:eastAsia="黑体"/>
                <w:color w:val="auto"/>
                <w:szCs w:val="21"/>
                <w:highlight w:val="none"/>
                <w:lang w:val="en-US" w:eastAsia="zh-CN"/>
              </w:rPr>
              <w:t>项目</w:t>
            </w:r>
            <w:r>
              <w:rPr>
                <w:rFonts w:ascii="黑体" w:hAnsi="黑体" w:eastAsia="黑体"/>
                <w:color w:val="auto"/>
                <w:szCs w:val="21"/>
                <w:highlight w:val="none"/>
              </w:rPr>
              <w:t>业绩，每提供一</w:t>
            </w:r>
            <w:r>
              <w:rPr>
                <w:rFonts w:hint="eastAsia" w:ascii="黑体" w:hAnsi="黑体" w:eastAsia="黑体"/>
                <w:color w:val="auto"/>
                <w:szCs w:val="21"/>
                <w:highlight w:val="none"/>
              </w:rPr>
              <w:t>个</w:t>
            </w:r>
            <w:r>
              <w:rPr>
                <w:rFonts w:ascii="黑体" w:hAnsi="黑体" w:eastAsia="黑体"/>
                <w:color w:val="auto"/>
                <w:szCs w:val="21"/>
                <w:highlight w:val="none"/>
              </w:rPr>
              <w:t>得</w:t>
            </w:r>
            <w:r>
              <w:rPr>
                <w:rFonts w:hint="eastAsia" w:ascii="黑体" w:hAnsi="黑体" w:eastAsia="黑体"/>
                <w:color w:val="auto"/>
                <w:szCs w:val="21"/>
                <w:highlight w:val="none"/>
                <w:lang w:val="en-US" w:eastAsia="zh-CN"/>
              </w:rPr>
              <w:t>3</w:t>
            </w:r>
            <w:r>
              <w:rPr>
                <w:rFonts w:ascii="黑体" w:hAnsi="黑体" w:eastAsia="黑体"/>
                <w:color w:val="auto"/>
                <w:szCs w:val="21"/>
                <w:highlight w:val="none"/>
              </w:rPr>
              <w:t>分，最高得</w:t>
            </w:r>
            <w:r>
              <w:rPr>
                <w:rFonts w:hint="eastAsia" w:ascii="黑体" w:hAnsi="黑体" w:eastAsia="黑体"/>
                <w:color w:val="auto"/>
                <w:szCs w:val="21"/>
                <w:highlight w:val="none"/>
                <w:lang w:val="en-US" w:eastAsia="zh-CN"/>
              </w:rPr>
              <w:t>12</w:t>
            </w:r>
            <w:r>
              <w:rPr>
                <w:rFonts w:ascii="黑体" w:hAnsi="黑体" w:eastAsia="黑体"/>
                <w:color w:val="auto"/>
                <w:szCs w:val="21"/>
                <w:highlight w:val="none"/>
              </w:rPr>
              <w:t>分。</w:t>
            </w:r>
          </w:p>
          <w:p w14:paraId="7F9FDC76">
            <w:pPr>
              <w:spacing w:line="440" w:lineRule="exact"/>
              <w:rPr>
                <w:rFonts w:ascii="黑体" w:hAnsi="黑体" w:eastAsia="黑体"/>
                <w:b/>
                <w:bCs/>
                <w:color w:val="auto"/>
                <w:szCs w:val="21"/>
                <w:highlight w:val="none"/>
                <w:u w:val="single"/>
              </w:rPr>
            </w:pPr>
            <w:r>
              <w:rPr>
                <w:rFonts w:ascii="黑体" w:hAnsi="黑体" w:eastAsia="黑体"/>
                <w:b/>
                <w:bCs/>
                <w:color w:val="auto"/>
                <w:szCs w:val="21"/>
                <w:highlight w:val="none"/>
                <w:u w:val="single"/>
              </w:rPr>
              <w:t>注：须合同复印件加盖投标人公章，未提供不得分</w:t>
            </w:r>
            <w:r>
              <w:rPr>
                <w:rFonts w:hint="eastAsia" w:ascii="黑体" w:hAnsi="黑体" w:eastAsia="黑体"/>
                <w:b/>
                <w:bCs/>
                <w:color w:val="auto"/>
                <w:szCs w:val="21"/>
                <w:highlight w:val="none"/>
                <w:u w:val="single"/>
              </w:rPr>
              <w:t>。</w:t>
            </w:r>
          </w:p>
        </w:tc>
      </w:tr>
      <w:tr w14:paraId="2E675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5" w:type="pct"/>
            <w:vAlign w:val="center"/>
          </w:tcPr>
          <w:p w14:paraId="31A7B875">
            <w:pPr>
              <w:spacing w:before="31" w:beforeLines="10" w:after="93" w:afterLines="30" w:line="440" w:lineRule="exact"/>
              <w:jc w:val="center"/>
              <w:rPr>
                <w:rFonts w:hint="eastAsia" w:ascii="黑体" w:hAnsi="黑体" w:eastAsia="黑体"/>
                <w:color w:val="auto"/>
                <w:szCs w:val="21"/>
                <w:highlight w:val="none"/>
                <w:lang w:eastAsia="zh-CN"/>
              </w:rPr>
            </w:pPr>
            <w:r>
              <w:rPr>
                <w:rFonts w:hint="eastAsia" w:ascii="黑体" w:hAnsi="黑体" w:eastAsia="黑体"/>
                <w:color w:val="auto"/>
                <w:szCs w:val="21"/>
                <w:highlight w:val="none"/>
                <w:lang w:val="en-US" w:eastAsia="zh-CN"/>
              </w:rPr>
              <w:t>2</w:t>
            </w:r>
          </w:p>
        </w:tc>
        <w:tc>
          <w:tcPr>
            <w:tcW w:w="624" w:type="pct"/>
            <w:vAlign w:val="center"/>
          </w:tcPr>
          <w:p w14:paraId="41425F5B">
            <w:pPr>
              <w:spacing w:before="31" w:beforeLines="10" w:after="30" w:line="440" w:lineRule="exact"/>
              <w:jc w:val="center"/>
              <w:rPr>
                <w:rFonts w:hint="default"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服务便利性</w:t>
            </w:r>
          </w:p>
        </w:tc>
        <w:tc>
          <w:tcPr>
            <w:tcW w:w="436" w:type="pct"/>
            <w:vAlign w:val="center"/>
          </w:tcPr>
          <w:p w14:paraId="62319311">
            <w:pPr>
              <w:widowControl/>
              <w:spacing w:before="31" w:beforeLines="10" w:after="30" w:line="440" w:lineRule="exact"/>
              <w:jc w:val="center"/>
              <w:rPr>
                <w:rFonts w:ascii="黑体" w:hAnsi="黑体" w:eastAsia="黑体"/>
                <w:color w:val="auto"/>
                <w:szCs w:val="21"/>
                <w:highlight w:val="none"/>
              </w:rPr>
            </w:pPr>
            <w:r>
              <w:rPr>
                <w:rFonts w:hint="eastAsia" w:ascii="黑体" w:hAnsi="黑体" w:eastAsia="黑体"/>
                <w:color w:val="auto"/>
                <w:szCs w:val="21"/>
                <w:highlight w:val="none"/>
                <w:lang w:val="en-US" w:eastAsia="zh-CN"/>
              </w:rPr>
              <w:t>3</w:t>
            </w:r>
            <w:r>
              <w:rPr>
                <w:rFonts w:hint="eastAsia" w:ascii="黑体" w:hAnsi="黑体" w:eastAsia="黑体"/>
                <w:color w:val="auto"/>
                <w:szCs w:val="21"/>
                <w:highlight w:val="none"/>
              </w:rPr>
              <w:t>分</w:t>
            </w:r>
          </w:p>
        </w:tc>
        <w:tc>
          <w:tcPr>
            <w:tcW w:w="3543" w:type="pct"/>
            <w:vAlign w:val="center"/>
          </w:tcPr>
          <w:p w14:paraId="1171FD86">
            <w:pPr>
              <w:spacing w:before="31" w:beforeLines="10" w:after="30" w:line="440" w:lineRule="exact"/>
              <w:rPr>
                <w:rFonts w:hint="eastAsia" w:ascii="黑体" w:hAnsi="黑体" w:eastAsia="黑体"/>
                <w:b w:val="0"/>
                <w:bCs w:val="0"/>
                <w:color w:val="auto"/>
                <w:szCs w:val="21"/>
                <w:highlight w:val="none"/>
                <w:u w:val="none"/>
              </w:rPr>
            </w:pPr>
            <w:r>
              <w:rPr>
                <w:rFonts w:hint="eastAsia" w:ascii="黑体" w:hAnsi="黑体" w:eastAsia="黑体"/>
                <w:b w:val="0"/>
                <w:bCs w:val="0"/>
                <w:color w:val="auto"/>
                <w:szCs w:val="21"/>
                <w:highlight w:val="none"/>
                <w:u w:val="none"/>
              </w:rPr>
              <w:t>根据投标人提供的服务响应时间承诺进行评审：</w:t>
            </w:r>
          </w:p>
          <w:p w14:paraId="59C463B0">
            <w:pPr>
              <w:spacing w:line="360" w:lineRule="auto"/>
              <w:rPr>
                <w:rFonts w:ascii="黑体" w:hAnsi="黑体" w:eastAsia="黑体"/>
                <w:color w:val="auto"/>
                <w:szCs w:val="21"/>
                <w:highlight w:val="none"/>
              </w:rPr>
            </w:pPr>
            <w:r>
              <w:rPr>
                <w:rFonts w:hint="eastAsia" w:ascii="黑体" w:hAnsi="黑体" w:eastAsia="黑体"/>
                <w:b w:val="0"/>
                <w:bCs w:val="0"/>
                <w:color w:val="auto"/>
                <w:szCs w:val="21"/>
                <w:highlight w:val="none"/>
                <w:u w:val="none"/>
              </w:rPr>
              <w:t>①</w:t>
            </w:r>
            <w:r>
              <w:rPr>
                <w:rFonts w:hint="eastAsia" w:ascii="黑体" w:hAnsi="黑体" w:eastAsia="黑体"/>
                <w:color w:val="auto"/>
                <w:szCs w:val="21"/>
                <w:highlight w:val="none"/>
              </w:rPr>
              <w:t>投标人承诺在接到采购人通知后3</w:t>
            </w:r>
            <w:r>
              <w:rPr>
                <w:rFonts w:ascii="黑体" w:hAnsi="黑体" w:eastAsia="黑体"/>
                <w:color w:val="auto"/>
                <w:szCs w:val="21"/>
                <w:highlight w:val="none"/>
              </w:rPr>
              <w:t>0</w:t>
            </w:r>
            <w:r>
              <w:rPr>
                <w:rFonts w:hint="eastAsia" w:ascii="黑体" w:hAnsi="黑体" w:eastAsia="黑体"/>
                <w:color w:val="auto"/>
                <w:szCs w:val="21"/>
                <w:highlight w:val="none"/>
              </w:rPr>
              <w:t>分钟内响应，</w:t>
            </w:r>
            <w:r>
              <w:rPr>
                <w:rFonts w:hint="eastAsia" w:ascii="黑体" w:hAnsi="黑体" w:eastAsia="黑体"/>
                <w:color w:val="auto"/>
                <w:szCs w:val="21"/>
                <w:highlight w:val="none"/>
                <w:lang w:val="en-US" w:eastAsia="zh-CN"/>
              </w:rPr>
              <w:t>1</w:t>
            </w:r>
            <w:r>
              <w:rPr>
                <w:rFonts w:hint="eastAsia" w:ascii="黑体" w:hAnsi="黑体" w:eastAsia="黑体"/>
                <w:color w:val="auto"/>
                <w:szCs w:val="21"/>
                <w:highlight w:val="none"/>
              </w:rPr>
              <w:t>个小时内到达现场，得</w:t>
            </w:r>
            <w:r>
              <w:rPr>
                <w:rFonts w:hint="eastAsia" w:ascii="黑体" w:hAnsi="黑体" w:eastAsia="黑体"/>
                <w:color w:val="auto"/>
                <w:szCs w:val="21"/>
                <w:highlight w:val="none"/>
                <w:lang w:val="en-US" w:eastAsia="zh-CN"/>
              </w:rPr>
              <w:t>3</w:t>
            </w:r>
            <w:r>
              <w:rPr>
                <w:rFonts w:hint="eastAsia" w:ascii="黑体" w:hAnsi="黑体" w:eastAsia="黑体"/>
                <w:color w:val="auto"/>
                <w:szCs w:val="21"/>
                <w:highlight w:val="none"/>
              </w:rPr>
              <w:t>分；</w:t>
            </w:r>
          </w:p>
          <w:p w14:paraId="3FB49591">
            <w:pPr>
              <w:spacing w:line="360" w:lineRule="auto"/>
              <w:rPr>
                <w:rFonts w:ascii="黑体" w:hAnsi="黑体" w:eastAsia="黑体"/>
                <w:color w:val="auto"/>
                <w:szCs w:val="21"/>
                <w:highlight w:val="none"/>
              </w:rPr>
            </w:pPr>
            <w:r>
              <w:rPr>
                <w:rFonts w:hint="eastAsia" w:ascii="黑体" w:hAnsi="黑体" w:eastAsia="黑体"/>
                <w:color w:val="auto"/>
                <w:szCs w:val="21"/>
                <w:highlight w:val="none"/>
              </w:rPr>
              <w:t>②投标人承诺在接到采购人通知后3</w:t>
            </w:r>
            <w:r>
              <w:rPr>
                <w:rFonts w:ascii="黑体" w:hAnsi="黑体" w:eastAsia="黑体"/>
                <w:color w:val="auto"/>
                <w:szCs w:val="21"/>
                <w:highlight w:val="none"/>
              </w:rPr>
              <w:t>0</w:t>
            </w:r>
            <w:r>
              <w:rPr>
                <w:rFonts w:hint="eastAsia" w:ascii="黑体" w:hAnsi="黑体" w:eastAsia="黑体"/>
                <w:color w:val="auto"/>
                <w:szCs w:val="21"/>
                <w:highlight w:val="none"/>
              </w:rPr>
              <w:t>分钟内响应，</w:t>
            </w:r>
            <w:r>
              <w:rPr>
                <w:rFonts w:hint="eastAsia" w:ascii="黑体" w:hAnsi="黑体" w:eastAsia="黑体"/>
                <w:color w:val="auto"/>
                <w:szCs w:val="21"/>
                <w:highlight w:val="none"/>
                <w:lang w:val="en-US" w:eastAsia="zh-CN"/>
              </w:rPr>
              <w:t>2</w:t>
            </w:r>
            <w:r>
              <w:rPr>
                <w:rFonts w:hint="eastAsia" w:ascii="黑体" w:hAnsi="黑体" w:eastAsia="黑体"/>
                <w:color w:val="auto"/>
                <w:szCs w:val="21"/>
                <w:highlight w:val="none"/>
              </w:rPr>
              <w:t>个小时内到达现场，得</w:t>
            </w:r>
            <w:r>
              <w:rPr>
                <w:rFonts w:hint="eastAsia" w:ascii="黑体" w:hAnsi="黑体" w:eastAsia="黑体"/>
                <w:color w:val="auto"/>
                <w:szCs w:val="21"/>
                <w:highlight w:val="none"/>
                <w:lang w:val="en-US" w:eastAsia="zh-CN"/>
              </w:rPr>
              <w:t>2</w:t>
            </w:r>
            <w:r>
              <w:rPr>
                <w:rFonts w:hint="eastAsia" w:ascii="黑体" w:hAnsi="黑体" w:eastAsia="黑体"/>
                <w:color w:val="auto"/>
                <w:szCs w:val="21"/>
                <w:highlight w:val="none"/>
              </w:rPr>
              <w:t>分</w:t>
            </w:r>
            <w:r>
              <w:rPr>
                <w:rFonts w:hint="eastAsia" w:ascii="黑体" w:hAnsi="黑体" w:eastAsia="黑体"/>
                <w:color w:val="auto"/>
                <w:szCs w:val="21"/>
                <w:highlight w:val="none"/>
                <w:lang w:eastAsia="zh-CN"/>
              </w:rPr>
              <w:t>；</w:t>
            </w:r>
          </w:p>
          <w:p w14:paraId="452733B2">
            <w:pPr>
              <w:spacing w:before="31" w:beforeLines="10" w:after="30" w:line="440" w:lineRule="exact"/>
              <w:rPr>
                <w:rFonts w:hint="eastAsia" w:ascii="黑体" w:hAnsi="黑体" w:eastAsia="黑体"/>
                <w:color w:val="auto"/>
                <w:szCs w:val="21"/>
                <w:highlight w:val="none"/>
              </w:rPr>
            </w:pPr>
            <w:r>
              <w:rPr>
                <w:rFonts w:hint="eastAsia" w:ascii="黑体" w:hAnsi="黑体" w:eastAsia="黑体"/>
                <w:color w:val="auto"/>
                <w:szCs w:val="21"/>
                <w:highlight w:val="none"/>
              </w:rPr>
              <w:t>③投标人承诺在接到采购人通知后3</w:t>
            </w:r>
            <w:r>
              <w:rPr>
                <w:rFonts w:ascii="黑体" w:hAnsi="黑体" w:eastAsia="黑体"/>
                <w:color w:val="auto"/>
                <w:szCs w:val="21"/>
                <w:highlight w:val="none"/>
              </w:rPr>
              <w:t>0</w:t>
            </w:r>
            <w:r>
              <w:rPr>
                <w:rFonts w:hint="eastAsia" w:ascii="黑体" w:hAnsi="黑体" w:eastAsia="黑体"/>
                <w:color w:val="auto"/>
                <w:szCs w:val="21"/>
                <w:highlight w:val="none"/>
              </w:rPr>
              <w:t>分钟内响应，</w:t>
            </w:r>
            <w:r>
              <w:rPr>
                <w:rFonts w:ascii="黑体" w:hAnsi="黑体" w:eastAsia="黑体"/>
                <w:color w:val="auto"/>
                <w:szCs w:val="21"/>
                <w:highlight w:val="none"/>
              </w:rPr>
              <w:t>3</w:t>
            </w:r>
            <w:r>
              <w:rPr>
                <w:rFonts w:hint="eastAsia" w:ascii="黑体" w:hAnsi="黑体" w:eastAsia="黑体"/>
                <w:color w:val="auto"/>
                <w:szCs w:val="21"/>
                <w:highlight w:val="none"/>
              </w:rPr>
              <w:t>个小时内到达现场，得</w:t>
            </w:r>
            <w:r>
              <w:rPr>
                <w:rFonts w:hint="eastAsia" w:ascii="黑体" w:hAnsi="黑体" w:eastAsia="黑体"/>
                <w:color w:val="auto"/>
                <w:szCs w:val="21"/>
                <w:highlight w:val="none"/>
                <w:lang w:val="en-US" w:eastAsia="zh-CN"/>
              </w:rPr>
              <w:t>1</w:t>
            </w:r>
            <w:r>
              <w:rPr>
                <w:rFonts w:hint="eastAsia" w:ascii="黑体" w:hAnsi="黑体" w:eastAsia="黑体"/>
                <w:color w:val="auto"/>
                <w:szCs w:val="21"/>
                <w:highlight w:val="none"/>
              </w:rPr>
              <w:t>分</w:t>
            </w:r>
            <w:r>
              <w:rPr>
                <w:rFonts w:hint="eastAsia" w:ascii="黑体" w:hAnsi="黑体" w:eastAsia="黑体"/>
                <w:color w:val="auto"/>
                <w:szCs w:val="21"/>
                <w:highlight w:val="none"/>
                <w:lang w:eastAsia="zh-CN"/>
              </w:rPr>
              <w:t>；</w:t>
            </w:r>
          </w:p>
          <w:p w14:paraId="3165BF69">
            <w:pPr>
              <w:spacing w:before="31" w:beforeLines="10" w:after="30" w:line="440" w:lineRule="exact"/>
              <w:rPr>
                <w:rFonts w:hint="eastAsia" w:ascii="黑体" w:hAnsi="黑体" w:eastAsia="黑体"/>
                <w:b/>
                <w:bCs/>
                <w:color w:val="auto"/>
                <w:szCs w:val="21"/>
                <w:highlight w:val="none"/>
                <w:u w:val="none"/>
              </w:rPr>
            </w:pPr>
            <w:r>
              <w:rPr>
                <w:rFonts w:hint="eastAsia" w:ascii="宋体" w:hAnsi="宋体" w:eastAsia="宋体" w:cs="宋体"/>
                <w:b/>
                <w:bCs/>
                <w:color w:val="auto"/>
                <w:szCs w:val="21"/>
                <w:highlight w:val="none"/>
                <w:u w:val="none"/>
              </w:rPr>
              <w:t>④</w:t>
            </w:r>
            <w:r>
              <w:rPr>
                <w:rFonts w:hint="eastAsia" w:ascii="黑体" w:hAnsi="黑体" w:eastAsia="黑体"/>
                <w:b w:val="0"/>
                <w:bCs w:val="0"/>
                <w:color w:val="auto"/>
                <w:szCs w:val="21"/>
                <w:highlight w:val="none"/>
                <w:u w:val="none"/>
              </w:rPr>
              <w:t>未提供对应方案不得分</w:t>
            </w:r>
            <w:r>
              <w:rPr>
                <w:rFonts w:hint="eastAsia" w:ascii="黑体" w:hAnsi="黑体" w:eastAsia="黑体"/>
                <w:b/>
                <w:bCs/>
                <w:color w:val="auto"/>
                <w:szCs w:val="21"/>
                <w:highlight w:val="none"/>
                <w:u w:val="none"/>
              </w:rPr>
              <w:t>。</w:t>
            </w:r>
          </w:p>
          <w:p w14:paraId="066415F9">
            <w:pPr>
              <w:spacing w:before="31" w:beforeLines="10" w:after="30" w:line="440" w:lineRule="exact"/>
              <w:rPr>
                <w:rFonts w:ascii="黑体" w:hAnsi="黑体" w:eastAsia="黑体"/>
                <w:b/>
                <w:color w:val="auto"/>
                <w:szCs w:val="21"/>
                <w:highlight w:val="none"/>
                <w:u w:val="single"/>
              </w:rPr>
            </w:pPr>
            <w:r>
              <w:rPr>
                <w:rFonts w:hint="eastAsia" w:ascii="黑体" w:hAnsi="黑体" w:eastAsia="黑体"/>
                <w:b/>
                <w:bCs/>
                <w:color w:val="auto"/>
                <w:szCs w:val="21"/>
                <w:highlight w:val="none"/>
                <w:u w:val="single"/>
              </w:rPr>
              <w:t>注：投标人须提供服务承诺函</w:t>
            </w:r>
            <w:r>
              <w:rPr>
                <w:rFonts w:hint="eastAsia" w:ascii="黑体" w:hAnsi="黑体" w:eastAsia="黑体"/>
                <w:b/>
                <w:bCs/>
                <w:color w:val="auto"/>
                <w:szCs w:val="21"/>
                <w:highlight w:val="none"/>
                <w:u w:val="single"/>
                <w:lang w:eastAsia="zh-CN"/>
              </w:rPr>
              <w:t>（</w:t>
            </w:r>
            <w:r>
              <w:rPr>
                <w:rFonts w:hint="eastAsia" w:ascii="黑体" w:hAnsi="黑体" w:eastAsia="黑体"/>
                <w:b/>
                <w:bCs/>
                <w:color w:val="auto"/>
                <w:szCs w:val="21"/>
                <w:highlight w:val="none"/>
                <w:u w:val="single"/>
                <w:lang w:val="en-US" w:eastAsia="zh-CN"/>
              </w:rPr>
              <w:t>格式自拟</w:t>
            </w:r>
            <w:r>
              <w:rPr>
                <w:rFonts w:hint="eastAsia" w:ascii="黑体" w:hAnsi="黑体" w:eastAsia="黑体"/>
                <w:b/>
                <w:bCs/>
                <w:color w:val="auto"/>
                <w:szCs w:val="21"/>
                <w:highlight w:val="none"/>
                <w:u w:val="single"/>
                <w:lang w:eastAsia="zh-CN"/>
              </w:rPr>
              <w:t>）</w:t>
            </w:r>
            <w:r>
              <w:rPr>
                <w:rFonts w:hint="eastAsia" w:ascii="黑体" w:hAnsi="黑体" w:eastAsia="黑体"/>
                <w:b/>
                <w:bCs/>
                <w:color w:val="auto"/>
                <w:szCs w:val="21"/>
                <w:highlight w:val="none"/>
                <w:u w:val="single"/>
              </w:rPr>
              <w:t>加盖投标人公章。</w:t>
            </w:r>
          </w:p>
        </w:tc>
      </w:tr>
      <w:tr w14:paraId="32F44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14:paraId="4BC3F5DB">
            <w:pPr>
              <w:pStyle w:val="35"/>
              <w:spacing w:after="62" w:afterLines="20" w:line="440" w:lineRule="exact"/>
              <w:ind w:firstLine="0" w:firstLineChars="0"/>
              <w:jc w:val="center"/>
              <w:rPr>
                <w:rFonts w:ascii="黑体" w:hAnsi="黑体" w:eastAsia="黑体"/>
                <w:color w:val="auto"/>
                <w:highlight w:val="none"/>
              </w:rPr>
            </w:pPr>
            <w:r>
              <w:rPr>
                <w:rFonts w:hint="eastAsia" w:ascii="黑体" w:hAnsi="黑体" w:eastAsia="黑体"/>
                <w:b/>
                <w:color w:val="auto"/>
                <w:sz w:val="21"/>
                <w:szCs w:val="21"/>
                <w:highlight w:val="none"/>
              </w:rPr>
              <w:t>技术评审细则（</w:t>
            </w:r>
            <w:r>
              <w:rPr>
                <w:rFonts w:hint="eastAsia" w:ascii="黑体" w:hAnsi="黑体" w:eastAsia="黑体"/>
                <w:b/>
                <w:color w:val="auto"/>
                <w:sz w:val="21"/>
                <w:szCs w:val="21"/>
                <w:highlight w:val="none"/>
                <w:lang w:val="en-US" w:eastAsia="zh-CN"/>
              </w:rPr>
              <w:t>55</w:t>
            </w:r>
            <w:r>
              <w:rPr>
                <w:rFonts w:hint="eastAsia" w:ascii="黑体" w:hAnsi="黑体" w:eastAsia="黑体"/>
                <w:b/>
                <w:color w:val="auto"/>
                <w:sz w:val="21"/>
                <w:szCs w:val="21"/>
                <w:highlight w:val="none"/>
              </w:rPr>
              <w:t>分）</w:t>
            </w:r>
          </w:p>
        </w:tc>
      </w:tr>
      <w:tr w14:paraId="3F037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5" w:type="pct"/>
            <w:vAlign w:val="center"/>
          </w:tcPr>
          <w:p w14:paraId="51C7DFBA">
            <w:pPr>
              <w:spacing w:before="31" w:beforeLines="10" w:after="93" w:afterLines="30" w:line="440" w:lineRule="exact"/>
              <w:jc w:val="center"/>
              <w:rPr>
                <w:rFonts w:ascii="黑体" w:hAnsi="黑体" w:eastAsia="黑体"/>
                <w:color w:val="auto"/>
                <w:szCs w:val="21"/>
                <w:highlight w:val="none"/>
              </w:rPr>
            </w:pPr>
            <w:r>
              <w:rPr>
                <w:rFonts w:ascii="黑体" w:hAnsi="黑体" w:eastAsia="黑体"/>
                <w:color w:val="auto"/>
                <w:szCs w:val="21"/>
                <w:highlight w:val="none"/>
              </w:rPr>
              <w:t>1</w:t>
            </w:r>
          </w:p>
        </w:tc>
        <w:tc>
          <w:tcPr>
            <w:tcW w:w="624" w:type="pct"/>
            <w:vAlign w:val="center"/>
          </w:tcPr>
          <w:p w14:paraId="5DA1C925">
            <w:pPr>
              <w:spacing w:before="31" w:beforeLines="10" w:after="30" w:line="440" w:lineRule="exact"/>
              <w:jc w:val="center"/>
              <w:rPr>
                <w:rFonts w:ascii="黑体" w:hAnsi="黑体" w:eastAsia="黑体"/>
                <w:color w:val="auto"/>
                <w:szCs w:val="21"/>
                <w:highlight w:val="none"/>
              </w:rPr>
            </w:pPr>
            <w:r>
              <w:rPr>
                <w:rFonts w:ascii="黑体" w:hAnsi="黑体" w:eastAsia="黑体"/>
                <w:color w:val="auto"/>
                <w:szCs w:val="21"/>
                <w:highlight w:val="none"/>
              </w:rPr>
              <w:t>技术响应程度</w:t>
            </w:r>
          </w:p>
        </w:tc>
        <w:tc>
          <w:tcPr>
            <w:tcW w:w="436" w:type="pct"/>
            <w:vAlign w:val="center"/>
          </w:tcPr>
          <w:p w14:paraId="03E73792">
            <w:pPr>
              <w:widowControl/>
              <w:spacing w:before="31" w:beforeLines="10" w:after="30" w:line="440" w:lineRule="exact"/>
              <w:jc w:val="center"/>
              <w:rPr>
                <w:rFonts w:ascii="黑体" w:hAnsi="黑体" w:eastAsia="黑体"/>
                <w:color w:val="auto"/>
                <w:szCs w:val="21"/>
                <w:highlight w:val="none"/>
              </w:rPr>
            </w:pPr>
            <w:r>
              <w:rPr>
                <w:rFonts w:hint="eastAsia" w:ascii="黑体" w:hAnsi="黑体" w:eastAsia="黑体"/>
                <w:color w:val="auto"/>
                <w:szCs w:val="21"/>
                <w:highlight w:val="none"/>
                <w:lang w:val="en-US" w:eastAsia="zh-CN"/>
              </w:rPr>
              <w:t>16</w:t>
            </w:r>
            <w:r>
              <w:rPr>
                <w:rFonts w:hint="eastAsia" w:ascii="黑体" w:hAnsi="黑体" w:eastAsia="黑体"/>
                <w:color w:val="auto"/>
                <w:szCs w:val="21"/>
                <w:highlight w:val="none"/>
              </w:rPr>
              <w:t>分</w:t>
            </w:r>
          </w:p>
        </w:tc>
        <w:tc>
          <w:tcPr>
            <w:tcW w:w="3543" w:type="pct"/>
            <w:vAlign w:val="center"/>
          </w:tcPr>
          <w:p w14:paraId="4DFBFA28">
            <w:pPr>
              <w:spacing w:before="31" w:beforeLines="10" w:after="30" w:line="440" w:lineRule="exact"/>
              <w:rPr>
                <w:rFonts w:ascii="黑体" w:hAnsi="黑体" w:eastAsia="黑体"/>
                <w:color w:val="auto"/>
                <w:szCs w:val="21"/>
                <w:highlight w:val="none"/>
              </w:rPr>
            </w:pPr>
            <w:r>
              <w:rPr>
                <w:rFonts w:hint="eastAsia" w:ascii="黑体" w:hAnsi="黑体" w:eastAsia="黑体"/>
                <w:color w:val="auto"/>
                <w:szCs w:val="21"/>
                <w:highlight w:val="none"/>
              </w:rPr>
              <w:t>根据投标人所投产品对《采购需求》中加注</w:t>
            </w:r>
            <w:r>
              <w:rPr>
                <w:rFonts w:ascii="黑体" w:hAnsi="黑体" w:eastAsia="黑体"/>
                <w:color w:val="auto"/>
                <w:szCs w:val="21"/>
                <w:highlight w:val="none"/>
              </w:rPr>
              <w:t>“▲”</w:t>
            </w:r>
            <w:r>
              <w:rPr>
                <w:rFonts w:hint="eastAsia" w:ascii="黑体" w:hAnsi="黑体" w:eastAsia="黑体"/>
                <w:color w:val="auto"/>
                <w:szCs w:val="21"/>
                <w:highlight w:val="none"/>
              </w:rPr>
              <w:t>号的技术参数响应情况进行评分：全部满足的得</w:t>
            </w:r>
            <w:r>
              <w:rPr>
                <w:rFonts w:hint="eastAsia" w:ascii="黑体" w:hAnsi="黑体" w:eastAsia="黑体"/>
                <w:color w:val="auto"/>
                <w:szCs w:val="21"/>
                <w:highlight w:val="none"/>
                <w:lang w:val="en-US" w:eastAsia="zh-CN"/>
              </w:rPr>
              <w:t>16</w:t>
            </w:r>
            <w:r>
              <w:rPr>
                <w:rFonts w:hint="eastAsia" w:ascii="黑体" w:hAnsi="黑体" w:eastAsia="黑体"/>
                <w:color w:val="auto"/>
                <w:szCs w:val="21"/>
                <w:highlight w:val="none"/>
              </w:rPr>
              <w:t>分，每负偏离一项扣</w:t>
            </w:r>
            <w:r>
              <w:rPr>
                <w:rFonts w:hint="eastAsia" w:ascii="黑体" w:hAnsi="黑体" w:eastAsia="黑体"/>
                <w:color w:val="auto"/>
                <w:szCs w:val="21"/>
                <w:highlight w:val="none"/>
                <w:lang w:val="en-US" w:eastAsia="zh-CN"/>
              </w:rPr>
              <w:t>1</w:t>
            </w:r>
            <w:r>
              <w:rPr>
                <w:rFonts w:hint="eastAsia" w:ascii="黑体" w:hAnsi="黑体" w:eastAsia="黑体"/>
                <w:color w:val="auto"/>
                <w:szCs w:val="21"/>
                <w:highlight w:val="none"/>
              </w:rPr>
              <w:t>分，扣完为止。</w:t>
            </w:r>
          </w:p>
          <w:p w14:paraId="2FEB828C">
            <w:pPr>
              <w:spacing w:before="31" w:beforeLines="10" w:after="30" w:line="440" w:lineRule="exact"/>
              <w:rPr>
                <w:rFonts w:ascii="黑体" w:hAnsi="黑体" w:eastAsia="黑体"/>
                <w:color w:val="auto"/>
                <w:szCs w:val="21"/>
                <w:highlight w:val="none"/>
              </w:rPr>
            </w:pPr>
            <w:r>
              <w:rPr>
                <w:rFonts w:hint="eastAsia" w:ascii="黑体" w:hAnsi="黑体" w:eastAsia="黑体"/>
                <w:b/>
                <w:bCs/>
                <w:color w:val="auto"/>
                <w:szCs w:val="21"/>
                <w:highlight w:val="none"/>
                <w:u w:val="single"/>
              </w:rPr>
              <w:t>注：投标人必须按照《▲号条款要求扣分明细响应表》要求逐条响应并按以下要求提供证明材料：①单项条款中有要求的按要求提供证明材料；②未要求提供证明资料的，则投标文件中须提供所投产品制造商的公开网址链接及参数截图或制造商针对本项目所作的技术参数说明或第三方检测机构出具的检测报告复印件加盖投标人公章。</w:t>
            </w:r>
          </w:p>
        </w:tc>
      </w:tr>
      <w:tr w14:paraId="73973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5" w:type="pct"/>
            <w:vAlign w:val="center"/>
          </w:tcPr>
          <w:p w14:paraId="6CC4B5B5">
            <w:pPr>
              <w:spacing w:before="31" w:beforeLines="10" w:after="93" w:afterLines="30" w:line="440" w:lineRule="exact"/>
              <w:jc w:val="center"/>
              <w:rPr>
                <w:rFonts w:hint="eastAsia"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2</w:t>
            </w:r>
          </w:p>
        </w:tc>
        <w:tc>
          <w:tcPr>
            <w:tcW w:w="624" w:type="pct"/>
            <w:vAlign w:val="center"/>
          </w:tcPr>
          <w:p w14:paraId="12A5883C">
            <w:pPr>
              <w:spacing w:before="31" w:beforeLines="10" w:after="30" w:line="440" w:lineRule="exact"/>
              <w:jc w:val="center"/>
              <w:rPr>
                <w:rFonts w:ascii="黑体" w:hAnsi="黑体" w:eastAsia="黑体"/>
                <w:bCs/>
                <w:color w:val="auto"/>
                <w:szCs w:val="21"/>
                <w:highlight w:val="none"/>
              </w:rPr>
            </w:pPr>
            <w:r>
              <w:rPr>
                <w:rFonts w:hint="eastAsia" w:ascii="黑体" w:hAnsi="黑体" w:eastAsia="黑体"/>
                <w:bCs/>
                <w:color w:val="auto"/>
                <w:szCs w:val="21"/>
                <w:highlight w:val="none"/>
              </w:rPr>
              <w:t>项目实施方案</w:t>
            </w:r>
          </w:p>
          <w:p w14:paraId="37EF21BF">
            <w:pPr>
              <w:spacing w:before="31" w:beforeLines="10" w:after="30" w:line="440" w:lineRule="exact"/>
              <w:jc w:val="center"/>
              <w:rPr>
                <w:rFonts w:ascii="黑体" w:hAnsi="黑体" w:eastAsia="黑体"/>
                <w:bCs/>
                <w:color w:val="auto"/>
                <w:szCs w:val="21"/>
                <w:highlight w:val="none"/>
              </w:rPr>
            </w:pPr>
          </w:p>
        </w:tc>
        <w:tc>
          <w:tcPr>
            <w:tcW w:w="436" w:type="pct"/>
            <w:vAlign w:val="center"/>
          </w:tcPr>
          <w:p w14:paraId="5ADEE87D">
            <w:pPr>
              <w:widowControl/>
              <w:spacing w:before="31" w:beforeLines="10" w:after="30" w:line="440" w:lineRule="exact"/>
              <w:jc w:val="center"/>
              <w:rPr>
                <w:rFonts w:ascii="黑体" w:hAnsi="黑体" w:eastAsia="黑体"/>
                <w:bCs/>
                <w:color w:val="auto"/>
                <w:szCs w:val="21"/>
                <w:highlight w:val="none"/>
              </w:rPr>
            </w:pPr>
            <w:r>
              <w:rPr>
                <w:rFonts w:hint="eastAsia" w:ascii="黑体" w:hAnsi="黑体" w:eastAsia="黑体"/>
                <w:bCs/>
                <w:color w:val="auto"/>
                <w:szCs w:val="21"/>
                <w:highlight w:val="none"/>
                <w:lang w:val="en-US" w:eastAsia="zh-CN"/>
              </w:rPr>
              <w:t>10</w:t>
            </w:r>
            <w:r>
              <w:rPr>
                <w:rFonts w:hint="eastAsia" w:ascii="黑体" w:hAnsi="黑体" w:eastAsia="黑体"/>
                <w:bCs/>
                <w:color w:val="auto"/>
                <w:szCs w:val="21"/>
                <w:highlight w:val="none"/>
              </w:rPr>
              <w:t>分</w:t>
            </w:r>
          </w:p>
        </w:tc>
        <w:tc>
          <w:tcPr>
            <w:tcW w:w="3543" w:type="pct"/>
            <w:vAlign w:val="center"/>
          </w:tcPr>
          <w:p w14:paraId="23D2E06C">
            <w:pPr>
              <w:spacing w:before="31" w:beforeLines="10" w:after="30" w:line="440" w:lineRule="exact"/>
              <w:rPr>
                <w:rFonts w:ascii="黑体" w:hAnsi="黑体" w:eastAsia="黑体" w:cs="宋体"/>
                <w:color w:val="auto"/>
                <w:kern w:val="0"/>
                <w:szCs w:val="21"/>
                <w:highlight w:val="none"/>
              </w:rPr>
            </w:pPr>
            <w:r>
              <w:rPr>
                <w:rFonts w:hint="eastAsia" w:ascii="黑体" w:hAnsi="黑体" w:eastAsia="黑体" w:cs="宋体"/>
                <w:color w:val="auto"/>
                <w:kern w:val="0"/>
                <w:szCs w:val="21"/>
                <w:highlight w:val="none"/>
              </w:rPr>
              <w:t>根据采购需求的“项目实施要求”，对投标人提供的项目实施方案（包含但不限于①包装、运输及保管方案、②安装与调试方案）进行评审：</w:t>
            </w:r>
          </w:p>
          <w:p w14:paraId="04F6F728">
            <w:pPr>
              <w:spacing w:before="31" w:beforeLines="10" w:after="30" w:line="440" w:lineRule="exact"/>
              <w:rPr>
                <w:rFonts w:ascii="黑体" w:hAnsi="黑体" w:eastAsia="黑体" w:cs="宋体"/>
                <w:color w:val="auto"/>
                <w:kern w:val="0"/>
                <w:szCs w:val="21"/>
                <w:highlight w:val="none"/>
              </w:rPr>
            </w:pPr>
            <w:r>
              <w:rPr>
                <w:rFonts w:hint="eastAsia" w:ascii="黑体" w:hAnsi="黑体" w:eastAsia="黑体" w:cs="宋体"/>
                <w:color w:val="auto"/>
                <w:kern w:val="0"/>
                <w:szCs w:val="21"/>
                <w:highlight w:val="none"/>
              </w:rPr>
              <w:t>①项目实施方案详实具体，可操作性</w:t>
            </w:r>
            <w:r>
              <w:rPr>
                <w:rFonts w:hint="eastAsia" w:ascii="黑体" w:hAnsi="黑体" w:eastAsia="黑体" w:cs="宋体"/>
                <w:color w:val="auto"/>
                <w:kern w:val="0"/>
                <w:szCs w:val="21"/>
                <w:highlight w:val="none"/>
                <w:lang w:val="en-US" w:eastAsia="zh-CN"/>
              </w:rPr>
              <w:t>非常高，各项实施措施制度非常全面有逻辑，能完全满足采购需求的，得10分</w:t>
            </w:r>
            <w:r>
              <w:rPr>
                <w:rFonts w:hint="eastAsia" w:ascii="黑体" w:hAnsi="黑体" w:eastAsia="黑体" w:cs="宋体"/>
                <w:color w:val="auto"/>
                <w:kern w:val="0"/>
                <w:szCs w:val="21"/>
                <w:highlight w:val="none"/>
              </w:rPr>
              <w:t>；</w:t>
            </w:r>
          </w:p>
          <w:p w14:paraId="3F83A9A7">
            <w:pPr>
              <w:spacing w:before="31" w:beforeLines="10" w:after="30" w:line="440" w:lineRule="exact"/>
              <w:rPr>
                <w:rFonts w:ascii="黑体" w:hAnsi="黑体" w:eastAsia="黑体" w:cs="宋体"/>
                <w:color w:val="auto"/>
                <w:kern w:val="0"/>
                <w:szCs w:val="21"/>
                <w:highlight w:val="none"/>
              </w:rPr>
            </w:pPr>
            <w:r>
              <w:rPr>
                <w:rFonts w:hint="eastAsia" w:ascii="黑体" w:hAnsi="黑体" w:eastAsia="黑体" w:cs="宋体"/>
                <w:color w:val="auto"/>
                <w:kern w:val="0"/>
                <w:szCs w:val="21"/>
                <w:highlight w:val="none"/>
              </w:rPr>
              <w:t>②项目实施方案具体，可操作性</w:t>
            </w:r>
            <w:r>
              <w:rPr>
                <w:rFonts w:hint="eastAsia" w:ascii="黑体" w:hAnsi="黑体" w:eastAsia="黑体" w:cs="宋体"/>
                <w:color w:val="auto"/>
                <w:kern w:val="0"/>
                <w:szCs w:val="21"/>
                <w:highlight w:val="none"/>
                <w:lang w:val="en-US" w:eastAsia="zh-CN"/>
              </w:rPr>
              <w:t>高，各项实施措施制度全面有逻辑，能满足采购需求的，得7分</w:t>
            </w:r>
            <w:r>
              <w:rPr>
                <w:rFonts w:hint="eastAsia" w:ascii="黑体" w:hAnsi="黑体" w:eastAsia="黑体" w:cs="宋体"/>
                <w:color w:val="auto"/>
                <w:kern w:val="0"/>
                <w:szCs w:val="21"/>
                <w:highlight w:val="none"/>
              </w:rPr>
              <w:t>；</w:t>
            </w:r>
          </w:p>
          <w:p w14:paraId="58442761">
            <w:pPr>
              <w:spacing w:before="31" w:beforeLines="10" w:after="30" w:line="440" w:lineRule="exact"/>
              <w:rPr>
                <w:rFonts w:ascii="黑体" w:hAnsi="黑体" w:eastAsia="黑体" w:cs="宋体"/>
                <w:color w:val="auto"/>
                <w:kern w:val="0"/>
                <w:szCs w:val="21"/>
                <w:highlight w:val="none"/>
              </w:rPr>
            </w:pPr>
            <w:r>
              <w:rPr>
                <w:rFonts w:hint="eastAsia" w:ascii="黑体" w:hAnsi="黑体" w:eastAsia="黑体" w:cs="宋体"/>
                <w:color w:val="auto"/>
                <w:kern w:val="0"/>
                <w:szCs w:val="21"/>
                <w:highlight w:val="none"/>
              </w:rPr>
              <w:fldChar w:fldCharType="begin"/>
            </w:r>
            <w:r>
              <w:rPr>
                <w:rFonts w:hint="eastAsia" w:ascii="黑体" w:hAnsi="黑体" w:eastAsia="黑体" w:cs="宋体"/>
                <w:color w:val="auto"/>
                <w:kern w:val="0"/>
                <w:szCs w:val="21"/>
                <w:highlight w:val="none"/>
              </w:rPr>
              <w:instrText xml:space="preserve"> = 3 \* GB3 \* MERGEFORMAT </w:instrText>
            </w:r>
            <w:r>
              <w:rPr>
                <w:rFonts w:hint="eastAsia" w:ascii="黑体" w:hAnsi="黑体" w:eastAsia="黑体" w:cs="宋体"/>
                <w:color w:val="auto"/>
                <w:kern w:val="0"/>
                <w:szCs w:val="21"/>
                <w:highlight w:val="none"/>
              </w:rPr>
              <w:fldChar w:fldCharType="separate"/>
            </w:r>
            <w:r>
              <w:rPr>
                <w:rFonts w:hint="eastAsia" w:ascii="黑体" w:hAnsi="黑体" w:eastAsia="黑体" w:cs="宋体"/>
                <w:color w:val="auto"/>
                <w:kern w:val="0"/>
                <w:szCs w:val="21"/>
                <w:highlight w:val="none"/>
              </w:rPr>
              <w:t>③</w:t>
            </w:r>
            <w:r>
              <w:rPr>
                <w:rFonts w:hint="eastAsia" w:ascii="黑体" w:hAnsi="黑体" w:eastAsia="黑体" w:cs="宋体"/>
                <w:color w:val="auto"/>
                <w:kern w:val="0"/>
                <w:szCs w:val="21"/>
                <w:highlight w:val="none"/>
              </w:rPr>
              <w:fldChar w:fldCharType="end"/>
            </w:r>
            <w:r>
              <w:rPr>
                <w:rFonts w:hint="eastAsia" w:ascii="黑体" w:hAnsi="黑体" w:eastAsia="黑体" w:cs="宋体"/>
                <w:color w:val="auto"/>
                <w:kern w:val="0"/>
                <w:szCs w:val="21"/>
                <w:highlight w:val="none"/>
              </w:rPr>
              <w:t>项目实施方案</w:t>
            </w:r>
            <w:r>
              <w:rPr>
                <w:rFonts w:hint="eastAsia" w:ascii="黑体" w:hAnsi="黑体" w:eastAsia="黑体" w:cs="宋体"/>
                <w:color w:val="auto"/>
                <w:kern w:val="0"/>
                <w:szCs w:val="21"/>
                <w:highlight w:val="none"/>
                <w:lang w:val="en-US" w:eastAsia="zh-CN"/>
              </w:rPr>
              <w:t>较全面</w:t>
            </w:r>
            <w:r>
              <w:rPr>
                <w:rFonts w:hint="eastAsia" w:ascii="黑体" w:hAnsi="黑体" w:eastAsia="黑体" w:cs="宋体"/>
                <w:color w:val="auto"/>
                <w:kern w:val="0"/>
                <w:szCs w:val="21"/>
                <w:highlight w:val="none"/>
              </w:rPr>
              <w:t>，可操作性</w:t>
            </w:r>
            <w:r>
              <w:rPr>
                <w:rFonts w:hint="eastAsia" w:ascii="黑体" w:hAnsi="黑体" w:eastAsia="黑体" w:cs="宋体"/>
                <w:color w:val="auto"/>
                <w:kern w:val="0"/>
                <w:szCs w:val="21"/>
                <w:highlight w:val="none"/>
                <w:lang w:val="en-US" w:eastAsia="zh-CN"/>
              </w:rPr>
              <w:t>较高，各项实施措施制度有逻辑，基本能满足采购需求的，得4分</w:t>
            </w:r>
            <w:r>
              <w:rPr>
                <w:rFonts w:hint="eastAsia" w:ascii="黑体" w:hAnsi="黑体" w:eastAsia="黑体" w:cs="宋体"/>
                <w:color w:val="auto"/>
                <w:kern w:val="0"/>
                <w:szCs w:val="21"/>
                <w:highlight w:val="none"/>
              </w:rPr>
              <w:t>；</w:t>
            </w:r>
          </w:p>
          <w:p w14:paraId="203078B5">
            <w:pPr>
              <w:spacing w:before="31" w:beforeLines="10" w:after="30" w:line="440" w:lineRule="exact"/>
              <w:rPr>
                <w:rFonts w:hint="eastAsia" w:ascii="黑体" w:hAnsi="黑体" w:eastAsia="黑体" w:cs="宋体"/>
                <w:color w:val="auto"/>
                <w:kern w:val="0"/>
                <w:szCs w:val="21"/>
                <w:highlight w:val="none"/>
              </w:rPr>
            </w:pPr>
            <w:r>
              <w:rPr>
                <w:rFonts w:hint="eastAsia" w:ascii="黑体" w:hAnsi="黑体" w:eastAsia="黑体" w:cs="宋体"/>
                <w:color w:val="auto"/>
                <w:kern w:val="0"/>
                <w:szCs w:val="21"/>
                <w:highlight w:val="none"/>
              </w:rPr>
              <w:fldChar w:fldCharType="begin"/>
            </w:r>
            <w:r>
              <w:rPr>
                <w:rFonts w:hint="eastAsia" w:ascii="黑体" w:hAnsi="黑体" w:eastAsia="黑体" w:cs="宋体"/>
                <w:color w:val="auto"/>
                <w:kern w:val="0"/>
                <w:szCs w:val="21"/>
                <w:highlight w:val="none"/>
              </w:rPr>
              <w:instrText xml:space="preserve"> = 4 \* GB3 \* MERGEFORMAT </w:instrText>
            </w:r>
            <w:r>
              <w:rPr>
                <w:rFonts w:hint="eastAsia" w:ascii="黑体" w:hAnsi="黑体" w:eastAsia="黑体" w:cs="宋体"/>
                <w:color w:val="auto"/>
                <w:kern w:val="0"/>
                <w:szCs w:val="21"/>
                <w:highlight w:val="none"/>
              </w:rPr>
              <w:fldChar w:fldCharType="separate"/>
            </w:r>
            <w:r>
              <w:rPr>
                <w:rFonts w:hint="eastAsia" w:ascii="黑体" w:hAnsi="黑体" w:eastAsia="黑体" w:cs="宋体"/>
                <w:color w:val="auto"/>
                <w:kern w:val="0"/>
                <w:szCs w:val="21"/>
                <w:highlight w:val="none"/>
              </w:rPr>
              <w:t>④</w:t>
            </w:r>
            <w:r>
              <w:rPr>
                <w:rFonts w:hint="eastAsia" w:ascii="黑体" w:hAnsi="黑体" w:eastAsia="黑体" w:cs="宋体"/>
                <w:color w:val="auto"/>
                <w:kern w:val="0"/>
                <w:szCs w:val="21"/>
                <w:highlight w:val="none"/>
              </w:rPr>
              <w:fldChar w:fldCharType="end"/>
            </w:r>
            <w:r>
              <w:rPr>
                <w:rFonts w:hint="eastAsia" w:ascii="黑体" w:hAnsi="黑体" w:eastAsia="黑体" w:cs="宋体"/>
                <w:color w:val="auto"/>
                <w:kern w:val="0"/>
                <w:szCs w:val="21"/>
                <w:highlight w:val="none"/>
              </w:rPr>
              <w:t>项目实施方案</w:t>
            </w:r>
            <w:r>
              <w:rPr>
                <w:rFonts w:hint="eastAsia" w:ascii="黑体" w:hAnsi="黑体" w:eastAsia="黑体" w:cs="宋体"/>
                <w:color w:val="auto"/>
                <w:kern w:val="0"/>
                <w:szCs w:val="21"/>
                <w:highlight w:val="none"/>
                <w:lang w:val="en-US" w:eastAsia="zh-CN"/>
              </w:rPr>
              <w:t>简单</w:t>
            </w:r>
            <w:r>
              <w:rPr>
                <w:rFonts w:hint="eastAsia" w:ascii="黑体" w:hAnsi="黑体" w:eastAsia="黑体" w:cs="宋体"/>
                <w:color w:val="auto"/>
                <w:kern w:val="0"/>
                <w:szCs w:val="21"/>
                <w:highlight w:val="none"/>
              </w:rPr>
              <w:t>，</w:t>
            </w:r>
            <w:r>
              <w:rPr>
                <w:rFonts w:hint="eastAsia" w:ascii="黑体" w:hAnsi="黑体" w:eastAsia="黑体" w:cs="宋体"/>
                <w:color w:val="auto"/>
                <w:kern w:val="0"/>
                <w:szCs w:val="21"/>
                <w:highlight w:val="none"/>
                <w:lang w:val="en-US" w:eastAsia="zh-CN"/>
              </w:rPr>
              <w:t>有一定的可操作性，各项实施措施制度内容单一，只能满足部分采购需求的，得1分</w:t>
            </w:r>
          </w:p>
          <w:p w14:paraId="6E3A34CB">
            <w:pPr>
              <w:spacing w:before="31" w:beforeLines="10" w:after="30" w:line="440" w:lineRule="exact"/>
              <w:rPr>
                <w:rFonts w:ascii="黑体" w:hAnsi="黑体" w:eastAsia="黑体" w:cs="宋体"/>
                <w:color w:val="auto"/>
                <w:kern w:val="0"/>
                <w:szCs w:val="21"/>
                <w:highlight w:val="none"/>
              </w:rPr>
            </w:pPr>
            <w:r>
              <w:rPr>
                <w:rFonts w:hint="eastAsia" w:ascii="黑体" w:hAnsi="黑体" w:eastAsia="黑体" w:cs="宋体"/>
                <w:color w:val="auto"/>
                <w:kern w:val="0"/>
                <w:szCs w:val="21"/>
                <w:highlight w:val="none"/>
              </w:rPr>
              <w:t>⑤未提供方案的不得分。</w:t>
            </w:r>
          </w:p>
        </w:tc>
      </w:tr>
      <w:tr w14:paraId="77C64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5" w:type="pct"/>
            <w:vAlign w:val="center"/>
          </w:tcPr>
          <w:p w14:paraId="71376A86">
            <w:pPr>
              <w:spacing w:before="31" w:beforeLines="10" w:after="93" w:afterLines="30" w:line="440" w:lineRule="exact"/>
              <w:jc w:val="center"/>
              <w:rPr>
                <w:rFonts w:hint="eastAsia"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3</w:t>
            </w:r>
          </w:p>
        </w:tc>
        <w:tc>
          <w:tcPr>
            <w:tcW w:w="624" w:type="pct"/>
            <w:vAlign w:val="center"/>
          </w:tcPr>
          <w:p w14:paraId="3965317E">
            <w:pPr>
              <w:spacing w:before="31" w:beforeLines="10" w:after="30" w:line="440" w:lineRule="exact"/>
              <w:jc w:val="center"/>
              <w:rPr>
                <w:rFonts w:ascii="黑体" w:hAnsi="黑体" w:eastAsia="黑体"/>
                <w:bCs/>
                <w:color w:val="auto"/>
                <w:szCs w:val="21"/>
                <w:highlight w:val="none"/>
              </w:rPr>
            </w:pPr>
            <w:r>
              <w:rPr>
                <w:rFonts w:hint="eastAsia" w:ascii="黑体" w:hAnsi="黑体" w:eastAsia="黑体"/>
                <w:bCs/>
                <w:color w:val="auto"/>
                <w:szCs w:val="21"/>
                <w:highlight w:val="none"/>
              </w:rPr>
              <w:t>质量保证方案</w:t>
            </w:r>
          </w:p>
        </w:tc>
        <w:tc>
          <w:tcPr>
            <w:tcW w:w="436" w:type="pct"/>
            <w:vAlign w:val="center"/>
          </w:tcPr>
          <w:p w14:paraId="5FB3271A">
            <w:pPr>
              <w:widowControl/>
              <w:spacing w:before="31" w:beforeLines="10" w:after="30" w:line="440" w:lineRule="exact"/>
              <w:jc w:val="center"/>
              <w:rPr>
                <w:rFonts w:ascii="黑体" w:hAnsi="黑体" w:eastAsia="黑体"/>
                <w:color w:val="auto"/>
                <w:szCs w:val="21"/>
                <w:highlight w:val="none"/>
              </w:rPr>
            </w:pPr>
            <w:r>
              <w:rPr>
                <w:rFonts w:hint="eastAsia" w:ascii="黑体" w:hAnsi="黑体" w:eastAsia="黑体"/>
                <w:bCs/>
                <w:color w:val="auto"/>
                <w:szCs w:val="21"/>
                <w:highlight w:val="none"/>
                <w:lang w:val="en-US" w:eastAsia="zh-CN"/>
              </w:rPr>
              <w:t>10</w:t>
            </w:r>
            <w:r>
              <w:rPr>
                <w:rFonts w:hint="eastAsia" w:ascii="黑体" w:hAnsi="黑体" w:eastAsia="黑体"/>
                <w:bCs/>
                <w:color w:val="auto"/>
                <w:szCs w:val="21"/>
                <w:highlight w:val="none"/>
              </w:rPr>
              <w:t>分</w:t>
            </w:r>
          </w:p>
        </w:tc>
        <w:tc>
          <w:tcPr>
            <w:tcW w:w="3543" w:type="pct"/>
            <w:vAlign w:val="center"/>
          </w:tcPr>
          <w:p w14:paraId="1A2F5EBE">
            <w:pPr>
              <w:spacing w:before="31" w:beforeLines="10" w:after="30" w:line="440" w:lineRule="exact"/>
              <w:rPr>
                <w:rFonts w:ascii="黑体" w:hAnsi="黑体" w:eastAsia="黑体"/>
                <w:color w:val="auto"/>
                <w:szCs w:val="21"/>
                <w:highlight w:val="none"/>
              </w:rPr>
            </w:pPr>
            <w:r>
              <w:rPr>
                <w:rFonts w:hint="eastAsia" w:ascii="黑体" w:hAnsi="黑体" w:eastAsia="黑体"/>
                <w:color w:val="auto"/>
                <w:szCs w:val="21"/>
                <w:highlight w:val="none"/>
              </w:rPr>
              <w:t>根据采购需求的“质量保证要求”，对投标人提供的质量保证方案进行评审：</w:t>
            </w:r>
          </w:p>
          <w:p w14:paraId="27A21F13">
            <w:pPr>
              <w:spacing w:before="31" w:beforeLines="10" w:after="30" w:line="440" w:lineRule="exact"/>
              <w:rPr>
                <w:rFonts w:ascii="黑体" w:hAnsi="黑体" w:eastAsia="黑体"/>
                <w:color w:val="auto"/>
                <w:szCs w:val="21"/>
                <w:highlight w:val="none"/>
              </w:rPr>
            </w:pPr>
            <w:r>
              <w:rPr>
                <w:rFonts w:hint="eastAsia" w:ascii="黑体" w:hAnsi="黑体" w:eastAsia="黑体" w:cs="宋体"/>
                <w:color w:val="auto"/>
                <w:kern w:val="0"/>
                <w:szCs w:val="21"/>
                <w:highlight w:val="none"/>
              </w:rPr>
              <w:t>①</w:t>
            </w:r>
            <w:r>
              <w:rPr>
                <w:rFonts w:hint="eastAsia" w:ascii="黑体" w:hAnsi="黑体" w:eastAsia="黑体"/>
                <w:color w:val="auto"/>
                <w:szCs w:val="21"/>
                <w:highlight w:val="none"/>
              </w:rPr>
              <w:t>质量保证方案详实具体，</w:t>
            </w:r>
            <w:r>
              <w:rPr>
                <w:rFonts w:hint="eastAsia" w:ascii="黑体" w:hAnsi="黑体" w:eastAsia="黑体"/>
                <w:color w:val="auto"/>
                <w:szCs w:val="21"/>
                <w:highlight w:val="none"/>
                <w:lang w:val="en-US" w:eastAsia="zh-CN"/>
              </w:rPr>
              <w:t>针对性非常高</w:t>
            </w:r>
            <w:r>
              <w:rPr>
                <w:rFonts w:hint="eastAsia" w:ascii="黑体" w:hAnsi="黑体" w:eastAsia="黑体"/>
                <w:color w:val="auto"/>
                <w:szCs w:val="21"/>
                <w:highlight w:val="none"/>
              </w:rPr>
              <w:t>，</w:t>
            </w:r>
            <w:r>
              <w:rPr>
                <w:rFonts w:hint="eastAsia" w:ascii="黑体" w:hAnsi="黑体" w:eastAsia="黑体"/>
                <w:color w:val="auto"/>
                <w:szCs w:val="21"/>
                <w:highlight w:val="none"/>
                <w:lang w:val="en-US" w:eastAsia="zh-CN"/>
              </w:rPr>
              <w:t>质量保障措施健全</w:t>
            </w:r>
            <w:r>
              <w:rPr>
                <w:rFonts w:hint="eastAsia" w:ascii="黑体" w:hAnsi="黑体" w:eastAsia="黑体"/>
                <w:color w:val="auto"/>
                <w:szCs w:val="21"/>
                <w:highlight w:val="none"/>
              </w:rPr>
              <w:t>，</w:t>
            </w:r>
            <w:r>
              <w:rPr>
                <w:rFonts w:hint="eastAsia" w:ascii="黑体" w:hAnsi="黑体" w:eastAsia="黑体"/>
                <w:color w:val="auto"/>
                <w:szCs w:val="21"/>
                <w:highlight w:val="none"/>
                <w:lang w:val="en-US" w:eastAsia="zh-CN"/>
              </w:rPr>
              <w:t>在质保期内建立详细的包修、包退换、包维护保养措施的，</w:t>
            </w:r>
            <w:r>
              <w:rPr>
                <w:rFonts w:hint="eastAsia" w:ascii="黑体" w:hAnsi="黑体" w:eastAsia="黑体"/>
                <w:color w:val="auto"/>
                <w:szCs w:val="21"/>
                <w:highlight w:val="none"/>
              </w:rPr>
              <w:t>得</w:t>
            </w:r>
            <w:r>
              <w:rPr>
                <w:rFonts w:hint="eastAsia" w:ascii="黑体" w:hAnsi="黑体" w:eastAsia="黑体"/>
                <w:color w:val="auto"/>
                <w:szCs w:val="21"/>
                <w:highlight w:val="none"/>
                <w:lang w:val="en-US" w:eastAsia="zh-CN"/>
              </w:rPr>
              <w:t>10</w:t>
            </w:r>
            <w:r>
              <w:rPr>
                <w:rFonts w:hint="eastAsia" w:ascii="黑体" w:hAnsi="黑体" w:eastAsia="黑体"/>
                <w:color w:val="auto"/>
                <w:szCs w:val="21"/>
                <w:highlight w:val="none"/>
              </w:rPr>
              <w:t>分；</w:t>
            </w:r>
          </w:p>
          <w:p w14:paraId="6F944339">
            <w:pPr>
              <w:spacing w:before="31" w:beforeLines="10" w:after="30" w:line="440" w:lineRule="exact"/>
              <w:rPr>
                <w:rFonts w:ascii="黑体" w:hAnsi="黑体" w:eastAsia="黑体"/>
                <w:color w:val="auto"/>
                <w:szCs w:val="21"/>
                <w:highlight w:val="none"/>
              </w:rPr>
            </w:pPr>
            <w:r>
              <w:rPr>
                <w:rFonts w:hint="eastAsia" w:ascii="黑体" w:hAnsi="黑体" w:eastAsia="黑体" w:cs="宋体"/>
                <w:color w:val="auto"/>
                <w:kern w:val="0"/>
                <w:szCs w:val="21"/>
                <w:highlight w:val="none"/>
              </w:rPr>
              <w:t>②</w:t>
            </w:r>
            <w:r>
              <w:rPr>
                <w:rFonts w:hint="eastAsia" w:ascii="黑体" w:hAnsi="黑体" w:eastAsia="黑体"/>
                <w:color w:val="auto"/>
                <w:szCs w:val="21"/>
                <w:highlight w:val="none"/>
              </w:rPr>
              <w:t>质量保证方案具体，</w:t>
            </w:r>
            <w:r>
              <w:rPr>
                <w:rFonts w:hint="eastAsia" w:ascii="黑体" w:hAnsi="黑体" w:eastAsia="黑体"/>
                <w:color w:val="auto"/>
                <w:szCs w:val="21"/>
                <w:highlight w:val="none"/>
                <w:lang w:val="en-US" w:eastAsia="zh-CN"/>
              </w:rPr>
              <w:t>针对性高</w:t>
            </w:r>
            <w:r>
              <w:rPr>
                <w:rFonts w:hint="eastAsia" w:ascii="黑体" w:hAnsi="黑体" w:eastAsia="黑体"/>
                <w:color w:val="auto"/>
                <w:szCs w:val="21"/>
                <w:highlight w:val="none"/>
              </w:rPr>
              <w:t>，</w:t>
            </w:r>
            <w:r>
              <w:rPr>
                <w:rFonts w:hint="eastAsia" w:ascii="黑体" w:hAnsi="黑体" w:eastAsia="黑体"/>
                <w:color w:val="auto"/>
                <w:szCs w:val="21"/>
                <w:highlight w:val="none"/>
                <w:lang w:val="en-US" w:eastAsia="zh-CN"/>
              </w:rPr>
              <w:t>质量保障措施健全</w:t>
            </w:r>
            <w:r>
              <w:rPr>
                <w:rFonts w:hint="eastAsia" w:ascii="黑体" w:hAnsi="黑体" w:eastAsia="黑体"/>
                <w:color w:val="auto"/>
                <w:szCs w:val="21"/>
                <w:highlight w:val="none"/>
              </w:rPr>
              <w:t>，</w:t>
            </w:r>
            <w:r>
              <w:rPr>
                <w:rFonts w:hint="eastAsia" w:ascii="黑体" w:hAnsi="黑体" w:eastAsia="黑体"/>
                <w:color w:val="auto"/>
                <w:szCs w:val="21"/>
                <w:highlight w:val="none"/>
                <w:lang w:val="en-US" w:eastAsia="zh-CN"/>
              </w:rPr>
              <w:t>在质保期内建立较全面的包修、包退换、包维护保养措施的，</w:t>
            </w:r>
            <w:r>
              <w:rPr>
                <w:rFonts w:hint="eastAsia" w:ascii="黑体" w:hAnsi="黑体" w:eastAsia="黑体"/>
                <w:color w:val="auto"/>
                <w:szCs w:val="21"/>
                <w:highlight w:val="none"/>
              </w:rPr>
              <w:t>得</w:t>
            </w:r>
            <w:r>
              <w:rPr>
                <w:rFonts w:hint="eastAsia" w:ascii="黑体" w:hAnsi="黑体" w:eastAsia="黑体"/>
                <w:color w:val="auto"/>
                <w:szCs w:val="21"/>
                <w:highlight w:val="none"/>
                <w:lang w:val="en-US" w:eastAsia="zh-CN"/>
              </w:rPr>
              <w:t>7</w:t>
            </w:r>
            <w:r>
              <w:rPr>
                <w:rFonts w:hint="eastAsia" w:ascii="黑体" w:hAnsi="黑体" w:eastAsia="黑体"/>
                <w:color w:val="auto"/>
                <w:szCs w:val="21"/>
                <w:highlight w:val="none"/>
              </w:rPr>
              <w:t>分；</w:t>
            </w:r>
          </w:p>
          <w:p w14:paraId="1753208C">
            <w:pPr>
              <w:spacing w:before="31" w:beforeLines="10" w:after="30" w:line="440" w:lineRule="exact"/>
              <w:rPr>
                <w:rFonts w:ascii="黑体" w:hAnsi="黑体" w:eastAsia="黑体"/>
                <w:color w:val="auto"/>
                <w:szCs w:val="21"/>
                <w:highlight w:val="none"/>
              </w:rPr>
            </w:pPr>
            <w:r>
              <w:rPr>
                <w:rFonts w:hint="eastAsia" w:ascii="黑体" w:hAnsi="黑体" w:eastAsia="黑体" w:cs="宋体"/>
                <w:color w:val="auto"/>
                <w:kern w:val="0"/>
                <w:szCs w:val="21"/>
                <w:highlight w:val="none"/>
              </w:rPr>
              <w:fldChar w:fldCharType="begin"/>
            </w:r>
            <w:r>
              <w:rPr>
                <w:rFonts w:hint="eastAsia" w:ascii="黑体" w:hAnsi="黑体" w:eastAsia="黑体" w:cs="宋体"/>
                <w:color w:val="auto"/>
                <w:kern w:val="0"/>
                <w:szCs w:val="21"/>
                <w:highlight w:val="none"/>
              </w:rPr>
              <w:instrText xml:space="preserve"> = 3 \* GB3 \* MERGEFORMAT </w:instrText>
            </w:r>
            <w:r>
              <w:rPr>
                <w:rFonts w:hint="eastAsia" w:ascii="黑体" w:hAnsi="黑体" w:eastAsia="黑体" w:cs="宋体"/>
                <w:color w:val="auto"/>
                <w:kern w:val="0"/>
                <w:szCs w:val="21"/>
                <w:highlight w:val="none"/>
              </w:rPr>
              <w:fldChar w:fldCharType="separate"/>
            </w:r>
            <w:r>
              <w:rPr>
                <w:rFonts w:hint="eastAsia" w:ascii="黑体" w:hAnsi="黑体" w:eastAsia="黑体" w:cs="宋体"/>
                <w:color w:val="auto"/>
                <w:kern w:val="0"/>
                <w:szCs w:val="21"/>
                <w:highlight w:val="none"/>
              </w:rPr>
              <w:t>③</w:t>
            </w:r>
            <w:r>
              <w:rPr>
                <w:rFonts w:hint="eastAsia" w:ascii="黑体" w:hAnsi="黑体" w:eastAsia="黑体" w:cs="宋体"/>
                <w:color w:val="auto"/>
                <w:kern w:val="0"/>
                <w:szCs w:val="21"/>
                <w:highlight w:val="none"/>
              </w:rPr>
              <w:fldChar w:fldCharType="end"/>
            </w:r>
            <w:r>
              <w:rPr>
                <w:rFonts w:hint="eastAsia" w:ascii="黑体" w:hAnsi="黑体" w:eastAsia="黑体"/>
                <w:color w:val="auto"/>
                <w:szCs w:val="21"/>
                <w:highlight w:val="none"/>
              </w:rPr>
              <w:t>质量保证方案</w:t>
            </w:r>
            <w:r>
              <w:rPr>
                <w:rFonts w:hint="eastAsia" w:ascii="黑体" w:hAnsi="黑体" w:eastAsia="黑体"/>
                <w:color w:val="auto"/>
                <w:szCs w:val="21"/>
                <w:highlight w:val="none"/>
                <w:lang w:val="en-US" w:eastAsia="zh-CN"/>
              </w:rPr>
              <w:t>较全面</w:t>
            </w:r>
            <w:r>
              <w:rPr>
                <w:rFonts w:hint="eastAsia" w:ascii="黑体" w:hAnsi="黑体" w:eastAsia="黑体"/>
                <w:color w:val="auto"/>
                <w:szCs w:val="21"/>
                <w:highlight w:val="none"/>
              </w:rPr>
              <w:t>，</w:t>
            </w:r>
            <w:r>
              <w:rPr>
                <w:rFonts w:hint="eastAsia" w:ascii="黑体" w:hAnsi="黑体" w:eastAsia="黑体"/>
                <w:color w:val="auto"/>
                <w:szCs w:val="21"/>
                <w:highlight w:val="none"/>
                <w:lang w:val="en-US" w:eastAsia="zh-CN"/>
              </w:rPr>
              <w:t>有一定针对性</w:t>
            </w:r>
            <w:r>
              <w:rPr>
                <w:rFonts w:hint="eastAsia" w:ascii="黑体" w:hAnsi="黑体" w:eastAsia="黑体"/>
                <w:color w:val="auto"/>
                <w:szCs w:val="21"/>
                <w:highlight w:val="none"/>
              </w:rPr>
              <w:t>，</w:t>
            </w:r>
            <w:r>
              <w:rPr>
                <w:rFonts w:hint="eastAsia" w:ascii="黑体" w:hAnsi="黑体" w:eastAsia="黑体"/>
                <w:color w:val="auto"/>
                <w:szCs w:val="21"/>
                <w:highlight w:val="none"/>
                <w:lang w:val="en-US" w:eastAsia="zh-CN"/>
              </w:rPr>
              <w:t>质量保障措施基本完善</w:t>
            </w:r>
            <w:r>
              <w:rPr>
                <w:rFonts w:hint="eastAsia" w:ascii="黑体" w:hAnsi="黑体" w:eastAsia="黑体"/>
                <w:color w:val="auto"/>
                <w:szCs w:val="21"/>
                <w:highlight w:val="none"/>
              </w:rPr>
              <w:t>，</w:t>
            </w:r>
            <w:r>
              <w:rPr>
                <w:rFonts w:hint="eastAsia" w:ascii="黑体" w:hAnsi="黑体" w:eastAsia="黑体"/>
                <w:color w:val="auto"/>
                <w:szCs w:val="21"/>
                <w:highlight w:val="none"/>
                <w:lang w:val="en-US" w:eastAsia="zh-CN"/>
              </w:rPr>
              <w:t>在质保期内建立简单的包修、包退换、包维护保养措施的，</w:t>
            </w:r>
            <w:r>
              <w:rPr>
                <w:rFonts w:hint="eastAsia" w:ascii="黑体" w:hAnsi="黑体" w:eastAsia="黑体"/>
                <w:color w:val="auto"/>
                <w:szCs w:val="21"/>
                <w:highlight w:val="none"/>
              </w:rPr>
              <w:t>得</w:t>
            </w:r>
            <w:r>
              <w:rPr>
                <w:rFonts w:hint="eastAsia" w:ascii="黑体" w:hAnsi="黑体" w:eastAsia="黑体"/>
                <w:color w:val="auto"/>
                <w:szCs w:val="21"/>
                <w:highlight w:val="none"/>
                <w:lang w:val="en-US" w:eastAsia="zh-CN"/>
              </w:rPr>
              <w:t>4</w:t>
            </w:r>
            <w:r>
              <w:rPr>
                <w:rFonts w:hint="eastAsia" w:ascii="黑体" w:hAnsi="黑体" w:eastAsia="黑体"/>
                <w:color w:val="auto"/>
                <w:szCs w:val="21"/>
                <w:highlight w:val="none"/>
              </w:rPr>
              <w:t>分；</w:t>
            </w:r>
          </w:p>
          <w:p w14:paraId="55247264">
            <w:pPr>
              <w:spacing w:before="31" w:beforeLines="10" w:after="30" w:line="440" w:lineRule="exact"/>
              <w:rPr>
                <w:rFonts w:hint="eastAsia" w:ascii="黑体" w:hAnsi="黑体" w:eastAsia="黑体" w:cs="宋体"/>
                <w:color w:val="auto"/>
                <w:kern w:val="0"/>
                <w:szCs w:val="21"/>
                <w:highlight w:val="none"/>
              </w:rPr>
            </w:pPr>
            <w:r>
              <w:rPr>
                <w:rFonts w:hint="eastAsia" w:ascii="黑体" w:hAnsi="黑体" w:eastAsia="黑体" w:cs="宋体"/>
                <w:color w:val="auto"/>
                <w:kern w:val="0"/>
                <w:szCs w:val="21"/>
                <w:highlight w:val="none"/>
              </w:rPr>
              <w:fldChar w:fldCharType="begin"/>
            </w:r>
            <w:r>
              <w:rPr>
                <w:rFonts w:hint="eastAsia" w:ascii="黑体" w:hAnsi="黑体" w:eastAsia="黑体" w:cs="宋体"/>
                <w:color w:val="auto"/>
                <w:kern w:val="0"/>
                <w:szCs w:val="21"/>
                <w:highlight w:val="none"/>
              </w:rPr>
              <w:instrText xml:space="preserve"> = 4 \* GB3 \* MERGEFORMAT </w:instrText>
            </w:r>
            <w:r>
              <w:rPr>
                <w:rFonts w:hint="eastAsia" w:ascii="黑体" w:hAnsi="黑体" w:eastAsia="黑体" w:cs="宋体"/>
                <w:color w:val="auto"/>
                <w:kern w:val="0"/>
                <w:szCs w:val="21"/>
                <w:highlight w:val="none"/>
              </w:rPr>
              <w:fldChar w:fldCharType="separate"/>
            </w:r>
            <w:r>
              <w:rPr>
                <w:rFonts w:hint="eastAsia" w:ascii="黑体" w:hAnsi="黑体" w:eastAsia="黑体" w:cs="宋体"/>
                <w:color w:val="auto"/>
                <w:kern w:val="0"/>
                <w:szCs w:val="21"/>
                <w:highlight w:val="none"/>
              </w:rPr>
              <w:t>④</w:t>
            </w:r>
            <w:r>
              <w:rPr>
                <w:rFonts w:hint="eastAsia" w:ascii="黑体" w:hAnsi="黑体" w:eastAsia="黑体" w:cs="宋体"/>
                <w:color w:val="auto"/>
                <w:kern w:val="0"/>
                <w:szCs w:val="21"/>
                <w:highlight w:val="none"/>
              </w:rPr>
              <w:fldChar w:fldCharType="end"/>
            </w:r>
            <w:r>
              <w:rPr>
                <w:rFonts w:hint="eastAsia" w:ascii="黑体" w:hAnsi="黑体" w:eastAsia="黑体"/>
                <w:color w:val="auto"/>
                <w:szCs w:val="21"/>
                <w:highlight w:val="none"/>
              </w:rPr>
              <w:t>质量保证方案</w:t>
            </w:r>
            <w:r>
              <w:rPr>
                <w:rFonts w:hint="eastAsia" w:ascii="黑体" w:hAnsi="黑体" w:eastAsia="黑体"/>
                <w:color w:val="auto"/>
                <w:szCs w:val="21"/>
                <w:highlight w:val="none"/>
                <w:lang w:val="en-US" w:eastAsia="zh-CN"/>
              </w:rPr>
              <w:t>简单</w:t>
            </w:r>
            <w:r>
              <w:rPr>
                <w:rFonts w:hint="eastAsia" w:ascii="黑体" w:hAnsi="黑体" w:eastAsia="黑体"/>
                <w:color w:val="auto"/>
                <w:szCs w:val="21"/>
                <w:highlight w:val="none"/>
              </w:rPr>
              <w:t>，</w:t>
            </w:r>
            <w:r>
              <w:rPr>
                <w:rFonts w:hint="eastAsia" w:ascii="黑体" w:hAnsi="黑体" w:eastAsia="黑体"/>
                <w:color w:val="auto"/>
                <w:szCs w:val="21"/>
                <w:highlight w:val="none"/>
                <w:lang w:val="en-US" w:eastAsia="zh-CN"/>
              </w:rPr>
              <w:t>质量保障措施内容单一</w:t>
            </w:r>
            <w:r>
              <w:rPr>
                <w:rFonts w:hint="eastAsia" w:ascii="黑体" w:hAnsi="黑体" w:eastAsia="黑体"/>
                <w:color w:val="auto"/>
                <w:szCs w:val="21"/>
                <w:highlight w:val="none"/>
              </w:rPr>
              <w:t>，</w:t>
            </w:r>
            <w:r>
              <w:rPr>
                <w:rFonts w:hint="eastAsia" w:ascii="黑体" w:hAnsi="黑体" w:eastAsia="黑体"/>
                <w:color w:val="auto"/>
                <w:szCs w:val="21"/>
                <w:highlight w:val="none"/>
                <w:lang w:val="en-US" w:eastAsia="zh-CN"/>
              </w:rPr>
              <w:t>在质保期内建立内容有缺漏的包修、包退换、包维护保养措施的，</w:t>
            </w:r>
            <w:r>
              <w:rPr>
                <w:rFonts w:hint="eastAsia" w:ascii="黑体" w:hAnsi="黑体" w:eastAsia="黑体"/>
                <w:color w:val="auto"/>
                <w:szCs w:val="21"/>
                <w:highlight w:val="none"/>
              </w:rPr>
              <w:t>得</w:t>
            </w:r>
            <w:r>
              <w:rPr>
                <w:rFonts w:hint="eastAsia" w:ascii="黑体" w:hAnsi="黑体" w:eastAsia="黑体"/>
                <w:color w:val="auto"/>
                <w:szCs w:val="21"/>
                <w:highlight w:val="none"/>
                <w:lang w:val="en-US" w:eastAsia="zh-CN"/>
              </w:rPr>
              <w:t>1</w:t>
            </w:r>
            <w:r>
              <w:rPr>
                <w:rFonts w:hint="eastAsia" w:ascii="黑体" w:hAnsi="黑体" w:eastAsia="黑体"/>
                <w:color w:val="auto"/>
                <w:szCs w:val="21"/>
                <w:highlight w:val="none"/>
              </w:rPr>
              <w:t>分；</w:t>
            </w:r>
          </w:p>
          <w:p w14:paraId="2F2F1CFB">
            <w:pPr>
              <w:spacing w:before="31" w:beforeLines="10" w:after="30" w:line="440" w:lineRule="exact"/>
              <w:rPr>
                <w:rFonts w:ascii="黑体" w:hAnsi="黑体" w:eastAsia="黑体"/>
                <w:color w:val="auto"/>
                <w:szCs w:val="21"/>
                <w:highlight w:val="none"/>
              </w:rPr>
            </w:pPr>
            <w:r>
              <w:rPr>
                <w:rFonts w:hint="eastAsia" w:ascii="黑体" w:hAnsi="黑体" w:eastAsia="黑体" w:cs="宋体"/>
                <w:color w:val="auto"/>
                <w:kern w:val="0"/>
                <w:szCs w:val="21"/>
                <w:highlight w:val="none"/>
              </w:rPr>
              <w:t>⑤未提供方案的不得分。</w:t>
            </w:r>
          </w:p>
        </w:tc>
      </w:tr>
      <w:tr w14:paraId="330C0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5" w:type="pct"/>
            <w:vAlign w:val="center"/>
          </w:tcPr>
          <w:p w14:paraId="1D4A2C7F">
            <w:pPr>
              <w:spacing w:before="31" w:beforeLines="10" w:after="93" w:afterLines="30" w:line="440" w:lineRule="exact"/>
              <w:jc w:val="center"/>
              <w:rPr>
                <w:rFonts w:hint="default"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4</w:t>
            </w:r>
          </w:p>
        </w:tc>
        <w:tc>
          <w:tcPr>
            <w:tcW w:w="624" w:type="pct"/>
            <w:vAlign w:val="center"/>
          </w:tcPr>
          <w:p w14:paraId="3852E1A7">
            <w:pPr>
              <w:spacing w:before="31" w:beforeLines="10" w:after="30" w:line="440" w:lineRule="exact"/>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售后服务方案</w:t>
            </w:r>
          </w:p>
        </w:tc>
        <w:tc>
          <w:tcPr>
            <w:tcW w:w="436" w:type="pct"/>
            <w:vAlign w:val="center"/>
          </w:tcPr>
          <w:p w14:paraId="4EE9619D">
            <w:pPr>
              <w:widowControl/>
              <w:spacing w:before="31" w:beforeLines="10" w:after="30" w:line="440" w:lineRule="exact"/>
              <w:jc w:val="center"/>
              <w:rPr>
                <w:rFonts w:hint="default" w:ascii="黑体" w:hAnsi="黑体" w:eastAsia="黑体"/>
                <w:bCs/>
                <w:color w:val="auto"/>
                <w:szCs w:val="21"/>
                <w:highlight w:val="none"/>
                <w:lang w:val="en-US" w:eastAsia="zh-CN"/>
              </w:rPr>
            </w:pPr>
            <w:r>
              <w:rPr>
                <w:rFonts w:hint="eastAsia" w:ascii="黑体" w:hAnsi="黑体" w:eastAsia="黑体"/>
                <w:bCs/>
                <w:color w:val="auto"/>
                <w:szCs w:val="21"/>
                <w:highlight w:val="none"/>
                <w:lang w:val="en-US" w:eastAsia="zh-CN"/>
              </w:rPr>
              <w:t>10分</w:t>
            </w:r>
          </w:p>
        </w:tc>
        <w:tc>
          <w:tcPr>
            <w:tcW w:w="3543" w:type="pct"/>
            <w:vAlign w:val="center"/>
          </w:tcPr>
          <w:p w14:paraId="2D835E99">
            <w:pPr>
              <w:spacing w:before="31" w:beforeLines="10" w:after="30" w:line="440" w:lineRule="exact"/>
              <w:rPr>
                <w:rFonts w:hint="eastAsia" w:ascii="黑体" w:hAnsi="黑体" w:eastAsia="黑体"/>
                <w:color w:val="000000" w:themeColor="text1"/>
                <w:szCs w:val="21"/>
                <w:lang w:eastAsia="zh-CN"/>
                <w14:textFill>
                  <w14:solidFill>
                    <w14:schemeClr w14:val="tx1"/>
                  </w14:solidFill>
                </w14:textFill>
              </w:rPr>
            </w:pPr>
            <w:r>
              <w:rPr>
                <w:rFonts w:hint="eastAsia" w:ascii="黑体" w:hAnsi="黑体" w:eastAsia="黑体"/>
                <w:color w:val="auto"/>
                <w:szCs w:val="21"/>
                <w:highlight w:val="none"/>
              </w:rPr>
              <w:t>根据采购需求的“</w:t>
            </w:r>
            <w:r>
              <w:rPr>
                <w:rFonts w:hint="eastAsia" w:ascii="黑体" w:hAnsi="黑体" w:eastAsia="黑体"/>
                <w:color w:val="auto"/>
                <w:szCs w:val="21"/>
                <w:highlight w:val="none"/>
                <w:lang w:val="en-US" w:eastAsia="zh-CN"/>
              </w:rPr>
              <w:t>售后服务（质保期）及培训要求</w:t>
            </w:r>
            <w:r>
              <w:rPr>
                <w:rFonts w:hint="eastAsia" w:ascii="黑体" w:hAnsi="黑体" w:eastAsia="黑体"/>
                <w:color w:val="auto"/>
                <w:szCs w:val="21"/>
                <w:highlight w:val="none"/>
              </w:rPr>
              <w:t>”，对投标人提供的</w:t>
            </w:r>
            <w:r>
              <w:rPr>
                <w:rFonts w:hint="eastAsia" w:ascii="黑体" w:hAnsi="黑体" w:eastAsia="黑体"/>
                <w:color w:val="auto"/>
                <w:szCs w:val="21"/>
                <w:highlight w:val="none"/>
                <w:lang w:val="en-US" w:eastAsia="zh-CN"/>
              </w:rPr>
              <w:t>售后服务</w:t>
            </w:r>
            <w:r>
              <w:rPr>
                <w:rFonts w:hint="eastAsia" w:ascii="黑体" w:hAnsi="黑体" w:eastAsia="黑体"/>
                <w:color w:val="auto"/>
                <w:szCs w:val="21"/>
                <w:highlight w:val="none"/>
              </w:rPr>
              <w:t>方案进行评审</w:t>
            </w:r>
          </w:p>
          <w:p w14:paraId="320AC97F">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①</w:t>
            </w:r>
            <w:r>
              <w:rPr>
                <w:rFonts w:hint="eastAsia" w:ascii="黑体" w:hAnsi="黑体" w:eastAsia="黑体"/>
                <w:color w:val="000000" w:themeColor="text1"/>
                <w:szCs w:val="21"/>
                <w14:textFill>
                  <w14:solidFill>
                    <w14:schemeClr w14:val="tx1"/>
                  </w14:solidFill>
                </w14:textFill>
              </w:rPr>
              <w:t>对设备质保期作出的保证承诺优于</w:t>
            </w:r>
            <w:r>
              <w:rPr>
                <w:rFonts w:hint="eastAsia" w:ascii="黑体" w:hAnsi="黑体" w:eastAsia="黑体"/>
                <w:color w:val="000000" w:themeColor="text1"/>
                <w:szCs w:val="21"/>
                <w:lang w:val="en-US" w:eastAsia="zh-CN"/>
                <w14:textFill>
                  <w14:solidFill>
                    <w14:schemeClr w14:val="tx1"/>
                  </w14:solidFill>
                </w14:textFill>
              </w:rPr>
              <w:t>采购</w:t>
            </w:r>
            <w:r>
              <w:rPr>
                <w:rFonts w:hint="eastAsia" w:ascii="黑体" w:hAnsi="黑体" w:eastAsia="黑体"/>
                <w:color w:val="000000" w:themeColor="text1"/>
                <w:szCs w:val="21"/>
                <w14:textFill>
                  <w14:solidFill>
                    <w14:schemeClr w14:val="tx1"/>
                  </w14:solidFill>
                </w14:textFill>
              </w:rPr>
              <w:t>需求，维护保养方案详细具体，对</w:t>
            </w:r>
            <w:r>
              <w:rPr>
                <w:rFonts w:hint="eastAsia" w:ascii="黑体" w:hAnsi="黑体" w:eastAsia="黑体"/>
                <w:color w:val="000000" w:themeColor="text1"/>
                <w:szCs w:val="21"/>
                <w:lang w:val="en-US" w:eastAsia="zh-CN"/>
                <w14:textFill>
                  <w14:solidFill>
                    <w14:schemeClr w14:val="tx1"/>
                  </w14:solidFill>
                </w14:textFill>
              </w:rPr>
              <w:t>用户</w:t>
            </w:r>
            <w:r>
              <w:rPr>
                <w:rFonts w:hint="eastAsia" w:ascii="黑体" w:hAnsi="黑体" w:eastAsia="黑体"/>
                <w:color w:val="000000" w:themeColor="text1"/>
                <w:szCs w:val="21"/>
                <w14:textFill>
                  <w14:solidFill>
                    <w14:schemeClr w14:val="tx1"/>
                  </w14:solidFill>
                </w14:textFill>
              </w:rPr>
              <w:t>人员的培训方案系统科学、培训计划安排合理得当，维护保养方案及技术人员培训方案各项内容均具备</w:t>
            </w:r>
            <w:r>
              <w:rPr>
                <w:rFonts w:hint="eastAsia" w:ascii="黑体" w:hAnsi="黑体" w:eastAsia="黑体"/>
                <w:color w:val="000000" w:themeColor="text1"/>
                <w:szCs w:val="21"/>
                <w:lang w:val="en-US" w:eastAsia="zh-CN"/>
                <w14:textFill>
                  <w14:solidFill>
                    <w14:schemeClr w14:val="tx1"/>
                  </w14:solidFill>
                </w14:textFill>
              </w:rPr>
              <w:t>的</w:t>
            </w:r>
            <w:r>
              <w:rPr>
                <w:rFonts w:hint="eastAsia" w:ascii="黑体" w:hAnsi="黑体" w:eastAsia="黑体"/>
                <w:color w:val="000000" w:themeColor="text1"/>
                <w:szCs w:val="21"/>
                <w14:textFill>
                  <w14:solidFill>
                    <w14:schemeClr w14:val="tx1"/>
                  </w14:solidFill>
                </w14:textFill>
              </w:rPr>
              <w:t>，</w:t>
            </w:r>
            <w:r>
              <w:rPr>
                <w:rFonts w:hint="eastAsia" w:ascii="黑体" w:hAnsi="黑体" w:eastAsia="黑体"/>
                <w:color w:val="000000" w:themeColor="text1"/>
                <w:szCs w:val="21"/>
                <w:lang w:val="en-US" w:eastAsia="zh-CN"/>
                <w14:textFill>
                  <w14:solidFill>
                    <w14:schemeClr w14:val="tx1"/>
                  </w14:solidFill>
                </w14:textFill>
              </w:rPr>
              <w:t>得10分；</w:t>
            </w:r>
          </w:p>
          <w:p w14:paraId="1520EA23">
            <w:pPr>
              <w:spacing w:before="31" w:beforeLines="10" w:after="30" w:line="440" w:lineRule="exact"/>
              <w:rPr>
                <w:rFonts w:hint="eastAsia" w:ascii="黑体" w:hAnsi="黑体" w:eastAsia="黑体"/>
                <w:color w:val="000000" w:themeColor="text1"/>
                <w:szCs w:val="21"/>
                <w:lang w:eastAsia="zh-CN"/>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②</w:t>
            </w:r>
            <w:r>
              <w:rPr>
                <w:rFonts w:hint="eastAsia" w:ascii="黑体" w:hAnsi="黑体" w:eastAsia="黑体"/>
                <w:color w:val="000000" w:themeColor="text1"/>
                <w:szCs w:val="21"/>
                <w14:textFill>
                  <w14:solidFill>
                    <w14:schemeClr w14:val="tx1"/>
                  </w14:solidFill>
                </w14:textFill>
              </w:rPr>
              <w:t>对设备质保期作出的保证承诺满足</w:t>
            </w:r>
            <w:r>
              <w:rPr>
                <w:rFonts w:hint="eastAsia" w:ascii="黑体" w:hAnsi="黑体" w:eastAsia="黑体"/>
                <w:color w:val="000000" w:themeColor="text1"/>
                <w:szCs w:val="21"/>
                <w:lang w:val="en-US" w:eastAsia="zh-CN"/>
                <w14:textFill>
                  <w14:solidFill>
                    <w14:schemeClr w14:val="tx1"/>
                  </w14:solidFill>
                </w14:textFill>
              </w:rPr>
              <w:t>采购</w:t>
            </w:r>
            <w:r>
              <w:rPr>
                <w:rFonts w:hint="eastAsia" w:ascii="黑体" w:hAnsi="黑体" w:eastAsia="黑体"/>
                <w:color w:val="000000" w:themeColor="text1"/>
                <w:szCs w:val="21"/>
                <w14:textFill>
                  <w14:solidFill>
                    <w14:schemeClr w14:val="tx1"/>
                  </w14:solidFill>
                </w14:textFill>
              </w:rPr>
              <w:t>需求，维护保养方案详细具体，对</w:t>
            </w:r>
            <w:r>
              <w:rPr>
                <w:rFonts w:hint="eastAsia" w:ascii="黑体" w:hAnsi="黑体" w:eastAsia="黑体"/>
                <w:color w:val="000000" w:themeColor="text1"/>
                <w:szCs w:val="21"/>
                <w:lang w:val="en-US" w:eastAsia="zh-CN"/>
                <w14:textFill>
                  <w14:solidFill>
                    <w14:schemeClr w14:val="tx1"/>
                  </w14:solidFill>
                </w14:textFill>
              </w:rPr>
              <w:t>用户</w:t>
            </w:r>
            <w:r>
              <w:rPr>
                <w:rFonts w:hint="eastAsia" w:ascii="黑体" w:hAnsi="黑体" w:eastAsia="黑体"/>
                <w:color w:val="000000" w:themeColor="text1"/>
                <w:szCs w:val="21"/>
                <w14:textFill>
                  <w14:solidFill>
                    <w14:schemeClr w14:val="tx1"/>
                  </w14:solidFill>
                </w14:textFill>
              </w:rPr>
              <w:t>人员的培训方案及培训计划</w:t>
            </w:r>
            <w:r>
              <w:rPr>
                <w:rFonts w:hint="eastAsia" w:ascii="黑体" w:hAnsi="黑体" w:eastAsia="黑体"/>
                <w:color w:val="000000" w:themeColor="text1"/>
                <w:szCs w:val="21"/>
                <w:lang w:val="en-US" w:eastAsia="zh-CN"/>
                <w14:textFill>
                  <w14:solidFill>
                    <w14:schemeClr w14:val="tx1"/>
                  </w14:solidFill>
                </w14:textFill>
              </w:rPr>
              <w:t>逻辑性强</w:t>
            </w:r>
            <w:r>
              <w:rPr>
                <w:rFonts w:hint="eastAsia" w:ascii="黑体" w:hAnsi="黑体" w:eastAsia="黑体"/>
                <w:color w:val="000000" w:themeColor="text1"/>
                <w:szCs w:val="21"/>
                <w14:textFill>
                  <w14:solidFill>
                    <w14:schemeClr w14:val="tx1"/>
                  </w14:solidFill>
                </w14:textFill>
              </w:rPr>
              <w:t>，维护保养方案及技术人员培训方案各项内容均具备的</w:t>
            </w:r>
            <w:r>
              <w:rPr>
                <w:rFonts w:hint="eastAsia" w:ascii="黑体" w:hAnsi="黑体" w:eastAsia="黑体"/>
                <w:color w:val="000000" w:themeColor="text1"/>
                <w:szCs w:val="21"/>
                <w:lang w:eastAsia="zh-CN"/>
                <w14:textFill>
                  <w14:solidFill>
                    <w14:schemeClr w14:val="tx1"/>
                  </w14:solidFill>
                </w14:textFill>
              </w:rPr>
              <w:t>，</w:t>
            </w:r>
            <w:r>
              <w:rPr>
                <w:rFonts w:hint="eastAsia" w:ascii="黑体" w:hAnsi="黑体" w:eastAsia="黑体"/>
                <w:color w:val="000000" w:themeColor="text1"/>
                <w:szCs w:val="21"/>
                <w14:textFill>
                  <w14:solidFill>
                    <w14:schemeClr w14:val="tx1"/>
                  </w14:solidFill>
                </w14:textFill>
              </w:rPr>
              <w:t>得</w:t>
            </w:r>
            <w:r>
              <w:rPr>
                <w:rFonts w:hint="eastAsia" w:ascii="黑体" w:hAnsi="黑体" w:eastAsia="黑体"/>
                <w:color w:val="000000" w:themeColor="text1"/>
                <w:szCs w:val="21"/>
                <w:lang w:val="en-US" w:eastAsia="zh-CN"/>
                <w14:textFill>
                  <w14:solidFill>
                    <w14:schemeClr w14:val="tx1"/>
                  </w14:solidFill>
                </w14:textFill>
              </w:rPr>
              <w:t>7</w:t>
            </w:r>
            <w:r>
              <w:rPr>
                <w:rFonts w:hint="eastAsia" w:ascii="黑体" w:hAnsi="黑体" w:eastAsia="黑体"/>
                <w:color w:val="000000" w:themeColor="text1"/>
                <w:szCs w:val="21"/>
                <w14:textFill>
                  <w14:solidFill>
                    <w14:schemeClr w14:val="tx1"/>
                  </w14:solidFill>
                </w14:textFill>
              </w:rPr>
              <w:t>分</w:t>
            </w:r>
            <w:r>
              <w:rPr>
                <w:rFonts w:hint="eastAsia" w:ascii="黑体" w:hAnsi="黑体" w:eastAsia="黑体"/>
                <w:color w:val="000000" w:themeColor="text1"/>
                <w:szCs w:val="21"/>
                <w:lang w:eastAsia="zh-CN"/>
                <w14:textFill>
                  <w14:solidFill>
                    <w14:schemeClr w14:val="tx1"/>
                  </w14:solidFill>
                </w14:textFill>
              </w:rPr>
              <w:t>；</w:t>
            </w:r>
          </w:p>
          <w:p w14:paraId="78F2E4FB">
            <w:pPr>
              <w:spacing w:before="31" w:beforeLines="10" w:after="30" w:line="440" w:lineRule="exact"/>
              <w:rPr>
                <w:rFonts w:hint="eastAsia" w:ascii="黑体" w:hAnsi="黑体" w:eastAsia="黑体"/>
                <w:color w:val="000000" w:themeColor="text1"/>
                <w:szCs w:val="21"/>
                <w:lang w:eastAsia="zh-CN"/>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③</w:t>
            </w:r>
            <w:r>
              <w:rPr>
                <w:rFonts w:hint="eastAsia" w:ascii="黑体" w:hAnsi="黑体" w:eastAsia="黑体"/>
                <w:color w:val="000000" w:themeColor="text1"/>
                <w:szCs w:val="21"/>
                <w14:textFill>
                  <w14:solidFill>
                    <w14:schemeClr w14:val="tx1"/>
                  </w14:solidFill>
                </w14:textFill>
              </w:rPr>
              <w:t>对设备质保期作出的保证承诺满足</w:t>
            </w:r>
            <w:r>
              <w:rPr>
                <w:rFonts w:hint="eastAsia" w:ascii="黑体" w:hAnsi="黑体" w:eastAsia="黑体"/>
                <w:color w:val="000000" w:themeColor="text1"/>
                <w:szCs w:val="21"/>
                <w:lang w:val="en-US" w:eastAsia="zh-CN"/>
                <w14:textFill>
                  <w14:solidFill>
                    <w14:schemeClr w14:val="tx1"/>
                  </w14:solidFill>
                </w14:textFill>
              </w:rPr>
              <w:t>采购</w:t>
            </w:r>
            <w:r>
              <w:rPr>
                <w:rFonts w:hint="eastAsia" w:ascii="黑体" w:hAnsi="黑体" w:eastAsia="黑体"/>
                <w:color w:val="000000" w:themeColor="text1"/>
                <w:szCs w:val="21"/>
                <w14:textFill>
                  <w14:solidFill>
                    <w14:schemeClr w14:val="tx1"/>
                  </w14:solidFill>
                </w14:textFill>
              </w:rPr>
              <w:t>需求，维护保养方案、维护保养方式方法</w:t>
            </w:r>
            <w:r>
              <w:rPr>
                <w:rFonts w:hint="eastAsia" w:ascii="黑体" w:hAnsi="黑体" w:eastAsia="黑体"/>
                <w:color w:val="000000" w:themeColor="text1"/>
                <w:szCs w:val="21"/>
                <w:lang w:val="en-US" w:eastAsia="zh-CN"/>
                <w14:textFill>
                  <w14:solidFill>
                    <w14:schemeClr w14:val="tx1"/>
                  </w14:solidFill>
                </w14:textFill>
              </w:rPr>
              <w:t>较具体</w:t>
            </w:r>
            <w:r>
              <w:rPr>
                <w:rFonts w:hint="eastAsia" w:ascii="黑体" w:hAnsi="黑体" w:eastAsia="黑体"/>
                <w:color w:val="000000" w:themeColor="text1"/>
                <w:szCs w:val="21"/>
                <w14:textFill>
                  <w14:solidFill>
                    <w14:schemeClr w14:val="tx1"/>
                  </w14:solidFill>
                </w14:textFill>
              </w:rPr>
              <w:t>，对</w:t>
            </w:r>
            <w:r>
              <w:rPr>
                <w:rFonts w:hint="eastAsia" w:ascii="黑体" w:hAnsi="黑体" w:eastAsia="黑体"/>
                <w:color w:val="000000" w:themeColor="text1"/>
                <w:szCs w:val="21"/>
                <w:lang w:val="en-US" w:eastAsia="zh-CN"/>
                <w14:textFill>
                  <w14:solidFill>
                    <w14:schemeClr w14:val="tx1"/>
                  </w14:solidFill>
                </w14:textFill>
              </w:rPr>
              <w:t>用户</w:t>
            </w:r>
            <w:r>
              <w:rPr>
                <w:rFonts w:hint="eastAsia" w:ascii="黑体" w:hAnsi="黑体" w:eastAsia="黑体"/>
                <w:color w:val="000000" w:themeColor="text1"/>
                <w:szCs w:val="21"/>
                <w14:textFill>
                  <w14:solidFill>
                    <w14:schemeClr w14:val="tx1"/>
                  </w14:solidFill>
                </w14:textFill>
              </w:rPr>
              <w:t>人员的培训方案及培训计划安排</w:t>
            </w:r>
            <w:r>
              <w:rPr>
                <w:rFonts w:hint="eastAsia" w:ascii="黑体" w:hAnsi="黑体" w:eastAsia="黑体"/>
                <w:color w:val="000000" w:themeColor="text1"/>
                <w:szCs w:val="21"/>
                <w:lang w:val="en-US" w:eastAsia="zh-CN"/>
                <w14:textFill>
                  <w14:solidFill>
                    <w14:schemeClr w14:val="tx1"/>
                  </w14:solidFill>
                </w14:textFill>
              </w:rPr>
              <w:t>有一定针对性</w:t>
            </w:r>
            <w:r>
              <w:rPr>
                <w:rFonts w:hint="eastAsia" w:ascii="黑体" w:hAnsi="黑体" w:eastAsia="黑体"/>
                <w:color w:val="000000" w:themeColor="text1"/>
                <w:szCs w:val="21"/>
                <w14:textFill>
                  <w14:solidFill>
                    <w14:schemeClr w14:val="tx1"/>
                  </w14:solidFill>
                </w14:textFill>
              </w:rPr>
              <w:t>，维护保养方案及技术人员培训方案部分内容有</w:t>
            </w:r>
            <w:r>
              <w:rPr>
                <w:rFonts w:hint="eastAsia" w:ascii="黑体" w:hAnsi="黑体" w:eastAsia="黑体"/>
                <w:color w:val="000000" w:themeColor="text1"/>
                <w:szCs w:val="21"/>
                <w:lang w:val="en-US" w:eastAsia="zh-CN"/>
                <w14:textFill>
                  <w14:solidFill>
                    <w14:schemeClr w14:val="tx1"/>
                  </w14:solidFill>
                </w14:textFill>
              </w:rPr>
              <w:t>缺漏的，</w:t>
            </w:r>
            <w:r>
              <w:rPr>
                <w:rFonts w:hint="eastAsia" w:ascii="黑体" w:hAnsi="黑体" w:eastAsia="黑体"/>
                <w:color w:val="000000" w:themeColor="text1"/>
                <w:szCs w:val="21"/>
                <w14:textFill>
                  <w14:solidFill>
                    <w14:schemeClr w14:val="tx1"/>
                  </w14:solidFill>
                </w14:textFill>
              </w:rPr>
              <w:t>得</w:t>
            </w:r>
            <w:r>
              <w:rPr>
                <w:rFonts w:hint="eastAsia" w:ascii="黑体" w:hAnsi="黑体" w:eastAsia="黑体"/>
                <w:color w:val="000000" w:themeColor="text1"/>
                <w:szCs w:val="21"/>
                <w:lang w:val="en-US" w:eastAsia="zh-CN"/>
                <w14:textFill>
                  <w14:solidFill>
                    <w14:schemeClr w14:val="tx1"/>
                  </w14:solidFill>
                </w14:textFill>
              </w:rPr>
              <w:t>4</w:t>
            </w:r>
            <w:r>
              <w:rPr>
                <w:rFonts w:hint="eastAsia" w:ascii="黑体" w:hAnsi="黑体" w:eastAsia="黑体"/>
                <w:color w:val="000000" w:themeColor="text1"/>
                <w:szCs w:val="21"/>
                <w14:textFill>
                  <w14:solidFill>
                    <w14:schemeClr w14:val="tx1"/>
                  </w14:solidFill>
                </w14:textFill>
              </w:rPr>
              <w:t>分</w:t>
            </w:r>
            <w:r>
              <w:rPr>
                <w:rFonts w:hint="eastAsia" w:ascii="黑体" w:hAnsi="黑体" w:eastAsia="黑体"/>
                <w:color w:val="000000" w:themeColor="text1"/>
                <w:szCs w:val="21"/>
                <w:lang w:eastAsia="zh-CN"/>
                <w14:textFill>
                  <w14:solidFill>
                    <w14:schemeClr w14:val="tx1"/>
                  </w14:solidFill>
                </w14:textFill>
              </w:rPr>
              <w:t>；</w:t>
            </w:r>
          </w:p>
          <w:p w14:paraId="701270F7">
            <w:pPr>
              <w:spacing w:before="31" w:beforeLines="10" w:after="30" w:line="440" w:lineRule="exact"/>
              <w:rPr>
                <w:rFonts w:hint="eastAsia" w:ascii="黑体" w:hAnsi="黑体" w:eastAsia="黑体"/>
                <w:color w:val="000000" w:themeColor="text1"/>
                <w:szCs w:val="21"/>
                <w:lang w:eastAsia="zh-CN"/>
                <w14:textFill>
                  <w14:solidFill>
                    <w14:schemeClr w14:val="tx1"/>
                  </w14:solidFill>
                </w14:textFill>
              </w:rPr>
            </w:pPr>
            <w:r>
              <w:rPr>
                <w:rFonts w:hint="eastAsia" w:ascii="黑体" w:hAnsi="黑体" w:eastAsia="黑体" w:cs="黑体"/>
                <w:color w:val="000000" w:themeColor="text1"/>
                <w:szCs w:val="21"/>
                <w14:textFill>
                  <w14:solidFill>
                    <w14:schemeClr w14:val="tx1"/>
                  </w14:solidFill>
                </w14:textFill>
              </w:rPr>
              <w:t>④</w:t>
            </w:r>
            <w:r>
              <w:rPr>
                <w:rFonts w:hint="eastAsia" w:ascii="黑体" w:hAnsi="黑体" w:eastAsia="黑体"/>
                <w:color w:val="000000" w:themeColor="text1"/>
                <w:szCs w:val="21"/>
                <w14:textFill>
                  <w14:solidFill>
                    <w14:schemeClr w14:val="tx1"/>
                  </w14:solidFill>
                </w14:textFill>
              </w:rPr>
              <w:t>对设备质保期作出的保证承诺</w:t>
            </w:r>
            <w:r>
              <w:rPr>
                <w:rFonts w:hint="eastAsia" w:ascii="黑体" w:hAnsi="黑体" w:eastAsia="黑体"/>
                <w:color w:val="000000" w:themeColor="text1"/>
                <w:szCs w:val="21"/>
                <w:lang w:val="en-US" w:eastAsia="zh-CN"/>
                <w14:textFill>
                  <w14:solidFill>
                    <w14:schemeClr w14:val="tx1"/>
                  </w14:solidFill>
                </w14:textFill>
              </w:rPr>
              <w:t>只能满足部分采购</w:t>
            </w:r>
            <w:r>
              <w:rPr>
                <w:rFonts w:hint="eastAsia" w:ascii="黑体" w:hAnsi="黑体" w:eastAsia="黑体"/>
                <w:color w:val="000000" w:themeColor="text1"/>
                <w:szCs w:val="21"/>
                <w14:textFill>
                  <w14:solidFill>
                    <w14:schemeClr w14:val="tx1"/>
                  </w14:solidFill>
                </w14:textFill>
              </w:rPr>
              <w:t>需求，维护保养方案、维护保养方式方法</w:t>
            </w:r>
            <w:r>
              <w:rPr>
                <w:rFonts w:hint="eastAsia" w:ascii="黑体" w:hAnsi="黑体" w:eastAsia="黑体"/>
                <w:color w:val="000000" w:themeColor="text1"/>
                <w:szCs w:val="21"/>
                <w:lang w:val="en-US" w:eastAsia="zh-CN"/>
                <w14:textFill>
                  <w14:solidFill>
                    <w14:schemeClr w14:val="tx1"/>
                  </w14:solidFill>
                </w14:textFill>
              </w:rPr>
              <w:t>内容简单</w:t>
            </w:r>
            <w:r>
              <w:rPr>
                <w:rFonts w:hint="eastAsia" w:ascii="黑体" w:hAnsi="黑体" w:eastAsia="黑体"/>
                <w:color w:val="000000" w:themeColor="text1"/>
                <w:szCs w:val="21"/>
                <w14:textFill>
                  <w14:solidFill>
                    <w14:schemeClr w14:val="tx1"/>
                  </w14:solidFill>
                </w14:textFill>
              </w:rPr>
              <w:t>，对</w:t>
            </w:r>
            <w:r>
              <w:rPr>
                <w:rFonts w:hint="eastAsia" w:ascii="黑体" w:hAnsi="黑体" w:eastAsia="黑体"/>
                <w:color w:val="000000" w:themeColor="text1"/>
                <w:szCs w:val="21"/>
                <w:lang w:val="en-US" w:eastAsia="zh-CN"/>
                <w14:textFill>
                  <w14:solidFill>
                    <w14:schemeClr w14:val="tx1"/>
                  </w14:solidFill>
                </w14:textFill>
              </w:rPr>
              <w:t>用户</w:t>
            </w:r>
            <w:r>
              <w:rPr>
                <w:rFonts w:hint="eastAsia" w:ascii="黑体" w:hAnsi="黑体" w:eastAsia="黑体"/>
                <w:color w:val="000000" w:themeColor="text1"/>
                <w:szCs w:val="21"/>
                <w14:textFill>
                  <w14:solidFill>
                    <w14:schemeClr w14:val="tx1"/>
                  </w14:solidFill>
                </w14:textFill>
              </w:rPr>
              <w:t>人员的培训方案及培训计划安排</w:t>
            </w:r>
            <w:r>
              <w:rPr>
                <w:rFonts w:hint="eastAsia" w:ascii="黑体" w:hAnsi="黑体" w:eastAsia="黑体"/>
                <w:color w:val="000000" w:themeColor="text1"/>
                <w:szCs w:val="21"/>
                <w:lang w:val="en-US" w:eastAsia="zh-CN"/>
                <w14:textFill>
                  <w14:solidFill>
                    <w14:schemeClr w14:val="tx1"/>
                  </w14:solidFill>
                </w14:textFill>
              </w:rPr>
              <w:t>不合理</w:t>
            </w:r>
            <w:r>
              <w:rPr>
                <w:rFonts w:hint="eastAsia" w:ascii="黑体" w:hAnsi="黑体" w:eastAsia="黑体"/>
                <w:color w:val="000000" w:themeColor="text1"/>
                <w:szCs w:val="21"/>
                <w14:textFill>
                  <w14:solidFill>
                    <w14:schemeClr w14:val="tx1"/>
                  </w14:solidFill>
                </w14:textFill>
              </w:rPr>
              <w:t>的</w:t>
            </w:r>
            <w:r>
              <w:rPr>
                <w:rFonts w:hint="eastAsia" w:ascii="黑体" w:hAnsi="黑体" w:eastAsia="黑体"/>
                <w:color w:val="000000" w:themeColor="text1"/>
                <w:szCs w:val="21"/>
                <w:lang w:eastAsia="zh-CN"/>
                <w14:textFill>
                  <w14:solidFill>
                    <w14:schemeClr w14:val="tx1"/>
                  </w14:solidFill>
                </w14:textFill>
              </w:rPr>
              <w:t>，</w:t>
            </w:r>
            <w:r>
              <w:rPr>
                <w:rFonts w:hint="eastAsia" w:ascii="黑体" w:hAnsi="黑体" w:eastAsia="黑体"/>
                <w:color w:val="000000" w:themeColor="text1"/>
                <w:szCs w:val="21"/>
                <w14:textFill>
                  <w14:solidFill>
                    <w14:schemeClr w14:val="tx1"/>
                  </w14:solidFill>
                </w14:textFill>
              </w:rPr>
              <w:t>得</w:t>
            </w:r>
            <w:r>
              <w:rPr>
                <w:rFonts w:hint="eastAsia" w:ascii="黑体" w:hAnsi="黑体" w:eastAsia="黑体"/>
                <w:color w:val="000000" w:themeColor="text1"/>
                <w:szCs w:val="21"/>
                <w:lang w:val="en-US" w:eastAsia="zh-CN"/>
                <w14:textFill>
                  <w14:solidFill>
                    <w14:schemeClr w14:val="tx1"/>
                  </w14:solidFill>
                </w14:textFill>
              </w:rPr>
              <w:t>1</w:t>
            </w:r>
            <w:r>
              <w:rPr>
                <w:rFonts w:hint="eastAsia" w:ascii="黑体" w:hAnsi="黑体" w:eastAsia="黑体"/>
                <w:color w:val="000000" w:themeColor="text1"/>
                <w:szCs w:val="21"/>
                <w14:textFill>
                  <w14:solidFill>
                    <w14:schemeClr w14:val="tx1"/>
                  </w14:solidFill>
                </w14:textFill>
              </w:rPr>
              <w:t>分</w:t>
            </w:r>
            <w:r>
              <w:rPr>
                <w:rFonts w:hint="eastAsia" w:ascii="黑体" w:hAnsi="黑体" w:eastAsia="黑体"/>
                <w:color w:val="000000" w:themeColor="text1"/>
                <w:szCs w:val="21"/>
                <w:lang w:eastAsia="zh-CN"/>
                <w14:textFill>
                  <w14:solidFill>
                    <w14:schemeClr w14:val="tx1"/>
                  </w14:solidFill>
                </w14:textFill>
              </w:rPr>
              <w:t>；</w:t>
            </w:r>
          </w:p>
          <w:p w14:paraId="0F2371A4">
            <w:pPr>
              <w:spacing w:before="31" w:beforeLines="10" w:after="30" w:line="440" w:lineRule="exact"/>
              <w:rPr>
                <w:rFonts w:hint="eastAsia" w:ascii="黑体" w:hAnsi="黑体" w:eastAsia="黑体"/>
                <w:color w:val="auto"/>
                <w:szCs w:val="21"/>
                <w:highlight w:val="none"/>
              </w:rPr>
            </w:pPr>
            <w:r>
              <w:rPr>
                <w:rFonts w:hint="eastAsia" w:ascii="黑体" w:hAnsi="黑体" w:eastAsia="黑体" w:cs="黑体"/>
                <w:color w:val="000000" w:themeColor="text1"/>
                <w:szCs w:val="21"/>
                <w14:textFill>
                  <w14:solidFill>
                    <w14:schemeClr w14:val="tx1"/>
                  </w14:solidFill>
                </w14:textFill>
              </w:rPr>
              <w:t>⑤</w:t>
            </w:r>
            <w:r>
              <w:rPr>
                <w:rFonts w:hint="eastAsia" w:ascii="黑体" w:hAnsi="黑体" w:eastAsia="黑体"/>
                <w:color w:val="000000" w:themeColor="text1"/>
                <w:szCs w:val="21"/>
                <w14:textFill>
                  <w14:solidFill>
                    <w14:schemeClr w14:val="tx1"/>
                  </w14:solidFill>
                </w14:textFill>
              </w:rPr>
              <w:t>没有作出质保期保证承诺或</w:t>
            </w:r>
            <w:r>
              <w:rPr>
                <w:rFonts w:hint="eastAsia" w:ascii="黑体" w:hAnsi="黑体" w:eastAsia="黑体" w:cs="宋体"/>
                <w:color w:val="auto"/>
                <w:kern w:val="0"/>
                <w:szCs w:val="21"/>
                <w:highlight w:val="none"/>
              </w:rPr>
              <w:t>未提供方案的不得分</w:t>
            </w:r>
            <w:r>
              <w:rPr>
                <w:rFonts w:hint="eastAsia" w:ascii="黑体" w:hAnsi="黑体" w:eastAsia="黑体"/>
                <w:color w:val="000000" w:themeColor="text1"/>
                <w:szCs w:val="21"/>
                <w14:textFill>
                  <w14:solidFill>
                    <w14:schemeClr w14:val="tx1"/>
                  </w14:solidFill>
                </w14:textFill>
              </w:rPr>
              <w:t>。</w:t>
            </w:r>
          </w:p>
        </w:tc>
      </w:tr>
      <w:tr w14:paraId="646CB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5" w:type="pct"/>
            <w:vAlign w:val="center"/>
          </w:tcPr>
          <w:p w14:paraId="7E114F23">
            <w:pPr>
              <w:spacing w:before="31" w:beforeLines="10" w:after="93" w:afterLines="30" w:line="440" w:lineRule="exact"/>
              <w:jc w:val="center"/>
              <w:rPr>
                <w:rFonts w:hint="default" w:ascii="黑体" w:hAnsi="黑体" w:eastAsia="黑体"/>
                <w:color w:val="auto"/>
                <w:szCs w:val="21"/>
                <w:highlight w:val="none"/>
                <w:lang w:val="en-US" w:eastAsia="zh-CN"/>
              </w:rPr>
            </w:pPr>
            <w:r>
              <w:rPr>
                <w:rFonts w:hint="eastAsia" w:ascii="黑体" w:hAnsi="黑体" w:eastAsia="黑体"/>
                <w:color w:val="auto"/>
                <w:szCs w:val="21"/>
                <w:highlight w:val="none"/>
                <w:lang w:val="en-US" w:eastAsia="zh-CN"/>
              </w:rPr>
              <w:t>5</w:t>
            </w:r>
          </w:p>
        </w:tc>
        <w:tc>
          <w:tcPr>
            <w:tcW w:w="624" w:type="pct"/>
            <w:shd w:val="clear" w:color="auto" w:fill="auto"/>
            <w:vAlign w:val="center"/>
          </w:tcPr>
          <w:p w14:paraId="7CDC6738">
            <w:pPr>
              <w:spacing w:before="31" w:beforeLines="10" w:after="30" w:line="440" w:lineRule="exact"/>
              <w:jc w:val="center"/>
              <w:rPr>
                <w:rFonts w:hint="eastAsia" w:ascii="黑体" w:hAnsi="黑体" w:eastAsia="黑体" w:cstheme="minorBidi"/>
                <w:bCs/>
                <w:color w:val="auto"/>
                <w:kern w:val="2"/>
                <w:sz w:val="21"/>
                <w:szCs w:val="21"/>
                <w:highlight w:val="none"/>
                <w:lang w:val="en-US" w:eastAsia="zh-CN" w:bidi="ar-SA"/>
              </w:rPr>
            </w:pPr>
            <w:r>
              <w:rPr>
                <w:rFonts w:hint="eastAsia" w:ascii="黑体" w:hAnsi="黑体" w:eastAsia="黑体"/>
                <w:color w:val="auto"/>
                <w:szCs w:val="21"/>
                <w:highlight w:val="none"/>
              </w:rPr>
              <w:t>应急维护预案</w:t>
            </w:r>
          </w:p>
        </w:tc>
        <w:tc>
          <w:tcPr>
            <w:tcW w:w="436" w:type="pct"/>
            <w:shd w:val="clear" w:color="auto" w:fill="auto"/>
            <w:vAlign w:val="center"/>
          </w:tcPr>
          <w:p w14:paraId="12FAD841">
            <w:pPr>
              <w:widowControl/>
              <w:spacing w:before="31" w:beforeLines="10" w:after="30" w:line="440" w:lineRule="exact"/>
              <w:jc w:val="center"/>
              <w:rPr>
                <w:rFonts w:hint="eastAsia" w:ascii="黑体" w:hAnsi="黑体" w:eastAsia="黑体" w:cstheme="minorBidi"/>
                <w:bCs/>
                <w:color w:val="auto"/>
                <w:kern w:val="2"/>
                <w:sz w:val="21"/>
                <w:szCs w:val="21"/>
                <w:highlight w:val="none"/>
                <w:lang w:val="en-US" w:eastAsia="zh-CN" w:bidi="ar-SA"/>
              </w:rPr>
            </w:pPr>
            <w:r>
              <w:rPr>
                <w:rFonts w:hint="eastAsia" w:ascii="黑体" w:hAnsi="黑体" w:eastAsia="黑体"/>
                <w:color w:val="auto"/>
                <w:szCs w:val="21"/>
                <w:highlight w:val="none"/>
                <w:lang w:val="en-US" w:eastAsia="zh-CN"/>
              </w:rPr>
              <w:t>9</w:t>
            </w:r>
            <w:r>
              <w:rPr>
                <w:rFonts w:hint="eastAsia" w:ascii="黑体" w:hAnsi="黑体" w:eastAsia="黑体"/>
                <w:color w:val="auto"/>
                <w:szCs w:val="21"/>
                <w:highlight w:val="none"/>
              </w:rPr>
              <w:t>分</w:t>
            </w:r>
          </w:p>
        </w:tc>
        <w:tc>
          <w:tcPr>
            <w:tcW w:w="3543" w:type="pct"/>
            <w:shd w:val="clear" w:color="auto" w:fill="auto"/>
            <w:vAlign w:val="center"/>
          </w:tcPr>
          <w:p w14:paraId="2E411E1A">
            <w:pPr>
              <w:spacing w:before="31" w:beforeLines="10" w:after="30" w:line="440" w:lineRule="exact"/>
              <w:rPr>
                <w:rFonts w:ascii="黑体" w:hAnsi="黑体" w:eastAsia="黑体"/>
                <w:bCs/>
                <w:color w:val="auto"/>
                <w:szCs w:val="21"/>
                <w:highlight w:val="none"/>
              </w:rPr>
            </w:pPr>
            <w:r>
              <w:rPr>
                <w:rFonts w:hint="eastAsia" w:ascii="黑体" w:hAnsi="黑体" w:eastAsia="黑体"/>
                <w:bCs/>
                <w:color w:val="auto"/>
                <w:szCs w:val="21"/>
                <w:highlight w:val="none"/>
              </w:rPr>
              <w:t>根据采购需求的“应急维护要求”，对投标人提供的应急维护预案（包括但不限于①应急响应时间、②应急维护措施）进行评审：</w:t>
            </w:r>
          </w:p>
          <w:p w14:paraId="3C983AEA">
            <w:pPr>
              <w:spacing w:before="31" w:beforeLines="10" w:after="30" w:line="440" w:lineRule="exact"/>
              <w:rPr>
                <w:rFonts w:ascii="黑体" w:hAnsi="黑体" w:eastAsia="黑体"/>
                <w:bCs/>
                <w:color w:val="auto"/>
                <w:szCs w:val="21"/>
                <w:highlight w:val="none"/>
              </w:rPr>
            </w:pPr>
            <w:r>
              <w:rPr>
                <w:rFonts w:hint="eastAsia" w:ascii="黑体" w:hAnsi="黑体" w:eastAsia="黑体"/>
                <w:color w:val="auto"/>
                <w:szCs w:val="21"/>
                <w:highlight w:val="none"/>
              </w:rPr>
              <w:t>①</w:t>
            </w:r>
            <w:r>
              <w:rPr>
                <w:rFonts w:hint="eastAsia" w:ascii="黑体" w:hAnsi="黑体" w:eastAsia="黑体"/>
                <w:bCs/>
                <w:color w:val="auto"/>
                <w:szCs w:val="21"/>
                <w:highlight w:val="none"/>
              </w:rPr>
              <w:t>应急维护预案</w:t>
            </w:r>
            <w:r>
              <w:rPr>
                <w:rFonts w:hint="eastAsia" w:ascii="黑体" w:hAnsi="黑体" w:eastAsia="黑体"/>
                <w:bCs/>
                <w:color w:val="auto"/>
                <w:szCs w:val="21"/>
                <w:highlight w:val="none"/>
                <w:lang w:val="en-US" w:eastAsia="zh-CN"/>
              </w:rPr>
              <w:t>充分全面，并配备保障应急事件所需的保障人员和预备人员，针对突发事件提供的应急措施能非常有效保障本项目实施的，得9分</w:t>
            </w:r>
            <w:r>
              <w:rPr>
                <w:rFonts w:hint="eastAsia" w:ascii="黑体" w:hAnsi="黑体" w:eastAsia="黑体"/>
                <w:bCs/>
                <w:color w:val="auto"/>
                <w:szCs w:val="21"/>
                <w:highlight w:val="none"/>
              </w:rPr>
              <w:t>；</w:t>
            </w:r>
          </w:p>
          <w:p w14:paraId="4A8FDAC5">
            <w:pPr>
              <w:spacing w:before="31" w:beforeLines="10" w:after="30" w:line="440" w:lineRule="exact"/>
              <w:rPr>
                <w:rFonts w:ascii="黑体" w:hAnsi="黑体" w:eastAsia="黑体"/>
                <w:bCs/>
                <w:color w:val="auto"/>
                <w:szCs w:val="21"/>
                <w:highlight w:val="none"/>
              </w:rPr>
            </w:pPr>
            <w:r>
              <w:rPr>
                <w:rFonts w:hint="eastAsia" w:ascii="黑体" w:hAnsi="黑体" w:eastAsia="黑体"/>
                <w:color w:val="auto"/>
                <w:szCs w:val="21"/>
                <w:highlight w:val="none"/>
              </w:rPr>
              <w:t>②</w:t>
            </w:r>
            <w:r>
              <w:rPr>
                <w:rFonts w:hint="eastAsia" w:ascii="黑体" w:hAnsi="黑体" w:eastAsia="黑体"/>
                <w:bCs/>
                <w:color w:val="auto"/>
                <w:szCs w:val="21"/>
                <w:highlight w:val="none"/>
              </w:rPr>
              <w:t>应急维护预案</w:t>
            </w:r>
            <w:r>
              <w:rPr>
                <w:rFonts w:hint="eastAsia" w:ascii="黑体" w:hAnsi="黑体" w:eastAsia="黑体"/>
                <w:bCs/>
                <w:color w:val="auto"/>
                <w:szCs w:val="21"/>
                <w:highlight w:val="none"/>
                <w:lang w:val="en-US" w:eastAsia="zh-CN"/>
              </w:rPr>
              <w:t>全面，并配备保障应急事件所需的保障人员和预备人员，针对突发事件提供的应急措施能有效保障本项目实施的，得6分</w:t>
            </w:r>
            <w:r>
              <w:rPr>
                <w:rFonts w:hint="eastAsia" w:ascii="黑体" w:hAnsi="黑体" w:eastAsia="黑体"/>
                <w:bCs/>
                <w:color w:val="auto"/>
                <w:szCs w:val="21"/>
                <w:highlight w:val="none"/>
              </w:rPr>
              <w:t>；</w:t>
            </w:r>
          </w:p>
          <w:p w14:paraId="5D0F0B78">
            <w:pPr>
              <w:spacing w:before="31" w:beforeLines="10" w:after="30" w:line="440" w:lineRule="exact"/>
              <w:rPr>
                <w:rFonts w:ascii="黑体" w:hAnsi="黑体" w:eastAsia="黑体"/>
                <w:bCs/>
                <w:color w:val="auto"/>
                <w:szCs w:val="21"/>
                <w:highlight w:val="none"/>
              </w:rPr>
            </w:pPr>
            <w:r>
              <w:rPr>
                <w:rFonts w:hint="eastAsia" w:ascii="黑体" w:hAnsi="黑体" w:eastAsia="黑体"/>
                <w:color w:val="auto"/>
                <w:szCs w:val="21"/>
                <w:highlight w:val="none"/>
              </w:rPr>
              <w:t>③</w:t>
            </w:r>
            <w:r>
              <w:rPr>
                <w:rFonts w:hint="eastAsia" w:ascii="黑体" w:hAnsi="黑体" w:eastAsia="黑体"/>
                <w:bCs/>
                <w:color w:val="auto"/>
                <w:szCs w:val="21"/>
                <w:highlight w:val="none"/>
              </w:rPr>
              <w:t>应急维护预案</w:t>
            </w:r>
            <w:r>
              <w:rPr>
                <w:rFonts w:hint="eastAsia" w:ascii="黑体" w:hAnsi="黑体" w:eastAsia="黑体"/>
                <w:bCs/>
                <w:color w:val="auto"/>
                <w:szCs w:val="21"/>
                <w:highlight w:val="none"/>
                <w:lang w:val="en-US" w:eastAsia="zh-CN"/>
              </w:rPr>
              <w:t>较全面，有配备一定的保障人员和预备人员，针对突发事件提供的应急措施能保障本项目基本实施的，得3分</w:t>
            </w:r>
            <w:r>
              <w:rPr>
                <w:rFonts w:hint="eastAsia" w:ascii="黑体" w:hAnsi="黑体" w:eastAsia="黑体"/>
                <w:bCs/>
                <w:color w:val="auto"/>
                <w:szCs w:val="21"/>
                <w:highlight w:val="none"/>
              </w:rPr>
              <w:t>；</w:t>
            </w:r>
          </w:p>
          <w:p w14:paraId="4E0970DC">
            <w:pPr>
              <w:spacing w:before="31" w:beforeLines="10" w:after="30" w:line="440" w:lineRule="exact"/>
              <w:rPr>
                <w:rFonts w:hint="eastAsia" w:ascii="黑体" w:hAnsi="黑体" w:eastAsia="黑体"/>
                <w:color w:val="auto"/>
                <w:szCs w:val="21"/>
                <w:highlight w:val="none"/>
              </w:rPr>
            </w:pPr>
            <w:r>
              <w:rPr>
                <w:rFonts w:hint="eastAsia" w:ascii="黑体" w:hAnsi="黑体" w:eastAsia="黑体"/>
                <w:color w:val="auto"/>
                <w:szCs w:val="21"/>
                <w:highlight w:val="none"/>
              </w:rPr>
              <w:fldChar w:fldCharType="begin"/>
            </w:r>
            <w:r>
              <w:rPr>
                <w:rFonts w:hint="eastAsia" w:ascii="黑体" w:hAnsi="黑体" w:eastAsia="黑体"/>
                <w:color w:val="auto"/>
                <w:szCs w:val="21"/>
                <w:highlight w:val="none"/>
              </w:rPr>
              <w:instrText xml:space="preserve"> = 4 \* GB3 \* MERGEFORMAT </w:instrText>
            </w:r>
            <w:r>
              <w:rPr>
                <w:rFonts w:hint="eastAsia" w:ascii="黑体" w:hAnsi="黑体" w:eastAsia="黑体"/>
                <w:color w:val="auto"/>
                <w:szCs w:val="21"/>
                <w:highlight w:val="none"/>
              </w:rPr>
              <w:fldChar w:fldCharType="separate"/>
            </w:r>
            <w:r>
              <w:rPr>
                <w:rFonts w:hint="eastAsia" w:ascii="黑体" w:hAnsi="黑体" w:eastAsia="黑体"/>
                <w:color w:val="auto"/>
                <w:szCs w:val="21"/>
                <w:highlight w:val="none"/>
              </w:rPr>
              <w:t>④</w:t>
            </w:r>
            <w:r>
              <w:rPr>
                <w:rFonts w:hint="eastAsia" w:ascii="黑体" w:hAnsi="黑体" w:eastAsia="黑体"/>
                <w:color w:val="auto"/>
                <w:szCs w:val="21"/>
                <w:highlight w:val="none"/>
              </w:rPr>
              <w:fldChar w:fldCharType="end"/>
            </w:r>
            <w:r>
              <w:rPr>
                <w:rFonts w:hint="eastAsia" w:ascii="黑体" w:hAnsi="黑体" w:eastAsia="黑体"/>
                <w:bCs/>
                <w:color w:val="auto"/>
                <w:szCs w:val="21"/>
                <w:highlight w:val="none"/>
              </w:rPr>
              <w:t>应急维护预案</w:t>
            </w:r>
            <w:r>
              <w:rPr>
                <w:rFonts w:hint="eastAsia" w:ascii="黑体" w:hAnsi="黑体" w:eastAsia="黑体"/>
                <w:bCs/>
                <w:color w:val="auto"/>
                <w:szCs w:val="21"/>
                <w:highlight w:val="none"/>
                <w:lang w:val="en-US" w:eastAsia="zh-CN"/>
              </w:rPr>
              <w:t>简单，无配备保障人员和预备人员，有简单的应急措施的，得1分</w:t>
            </w:r>
            <w:r>
              <w:rPr>
                <w:rFonts w:hint="eastAsia" w:ascii="黑体" w:hAnsi="黑体" w:eastAsia="黑体"/>
                <w:bCs/>
                <w:color w:val="auto"/>
                <w:szCs w:val="21"/>
                <w:highlight w:val="none"/>
              </w:rPr>
              <w:t>；</w:t>
            </w:r>
          </w:p>
          <w:p w14:paraId="2C37649D">
            <w:pPr>
              <w:spacing w:before="31" w:beforeLines="10" w:after="30" w:line="440" w:lineRule="exact"/>
              <w:rPr>
                <w:rFonts w:hint="eastAsia" w:ascii="黑体" w:hAnsi="黑体" w:eastAsia="黑体" w:cstheme="minorBidi"/>
                <w:color w:val="auto"/>
                <w:kern w:val="2"/>
                <w:sz w:val="21"/>
                <w:szCs w:val="21"/>
                <w:highlight w:val="none"/>
                <w:lang w:val="en-US" w:eastAsia="zh-CN" w:bidi="ar-SA"/>
              </w:rPr>
            </w:pPr>
            <w:r>
              <w:rPr>
                <w:rFonts w:hint="eastAsia" w:ascii="黑体" w:hAnsi="黑体" w:eastAsia="黑体" w:cs="宋体"/>
                <w:color w:val="auto"/>
                <w:kern w:val="0"/>
                <w:szCs w:val="21"/>
                <w:highlight w:val="none"/>
              </w:rPr>
              <w:t>⑤未提供方案的不得分。</w:t>
            </w:r>
          </w:p>
        </w:tc>
      </w:tr>
    </w:tbl>
    <w:p w14:paraId="3F0D2889">
      <w:pPr>
        <w:rPr>
          <w:color w:val="000000" w:themeColor="text1"/>
          <w14:textFill>
            <w14:solidFill>
              <w14:schemeClr w14:val="tx1"/>
            </w14:solidFill>
          </w14:textFill>
        </w:rPr>
      </w:pPr>
    </w:p>
    <w:p w14:paraId="77F529A3">
      <w:pPr>
        <w:pStyle w:val="3"/>
        <w:keepNext w:val="0"/>
        <w:keepLines w:val="0"/>
        <w:pageBreakBefore/>
        <w:spacing w:line="360" w:lineRule="auto"/>
        <w:jc w:val="center"/>
        <w:rPr>
          <w:rFonts w:ascii="黑体" w:hAnsi="黑体" w:eastAsia="黑体"/>
          <w:color w:val="000000" w:themeColor="text1"/>
          <w:spacing w:val="20"/>
          <w:sz w:val="32"/>
          <w:szCs w:val="32"/>
          <w14:textFill>
            <w14:solidFill>
              <w14:schemeClr w14:val="tx1"/>
            </w14:solidFill>
          </w14:textFill>
        </w:rPr>
      </w:pPr>
      <w:bookmarkStart w:id="61" w:name="_Toc119514290"/>
      <w:bookmarkStart w:id="62" w:name="_Toc405313956"/>
      <w:bookmarkStart w:id="63" w:name="_Toc391627752"/>
      <w:r>
        <w:rPr>
          <w:rFonts w:hint="eastAsia" w:ascii="黑体" w:hAnsi="黑体" w:eastAsia="黑体"/>
          <w:color w:val="000000" w:themeColor="text1"/>
          <w:spacing w:val="20"/>
          <w:sz w:val="32"/>
          <w:szCs w:val="32"/>
          <w14:textFill>
            <w14:solidFill>
              <w14:schemeClr w14:val="tx1"/>
            </w14:solidFill>
          </w14:textFill>
        </w:rPr>
        <w:t>第六部分</w:t>
      </w:r>
      <w:r>
        <w:rPr>
          <w:rFonts w:ascii="黑体" w:hAnsi="黑体" w:eastAsia="黑体"/>
          <w:color w:val="000000" w:themeColor="text1"/>
          <w:spacing w:val="20"/>
          <w:sz w:val="32"/>
          <w:szCs w:val="32"/>
          <w14:textFill>
            <w14:solidFill>
              <w14:schemeClr w14:val="tx1"/>
            </w14:solidFill>
          </w14:textFill>
        </w:rPr>
        <w:t xml:space="preserve"> </w:t>
      </w:r>
      <w:r>
        <w:rPr>
          <w:rFonts w:hint="eastAsia" w:ascii="黑体" w:hAnsi="黑体" w:eastAsia="黑体"/>
          <w:color w:val="000000" w:themeColor="text1"/>
          <w:spacing w:val="20"/>
          <w:sz w:val="32"/>
          <w:szCs w:val="32"/>
          <w14:textFill>
            <w14:solidFill>
              <w14:schemeClr w14:val="tx1"/>
            </w14:solidFill>
          </w14:textFill>
        </w:rPr>
        <w:t>合同书格式</w:t>
      </w:r>
      <w:bookmarkEnd w:id="61"/>
      <w:bookmarkEnd w:id="62"/>
      <w:bookmarkEnd w:id="63"/>
      <w:r>
        <w:rPr>
          <w:rFonts w:hint="eastAsia" w:ascii="黑体" w:hAnsi="黑体" w:eastAsia="黑体"/>
          <w:color w:val="auto"/>
          <w:spacing w:val="20"/>
          <w:sz w:val="32"/>
          <w:szCs w:val="32"/>
          <w:highlight w:val="none"/>
        </w:rPr>
        <w:t>（适用于包</w:t>
      </w:r>
      <w:r>
        <w:rPr>
          <w:rFonts w:hint="eastAsia" w:ascii="黑体" w:hAnsi="黑体" w:eastAsia="黑体"/>
          <w:color w:val="auto"/>
          <w:spacing w:val="20"/>
          <w:sz w:val="32"/>
          <w:szCs w:val="32"/>
          <w:highlight w:val="none"/>
          <w:lang w:val="en-US" w:eastAsia="zh-CN"/>
        </w:rPr>
        <w:t>A</w:t>
      </w:r>
      <w:r>
        <w:rPr>
          <w:rFonts w:hint="eastAsia" w:ascii="黑体" w:hAnsi="黑体" w:eastAsia="黑体"/>
          <w:color w:val="auto"/>
          <w:spacing w:val="20"/>
          <w:sz w:val="32"/>
          <w:szCs w:val="32"/>
          <w:highlight w:val="none"/>
        </w:rPr>
        <w:t>/包</w:t>
      </w:r>
      <w:r>
        <w:rPr>
          <w:rFonts w:hint="eastAsia" w:ascii="黑体" w:hAnsi="黑体" w:eastAsia="黑体"/>
          <w:color w:val="auto"/>
          <w:spacing w:val="20"/>
          <w:sz w:val="32"/>
          <w:szCs w:val="32"/>
          <w:highlight w:val="none"/>
          <w:lang w:val="en-US" w:eastAsia="zh-CN"/>
        </w:rPr>
        <w:t>B</w:t>
      </w:r>
      <w:r>
        <w:rPr>
          <w:rFonts w:hint="eastAsia" w:ascii="黑体" w:hAnsi="黑体" w:eastAsia="黑体"/>
          <w:color w:val="auto"/>
          <w:spacing w:val="20"/>
          <w:sz w:val="32"/>
          <w:szCs w:val="32"/>
          <w:highlight w:val="none"/>
        </w:rPr>
        <w:t>）</w:t>
      </w:r>
    </w:p>
    <w:p w14:paraId="134B5412">
      <w:pPr>
        <w:spacing w:line="360" w:lineRule="auto"/>
        <w:jc w:val="center"/>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（本格式编排在招标文件中，供投标人参考，投标时不需填写）</w:t>
      </w:r>
    </w:p>
    <w:p w14:paraId="4BE4E1C6">
      <w:pPr>
        <w:spacing w:line="360" w:lineRule="auto"/>
        <w:jc w:val="center"/>
        <w:rPr>
          <w:rFonts w:ascii="黑体" w:hAnsi="黑体" w:eastAsia="黑体"/>
          <w:bCs/>
          <w:color w:val="000000" w:themeColor="text1"/>
          <w:szCs w:val="21"/>
          <w14:textFill>
            <w14:solidFill>
              <w14:schemeClr w14:val="tx1"/>
            </w14:solidFill>
          </w14:textFill>
        </w:rPr>
      </w:pPr>
    </w:p>
    <w:p w14:paraId="597E2BEE">
      <w:pPr>
        <w:jc w:val="center"/>
        <w:rPr>
          <w:rFonts w:hint="eastAsia" w:ascii="黑体" w:hAnsi="黑体" w:eastAsia="黑体" w:cs="黑体"/>
          <w:b/>
          <w:sz w:val="52"/>
          <w:szCs w:val="52"/>
        </w:rPr>
      </w:pPr>
    </w:p>
    <w:p w14:paraId="6D25F6BD">
      <w:pPr>
        <w:jc w:val="center"/>
        <w:rPr>
          <w:rFonts w:hint="eastAsia" w:ascii="黑体" w:hAnsi="黑体" w:eastAsia="黑体" w:cs="黑体"/>
          <w:b/>
          <w:sz w:val="52"/>
          <w:szCs w:val="52"/>
        </w:rPr>
      </w:pPr>
      <w:r>
        <w:rPr>
          <w:rFonts w:hint="eastAsia" w:ascii="黑体" w:hAnsi="黑体" w:eastAsia="黑体" w:cs="黑体"/>
          <w:b/>
          <w:sz w:val="52"/>
          <w:szCs w:val="52"/>
        </w:rPr>
        <w:t>清溪医院硬性电子输尿管镜系统等采购项目</w:t>
      </w:r>
    </w:p>
    <w:p w14:paraId="0D692258">
      <w:pPr>
        <w:jc w:val="center"/>
        <w:rPr>
          <w:rFonts w:hint="eastAsia" w:ascii="黑体" w:hAnsi="黑体" w:eastAsia="黑体" w:cs="黑体"/>
          <w:b/>
          <w:sz w:val="48"/>
          <w:szCs w:val="48"/>
        </w:rPr>
      </w:pPr>
    </w:p>
    <w:p w14:paraId="66210D9F">
      <w:pPr>
        <w:jc w:val="center"/>
        <w:rPr>
          <w:rFonts w:hint="eastAsia" w:ascii="黑体" w:hAnsi="黑体" w:eastAsia="黑体" w:cs="黑体"/>
          <w:b/>
          <w:sz w:val="48"/>
          <w:szCs w:val="48"/>
        </w:rPr>
      </w:pPr>
    </w:p>
    <w:p w14:paraId="63731F10">
      <w:pPr>
        <w:jc w:val="center"/>
        <w:rPr>
          <w:rFonts w:hint="eastAsia" w:ascii="黑体" w:hAnsi="黑体" w:eastAsia="黑体" w:cs="黑体"/>
          <w:b/>
          <w:sz w:val="84"/>
          <w:szCs w:val="84"/>
        </w:rPr>
      </w:pPr>
      <w:r>
        <w:rPr>
          <w:rFonts w:hint="eastAsia" w:ascii="黑体" w:hAnsi="黑体" w:eastAsia="黑体" w:cs="黑体"/>
          <w:b/>
          <w:sz w:val="84"/>
          <w:szCs w:val="84"/>
        </w:rPr>
        <w:t>合同书</w:t>
      </w:r>
    </w:p>
    <w:p w14:paraId="76952E46">
      <w:pPr>
        <w:pStyle w:val="2"/>
        <w:jc w:val="center"/>
        <w:rPr>
          <w:rFonts w:hint="eastAsia" w:ascii="黑体" w:hAnsi="黑体" w:eastAsia="黑体" w:cs="黑体"/>
          <w:b/>
          <w:kern w:val="2"/>
          <w:sz w:val="30"/>
          <w:szCs w:val="30"/>
          <w:lang w:val="en-US" w:eastAsia="zh-CN" w:bidi="ar-SA"/>
        </w:rPr>
      </w:pPr>
    </w:p>
    <w:p w14:paraId="20FB44FC">
      <w:pPr>
        <w:pStyle w:val="2"/>
        <w:jc w:val="center"/>
        <w:rPr>
          <w:rFonts w:hint="eastAsia" w:ascii="黑体" w:hAnsi="黑体" w:eastAsia="黑体" w:cs="黑体"/>
          <w:b/>
          <w:kern w:val="2"/>
          <w:sz w:val="30"/>
          <w:szCs w:val="30"/>
          <w:lang w:val="en-US" w:eastAsia="zh-CN" w:bidi="ar-SA"/>
        </w:rPr>
      </w:pPr>
      <w:r>
        <w:rPr>
          <w:rFonts w:hint="eastAsia" w:ascii="黑体" w:hAnsi="黑体" w:eastAsia="黑体" w:cs="黑体"/>
          <w:b/>
          <w:kern w:val="2"/>
          <w:sz w:val="30"/>
          <w:szCs w:val="30"/>
          <w:lang w:val="en-US" w:eastAsia="zh-CN" w:bidi="ar-SA"/>
        </w:rPr>
        <w:t>（包号：  ）</w:t>
      </w:r>
    </w:p>
    <w:p w14:paraId="5E7021B8">
      <w:pPr>
        <w:rPr>
          <w:rFonts w:hint="eastAsia" w:ascii="黑体" w:hAnsi="黑体" w:eastAsia="黑体" w:cs="黑体"/>
        </w:rPr>
      </w:pPr>
    </w:p>
    <w:p w14:paraId="1F36623A">
      <w:pPr>
        <w:pStyle w:val="2"/>
        <w:rPr>
          <w:rFonts w:hint="eastAsia"/>
        </w:rPr>
      </w:pPr>
    </w:p>
    <w:p w14:paraId="3BFB9E12">
      <w:pPr>
        <w:rPr>
          <w:rFonts w:hint="eastAsia" w:ascii="黑体" w:hAnsi="黑体" w:eastAsia="黑体" w:cs="黑体"/>
        </w:rPr>
      </w:pPr>
    </w:p>
    <w:p w14:paraId="69ED9472">
      <w:pPr>
        <w:rPr>
          <w:rFonts w:hint="eastAsia" w:ascii="黑体" w:hAnsi="黑体" w:eastAsia="黑体" w:cs="黑体"/>
        </w:rPr>
      </w:pPr>
    </w:p>
    <w:p w14:paraId="19D254D0">
      <w:pPr>
        <w:rPr>
          <w:rFonts w:hint="eastAsia" w:ascii="黑体" w:hAnsi="黑体" w:eastAsia="黑体" w:cs="黑体"/>
        </w:rPr>
      </w:pPr>
    </w:p>
    <w:p w14:paraId="7B8E95B2">
      <w:pPr>
        <w:bidi w:val="0"/>
        <w:ind w:firstLine="301" w:firstLineChars="100"/>
        <w:rPr>
          <w:rFonts w:hint="eastAsia" w:ascii="黑体" w:hAnsi="黑体" w:eastAsia="黑体" w:cs="黑体"/>
          <w:b/>
          <w:sz w:val="30"/>
          <w:szCs w:val="30"/>
          <w:u w:val="single"/>
        </w:rPr>
      </w:pPr>
      <w:r>
        <w:rPr>
          <w:rFonts w:hint="eastAsia" w:ascii="黑体" w:hAnsi="黑体" w:eastAsia="黑体" w:cs="黑体"/>
          <w:b/>
          <w:sz w:val="30"/>
          <w:szCs w:val="30"/>
        </w:rPr>
        <w:t>项</w:t>
      </w:r>
      <w:r>
        <w:rPr>
          <w:rFonts w:hint="eastAsia" w:ascii="黑体" w:hAnsi="黑体" w:eastAsia="黑体" w:cs="黑体"/>
          <w:b/>
          <w:sz w:val="30"/>
          <w:szCs w:val="30"/>
          <w:lang w:val="en-US" w:eastAsia="zh-CN"/>
        </w:rPr>
        <w:t xml:space="preserve"> </w:t>
      </w:r>
      <w:r>
        <w:rPr>
          <w:rFonts w:hint="eastAsia" w:ascii="黑体" w:hAnsi="黑体" w:eastAsia="黑体" w:cs="黑体"/>
          <w:b/>
          <w:sz w:val="30"/>
          <w:szCs w:val="30"/>
        </w:rPr>
        <w:t>目</w:t>
      </w:r>
      <w:r>
        <w:rPr>
          <w:rFonts w:hint="eastAsia" w:ascii="黑体" w:hAnsi="黑体" w:eastAsia="黑体" w:cs="黑体"/>
          <w:b/>
          <w:sz w:val="30"/>
          <w:szCs w:val="30"/>
          <w:lang w:val="en-US" w:eastAsia="zh-CN"/>
        </w:rPr>
        <w:t xml:space="preserve"> </w:t>
      </w:r>
      <w:r>
        <w:rPr>
          <w:rFonts w:hint="eastAsia" w:ascii="黑体" w:hAnsi="黑体" w:eastAsia="黑体" w:cs="黑体"/>
          <w:b/>
          <w:sz w:val="30"/>
          <w:szCs w:val="30"/>
        </w:rPr>
        <w:t>名</w:t>
      </w:r>
      <w:r>
        <w:rPr>
          <w:rFonts w:hint="eastAsia" w:ascii="黑体" w:hAnsi="黑体" w:eastAsia="黑体" w:cs="黑体"/>
          <w:b/>
          <w:sz w:val="30"/>
          <w:szCs w:val="30"/>
          <w:lang w:val="en-US" w:eastAsia="zh-CN"/>
        </w:rPr>
        <w:t xml:space="preserve"> </w:t>
      </w:r>
      <w:r>
        <w:rPr>
          <w:rFonts w:hint="eastAsia" w:ascii="黑体" w:hAnsi="黑体" w:eastAsia="黑体" w:cs="黑体"/>
          <w:b/>
          <w:sz w:val="30"/>
          <w:szCs w:val="30"/>
        </w:rPr>
        <w:t>称：</w:t>
      </w:r>
      <w:r>
        <w:rPr>
          <w:rFonts w:hint="eastAsia" w:ascii="黑体" w:hAnsi="黑体" w:eastAsia="黑体" w:cs="黑体"/>
          <w:b/>
          <w:sz w:val="30"/>
          <w:szCs w:val="30"/>
          <w:u w:val="single"/>
        </w:rPr>
        <w:t>清溪医院硬性电子输尿管镜系统等采购项目</w:t>
      </w:r>
      <w:r>
        <w:rPr>
          <w:rFonts w:hint="eastAsia" w:ascii="黑体" w:hAnsi="黑体" w:eastAsia="黑体" w:cs="黑体"/>
          <w:b/>
          <w:sz w:val="30"/>
          <w:szCs w:val="30"/>
        </w:rPr>
        <w:t xml:space="preserve"> </w:t>
      </w:r>
    </w:p>
    <w:p w14:paraId="292F2FA6">
      <w:pPr>
        <w:ind w:firstLine="301" w:firstLineChars="100"/>
        <w:rPr>
          <w:rFonts w:hint="eastAsia" w:ascii="黑体" w:hAnsi="黑体" w:eastAsia="黑体" w:cs="黑体"/>
          <w:b/>
          <w:sz w:val="30"/>
          <w:szCs w:val="30"/>
        </w:rPr>
      </w:pPr>
      <w:r>
        <w:rPr>
          <w:rFonts w:hint="eastAsia" w:ascii="黑体" w:hAnsi="黑体" w:eastAsia="黑体" w:cs="黑体"/>
          <w:b/>
          <w:sz w:val="30"/>
          <w:szCs w:val="30"/>
        </w:rPr>
        <w:t>签</w:t>
      </w:r>
      <w:r>
        <w:rPr>
          <w:rFonts w:hint="eastAsia" w:ascii="黑体" w:hAnsi="黑体" w:eastAsia="黑体" w:cs="黑体"/>
          <w:b/>
          <w:sz w:val="30"/>
          <w:szCs w:val="30"/>
          <w:lang w:val="en-US" w:eastAsia="zh-CN"/>
        </w:rPr>
        <w:t xml:space="preserve"> </w:t>
      </w:r>
      <w:r>
        <w:rPr>
          <w:rFonts w:hint="eastAsia" w:ascii="黑体" w:hAnsi="黑体" w:eastAsia="黑体" w:cs="黑体"/>
          <w:b/>
          <w:sz w:val="30"/>
          <w:szCs w:val="30"/>
        </w:rPr>
        <w:t>约</w:t>
      </w:r>
      <w:r>
        <w:rPr>
          <w:rFonts w:hint="eastAsia" w:ascii="黑体" w:hAnsi="黑体" w:eastAsia="黑体" w:cs="黑体"/>
          <w:b/>
          <w:sz w:val="30"/>
          <w:szCs w:val="30"/>
          <w:lang w:val="en-US" w:eastAsia="zh-CN"/>
        </w:rPr>
        <w:t xml:space="preserve"> </w:t>
      </w:r>
      <w:r>
        <w:rPr>
          <w:rFonts w:hint="eastAsia" w:ascii="黑体" w:hAnsi="黑体" w:eastAsia="黑体" w:cs="黑体"/>
          <w:b/>
          <w:sz w:val="30"/>
          <w:szCs w:val="30"/>
        </w:rPr>
        <w:t>地</w:t>
      </w:r>
      <w:r>
        <w:rPr>
          <w:rFonts w:hint="eastAsia" w:ascii="黑体" w:hAnsi="黑体" w:eastAsia="黑体" w:cs="黑体"/>
          <w:b/>
          <w:sz w:val="30"/>
          <w:szCs w:val="30"/>
          <w:lang w:val="en-US" w:eastAsia="zh-CN"/>
        </w:rPr>
        <w:t xml:space="preserve"> </w:t>
      </w:r>
      <w:r>
        <w:rPr>
          <w:rFonts w:hint="eastAsia" w:ascii="黑体" w:hAnsi="黑体" w:eastAsia="黑体" w:cs="黑体"/>
          <w:b/>
          <w:sz w:val="30"/>
          <w:szCs w:val="30"/>
        </w:rPr>
        <w:t>点：</w:t>
      </w:r>
      <w:r>
        <w:rPr>
          <w:rFonts w:hint="eastAsia" w:ascii="黑体" w:hAnsi="黑体" w:eastAsia="黑体" w:cs="黑体"/>
          <w:b/>
          <w:sz w:val="30"/>
          <w:szCs w:val="30"/>
          <w:u w:val="single"/>
        </w:rPr>
        <w:t xml:space="preserve">        </w:t>
      </w:r>
      <w:r>
        <w:rPr>
          <w:rFonts w:hint="eastAsia" w:ascii="黑体" w:hAnsi="黑体" w:eastAsia="黑体" w:cs="黑体"/>
          <w:b/>
          <w:sz w:val="30"/>
          <w:szCs w:val="30"/>
          <w:u w:val="single"/>
          <w:lang w:val="en-US" w:eastAsia="zh-CN"/>
        </w:rPr>
        <w:t xml:space="preserve">   </w:t>
      </w:r>
      <w:r>
        <w:rPr>
          <w:rFonts w:hint="eastAsia" w:ascii="黑体" w:hAnsi="黑体" w:eastAsia="黑体" w:cs="黑体"/>
          <w:b/>
          <w:sz w:val="30"/>
          <w:szCs w:val="30"/>
          <w:u w:val="single"/>
        </w:rPr>
        <w:t xml:space="preserve">东莞清溪                   </w:t>
      </w:r>
      <w:r>
        <w:rPr>
          <w:rFonts w:hint="eastAsia" w:ascii="黑体" w:hAnsi="黑体" w:eastAsia="黑体" w:cs="黑体"/>
          <w:b/>
          <w:sz w:val="30"/>
          <w:szCs w:val="30"/>
        </w:rPr>
        <w:t xml:space="preserve">                            </w:t>
      </w:r>
    </w:p>
    <w:p w14:paraId="44F00194">
      <w:pPr>
        <w:ind w:firstLine="301" w:firstLineChars="100"/>
        <w:rPr>
          <w:rFonts w:hint="eastAsia" w:ascii="黑体" w:hAnsi="黑体" w:eastAsia="黑体" w:cs="黑体"/>
          <w:b/>
          <w:sz w:val="30"/>
          <w:szCs w:val="30"/>
        </w:rPr>
      </w:pPr>
      <w:r>
        <w:rPr>
          <w:rFonts w:hint="eastAsia" w:ascii="黑体" w:hAnsi="黑体" w:eastAsia="黑体" w:cs="黑体"/>
          <w:b/>
          <w:sz w:val="30"/>
          <w:szCs w:val="30"/>
        </w:rPr>
        <w:t>甲方(采购方)</w:t>
      </w:r>
      <w:r>
        <w:rPr>
          <w:rFonts w:hint="eastAsia" w:ascii="黑体" w:hAnsi="黑体" w:eastAsia="黑体" w:cs="黑体"/>
          <w:b/>
          <w:sz w:val="30"/>
          <w:szCs w:val="30"/>
          <w:lang w:eastAsia="zh-CN"/>
        </w:rPr>
        <w:t>：</w:t>
      </w:r>
      <w:r>
        <w:rPr>
          <w:rFonts w:hint="eastAsia" w:ascii="黑体" w:hAnsi="黑体" w:eastAsia="黑体" w:cs="黑体"/>
          <w:b/>
          <w:sz w:val="30"/>
          <w:szCs w:val="30"/>
        </w:rPr>
        <w:t xml:space="preserve"> </w:t>
      </w:r>
      <w:r>
        <w:rPr>
          <w:rFonts w:hint="eastAsia" w:ascii="黑体" w:hAnsi="黑体" w:eastAsia="黑体" w:cs="黑体"/>
          <w:b/>
          <w:sz w:val="30"/>
          <w:szCs w:val="30"/>
          <w:u w:val="single"/>
        </w:rPr>
        <w:t xml:space="preserve">      东莞市清溪医院                </w:t>
      </w:r>
      <w:r>
        <w:rPr>
          <w:rFonts w:hint="eastAsia" w:ascii="黑体" w:hAnsi="黑体" w:eastAsia="黑体" w:cs="黑体"/>
          <w:b/>
          <w:sz w:val="30"/>
          <w:szCs w:val="30"/>
        </w:rPr>
        <w:t xml:space="preserve">                      </w:t>
      </w:r>
    </w:p>
    <w:p w14:paraId="32E64D89">
      <w:pPr>
        <w:spacing w:line="360" w:lineRule="auto"/>
        <w:ind w:firstLine="301" w:firstLineChars="100"/>
        <w:rPr>
          <w:rFonts w:hint="eastAsia" w:ascii="黑体" w:hAnsi="黑体" w:eastAsia="黑体" w:cs="黑体"/>
          <w:b/>
          <w:bCs/>
          <w:color w:val="000000" w:themeColor="text1"/>
          <w:szCs w:val="21"/>
          <w14:textFill>
            <w14:solidFill>
              <w14:schemeClr w14:val="tx1"/>
            </w14:solidFill>
          </w14:textFill>
        </w:rPr>
      </w:pPr>
      <w:r>
        <w:rPr>
          <w:rFonts w:hint="eastAsia" w:ascii="黑体" w:hAnsi="黑体" w:eastAsia="黑体" w:cs="黑体"/>
          <w:b/>
          <w:sz w:val="30"/>
          <w:szCs w:val="30"/>
        </w:rPr>
        <w:t>乙方(供应方)：</w:t>
      </w:r>
      <w:r>
        <w:rPr>
          <w:rFonts w:hint="eastAsia" w:ascii="黑体" w:hAnsi="黑体" w:eastAsia="黑体" w:cs="黑体"/>
          <w:b/>
          <w:sz w:val="30"/>
          <w:szCs w:val="30"/>
          <w:u w:val="single"/>
        </w:rPr>
        <w:t xml:space="preserve">                                </w:t>
      </w:r>
      <w:r>
        <w:rPr>
          <w:rFonts w:hint="eastAsia" w:ascii="黑体" w:hAnsi="黑体" w:eastAsia="黑体" w:cs="黑体"/>
          <w:b/>
          <w:sz w:val="30"/>
          <w:szCs w:val="30"/>
          <w:u w:val="single"/>
          <w:lang w:val="en-US" w:eastAsia="zh-CN"/>
        </w:rPr>
        <w:t xml:space="preserve">  </w:t>
      </w:r>
      <w:r>
        <w:rPr>
          <w:rFonts w:hint="eastAsia" w:ascii="黑体" w:hAnsi="黑体" w:eastAsia="黑体" w:cs="黑体"/>
          <w:b/>
          <w:sz w:val="30"/>
          <w:szCs w:val="30"/>
          <w:u w:val="single"/>
        </w:rPr>
        <w:t xml:space="preserve">   </w:t>
      </w:r>
    </w:p>
    <w:p w14:paraId="0193090B">
      <w:pPr>
        <w:tabs>
          <w:tab w:val="left" w:pos="720"/>
        </w:tabs>
        <w:spacing w:line="360" w:lineRule="auto"/>
        <w:jc w:val="center"/>
        <w:rPr>
          <w:rFonts w:hint="eastAsia" w:ascii="黑体" w:hAnsi="黑体" w:eastAsia="黑体"/>
          <w:color w:val="000000" w:themeColor="text1"/>
          <w:spacing w:val="20"/>
          <w:sz w:val="28"/>
          <w:szCs w:val="28"/>
          <w14:textFill>
            <w14:solidFill>
              <w14:schemeClr w14:val="tx1"/>
            </w14:solidFill>
          </w14:textFill>
        </w:rPr>
      </w:pPr>
    </w:p>
    <w:p w14:paraId="62B7CB6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bookmarkStart w:id="64" w:name="_Toc391627753"/>
      <w:bookmarkStart w:id="65" w:name="_Toc405313957"/>
      <w:bookmarkStart w:id="66" w:name="_Toc119514291"/>
    </w:p>
    <w:p w14:paraId="2BCCE5C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u w:val="single"/>
        </w:rPr>
      </w:pPr>
      <w:r>
        <w:rPr>
          <w:rFonts w:hint="eastAsia" w:ascii="黑体" w:hAnsi="黑体" w:eastAsia="黑体" w:cs="黑体"/>
          <w:sz w:val="21"/>
          <w:szCs w:val="21"/>
        </w:rPr>
        <w:t>甲方(全称)</w:t>
      </w:r>
      <w:r>
        <w:rPr>
          <w:rFonts w:hint="eastAsia" w:ascii="黑体" w:hAnsi="黑体" w:eastAsia="黑体" w:cs="黑体"/>
          <w:sz w:val="21"/>
          <w:szCs w:val="21"/>
          <w:u w:val="none"/>
        </w:rPr>
        <w:t>：</w:t>
      </w:r>
      <w:r>
        <w:rPr>
          <w:rFonts w:hint="eastAsia" w:ascii="黑体" w:hAnsi="黑体" w:eastAsia="黑体" w:cs="黑体"/>
          <w:sz w:val="21"/>
          <w:szCs w:val="21"/>
          <w:u w:val="single"/>
        </w:rPr>
        <w:t xml:space="preserve">     </w:t>
      </w:r>
      <w:r>
        <w:rPr>
          <w:rFonts w:hint="eastAsia" w:ascii="黑体" w:hAnsi="黑体" w:eastAsia="黑体" w:cs="黑体"/>
          <w:b/>
          <w:bCs/>
          <w:sz w:val="21"/>
          <w:szCs w:val="21"/>
          <w:u w:val="single"/>
        </w:rPr>
        <w:t>东莞市清溪医院</w:t>
      </w:r>
      <w:r>
        <w:rPr>
          <w:rFonts w:hint="eastAsia" w:ascii="黑体" w:hAnsi="黑体" w:eastAsia="黑体" w:cs="黑体"/>
          <w:sz w:val="21"/>
          <w:szCs w:val="21"/>
          <w:u w:val="single"/>
        </w:rPr>
        <w:t xml:space="preserve">   </w:t>
      </w:r>
      <w:r>
        <w:rPr>
          <w:rFonts w:hint="eastAsia" w:ascii="黑体" w:hAnsi="黑体" w:eastAsia="黑体" w:cs="黑体"/>
          <w:sz w:val="21"/>
          <w:szCs w:val="21"/>
          <w:u w:val="single"/>
          <w:lang w:val="en-US" w:eastAsia="zh-CN"/>
        </w:rPr>
        <w:t xml:space="preserve"> </w:t>
      </w:r>
      <w:r>
        <w:rPr>
          <w:rFonts w:hint="eastAsia" w:ascii="黑体" w:hAnsi="黑体" w:eastAsia="黑体" w:cs="黑体"/>
          <w:sz w:val="21"/>
          <w:szCs w:val="21"/>
          <w:u w:val="single"/>
        </w:rPr>
        <w:t xml:space="preserve"> </w:t>
      </w:r>
    </w:p>
    <w:p w14:paraId="44B1A0C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u w:val="single"/>
        </w:rPr>
      </w:pPr>
      <w:r>
        <w:rPr>
          <w:rFonts w:hint="eastAsia" w:ascii="黑体" w:hAnsi="黑体" w:eastAsia="黑体" w:cs="黑体"/>
          <w:sz w:val="21"/>
          <w:szCs w:val="21"/>
        </w:rPr>
        <w:t>乙方(全称)：</w:t>
      </w:r>
      <w:r>
        <w:rPr>
          <w:rFonts w:hint="eastAsia" w:ascii="黑体" w:hAnsi="黑体" w:eastAsia="黑体" w:cs="黑体"/>
          <w:sz w:val="21"/>
          <w:szCs w:val="21"/>
          <w:u w:val="single"/>
        </w:rPr>
        <w:t xml:space="preserve">    </w:t>
      </w:r>
      <w:r>
        <w:rPr>
          <w:rFonts w:hint="eastAsia" w:ascii="黑体" w:hAnsi="黑体" w:eastAsia="黑体" w:cs="黑体"/>
          <w:b/>
          <w:bCs/>
          <w:sz w:val="21"/>
          <w:szCs w:val="21"/>
          <w:u w:val="single"/>
        </w:rPr>
        <w:t xml:space="preserve">                    </w:t>
      </w:r>
    </w:p>
    <w:p w14:paraId="12002D7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黑体" w:hAnsi="黑体" w:eastAsia="黑体" w:cs="黑体"/>
          <w:sz w:val="21"/>
          <w:szCs w:val="21"/>
        </w:rPr>
      </w:pPr>
      <w:r>
        <w:rPr>
          <w:rFonts w:hint="eastAsia" w:ascii="黑体" w:hAnsi="黑体" w:eastAsia="黑体" w:cs="黑体"/>
          <w:sz w:val="21"/>
          <w:szCs w:val="21"/>
        </w:rPr>
        <w:t>依照《中华人民共和国政府采购法》、《中华人民共和国民法典》及其他有关法律法规，遵循平等、自愿、公平和诚实信用的原则，经合同双方当事人协商一致，签订本合同，共同遵守如下条款：</w:t>
      </w:r>
    </w:p>
    <w:p w14:paraId="16A1945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p>
    <w:p w14:paraId="5DC5D65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sz w:val="21"/>
          <w:szCs w:val="21"/>
        </w:rPr>
      </w:pPr>
      <w:r>
        <w:rPr>
          <w:rFonts w:hint="eastAsia" w:ascii="黑体" w:hAnsi="黑体" w:eastAsia="黑体" w:cs="黑体"/>
          <w:b/>
          <w:sz w:val="21"/>
          <w:szCs w:val="21"/>
        </w:rPr>
        <w:t>一、合同标的</w:t>
      </w:r>
    </w:p>
    <w:p w14:paraId="732EF03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1、本合同标的物为</w:t>
      </w:r>
      <w:r>
        <w:rPr>
          <w:rFonts w:hint="eastAsia" w:ascii="黑体" w:hAnsi="黑体" w:eastAsia="黑体" w:cs="黑体"/>
          <w:sz w:val="21"/>
          <w:szCs w:val="21"/>
          <w:u w:val="single"/>
        </w:rPr>
        <w:t xml:space="preserve"> </w:t>
      </w:r>
      <w:r>
        <w:rPr>
          <w:rFonts w:hint="eastAsia" w:ascii="黑体" w:hAnsi="黑体" w:eastAsia="黑体" w:cs="黑体"/>
          <w:spacing w:val="0"/>
          <w:sz w:val="21"/>
          <w:szCs w:val="21"/>
          <w:u w:val="single"/>
        </w:rPr>
        <w:t xml:space="preserve">            </w:t>
      </w:r>
      <w:r>
        <w:rPr>
          <w:rFonts w:hint="eastAsia" w:ascii="黑体" w:hAnsi="黑体" w:eastAsia="黑体" w:cs="黑体"/>
          <w:sz w:val="21"/>
          <w:szCs w:val="21"/>
        </w:rPr>
        <w:t>，包括设计、货物供货、安装、调试、培训、验收、技术服务（包括技术资料、图纸的提供）、质保期保障等的全部内容。</w:t>
      </w:r>
    </w:p>
    <w:p w14:paraId="3731551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2、供应商提供的设备出厂日期与安装完成日期间隔必须小于壹年。</w:t>
      </w:r>
    </w:p>
    <w:p w14:paraId="1096931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3、供货产品清单</w:t>
      </w:r>
    </w:p>
    <w:tbl>
      <w:tblPr>
        <w:tblStyle w:val="19"/>
        <w:tblW w:w="87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5"/>
        <w:gridCol w:w="1572"/>
        <w:gridCol w:w="1088"/>
        <w:gridCol w:w="1088"/>
        <w:gridCol w:w="604"/>
        <w:gridCol w:w="604"/>
        <w:gridCol w:w="967"/>
        <w:gridCol w:w="967"/>
        <w:gridCol w:w="726"/>
        <w:gridCol w:w="604"/>
      </w:tblGrid>
      <w:tr w14:paraId="24FA2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575" w:type="dxa"/>
            <w:noWrap w:val="0"/>
            <w:vAlign w:val="center"/>
          </w:tcPr>
          <w:p w14:paraId="46E24CA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r>
              <w:rPr>
                <w:rFonts w:hint="eastAsia" w:ascii="黑体" w:hAnsi="黑体" w:eastAsia="黑体" w:cs="黑体"/>
                <w:sz w:val="21"/>
                <w:szCs w:val="21"/>
              </w:rPr>
              <w:t>序号</w:t>
            </w:r>
          </w:p>
        </w:tc>
        <w:tc>
          <w:tcPr>
            <w:tcW w:w="1572" w:type="dxa"/>
            <w:noWrap w:val="0"/>
            <w:vAlign w:val="center"/>
          </w:tcPr>
          <w:p w14:paraId="68E92E6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r>
              <w:rPr>
                <w:rFonts w:hint="eastAsia" w:ascii="黑体" w:hAnsi="黑体" w:eastAsia="黑体" w:cs="黑体"/>
                <w:sz w:val="21"/>
                <w:szCs w:val="21"/>
              </w:rPr>
              <w:t>名称</w:t>
            </w:r>
          </w:p>
        </w:tc>
        <w:tc>
          <w:tcPr>
            <w:tcW w:w="1088" w:type="dxa"/>
            <w:noWrap w:val="0"/>
            <w:vAlign w:val="center"/>
          </w:tcPr>
          <w:p w14:paraId="5B831F7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r>
              <w:rPr>
                <w:rFonts w:hint="eastAsia" w:ascii="黑体" w:hAnsi="黑体" w:eastAsia="黑体" w:cs="黑体"/>
                <w:sz w:val="21"/>
                <w:szCs w:val="21"/>
              </w:rPr>
              <w:t>规格型号</w:t>
            </w:r>
          </w:p>
        </w:tc>
        <w:tc>
          <w:tcPr>
            <w:tcW w:w="1088" w:type="dxa"/>
            <w:noWrap w:val="0"/>
            <w:vAlign w:val="center"/>
          </w:tcPr>
          <w:p w14:paraId="7F5FBA1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r>
              <w:rPr>
                <w:rFonts w:hint="eastAsia" w:ascii="黑体" w:hAnsi="黑体" w:eastAsia="黑体" w:cs="黑体"/>
                <w:sz w:val="21"/>
                <w:szCs w:val="21"/>
              </w:rPr>
              <w:t>产地厂家</w:t>
            </w:r>
          </w:p>
        </w:tc>
        <w:tc>
          <w:tcPr>
            <w:tcW w:w="604" w:type="dxa"/>
            <w:noWrap w:val="0"/>
            <w:vAlign w:val="center"/>
          </w:tcPr>
          <w:p w14:paraId="1419BAE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r>
              <w:rPr>
                <w:rFonts w:hint="eastAsia" w:ascii="黑体" w:hAnsi="黑体" w:eastAsia="黑体" w:cs="黑体"/>
                <w:sz w:val="21"/>
                <w:szCs w:val="21"/>
              </w:rPr>
              <w:t>单位</w:t>
            </w:r>
          </w:p>
        </w:tc>
        <w:tc>
          <w:tcPr>
            <w:tcW w:w="604" w:type="dxa"/>
            <w:noWrap w:val="0"/>
            <w:vAlign w:val="center"/>
          </w:tcPr>
          <w:p w14:paraId="731DC74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r>
              <w:rPr>
                <w:rFonts w:hint="eastAsia" w:ascii="黑体" w:hAnsi="黑体" w:eastAsia="黑体" w:cs="黑体"/>
                <w:sz w:val="21"/>
                <w:szCs w:val="21"/>
              </w:rPr>
              <w:t>数量</w:t>
            </w:r>
          </w:p>
        </w:tc>
        <w:tc>
          <w:tcPr>
            <w:tcW w:w="967" w:type="dxa"/>
            <w:noWrap w:val="0"/>
            <w:vAlign w:val="center"/>
          </w:tcPr>
          <w:p w14:paraId="24E55CA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r>
              <w:rPr>
                <w:rFonts w:hint="eastAsia" w:ascii="黑体" w:hAnsi="黑体" w:eastAsia="黑体" w:cs="黑体"/>
                <w:sz w:val="21"/>
                <w:szCs w:val="21"/>
              </w:rPr>
              <w:t>单价（元）</w:t>
            </w:r>
          </w:p>
        </w:tc>
        <w:tc>
          <w:tcPr>
            <w:tcW w:w="967" w:type="dxa"/>
            <w:noWrap w:val="0"/>
            <w:vAlign w:val="center"/>
          </w:tcPr>
          <w:p w14:paraId="6FC7B25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r>
              <w:rPr>
                <w:rFonts w:hint="eastAsia" w:ascii="黑体" w:hAnsi="黑体" w:eastAsia="黑体" w:cs="黑体"/>
                <w:sz w:val="21"/>
                <w:szCs w:val="21"/>
              </w:rPr>
              <w:t>总价（元）</w:t>
            </w:r>
          </w:p>
        </w:tc>
        <w:tc>
          <w:tcPr>
            <w:tcW w:w="726" w:type="dxa"/>
            <w:noWrap w:val="0"/>
            <w:vAlign w:val="center"/>
          </w:tcPr>
          <w:p w14:paraId="4363BF5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r>
              <w:rPr>
                <w:rFonts w:hint="eastAsia" w:ascii="黑体" w:hAnsi="黑体" w:eastAsia="黑体" w:cs="黑体"/>
                <w:sz w:val="21"/>
                <w:szCs w:val="21"/>
              </w:rPr>
              <w:t>质保期</w:t>
            </w:r>
          </w:p>
        </w:tc>
        <w:tc>
          <w:tcPr>
            <w:tcW w:w="604" w:type="dxa"/>
            <w:noWrap w:val="0"/>
            <w:vAlign w:val="center"/>
          </w:tcPr>
          <w:p w14:paraId="5FE78A0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r>
              <w:rPr>
                <w:rFonts w:hint="eastAsia" w:ascii="黑体" w:hAnsi="黑体" w:eastAsia="黑体" w:cs="黑体"/>
                <w:sz w:val="21"/>
                <w:szCs w:val="21"/>
              </w:rPr>
              <w:t>备注</w:t>
            </w:r>
          </w:p>
        </w:tc>
      </w:tr>
      <w:tr w14:paraId="0888D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575" w:type="dxa"/>
            <w:noWrap w:val="0"/>
            <w:vAlign w:val="center"/>
          </w:tcPr>
          <w:p w14:paraId="6AD13E5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r>
              <w:rPr>
                <w:rFonts w:hint="eastAsia" w:ascii="黑体" w:hAnsi="黑体" w:eastAsia="黑体" w:cs="黑体"/>
                <w:sz w:val="21"/>
                <w:szCs w:val="21"/>
              </w:rPr>
              <w:t>1</w:t>
            </w:r>
          </w:p>
        </w:tc>
        <w:tc>
          <w:tcPr>
            <w:tcW w:w="1572" w:type="dxa"/>
            <w:noWrap w:val="0"/>
            <w:vAlign w:val="center"/>
          </w:tcPr>
          <w:p w14:paraId="032CD26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p>
        </w:tc>
        <w:tc>
          <w:tcPr>
            <w:tcW w:w="1088" w:type="dxa"/>
            <w:noWrap w:val="0"/>
            <w:vAlign w:val="center"/>
          </w:tcPr>
          <w:p w14:paraId="080C465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p>
        </w:tc>
        <w:tc>
          <w:tcPr>
            <w:tcW w:w="1088" w:type="dxa"/>
            <w:noWrap w:val="0"/>
            <w:vAlign w:val="center"/>
          </w:tcPr>
          <w:p w14:paraId="2368A45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p>
        </w:tc>
        <w:tc>
          <w:tcPr>
            <w:tcW w:w="604" w:type="dxa"/>
            <w:noWrap w:val="0"/>
            <w:vAlign w:val="center"/>
          </w:tcPr>
          <w:p w14:paraId="63F0311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p>
        </w:tc>
        <w:tc>
          <w:tcPr>
            <w:tcW w:w="604" w:type="dxa"/>
            <w:noWrap w:val="0"/>
            <w:vAlign w:val="center"/>
          </w:tcPr>
          <w:p w14:paraId="0375EEC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p>
        </w:tc>
        <w:tc>
          <w:tcPr>
            <w:tcW w:w="967" w:type="dxa"/>
            <w:noWrap w:val="0"/>
            <w:vAlign w:val="center"/>
          </w:tcPr>
          <w:p w14:paraId="0568000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p>
        </w:tc>
        <w:tc>
          <w:tcPr>
            <w:tcW w:w="967" w:type="dxa"/>
            <w:noWrap w:val="0"/>
            <w:vAlign w:val="center"/>
          </w:tcPr>
          <w:p w14:paraId="38A6036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p>
        </w:tc>
        <w:tc>
          <w:tcPr>
            <w:tcW w:w="726" w:type="dxa"/>
            <w:noWrap w:val="0"/>
            <w:vAlign w:val="center"/>
          </w:tcPr>
          <w:p w14:paraId="44F9C5F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p>
        </w:tc>
        <w:tc>
          <w:tcPr>
            <w:tcW w:w="604" w:type="dxa"/>
            <w:noWrap w:val="0"/>
            <w:vAlign w:val="center"/>
          </w:tcPr>
          <w:p w14:paraId="251FA81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p>
        </w:tc>
      </w:tr>
      <w:tr w14:paraId="7BD3B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75" w:type="dxa"/>
            <w:noWrap w:val="0"/>
            <w:vAlign w:val="center"/>
          </w:tcPr>
          <w:p w14:paraId="6F5BED7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p>
        </w:tc>
        <w:tc>
          <w:tcPr>
            <w:tcW w:w="1572" w:type="dxa"/>
            <w:noWrap w:val="0"/>
            <w:vAlign w:val="center"/>
          </w:tcPr>
          <w:p w14:paraId="7A3B8B2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p>
        </w:tc>
        <w:tc>
          <w:tcPr>
            <w:tcW w:w="6648" w:type="dxa"/>
            <w:gridSpan w:val="8"/>
            <w:noWrap w:val="0"/>
            <w:vAlign w:val="center"/>
          </w:tcPr>
          <w:p w14:paraId="24E93C5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r>
              <w:rPr>
                <w:rFonts w:hint="eastAsia" w:ascii="黑体" w:hAnsi="黑体" w:eastAsia="黑体" w:cs="黑体"/>
                <w:sz w:val="21"/>
                <w:szCs w:val="21"/>
              </w:rPr>
              <w:t>合计总金额人民币(大写)：</w:t>
            </w:r>
            <w:r>
              <w:rPr>
                <w:rFonts w:hint="eastAsia" w:ascii="黑体" w:hAnsi="黑体" w:eastAsia="黑体" w:cs="黑体"/>
                <w:sz w:val="21"/>
                <w:szCs w:val="21"/>
                <w:u w:val="single"/>
              </w:rPr>
              <w:t xml:space="preserve">               </w:t>
            </w:r>
            <w:r>
              <w:rPr>
                <w:rFonts w:hint="eastAsia" w:ascii="黑体" w:hAnsi="黑体" w:eastAsia="黑体" w:cs="黑体"/>
                <w:sz w:val="21"/>
                <w:szCs w:val="21"/>
              </w:rPr>
              <w:t>(￥</w:t>
            </w:r>
            <w:r>
              <w:rPr>
                <w:rFonts w:hint="eastAsia" w:ascii="黑体" w:hAnsi="黑体" w:eastAsia="黑体" w:cs="黑体"/>
                <w:sz w:val="21"/>
                <w:szCs w:val="21"/>
                <w:u w:val="single"/>
              </w:rPr>
              <w:t xml:space="preserve">         </w:t>
            </w:r>
            <w:r>
              <w:rPr>
                <w:rFonts w:hint="eastAsia" w:ascii="黑体" w:hAnsi="黑体" w:eastAsia="黑体" w:cs="黑体"/>
                <w:sz w:val="21"/>
                <w:szCs w:val="21"/>
              </w:rPr>
              <w:t>)</w:t>
            </w:r>
          </w:p>
        </w:tc>
      </w:tr>
    </w:tbl>
    <w:p w14:paraId="0A5D5D9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具体的供货范围、技术规格及技术图纸详见合同附件。</w:t>
      </w:r>
    </w:p>
    <w:p w14:paraId="7C511A7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p>
    <w:p w14:paraId="4CD2351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sz w:val="21"/>
          <w:szCs w:val="21"/>
        </w:rPr>
      </w:pPr>
      <w:r>
        <w:rPr>
          <w:rFonts w:hint="eastAsia" w:ascii="黑体" w:hAnsi="黑体" w:eastAsia="黑体" w:cs="黑体"/>
          <w:b/>
          <w:sz w:val="21"/>
          <w:szCs w:val="21"/>
        </w:rPr>
        <w:t>二、合同总价和支付方式</w:t>
      </w:r>
    </w:p>
    <w:p w14:paraId="0CE4AC3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1、合同总价：</w:t>
      </w:r>
    </w:p>
    <w:p w14:paraId="2F13DE3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 xml:space="preserve">   人民币(大写)： </w:t>
      </w:r>
      <w:r>
        <w:rPr>
          <w:rFonts w:hint="eastAsia" w:ascii="黑体" w:hAnsi="黑体" w:eastAsia="黑体" w:cs="黑体"/>
          <w:sz w:val="21"/>
          <w:szCs w:val="21"/>
          <w:u w:val="single"/>
        </w:rPr>
        <w:t xml:space="preserve">          </w:t>
      </w:r>
      <w:r>
        <w:rPr>
          <w:rFonts w:hint="eastAsia" w:ascii="黑体" w:hAnsi="黑体" w:eastAsia="黑体" w:cs="黑体"/>
          <w:sz w:val="21"/>
          <w:szCs w:val="21"/>
        </w:rPr>
        <w:t>(￥</w:t>
      </w:r>
      <w:r>
        <w:rPr>
          <w:rFonts w:hint="eastAsia" w:ascii="黑体" w:hAnsi="黑体" w:eastAsia="黑体" w:cs="黑体"/>
          <w:sz w:val="21"/>
          <w:szCs w:val="21"/>
          <w:u w:val="single"/>
        </w:rPr>
        <w:t xml:space="preserve">         </w:t>
      </w:r>
      <w:r>
        <w:rPr>
          <w:rFonts w:hint="eastAsia" w:ascii="黑体" w:hAnsi="黑体" w:eastAsia="黑体" w:cs="黑体"/>
          <w:sz w:val="21"/>
          <w:szCs w:val="21"/>
        </w:rPr>
        <w:t>)</w:t>
      </w:r>
    </w:p>
    <w:p w14:paraId="2E2A25BD">
      <w:pPr>
        <w:keepNext w:val="0"/>
        <w:keepLines w:val="0"/>
        <w:pageBreakBefore w:val="0"/>
        <w:widowControl w:val="0"/>
        <w:kinsoku/>
        <w:wordWrap/>
        <w:overflowPunct/>
        <w:topLinePunct w:val="0"/>
        <w:autoSpaceDE/>
        <w:autoSpaceDN/>
        <w:bidi w:val="0"/>
        <w:adjustRightInd/>
        <w:snapToGrid/>
        <w:spacing w:line="360" w:lineRule="auto"/>
        <w:ind w:left="315" w:hanging="315" w:hangingChars="150"/>
        <w:textAlignment w:val="auto"/>
        <w:rPr>
          <w:rFonts w:hint="eastAsia" w:ascii="黑体" w:hAnsi="黑体" w:eastAsia="黑体" w:cs="黑体"/>
          <w:sz w:val="21"/>
          <w:szCs w:val="21"/>
        </w:rPr>
      </w:pPr>
      <w:r>
        <w:rPr>
          <w:rFonts w:hint="eastAsia" w:ascii="黑体" w:hAnsi="黑体" w:eastAsia="黑体" w:cs="黑体"/>
          <w:sz w:val="21"/>
          <w:szCs w:val="21"/>
        </w:rPr>
        <w:t>2、合同总价包括产品设计、制造、包装、仓储、运输、安装、保险以及卖方进行的安装、调试、试运行、验收、培训、技术服务(包括技术资料、图纸的提供)、质保期保障服务、备品备件发生等全部含税费用。</w:t>
      </w:r>
    </w:p>
    <w:p w14:paraId="361BACD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3、本合同价格为固定不变价。</w:t>
      </w:r>
    </w:p>
    <w:p w14:paraId="3AE5D39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lang w:eastAsia="zh-CN"/>
        </w:rPr>
      </w:pPr>
      <w:r>
        <w:rPr>
          <w:rFonts w:hint="eastAsia" w:ascii="黑体" w:hAnsi="黑体" w:eastAsia="黑体" w:cs="黑体"/>
          <w:sz w:val="21"/>
          <w:szCs w:val="21"/>
        </w:rPr>
        <w:t>4、支付方式：本项目验收合格后，</w:t>
      </w:r>
      <w:r>
        <w:rPr>
          <w:rFonts w:hint="eastAsia" w:ascii="黑体" w:hAnsi="黑体" w:eastAsia="黑体" w:cs="黑体"/>
          <w:sz w:val="21"/>
          <w:szCs w:val="21"/>
          <w:lang w:val="en-US" w:eastAsia="zh-CN"/>
        </w:rPr>
        <w:t>乙方</w:t>
      </w:r>
      <w:r>
        <w:rPr>
          <w:rFonts w:hint="eastAsia" w:ascii="黑体" w:hAnsi="黑体" w:eastAsia="黑体" w:cs="黑体"/>
          <w:sz w:val="21"/>
          <w:szCs w:val="21"/>
        </w:rPr>
        <w:t>经</w:t>
      </w:r>
      <w:r>
        <w:rPr>
          <w:rFonts w:hint="eastAsia" w:ascii="黑体" w:hAnsi="黑体" w:eastAsia="黑体" w:cs="黑体"/>
          <w:sz w:val="21"/>
          <w:szCs w:val="21"/>
          <w:lang w:val="en-US" w:eastAsia="zh-CN"/>
        </w:rPr>
        <w:t>甲方</w:t>
      </w:r>
      <w:r>
        <w:rPr>
          <w:rFonts w:hint="eastAsia" w:ascii="黑体" w:hAnsi="黑体" w:eastAsia="黑体" w:cs="黑体"/>
          <w:sz w:val="21"/>
          <w:szCs w:val="21"/>
        </w:rPr>
        <w:t>计算出总金额并开具普通发票，</w:t>
      </w:r>
      <w:r>
        <w:rPr>
          <w:rFonts w:hint="eastAsia" w:ascii="黑体" w:hAnsi="黑体" w:eastAsia="黑体" w:cs="黑体"/>
          <w:sz w:val="21"/>
          <w:szCs w:val="21"/>
          <w:lang w:val="en-US" w:eastAsia="zh-CN"/>
        </w:rPr>
        <w:t>甲方</w:t>
      </w:r>
      <w:r>
        <w:rPr>
          <w:rFonts w:hint="eastAsia" w:ascii="黑体" w:hAnsi="黑体" w:eastAsia="黑体" w:cs="黑体"/>
          <w:sz w:val="21"/>
          <w:szCs w:val="21"/>
        </w:rPr>
        <w:t>收到发票之日起30日内，向</w:t>
      </w:r>
      <w:r>
        <w:rPr>
          <w:rFonts w:hint="eastAsia" w:ascii="黑体" w:hAnsi="黑体" w:eastAsia="黑体" w:cs="黑体"/>
          <w:sz w:val="21"/>
          <w:szCs w:val="21"/>
          <w:lang w:val="en-US" w:eastAsia="zh-CN"/>
        </w:rPr>
        <w:t>乙方</w:t>
      </w:r>
      <w:r>
        <w:rPr>
          <w:rFonts w:hint="eastAsia" w:ascii="黑体" w:hAnsi="黑体" w:eastAsia="黑体" w:cs="黑体"/>
          <w:sz w:val="21"/>
          <w:szCs w:val="21"/>
        </w:rPr>
        <w:t>支付合同结算总金额的全额（若</w:t>
      </w:r>
      <w:r>
        <w:rPr>
          <w:rFonts w:hint="eastAsia" w:ascii="黑体" w:hAnsi="黑体" w:eastAsia="黑体" w:cs="黑体"/>
          <w:sz w:val="21"/>
          <w:szCs w:val="21"/>
          <w:lang w:val="en-US" w:eastAsia="zh-CN"/>
        </w:rPr>
        <w:t>乙方</w:t>
      </w:r>
      <w:r>
        <w:rPr>
          <w:rFonts w:hint="eastAsia" w:ascii="黑体" w:hAnsi="黑体" w:eastAsia="黑体" w:cs="黑体"/>
          <w:sz w:val="21"/>
          <w:szCs w:val="21"/>
        </w:rPr>
        <w:t>未提供相应发票，</w:t>
      </w:r>
      <w:r>
        <w:rPr>
          <w:rFonts w:hint="eastAsia" w:ascii="黑体" w:hAnsi="黑体" w:eastAsia="黑体" w:cs="黑体"/>
          <w:sz w:val="21"/>
          <w:szCs w:val="21"/>
          <w:lang w:val="en-US" w:eastAsia="zh-CN"/>
        </w:rPr>
        <w:t>甲方</w:t>
      </w:r>
      <w:r>
        <w:rPr>
          <w:rFonts w:hint="eastAsia" w:ascii="黑体" w:hAnsi="黑体" w:eastAsia="黑体" w:cs="黑体"/>
          <w:sz w:val="21"/>
          <w:szCs w:val="21"/>
        </w:rPr>
        <w:t>可拒绝付款）</w:t>
      </w:r>
      <w:r>
        <w:rPr>
          <w:rFonts w:hint="eastAsia" w:ascii="黑体" w:hAnsi="黑体" w:eastAsia="黑体" w:cs="黑体"/>
          <w:sz w:val="21"/>
          <w:szCs w:val="21"/>
          <w:lang w:eastAsia="zh-CN"/>
        </w:rPr>
        <w:t>。</w:t>
      </w:r>
    </w:p>
    <w:p w14:paraId="7C084E8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lang w:eastAsia="zh-CN"/>
        </w:rPr>
      </w:pPr>
      <w:r>
        <w:rPr>
          <w:rFonts w:hint="eastAsia" w:ascii="黑体" w:hAnsi="黑体" w:eastAsia="黑体" w:cs="黑体"/>
          <w:sz w:val="21"/>
          <w:szCs w:val="21"/>
          <w:lang w:val="en-US" w:eastAsia="zh-CN"/>
        </w:rPr>
        <w:t>5、乙方</w:t>
      </w:r>
      <w:r>
        <w:rPr>
          <w:rFonts w:hint="eastAsia" w:ascii="黑体" w:hAnsi="黑体" w:eastAsia="黑体" w:cs="黑体"/>
          <w:sz w:val="21"/>
          <w:szCs w:val="21"/>
        </w:rPr>
        <w:t>不得委托他人收款</w:t>
      </w:r>
      <w:r>
        <w:rPr>
          <w:rFonts w:hint="eastAsia" w:ascii="黑体" w:hAnsi="黑体" w:eastAsia="黑体" w:cs="黑体"/>
          <w:sz w:val="21"/>
          <w:szCs w:val="21"/>
          <w:lang w:eastAsia="zh-CN"/>
        </w:rPr>
        <w:t>。</w:t>
      </w:r>
    </w:p>
    <w:p w14:paraId="3B04F5D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lang w:val="en-US" w:eastAsia="zh-CN"/>
        </w:rPr>
        <w:t>6、</w:t>
      </w:r>
      <w:r>
        <w:rPr>
          <w:rFonts w:hint="eastAsia" w:ascii="黑体" w:hAnsi="黑体" w:eastAsia="黑体" w:cs="黑体"/>
          <w:sz w:val="21"/>
          <w:szCs w:val="21"/>
        </w:rPr>
        <w:t>如果</w:t>
      </w:r>
      <w:r>
        <w:rPr>
          <w:rFonts w:hint="eastAsia" w:ascii="黑体" w:hAnsi="黑体" w:eastAsia="黑体" w:cs="黑体"/>
          <w:sz w:val="21"/>
          <w:szCs w:val="21"/>
          <w:lang w:val="en-US" w:eastAsia="zh-CN"/>
        </w:rPr>
        <w:t>甲方</w:t>
      </w:r>
      <w:r>
        <w:rPr>
          <w:rFonts w:hint="eastAsia" w:ascii="黑体" w:hAnsi="黑体" w:eastAsia="黑体" w:cs="黑体"/>
          <w:sz w:val="21"/>
          <w:szCs w:val="21"/>
        </w:rPr>
        <w:t>使用的是财政资金，</w:t>
      </w:r>
      <w:r>
        <w:rPr>
          <w:rFonts w:hint="eastAsia" w:ascii="黑体" w:hAnsi="黑体" w:eastAsia="黑体" w:cs="黑体"/>
          <w:sz w:val="21"/>
          <w:szCs w:val="21"/>
          <w:lang w:val="en-US" w:eastAsia="zh-CN"/>
        </w:rPr>
        <w:t>甲方</w:t>
      </w:r>
      <w:r>
        <w:rPr>
          <w:rFonts w:hint="eastAsia" w:ascii="黑体" w:hAnsi="黑体" w:eastAsia="黑体" w:cs="黑体"/>
          <w:sz w:val="21"/>
          <w:szCs w:val="21"/>
        </w:rPr>
        <w:t>在前款规定的付款时间为向政府采购支付部门提出办理财政支付申请手续的时间（不含政府财政支付部门审核的时间），在规定时间内提出支付申请手续后即视为</w:t>
      </w:r>
      <w:r>
        <w:rPr>
          <w:rFonts w:hint="eastAsia" w:ascii="黑体" w:hAnsi="黑体" w:eastAsia="黑体" w:cs="黑体"/>
          <w:sz w:val="21"/>
          <w:szCs w:val="21"/>
          <w:lang w:val="en-US" w:eastAsia="zh-CN"/>
        </w:rPr>
        <w:t>甲方</w:t>
      </w:r>
      <w:r>
        <w:rPr>
          <w:rFonts w:hint="eastAsia" w:ascii="黑体" w:hAnsi="黑体" w:eastAsia="黑体" w:cs="黑体"/>
          <w:sz w:val="21"/>
          <w:szCs w:val="21"/>
        </w:rPr>
        <w:t>已经按期支付。</w:t>
      </w:r>
    </w:p>
    <w:p w14:paraId="6C73BFC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sz w:val="21"/>
          <w:szCs w:val="21"/>
        </w:rPr>
      </w:pPr>
      <w:r>
        <w:rPr>
          <w:rFonts w:hint="eastAsia" w:ascii="黑体" w:hAnsi="黑体" w:eastAsia="黑体" w:cs="黑体"/>
          <w:b/>
          <w:sz w:val="21"/>
          <w:szCs w:val="21"/>
        </w:rPr>
        <w:t>三、合同货物包装、交货、安装、调试及验收</w:t>
      </w:r>
    </w:p>
    <w:p w14:paraId="2648B71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1、合同货物的包装：</w:t>
      </w:r>
    </w:p>
    <w:p w14:paraId="07F00FD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 xml:space="preserve">   </w:t>
      </w:r>
      <w:r>
        <w:rPr>
          <w:rFonts w:hint="eastAsia" w:ascii="宋体" w:hAnsi="宋体"/>
          <w:szCs w:val="21"/>
        </w:rPr>
        <w:t xml:space="preserve"> </w:t>
      </w:r>
      <w:r>
        <w:rPr>
          <w:rFonts w:hint="eastAsia" w:ascii="黑体" w:hAnsi="黑体" w:eastAsia="黑体" w:cs="黑体"/>
          <w:sz w:val="21"/>
          <w:szCs w:val="21"/>
          <w:lang w:val="en-US" w:eastAsia="zh-CN"/>
        </w:rPr>
        <w:t>1.</w:t>
      </w:r>
      <w:r>
        <w:rPr>
          <w:rFonts w:hint="eastAsia" w:ascii="黑体" w:hAnsi="黑体" w:eastAsia="黑体" w:cs="黑体"/>
          <w:sz w:val="21"/>
          <w:szCs w:val="21"/>
        </w:rPr>
        <w:t>1</w:t>
      </w:r>
      <w:r>
        <w:rPr>
          <w:rFonts w:hint="eastAsia" w:ascii="黑体" w:hAnsi="黑体" w:eastAsia="黑体" w:cs="黑体"/>
          <w:sz w:val="21"/>
          <w:szCs w:val="21"/>
          <w:lang w:val="en-US" w:eastAsia="zh-CN"/>
        </w:rPr>
        <w:t xml:space="preserve">  </w:t>
      </w:r>
      <w:r>
        <w:rPr>
          <w:rFonts w:hint="eastAsia" w:ascii="黑体" w:hAnsi="黑体" w:eastAsia="黑体" w:cs="黑体"/>
          <w:sz w:val="21"/>
          <w:szCs w:val="21"/>
        </w:rPr>
        <w:t>设备材料的包装须是制造商原厂包装，其包装均应有良好的防湿、防锈、防潮、防雨、防腐及防碰撞的措施。凡由于包装不良造成的损失和由此产生的费用均由</w:t>
      </w:r>
      <w:r>
        <w:rPr>
          <w:rFonts w:hint="eastAsia" w:ascii="黑体" w:hAnsi="黑体" w:eastAsia="黑体" w:cs="黑体"/>
          <w:sz w:val="21"/>
          <w:szCs w:val="21"/>
          <w:lang w:val="en-US" w:eastAsia="zh-CN"/>
        </w:rPr>
        <w:t>乙方</w:t>
      </w:r>
      <w:r>
        <w:rPr>
          <w:rFonts w:hint="eastAsia" w:ascii="黑体" w:hAnsi="黑体" w:eastAsia="黑体" w:cs="黑体"/>
          <w:sz w:val="21"/>
          <w:szCs w:val="21"/>
        </w:rPr>
        <w:t>承担；</w:t>
      </w:r>
    </w:p>
    <w:p w14:paraId="552E922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 xml:space="preserve">   </w:t>
      </w:r>
      <w:r>
        <w:rPr>
          <w:rFonts w:hint="eastAsia" w:ascii="黑体" w:hAnsi="黑体" w:eastAsia="黑体" w:cs="黑体"/>
          <w:sz w:val="21"/>
          <w:szCs w:val="21"/>
          <w:lang w:val="en-US" w:eastAsia="zh-CN"/>
        </w:rPr>
        <w:t>1.</w:t>
      </w:r>
      <w:r>
        <w:rPr>
          <w:rFonts w:hint="eastAsia" w:ascii="黑体" w:hAnsi="黑体" w:eastAsia="黑体" w:cs="黑体"/>
          <w:sz w:val="21"/>
          <w:szCs w:val="21"/>
        </w:rPr>
        <w:t>2</w:t>
      </w:r>
      <w:r>
        <w:rPr>
          <w:rFonts w:hint="eastAsia" w:ascii="黑体" w:hAnsi="黑体" w:eastAsia="黑体" w:cs="黑体"/>
          <w:sz w:val="21"/>
          <w:szCs w:val="21"/>
          <w:lang w:val="en-US" w:eastAsia="zh-CN"/>
        </w:rPr>
        <w:t xml:space="preserve">  乙方</w:t>
      </w:r>
      <w:r>
        <w:rPr>
          <w:rFonts w:hint="eastAsia" w:ascii="黑体" w:hAnsi="黑体" w:eastAsia="黑体" w:cs="黑体"/>
          <w:sz w:val="21"/>
          <w:szCs w:val="21"/>
        </w:rPr>
        <w:t>负责将设备材料货到现场过程中的全部运输，包括装卸车、货物现场的搬运。</w:t>
      </w:r>
    </w:p>
    <w:p w14:paraId="5FE5B78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 xml:space="preserve">   </w:t>
      </w:r>
      <w:r>
        <w:rPr>
          <w:rFonts w:hint="eastAsia" w:ascii="黑体" w:hAnsi="黑体" w:eastAsia="黑体" w:cs="黑体"/>
          <w:sz w:val="21"/>
          <w:szCs w:val="21"/>
          <w:lang w:val="en-US" w:eastAsia="zh-CN"/>
        </w:rPr>
        <w:t>1.</w:t>
      </w:r>
      <w:r>
        <w:rPr>
          <w:rFonts w:hint="eastAsia" w:ascii="黑体" w:hAnsi="黑体" w:eastAsia="黑体" w:cs="黑体"/>
          <w:sz w:val="21"/>
          <w:szCs w:val="21"/>
        </w:rPr>
        <w:t>3</w:t>
      </w:r>
      <w:r>
        <w:rPr>
          <w:rFonts w:hint="eastAsia" w:ascii="黑体" w:hAnsi="黑体" w:eastAsia="黑体" w:cs="黑体"/>
          <w:sz w:val="21"/>
          <w:szCs w:val="21"/>
          <w:lang w:val="en-US" w:eastAsia="zh-CN"/>
        </w:rPr>
        <w:t xml:space="preserve">  </w:t>
      </w:r>
      <w:r>
        <w:rPr>
          <w:rFonts w:hint="eastAsia" w:ascii="黑体" w:hAnsi="黑体" w:eastAsia="黑体" w:cs="黑体"/>
          <w:sz w:val="21"/>
          <w:szCs w:val="21"/>
        </w:rPr>
        <w:t>货物在现场的保管由</w:t>
      </w:r>
      <w:r>
        <w:rPr>
          <w:rFonts w:hint="eastAsia" w:ascii="黑体" w:hAnsi="黑体" w:eastAsia="黑体" w:cs="黑体"/>
          <w:sz w:val="21"/>
          <w:szCs w:val="21"/>
          <w:lang w:val="en-US" w:eastAsia="zh-CN"/>
        </w:rPr>
        <w:t>乙方</w:t>
      </w:r>
      <w:r>
        <w:rPr>
          <w:rFonts w:hint="eastAsia" w:ascii="黑体" w:hAnsi="黑体" w:eastAsia="黑体" w:cs="黑体"/>
          <w:sz w:val="21"/>
          <w:szCs w:val="21"/>
        </w:rPr>
        <w:t>负责，直至项目验收完毕。</w:t>
      </w:r>
    </w:p>
    <w:p w14:paraId="3BDED8D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 xml:space="preserve">   </w:t>
      </w:r>
      <w:r>
        <w:rPr>
          <w:rFonts w:hint="eastAsia" w:ascii="黑体" w:hAnsi="黑体" w:eastAsia="黑体" w:cs="黑体"/>
          <w:sz w:val="21"/>
          <w:szCs w:val="21"/>
          <w:lang w:val="en-US" w:eastAsia="zh-CN"/>
        </w:rPr>
        <w:t xml:space="preserve">1.4  </w:t>
      </w:r>
      <w:r>
        <w:rPr>
          <w:rFonts w:hint="eastAsia" w:ascii="黑体" w:hAnsi="黑体" w:eastAsia="黑体" w:cs="黑体"/>
          <w:sz w:val="21"/>
          <w:szCs w:val="21"/>
        </w:rPr>
        <w:t>安装要求：所供设备和材料</w:t>
      </w:r>
      <w:r>
        <w:rPr>
          <w:rFonts w:hint="eastAsia" w:ascii="黑体" w:hAnsi="黑体" w:eastAsia="黑体" w:cs="黑体"/>
          <w:sz w:val="21"/>
          <w:szCs w:val="21"/>
          <w:lang w:val="en-US" w:eastAsia="zh-CN"/>
        </w:rPr>
        <w:t>乙方</w:t>
      </w:r>
      <w:r>
        <w:rPr>
          <w:rFonts w:hint="eastAsia" w:ascii="黑体" w:hAnsi="黑体" w:eastAsia="黑体" w:cs="黑体"/>
          <w:sz w:val="21"/>
          <w:szCs w:val="21"/>
        </w:rPr>
        <w:t>必须送货上门和负责安装调试。货物及订制所需材料在实施订制及安装前需通知</w:t>
      </w:r>
      <w:r>
        <w:rPr>
          <w:rFonts w:hint="eastAsia" w:ascii="黑体" w:hAnsi="黑体" w:eastAsia="黑体" w:cs="黑体"/>
          <w:sz w:val="21"/>
          <w:szCs w:val="21"/>
          <w:lang w:val="en-US" w:eastAsia="zh-CN"/>
        </w:rPr>
        <w:t>甲方</w:t>
      </w:r>
      <w:r>
        <w:rPr>
          <w:rFonts w:hint="eastAsia" w:ascii="黑体" w:hAnsi="黑体" w:eastAsia="黑体" w:cs="黑体"/>
          <w:sz w:val="21"/>
          <w:szCs w:val="21"/>
        </w:rPr>
        <w:t>代表查验相关货物的出厂合格证或出厂测试报告、序列号、包装箱号与出厂批号等资料，并可追索查阅。所有随设备的附件必须齐全，以备验收使用。</w:t>
      </w:r>
    </w:p>
    <w:p w14:paraId="5DB88E1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 xml:space="preserve">   </w:t>
      </w:r>
      <w:r>
        <w:rPr>
          <w:rFonts w:hint="eastAsia" w:ascii="黑体" w:hAnsi="黑体" w:eastAsia="黑体" w:cs="黑体"/>
          <w:sz w:val="21"/>
          <w:szCs w:val="21"/>
          <w:lang w:val="en-US" w:eastAsia="zh-CN"/>
        </w:rPr>
        <w:t xml:space="preserve">1.5  </w:t>
      </w:r>
      <w:r>
        <w:rPr>
          <w:rFonts w:hint="eastAsia" w:ascii="黑体" w:hAnsi="黑体" w:eastAsia="黑体" w:cs="黑体"/>
          <w:sz w:val="21"/>
          <w:szCs w:val="21"/>
        </w:rPr>
        <w:t>调试要求：</w:t>
      </w:r>
      <w:r>
        <w:rPr>
          <w:rFonts w:hint="eastAsia" w:ascii="黑体" w:hAnsi="黑体" w:eastAsia="黑体" w:cs="黑体"/>
          <w:sz w:val="21"/>
          <w:szCs w:val="21"/>
          <w:lang w:val="en-US" w:eastAsia="zh-CN"/>
        </w:rPr>
        <w:t>乙方</w:t>
      </w:r>
      <w:r>
        <w:rPr>
          <w:rFonts w:hint="eastAsia" w:ascii="黑体" w:hAnsi="黑体" w:eastAsia="黑体" w:cs="黑体"/>
          <w:sz w:val="21"/>
          <w:szCs w:val="21"/>
        </w:rPr>
        <w:t>必须依照招标文件的要求和投标文件的承诺，将设备、系统安装并调试至正常运行的最佳状态。</w:t>
      </w:r>
    </w:p>
    <w:p w14:paraId="1923E66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2、合同货物的交货</w:t>
      </w:r>
    </w:p>
    <w:p w14:paraId="203E109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 xml:space="preserve">   2.1  乙方交货时间：合同签订后</w:t>
      </w:r>
      <w:r>
        <w:rPr>
          <w:rFonts w:hint="eastAsia" w:ascii="黑体" w:hAnsi="黑体" w:eastAsia="黑体" w:cs="黑体"/>
          <w:sz w:val="21"/>
          <w:szCs w:val="21"/>
          <w:u w:val="single"/>
        </w:rPr>
        <w:t>30</w:t>
      </w:r>
      <w:r>
        <w:rPr>
          <w:rFonts w:hint="eastAsia" w:ascii="黑体" w:hAnsi="黑体" w:eastAsia="黑体" w:cs="黑体"/>
          <w:sz w:val="21"/>
          <w:szCs w:val="21"/>
        </w:rPr>
        <w:t>天内交货。</w:t>
      </w:r>
    </w:p>
    <w:p w14:paraId="564F297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u w:val="single"/>
        </w:rPr>
      </w:pPr>
      <w:r>
        <w:rPr>
          <w:rFonts w:hint="eastAsia" w:ascii="黑体" w:hAnsi="黑体" w:eastAsia="黑体" w:cs="黑体"/>
          <w:sz w:val="21"/>
          <w:szCs w:val="21"/>
        </w:rPr>
        <w:t xml:space="preserve">   2.2  乙方交货地点：</w:t>
      </w:r>
      <w:r>
        <w:rPr>
          <w:rFonts w:hint="eastAsia" w:ascii="黑体" w:hAnsi="黑体" w:eastAsia="黑体" w:cs="黑体"/>
          <w:sz w:val="21"/>
          <w:szCs w:val="21"/>
          <w:u w:val="single"/>
        </w:rPr>
        <w:t xml:space="preserve">   东莞市清溪医院     </w:t>
      </w:r>
    </w:p>
    <w:p w14:paraId="06A270D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3、合同货物的安装调试</w:t>
      </w:r>
    </w:p>
    <w:p w14:paraId="50B1255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 xml:space="preserve">   3.1  乙方负责合同项下的安装调试，一切费用由乙方负责。</w:t>
      </w:r>
    </w:p>
    <w:p w14:paraId="4D6998F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 xml:space="preserve">   3.2  乙方安装时须对各安装场地内的其他设备、设施有良好保护措施。</w:t>
      </w:r>
    </w:p>
    <w:p w14:paraId="2D09603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4、货物的验收</w:t>
      </w:r>
    </w:p>
    <w:p w14:paraId="0C814C52">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黑体" w:hAnsi="黑体" w:eastAsia="黑体" w:cs="黑体"/>
          <w:sz w:val="21"/>
          <w:szCs w:val="21"/>
        </w:rPr>
      </w:pPr>
      <w:r>
        <w:rPr>
          <w:rFonts w:hint="eastAsia" w:ascii="黑体" w:hAnsi="黑体" w:eastAsia="黑体" w:cs="黑体"/>
          <w:sz w:val="21"/>
          <w:szCs w:val="21"/>
        </w:rPr>
        <w:t>4.1  在合同设备安装调试完成并正常工作30天后，甲乙双方共同参加验收。验收标准包括但不限于：（1）设备各项技术参数及性能指标符合本合同附件约定的技术规格；（2）设备能够完成其设计功能，运行稳定无故障；（3）甲方操作人员经培训后能够独立、熟练操作设备。甲方有权根据上述标准判断设备是否达到临床使用满意效果，甲方的验收结论为最终结论。</w:t>
      </w:r>
    </w:p>
    <w:p w14:paraId="7F1D002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b/>
          <w:sz w:val="21"/>
          <w:szCs w:val="21"/>
        </w:rPr>
        <w:t xml:space="preserve">   </w:t>
      </w:r>
      <w:r>
        <w:rPr>
          <w:rFonts w:hint="eastAsia" w:ascii="黑体" w:hAnsi="黑体" w:eastAsia="黑体" w:cs="黑体"/>
          <w:sz w:val="21"/>
          <w:szCs w:val="21"/>
        </w:rPr>
        <w:t>4.2  验收按国家有关的规定、规范进行。验收时如发现所交付的设备有短装、次品、损坏或其他不符合本合同规定之情形者，由甲乙双方签署备忘录。此备忘录可用作补充、缺失和更换损坏部件的有效证据。由此产生的有关费用由乙方承担。</w:t>
      </w:r>
    </w:p>
    <w:p w14:paraId="6EBADED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 xml:space="preserve">   4.3  如果合同设备运输和安装调试过程中因事故造成货物短缺、损坏，乙方应及时安排换装，以保证合同设备安装调试的成功完成。换货及相关费用由乙方承担。</w:t>
      </w:r>
    </w:p>
    <w:p w14:paraId="7BEE362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 xml:space="preserve">   4.4  乙方保证合同项下提供的货物不侵犯任何第三方的专利、商标或版权。否则，乙方须承担对第三方的专利或版权的侵权责任并承担因此而发生的所有费用。</w:t>
      </w:r>
    </w:p>
    <w:p w14:paraId="6634C76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sz w:val="21"/>
          <w:szCs w:val="21"/>
        </w:rPr>
      </w:pPr>
      <w:r>
        <w:rPr>
          <w:rFonts w:hint="eastAsia" w:ascii="黑体" w:hAnsi="黑体" w:eastAsia="黑体" w:cs="黑体"/>
          <w:b/>
          <w:sz w:val="21"/>
          <w:szCs w:val="21"/>
        </w:rPr>
        <w:t>四、质量保证及售后服务</w:t>
      </w:r>
    </w:p>
    <w:p w14:paraId="0C80012E">
      <w:pPr>
        <w:pStyle w:val="29"/>
        <w:numPr>
          <w:ilvl w:val="-1"/>
          <w:numId w:val="0"/>
        </w:numPr>
        <w:spacing w:line="360" w:lineRule="auto"/>
        <w:ind w:left="0" w:firstLine="420" w:firstLineChars="200"/>
        <w:contextualSpacing/>
        <w:rPr>
          <w:rFonts w:ascii="黑体" w:hAnsi="黑体" w:eastAsia="黑体"/>
          <w:b w:val="0"/>
          <w:bCs w:val="0"/>
          <w:iCs/>
          <w:color w:val="auto"/>
          <w:szCs w:val="21"/>
          <w:highlight w:val="none"/>
        </w:rPr>
      </w:pPr>
      <w:r>
        <w:rPr>
          <w:rFonts w:hint="eastAsia" w:ascii="黑体" w:hAnsi="黑体" w:eastAsia="黑体"/>
          <w:b w:val="0"/>
          <w:bCs w:val="0"/>
          <w:iCs/>
          <w:color w:val="auto"/>
          <w:szCs w:val="21"/>
          <w:highlight w:val="none"/>
          <w:lang w:val="en-US" w:eastAsia="zh-CN"/>
        </w:rPr>
        <w:t>1、</w:t>
      </w:r>
      <w:r>
        <w:rPr>
          <w:rFonts w:hint="eastAsia" w:ascii="黑体" w:hAnsi="黑体" w:eastAsia="黑体"/>
          <w:b w:val="0"/>
          <w:bCs w:val="0"/>
          <w:iCs/>
          <w:color w:val="auto"/>
          <w:szCs w:val="21"/>
          <w:highlight w:val="none"/>
        </w:rPr>
        <w:t>质保期：自交货完成并验收合格之日起至少</w:t>
      </w:r>
      <w:r>
        <w:rPr>
          <w:rFonts w:hint="eastAsia" w:ascii="黑体" w:hAnsi="黑体" w:eastAsia="黑体"/>
          <w:b w:val="0"/>
          <w:bCs w:val="0"/>
          <w:iCs/>
          <w:color w:val="auto"/>
          <w:szCs w:val="21"/>
          <w:highlight w:val="none"/>
          <w:u w:val="single"/>
          <w:lang w:eastAsia="zh-CN"/>
        </w:rPr>
        <w:t xml:space="preserve"> </w:t>
      </w:r>
      <w:r>
        <w:rPr>
          <w:rFonts w:hint="eastAsia" w:ascii="黑体" w:hAnsi="黑体" w:eastAsia="黑体"/>
          <w:b w:val="0"/>
          <w:bCs w:val="0"/>
          <w:iCs/>
          <w:color w:val="auto"/>
          <w:szCs w:val="21"/>
          <w:highlight w:val="none"/>
          <w:u w:val="single"/>
          <w:lang w:val="en-US" w:eastAsia="zh-CN"/>
        </w:rPr>
        <w:t xml:space="preserve">  </w:t>
      </w:r>
      <w:r>
        <w:rPr>
          <w:rFonts w:hint="eastAsia" w:ascii="黑体" w:hAnsi="黑体" w:eastAsia="黑体"/>
          <w:b w:val="0"/>
          <w:bCs w:val="0"/>
          <w:iCs/>
          <w:color w:val="auto"/>
          <w:szCs w:val="21"/>
          <w:highlight w:val="none"/>
        </w:rPr>
        <w:t>年（若国家或生产厂家对本项目所涉及货物的质保期的规定高于本项目的要求，应按国家或生产厂家的规定执行，所产生的费用已包含在</w:t>
      </w:r>
      <w:r>
        <w:rPr>
          <w:rFonts w:hint="eastAsia" w:ascii="黑体" w:hAnsi="黑体" w:eastAsia="黑体"/>
          <w:b w:val="0"/>
          <w:bCs w:val="0"/>
          <w:iCs/>
          <w:color w:val="auto"/>
          <w:szCs w:val="21"/>
          <w:highlight w:val="none"/>
          <w:lang w:val="en-US" w:eastAsia="zh-CN"/>
        </w:rPr>
        <w:t>乙方</w:t>
      </w:r>
      <w:r>
        <w:rPr>
          <w:rFonts w:hint="eastAsia" w:ascii="黑体" w:hAnsi="黑体" w:eastAsia="黑体"/>
          <w:b w:val="0"/>
          <w:bCs w:val="0"/>
          <w:iCs/>
          <w:color w:val="auto"/>
          <w:szCs w:val="21"/>
          <w:highlight w:val="none"/>
        </w:rPr>
        <w:t>报价中）。</w:t>
      </w:r>
    </w:p>
    <w:p w14:paraId="3BAFE315">
      <w:pPr>
        <w:pStyle w:val="29"/>
        <w:numPr>
          <w:ilvl w:val="-1"/>
          <w:numId w:val="0"/>
        </w:numPr>
        <w:spacing w:line="360" w:lineRule="auto"/>
        <w:ind w:left="0" w:firstLine="420" w:firstLineChars="200"/>
        <w:contextualSpacing/>
        <w:rPr>
          <w:rFonts w:ascii="黑体" w:hAnsi="黑体" w:eastAsia="黑体"/>
          <w:iCs/>
          <w:color w:val="auto"/>
          <w:szCs w:val="21"/>
          <w:highlight w:val="none"/>
        </w:rPr>
      </w:pPr>
      <w:r>
        <w:rPr>
          <w:rFonts w:hint="eastAsia" w:ascii="黑体" w:hAnsi="黑体" w:eastAsia="黑体"/>
          <w:iCs/>
          <w:color w:val="auto"/>
          <w:szCs w:val="21"/>
          <w:highlight w:val="none"/>
          <w:lang w:val="en-US" w:eastAsia="zh-CN"/>
        </w:rPr>
        <w:t>2、</w:t>
      </w:r>
      <w:r>
        <w:rPr>
          <w:rFonts w:hint="eastAsia" w:ascii="黑体" w:hAnsi="黑体" w:eastAsia="黑体"/>
          <w:iCs/>
          <w:color w:val="auto"/>
          <w:szCs w:val="21"/>
          <w:highlight w:val="none"/>
        </w:rPr>
        <w:t>日常维护要求：①质保期内</w:t>
      </w:r>
      <w:r>
        <w:rPr>
          <w:rFonts w:hint="eastAsia" w:ascii="黑体" w:hAnsi="黑体" w:eastAsia="黑体"/>
          <w:iCs/>
          <w:color w:val="auto"/>
          <w:szCs w:val="21"/>
          <w:highlight w:val="none"/>
          <w:lang w:val="en-US" w:eastAsia="zh-CN"/>
        </w:rPr>
        <w:t>乙方</w:t>
      </w:r>
      <w:r>
        <w:rPr>
          <w:rFonts w:hint="eastAsia" w:ascii="黑体" w:hAnsi="黑体" w:eastAsia="黑体"/>
          <w:iCs/>
          <w:color w:val="auto"/>
          <w:szCs w:val="21"/>
          <w:highlight w:val="none"/>
        </w:rPr>
        <w:t>必须配置专业的维护团队，团队须提供至少</w:t>
      </w:r>
      <w:r>
        <w:rPr>
          <w:rFonts w:ascii="黑体" w:hAnsi="黑体" w:eastAsia="黑体"/>
          <w:iCs/>
          <w:color w:val="auto"/>
          <w:szCs w:val="21"/>
          <w:highlight w:val="none"/>
        </w:rPr>
        <w:t>1</w:t>
      </w:r>
      <w:r>
        <w:rPr>
          <w:rFonts w:hint="eastAsia" w:ascii="黑体" w:hAnsi="黑体" w:eastAsia="黑体"/>
          <w:iCs/>
          <w:color w:val="auto"/>
          <w:szCs w:val="21"/>
          <w:highlight w:val="none"/>
        </w:rPr>
        <w:t>人作为维护对接人，该人员必须是参加本项目的主要人员，对接人须协助</w:t>
      </w:r>
      <w:r>
        <w:rPr>
          <w:rFonts w:hint="eastAsia" w:ascii="黑体" w:hAnsi="黑体" w:eastAsia="黑体"/>
          <w:iCs/>
          <w:color w:val="auto"/>
          <w:szCs w:val="21"/>
          <w:highlight w:val="none"/>
          <w:lang w:val="en-US" w:eastAsia="zh-CN"/>
        </w:rPr>
        <w:t>甲方</w:t>
      </w:r>
      <w:r>
        <w:rPr>
          <w:rFonts w:hint="eastAsia" w:ascii="黑体" w:hAnsi="黑体" w:eastAsia="黑体"/>
          <w:iCs/>
          <w:color w:val="auto"/>
          <w:szCs w:val="21"/>
          <w:highlight w:val="none"/>
        </w:rPr>
        <w:t>处理本项目的建设和维护工作。②质保期内提供的维护服务内容和方式包括：软件升级、提供技术指导、功能优化与支持服务等内容，服务方式应包括网络支持与现场服务等。③质保期内</w:t>
      </w:r>
      <w:r>
        <w:rPr>
          <w:rFonts w:hint="eastAsia" w:ascii="黑体" w:hAnsi="黑体" w:eastAsia="黑体"/>
          <w:iCs/>
          <w:color w:val="auto"/>
          <w:szCs w:val="21"/>
          <w:highlight w:val="none"/>
          <w:lang w:val="en-US" w:eastAsia="zh-CN"/>
        </w:rPr>
        <w:t>乙方</w:t>
      </w:r>
      <w:r>
        <w:rPr>
          <w:rFonts w:hint="eastAsia" w:ascii="黑体" w:hAnsi="黑体" w:eastAsia="黑体"/>
          <w:iCs/>
          <w:color w:val="auto"/>
          <w:szCs w:val="21"/>
          <w:highlight w:val="none"/>
        </w:rPr>
        <w:t>至少每半年对本项目设备进行全面的巡检（巡检内容包括设备整体检测、设备保养评估、故障隐患排查等），对巡检过程中发现的故障及隐患进行及时处理，并生成巡检报告提交</w:t>
      </w:r>
      <w:r>
        <w:rPr>
          <w:rFonts w:hint="eastAsia" w:ascii="黑体" w:hAnsi="黑体" w:eastAsia="黑体"/>
          <w:iCs/>
          <w:color w:val="auto"/>
          <w:szCs w:val="21"/>
          <w:highlight w:val="none"/>
          <w:lang w:val="en-US" w:eastAsia="zh-CN"/>
        </w:rPr>
        <w:t>甲方</w:t>
      </w:r>
      <w:r>
        <w:rPr>
          <w:rFonts w:hint="eastAsia" w:ascii="黑体" w:hAnsi="黑体" w:eastAsia="黑体"/>
          <w:iCs/>
          <w:color w:val="auto"/>
          <w:szCs w:val="21"/>
          <w:highlight w:val="none"/>
        </w:rPr>
        <w:t>。</w:t>
      </w:r>
    </w:p>
    <w:p w14:paraId="3C2D8CED">
      <w:pPr>
        <w:pStyle w:val="29"/>
        <w:numPr>
          <w:ilvl w:val="-1"/>
          <w:numId w:val="0"/>
        </w:numPr>
        <w:spacing w:line="360" w:lineRule="auto"/>
        <w:ind w:left="0" w:firstLine="420" w:firstLineChars="200"/>
        <w:contextualSpacing/>
        <w:rPr>
          <w:rFonts w:ascii="黑体" w:hAnsi="黑体" w:eastAsia="黑体"/>
          <w:iCs/>
          <w:color w:val="auto"/>
          <w:szCs w:val="21"/>
          <w:highlight w:val="none"/>
        </w:rPr>
      </w:pPr>
      <w:r>
        <w:rPr>
          <w:rFonts w:hint="eastAsia" w:ascii="黑体" w:hAnsi="黑体" w:eastAsia="黑体"/>
          <w:iCs/>
          <w:color w:val="auto"/>
          <w:szCs w:val="21"/>
          <w:highlight w:val="none"/>
          <w:lang w:val="en-US" w:eastAsia="zh-CN"/>
        </w:rPr>
        <w:t>3、</w:t>
      </w:r>
      <w:r>
        <w:rPr>
          <w:rFonts w:hint="eastAsia" w:ascii="黑体" w:hAnsi="黑体" w:eastAsia="黑体"/>
          <w:iCs/>
          <w:color w:val="auto"/>
          <w:szCs w:val="21"/>
          <w:highlight w:val="none"/>
        </w:rPr>
        <w:t>应急维护要求：</w:t>
      </w:r>
      <w:r>
        <w:rPr>
          <w:rFonts w:hint="eastAsia" w:ascii="黑体" w:hAnsi="黑体" w:eastAsia="黑体"/>
          <w:iCs/>
          <w:color w:val="auto"/>
          <w:szCs w:val="21"/>
          <w:highlight w:val="none"/>
          <w:lang w:val="en-US" w:eastAsia="zh-CN"/>
        </w:rPr>
        <w:t>乙方</w:t>
      </w:r>
      <w:r>
        <w:rPr>
          <w:rFonts w:hint="eastAsia" w:ascii="黑体" w:hAnsi="黑体" w:eastAsia="黑体"/>
          <w:iCs/>
          <w:color w:val="auto"/>
          <w:szCs w:val="21"/>
          <w:highlight w:val="none"/>
        </w:rPr>
        <w:t>须提供应急维护方案，且质保期内提供</w:t>
      </w:r>
      <w:r>
        <w:rPr>
          <w:rFonts w:ascii="黑体" w:hAnsi="黑体" w:eastAsia="黑体"/>
          <w:iCs/>
          <w:color w:val="auto"/>
          <w:szCs w:val="21"/>
          <w:highlight w:val="none"/>
        </w:rPr>
        <w:t>24</w:t>
      </w:r>
      <w:r>
        <w:rPr>
          <w:rFonts w:hint="eastAsia" w:ascii="黑体" w:hAnsi="黑体" w:eastAsia="黑体"/>
          <w:iCs/>
          <w:color w:val="auto"/>
          <w:szCs w:val="21"/>
          <w:highlight w:val="none"/>
        </w:rPr>
        <w:t>小时电话服务热线，保证在接到故障电话后即时响应，</w:t>
      </w:r>
      <w:r>
        <w:rPr>
          <w:rFonts w:hint="eastAsia" w:ascii="黑体" w:hAnsi="黑体" w:eastAsia="黑体"/>
          <w:iCs/>
          <w:color w:val="auto"/>
          <w:szCs w:val="21"/>
          <w:highlight w:val="none"/>
          <w:u w:val="single"/>
          <w:lang w:val="en-US" w:eastAsia="zh-CN"/>
        </w:rPr>
        <w:t xml:space="preserve">  </w:t>
      </w:r>
      <w:r>
        <w:rPr>
          <w:rFonts w:hint="eastAsia" w:ascii="黑体" w:hAnsi="黑体" w:eastAsia="黑体"/>
          <w:iCs/>
          <w:color w:val="auto"/>
          <w:szCs w:val="21"/>
          <w:highlight w:val="none"/>
        </w:rPr>
        <w:t>小时内到达故障现场，并在</w:t>
      </w:r>
      <w:r>
        <w:rPr>
          <w:rFonts w:ascii="黑体" w:hAnsi="黑体" w:eastAsia="黑体"/>
          <w:iCs/>
          <w:color w:val="auto"/>
          <w:szCs w:val="21"/>
          <w:highlight w:val="none"/>
        </w:rPr>
        <w:t>48</w:t>
      </w:r>
      <w:r>
        <w:rPr>
          <w:rFonts w:hint="eastAsia" w:ascii="黑体" w:hAnsi="黑体" w:eastAsia="黑体"/>
          <w:iCs/>
          <w:color w:val="auto"/>
          <w:szCs w:val="21"/>
          <w:highlight w:val="none"/>
        </w:rPr>
        <w:t>小时内修复设备，如</w:t>
      </w:r>
      <w:r>
        <w:rPr>
          <w:rFonts w:ascii="黑体" w:hAnsi="黑体" w:eastAsia="黑体"/>
          <w:iCs/>
          <w:color w:val="auto"/>
          <w:szCs w:val="21"/>
          <w:highlight w:val="none"/>
        </w:rPr>
        <w:t>48</w:t>
      </w:r>
      <w:r>
        <w:rPr>
          <w:rFonts w:hint="eastAsia" w:ascii="黑体" w:hAnsi="黑体" w:eastAsia="黑体"/>
          <w:iCs/>
          <w:color w:val="auto"/>
          <w:szCs w:val="21"/>
          <w:highlight w:val="none"/>
        </w:rPr>
        <w:t>小时内无法修复的，</w:t>
      </w:r>
      <w:r>
        <w:rPr>
          <w:rFonts w:hint="eastAsia" w:ascii="黑体" w:hAnsi="黑体" w:eastAsia="黑体"/>
          <w:iCs/>
          <w:color w:val="auto"/>
          <w:szCs w:val="21"/>
          <w:highlight w:val="none"/>
          <w:lang w:val="en-US" w:eastAsia="zh-CN"/>
        </w:rPr>
        <w:t>乙方</w:t>
      </w:r>
      <w:r>
        <w:rPr>
          <w:rFonts w:hint="eastAsia" w:ascii="黑体" w:hAnsi="黑体" w:eastAsia="黑体"/>
          <w:iCs/>
          <w:color w:val="auto"/>
          <w:szCs w:val="21"/>
          <w:highlight w:val="none"/>
        </w:rPr>
        <w:t>须提供配套替代货物给</w:t>
      </w:r>
      <w:r>
        <w:rPr>
          <w:rFonts w:hint="eastAsia" w:ascii="黑体" w:hAnsi="黑体" w:eastAsia="黑体"/>
          <w:iCs/>
          <w:color w:val="auto"/>
          <w:szCs w:val="21"/>
          <w:highlight w:val="none"/>
          <w:lang w:val="en-US" w:eastAsia="zh-CN"/>
        </w:rPr>
        <w:t>甲方</w:t>
      </w:r>
      <w:r>
        <w:rPr>
          <w:rFonts w:hint="eastAsia" w:ascii="黑体" w:hAnsi="黑体" w:eastAsia="黑体"/>
          <w:iCs/>
          <w:color w:val="auto"/>
          <w:szCs w:val="21"/>
          <w:highlight w:val="none"/>
        </w:rPr>
        <w:t>使用，直到故障货物修复为止。质保服务方式均为</w:t>
      </w:r>
      <w:r>
        <w:rPr>
          <w:rFonts w:hint="eastAsia" w:ascii="黑体" w:hAnsi="黑体" w:eastAsia="黑体"/>
          <w:iCs/>
          <w:color w:val="auto"/>
          <w:szCs w:val="21"/>
          <w:highlight w:val="none"/>
          <w:lang w:val="en-US" w:eastAsia="zh-CN"/>
        </w:rPr>
        <w:t>乙方</w:t>
      </w:r>
      <w:r>
        <w:rPr>
          <w:rFonts w:hint="eastAsia" w:ascii="黑体" w:hAnsi="黑体" w:eastAsia="黑体"/>
          <w:iCs/>
          <w:color w:val="auto"/>
          <w:szCs w:val="21"/>
          <w:highlight w:val="none"/>
        </w:rPr>
        <w:t>上门服务。</w:t>
      </w:r>
    </w:p>
    <w:p w14:paraId="0D79A5DA">
      <w:pPr>
        <w:keepNext w:val="0"/>
        <w:keepLines w:val="0"/>
        <w:pageBreakBefore w:val="0"/>
        <w:widowControl w:val="0"/>
        <w:kinsoku/>
        <w:wordWrap/>
        <w:overflowPunct/>
        <w:topLinePunct w:val="0"/>
        <w:autoSpaceDE/>
        <w:autoSpaceDN/>
        <w:bidi w:val="0"/>
        <w:adjustRightInd/>
        <w:snapToGrid/>
        <w:spacing w:line="360" w:lineRule="auto"/>
        <w:ind w:firstLine="570"/>
        <w:textAlignment w:val="auto"/>
        <w:rPr>
          <w:rFonts w:hint="eastAsia" w:ascii="黑体" w:hAnsi="黑体" w:eastAsia="黑体" w:cs="黑体"/>
          <w:sz w:val="21"/>
          <w:szCs w:val="21"/>
          <w:u w:val="single"/>
        </w:rPr>
      </w:pPr>
    </w:p>
    <w:p w14:paraId="545040F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sz w:val="21"/>
          <w:szCs w:val="21"/>
          <w:lang w:val="en-US" w:eastAsia="zh-CN"/>
        </w:rPr>
      </w:pPr>
      <w:r>
        <w:rPr>
          <w:rFonts w:hint="eastAsia" w:ascii="黑体" w:hAnsi="黑体" w:eastAsia="黑体" w:cs="黑体"/>
          <w:b/>
          <w:sz w:val="21"/>
          <w:szCs w:val="21"/>
          <w:lang w:val="en-US" w:eastAsia="zh-CN"/>
        </w:rPr>
        <w:t>五、培训要求</w:t>
      </w:r>
    </w:p>
    <w:p w14:paraId="349F254E">
      <w:pPr>
        <w:pStyle w:val="2"/>
        <w:spacing w:line="360" w:lineRule="auto"/>
        <w:ind w:firstLine="420" w:firstLineChars="200"/>
        <w:rPr>
          <w:rFonts w:hint="eastAsia" w:ascii="黑体" w:hAnsi="黑体" w:eastAsia="黑体" w:cs="黑体"/>
          <w:b/>
          <w:sz w:val="21"/>
          <w:szCs w:val="21"/>
        </w:rPr>
      </w:pPr>
      <w:r>
        <w:rPr>
          <w:rFonts w:hint="eastAsia" w:ascii="黑体" w:hAnsi="黑体" w:eastAsia="黑体" w:cs="黑体"/>
          <w:szCs w:val="21"/>
          <w:lang w:val="en-US" w:eastAsia="zh-CN"/>
        </w:rPr>
        <w:t>为保证甲方熟悉设备的使用及日常维护，乙方须为甲方提供培训方案，培训方案须包括：①培训内容（设备的基本操作、常见故障排除、系统维护技巧等）；②培训形式（线上或线下或其他方式培训）；③培训人员配置情况；④培训实施计划（培训时长、频次等）。乙方需按照甲方指定的时间、地点向甲方提供培训服务，培训所需全部费用（含培训、交通、食宿等）均由乙方负责。</w:t>
      </w:r>
    </w:p>
    <w:p w14:paraId="5A7CF402">
      <w:pPr>
        <w:rPr>
          <w:rFonts w:hint="eastAsia"/>
          <w:lang w:val="en-US" w:eastAsia="zh-CN"/>
        </w:rPr>
      </w:pPr>
    </w:p>
    <w:p w14:paraId="0936EB5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sz w:val="21"/>
          <w:szCs w:val="21"/>
        </w:rPr>
      </w:pPr>
      <w:r>
        <w:rPr>
          <w:rFonts w:hint="eastAsia" w:ascii="黑体" w:hAnsi="黑体" w:eastAsia="黑体" w:cs="黑体"/>
          <w:b/>
          <w:sz w:val="21"/>
          <w:szCs w:val="21"/>
          <w:lang w:val="en-US" w:eastAsia="zh-CN"/>
        </w:rPr>
        <w:t>六</w:t>
      </w:r>
      <w:r>
        <w:rPr>
          <w:rFonts w:hint="eastAsia" w:ascii="黑体" w:hAnsi="黑体" w:eastAsia="黑体" w:cs="黑体"/>
          <w:b/>
          <w:sz w:val="21"/>
          <w:szCs w:val="21"/>
        </w:rPr>
        <w:t>、争议解决方式</w:t>
      </w:r>
    </w:p>
    <w:p w14:paraId="4D9F9DCA">
      <w:pPr>
        <w:keepNext w:val="0"/>
        <w:keepLines w:val="0"/>
        <w:pageBreakBefore w:val="0"/>
        <w:widowControl w:val="0"/>
        <w:kinsoku/>
        <w:wordWrap/>
        <w:overflowPunct/>
        <w:topLinePunct w:val="0"/>
        <w:autoSpaceDE/>
        <w:autoSpaceDN/>
        <w:bidi w:val="0"/>
        <w:adjustRightInd/>
        <w:snapToGrid/>
        <w:spacing w:line="360" w:lineRule="auto"/>
        <w:ind w:firstLine="570"/>
        <w:textAlignment w:val="auto"/>
        <w:rPr>
          <w:rFonts w:hint="eastAsia" w:ascii="黑体" w:hAnsi="黑体" w:eastAsia="黑体" w:cs="黑体"/>
          <w:sz w:val="21"/>
          <w:szCs w:val="21"/>
        </w:rPr>
      </w:pPr>
      <w:r>
        <w:rPr>
          <w:rFonts w:hint="eastAsia" w:ascii="黑体" w:hAnsi="黑体" w:eastAsia="黑体" w:cs="黑体"/>
          <w:sz w:val="21"/>
          <w:szCs w:val="21"/>
        </w:rPr>
        <w:t>本合同在履行过程中若发生争议，甲乙双方应友好协商；若协商不成，任何一方均可向甲方所在地的人民法院提起诉讼解决。违约方承担守约方为实现债权而支付的所有费用（包括但不限于诉讼费、律师费、担保费、保全费、公证费、鉴定费等）。</w:t>
      </w:r>
    </w:p>
    <w:p w14:paraId="41073BA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sz w:val="21"/>
          <w:szCs w:val="21"/>
        </w:rPr>
      </w:pPr>
    </w:p>
    <w:p w14:paraId="720F649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sz w:val="21"/>
          <w:szCs w:val="21"/>
        </w:rPr>
      </w:pPr>
      <w:r>
        <w:rPr>
          <w:rFonts w:hint="eastAsia" w:ascii="黑体" w:hAnsi="黑体" w:eastAsia="黑体" w:cs="黑体"/>
          <w:b/>
          <w:sz w:val="21"/>
          <w:szCs w:val="21"/>
          <w:lang w:val="en-US" w:eastAsia="zh-CN"/>
        </w:rPr>
        <w:t>七</w:t>
      </w:r>
      <w:r>
        <w:rPr>
          <w:rFonts w:hint="eastAsia" w:ascii="黑体" w:hAnsi="黑体" w:eastAsia="黑体" w:cs="黑体"/>
          <w:b/>
          <w:sz w:val="21"/>
          <w:szCs w:val="21"/>
        </w:rPr>
        <w:t>、索赔</w:t>
      </w:r>
    </w:p>
    <w:p w14:paraId="74242BB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 xml:space="preserve">   乙方对所供货物与合同要求不符负有责任，如经检验证实不符或缺陷存在的，包括潜在的缺陷或使用不合适的材料，甲方可根据本合同有关质量保证或检验、安装、调试的规定，在质保期内及时提出索赔，乙方同意甲方选择下述一种或多种结合的方法解决索赔事宜：</w:t>
      </w:r>
    </w:p>
    <w:p w14:paraId="7DDBAE0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 xml:space="preserve">   1、退货，乙方退回甲方已付的全部货款；</w:t>
      </w:r>
    </w:p>
    <w:p w14:paraId="416156F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 xml:space="preserve">   2、根据货物的疵劣和受损程度，经甲乙双方商定，降低货物成交价格；</w:t>
      </w:r>
    </w:p>
    <w:p w14:paraId="27BE872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 xml:space="preserve">   3、用符合合同规定的规格、质量和性能要求的新零件、部件和/或设备来更换缺陷的部分和/或修补缺陷部分，以使货物达到合同规定的规格、质量和性能，乙方承担一切费用和风险并负担甲方遭受的一切损失。同时乙方相应延长被更换货物的质保期。</w:t>
      </w:r>
    </w:p>
    <w:p w14:paraId="39C8DF9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sz w:val="21"/>
          <w:szCs w:val="21"/>
        </w:rPr>
      </w:pPr>
      <w:r>
        <w:rPr>
          <w:rFonts w:hint="eastAsia" w:ascii="黑体" w:hAnsi="黑体" w:eastAsia="黑体" w:cs="黑体"/>
          <w:sz w:val="21"/>
          <w:szCs w:val="21"/>
        </w:rPr>
        <w:t xml:space="preserve">   </w:t>
      </w:r>
      <w:r>
        <w:rPr>
          <w:rFonts w:hint="eastAsia" w:ascii="黑体" w:hAnsi="黑体" w:eastAsia="黑体" w:cs="黑体"/>
          <w:b/>
          <w:sz w:val="21"/>
          <w:szCs w:val="21"/>
        </w:rPr>
        <w:t>未达到甲方使用标准、验收不合格的，甲方有权拒绝支付任何费用。</w:t>
      </w:r>
    </w:p>
    <w:p w14:paraId="4A22A83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sz w:val="21"/>
          <w:szCs w:val="21"/>
        </w:rPr>
      </w:pPr>
    </w:p>
    <w:p w14:paraId="2F8DB0D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sz w:val="21"/>
          <w:szCs w:val="21"/>
        </w:rPr>
      </w:pPr>
      <w:r>
        <w:rPr>
          <w:rFonts w:hint="eastAsia" w:ascii="黑体" w:hAnsi="黑体" w:eastAsia="黑体" w:cs="黑体"/>
          <w:b/>
          <w:sz w:val="21"/>
          <w:szCs w:val="21"/>
          <w:lang w:val="en-US" w:eastAsia="zh-CN"/>
        </w:rPr>
        <w:t>八</w:t>
      </w:r>
      <w:r>
        <w:rPr>
          <w:rFonts w:hint="eastAsia" w:ascii="黑体" w:hAnsi="黑体" w:eastAsia="黑体" w:cs="黑体"/>
          <w:b/>
          <w:sz w:val="21"/>
          <w:szCs w:val="21"/>
        </w:rPr>
        <w:t>、不可抗力</w:t>
      </w:r>
    </w:p>
    <w:p w14:paraId="48BEAE7C">
      <w:pPr>
        <w:keepNext w:val="0"/>
        <w:keepLines w:val="0"/>
        <w:pageBreakBefore w:val="0"/>
        <w:widowControl w:val="0"/>
        <w:kinsoku/>
        <w:wordWrap/>
        <w:overflowPunct/>
        <w:topLinePunct w:val="0"/>
        <w:autoSpaceDE/>
        <w:autoSpaceDN/>
        <w:bidi w:val="0"/>
        <w:adjustRightInd/>
        <w:snapToGrid/>
        <w:spacing w:line="360" w:lineRule="auto"/>
        <w:ind w:firstLine="570"/>
        <w:textAlignment w:val="auto"/>
        <w:rPr>
          <w:rFonts w:hint="eastAsia" w:ascii="黑体" w:hAnsi="黑体" w:eastAsia="黑体" w:cs="黑体"/>
          <w:sz w:val="21"/>
          <w:szCs w:val="21"/>
        </w:rPr>
      </w:pPr>
      <w:r>
        <w:rPr>
          <w:rFonts w:hint="eastAsia" w:ascii="黑体" w:hAnsi="黑体" w:eastAsia="黑体" w:cs="黑体"/>
          <w:sz w:val="21"/>
          <w:szCs w:val="21"/>
        </w:rPr>
        <w:t>甲乙双方的任何一方由于不可抗力不能履行或不能完全履行合同时，应及时向对方通报不能履行或不能完全履行的理由，以证明事件的发生，允许延期履行、部分履行或者不履行合同，并根据情况可以部分或全部免于承担违约责任。</w:t>
      </w:r>
    </w:p>
    <w:p w14:paraId="1A13D8A1">
      <w:pPr>
        <w:keepNext w:val="0"/>
        <w:keepLines w:val="0"/>
        <w:pageBreakBefore w:val="0"/>
        <w:widowControl w:val="0"/>
        <w:kinsoku/>
        <w:wordWrap/>
        <w:overflowPunct/>
        <w:topLinePunct w:val="0"/>
        <w:autoSpaceDE/>
        <w:autoSpaceDN/>
        <w:bidi w:val="0"/>
        <w:adjustRightInd/>
        <w:snapToGrid/>
        <w:spacing w:line="360" w:lineRule="auto"/>
        <w:ind w:firstLine="570"/>
        <w:textAlignment w:val="auto"/>
        <w:rPr>
          <w:rFonts w:hint="eastAsia" w:ascii="黑体" w:hAnsi="黑体" w:eastAsia="黑体" w:cs="黑体"/>
          <w:sz w:val="21"/>
          <w:szCs w:val="21"/>
        </w:rPr>
      </w:pPr>
    </w:p>
    <w:p w14:paraId="38A155F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sz w:val="21"/>
          <w:szCs w:val="21"/>
        </w:rPr>
      </w:pPr>
      <w:r>
        <w:rPr>
          <w:rFonts w:hint="eastAsia" w:ascii="黑体" w:hAnsi="黑体" w:eastAsia="黑体" w:cs="黑体"/>
          <w:b/>
          <w:sz w:val="21"/>
          <w:szCs w:val="21"/>
          <w:lang w:val="en-US" w:eastAsia="zh-CN"/>
        </w:rPr>
        <w:t>九</w:t>
      </w:r>
      <w:r>
        <w:rPr>
          <w:rFonts w:hint="eastAsia" w:ascii="黑体" w:hAnsi="黑体" w:eastAsia="黑体" w:cs="黑体"/>
          <w:b/>
          <w:sz w:val="21"/>
          <w:szCs w:val="21"/>
        </w:rPr>
        <w:t>、逾期交货</w:t>
      </w:r>
    </w:p>
    <w:p w14:paraId="3179344C">
      <w:pPr>
        <w:keepNext w:val="0"/>
        <w:keepLines w:val="0"/>
        <w:pageBreakBefore w:val="0"/>
        <w:widowControl w:val="0"/>
        <w:kinsoku/>
        <w:wordWrap/>
        <w:overflowPunct/>
        <w:topLinePunct w:val="0"/>
        <w:autoSpaceDE/>
        <w:autoSpaceDN/>
        <w:bidi w:val="0"/>
        <w:adjustRightInd/>
        <w:snapToGrid/>
        <w:spacing w:line="360" w:lineRule="auto"/>
        <w:ind w:firstLine="570"/>
        <w:textAlignment w:val="auto"/>
        <w:rPr>
          <w:rFonts w:hint="eastAsia" w:ascii="黑体" w:hAnsi="黑体" w:eastAsia="黑体" w:cs="黑体"/>
          <w:sz w:val="21"/>
          <w:szCs w:val="21"/>
        </w:rPr>
      </w:pPr>
      <w:r>
        <w:rPr>
          <w:rFonts w:hint="eastAsia" w:ascii="黑体" w:hAnsi="黑体" w:eastAsia="黑体" w:cs="黑体"/>
          <w:sz w:val="21"/>
          <w:szCs w:val="21"/>
        </w:rPr>
        <w:t>1、除不可抗力因素外，如果乙方不能按照合同规定的时间交货和提供服务，应及时以书面形式将延迟的事实、可能延迟的时间和原因通知甲方。甲方收到乙方通知后，将尽快作出评价，决定是否同意延长交货期。若甲方同意延长交货期，乙方需向乙方支付误期赔偿费（每逾期一天，按照合同价款的0.1%计算误期赔偿费）。甲方在不影响合同或其他补救措施情况下，可延长15天的交货期限，一旦达此限期乙方仍未交货的，甲方有权解除合同，届时甲方无须向乙方支付相关货款，并有权要求乙方支付违约金（按照本合同价款的30%的标准计算）。</w:t>
      </w:r>
    </w:p>
    <w:p w14:paraId="5BC32670">
      <w:pPr>
        <w:keepNext w:val="0"/>
        <w:keepLines w:val="0"/>
        <w:pageBreakBefore w:val="0"/>
        <w:widowControl w:val="0"/>
        <w:kinsoku/>
        <w:wordWrap/>
        <w:overflowPunct/>
        <w:topLinePunct w:val="0"/>
        <w:autoSpaceDE/>
        <w:autoSpaceDN/>
        <w:bidi w:val="0"/>
        <w:adjustRightInd/>
        <w:snapToGrid/>
        <w:spacing w:line="360" w:lineRule="auto"/>
        <w:ind w:firstLine="525" w:firstLineChars="250"/>
        <w:textAlignment w:val="auto"/>
        <w:rPr>
          <w:rFonts w:hint="eastAsia" w:ascii="黑体" w:hAnsi="黑体" w:eastAsia="黑体" w:cs="黑体"/>
          <w:b/>
          <w:sz w:val="21"/>
          <w:szCs w:val="21"/>
        </w:rPr>
      </w:pPr>
      <w:r>
        <w:rPr>
          <w:rFonts w:hint="eastAsia" w:ascii="黑体" w:hAnsi="黑体" w:eastAsia="黑体" w:cs="黑体"/>
          <w:sz w:val="21"/>
          <w:szCs w:val="21"/>
        </w:rPr>
        <w:t>2、在合同设备安装调试完成后60天内，若设备不能验收合格的，甲方有权解除合同、无须向乙方支付相关货款、向乙方退还合同设备（自解除合同的通知发出后10天内，由乙方自提设备，逾期不提的，每日甲方有权按照本合同价款的0.1%收取管理费用），并有权要求乙方支付违约金（按照本合同价款的30%的标准计算）。</w:t>
      </w:r>
    </w:p>
    <w:p w14:paraId="411D1E90">
      <w:pPr>
        <w:keepNext w:val="0"/>
        <w:keepLines w:val="0"/>
        <w:pageBreakBefore w:val="0"/>
        <w:widowControl w:val="0"/>
        <w:kinsoku/>
        <w:wordWrap/>
        <w:overflowPunct/>
        <w:topLinePunct w:val="0"/>
        <w:autoSpaceDE/>
        <w:autoSpaceDN/>
        <w:bidi w:val="0"/>
        <w:adjustRightInd/>
        <w:snapToGrid/>
        <w:spacing w:line="360" w:lineRule="auto"/>
        <w:ind w:firstLine="570"/>
        <w:textAlignment w:val="auto"/>
        <w:rPr>
          <w:rFonts w:hint="eastAsia" w:ascii="黑体" w:hAnsi="黑体" w:eastAsia="黑体" w:cs="黑体"/>
          <w:b/>
          <w:sz w:val="21"/>
          <w:szCs w:val="21"/>
        </w:rPr>
      </w:pPr>
    </w:p>
    <w:p w14:paraId="233AEAC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sz w:val="21"/>
          <w:szCs w:val="21"/>
        </w:rPr>
      </w:pPr>
      <w:r>
        <w:rPr>
          <w:rFonts w:hint="eastAsia" w:ascii="黑体" w:hAnsi="黑体" w:eastAsia="黑体" w:cs="黑体"/>
          <w:b/>
          <w:sz w:val="21"/>
          <w:szCs w:val="21"/>
          <w:lang w:val="en-US" w:eastAsia="zh-CN"/>
        </w:rPr>
        <w:t>十</w:t>
      </w:r>
      <w:r>
        <w:rPr>
          <w:rFonts w:hint="eastAsia" w:ascii="黑体" w:hAnsi="黑体" w:eastAsia="黑体" w:cs="黑体"/>
          <w:b/>
          <w:sz w:val="21"/>
          <w:szCs w:val="21"/>
        </w:rPr>
        <w:t>、其他</w:t>
      </w:r>
    </w:p>
    <w:p w14:paraId="170F92E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 xml:space="preserve">   1、本合同经双方法定代表或授权代表签字并加盖公章之日起生效，合同生效日期以最后一个签字日为准。有效期至本合同所有条款履行完毕为止。</w:t>
      </w:r>
    </w:p>
    <w:p w14:paraId="4F049A7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 xml:space="preserve">   2、本合同有效期内，双方均不得随意变更或解除合同。本合同如有未尽事宜，须经双方共同协商，订立补充协定。</w:t>
      </w:r>
    </w:p>
    <w:p w14:paraId="5E94A18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 xml:space="preserve">   3、本项目中标通知书、招标文件、投标文件及附件均是本合同不可分割的部分，解释的顺序除特别说明外，以文件生成时间在后的为准。</w:t>
      </w:r>
    </w:p>
    <w:p w14:paraId="3656DF5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 xml:space="preserve">   4、在执行合同过程中，所有经甲乙双方签署确认的文件（包括会议纪要、补充协议、往来信函）即成为本合同的有效组成部分，其生效日期为双方签字盖章的日期。</w:t>
      </w:r>
    </w:p>
    <w:p w14:paraId="26DEB9C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 xml:space="preserve">   5、本合同一式</w:t>
      </w:r>
      <w:r>
        <w:rPr>
          <w:rFonts w:hint="eastAsia" w:ascii="黑体" w:hAnsi="黑体" w:eastAsia="黑体" w:cs="黑体"/>
          <w:sz w:val="21"/>
          <w:szCs w:val="21"/>
          <w:u w:val="single"/>
        </w:rPr>
        <w:t>伍</w:t>
      </w:r>
      <w:r>
        <w:rPr>
          <w:rFonts w:hint="eastAsia" w:ascii="黑体" w:hAnsi="黑体" w:eastAsia="黑体" w:cs="黑体"/>
          <w:sz w:val="21"/>
          <w:szCs w:val="21"/>
        </w:rPr>
        <w:t>份，具有同等效力，甲、乙双方各执</w:t>
      </w:r>
      <w:r>
        <w:rPr>
          <w:rFonts w:hint="eastAsia" w:ascii="黑体" w:hAnsi="黑体" w:eastAsia="黑体" w:cs="黑体"/>
          <w:sz w:val="21"/>
          <w:szCs w:val="21"/>
          <w:u w:val="single"/>
        </w:rPr>
        <w:t>贰</w:t>
      </w:r>
      <w:r>
        <w:rPr>
          <w:rFonts w:hint="eastAsia" w:ascii="黑体" w:hAnsi="黑体" w:eastAsia="黑体" w:cs="黑体"/>
          <w:sz w:val="21"/>
          <w:szCs w:val="21"/>
        </w:rPr>
        <w:t>份，采购代理机构</w:t>
      </w:r>
      <w:r>
        <w:rPr>
          <w:rFonts w:hint="eastAsia" w:ascii="黑体" w:hAnsi="黑体" w:eastAsia="黑体" w:cs="黑体"/>
          <w:sz w:val="21"/>
          <w:szCs w:val="21"/>
          <w:u w:val="single"/>
        </w:rPr>
        <w:t>壹</w:t>
      </w:r>
      <w:r>
        <w:rPr>
          <w:rFonts w:hint="eastAsia" w:ascii="黑体" w:hAnsi="黑体" w:eastAsia="黑体" w:cs="黑体"/>
          <w:sz w:val="21"/>
          <w:szCs w:val="21"/>
        </w:rPr>
        <w:t>份。合同自双方签字盖章之日起生效。</w:t>
      </w:r>
    </w:p>
    <w:p w14:paraId="094C7FC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sz w:val="21"/>
          <w:szCs w:val="21"/>
        </w:rPr>
      </w:pPr>
    </w:p>
    <w:p w14:paraId="384342A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sz w:val="21"/>
          <w:szCs w:val="21"/>
        </w:rPr>
      </w:pPr>
      <w:r>
        <w:rPr>
          <w:rFonts w:hint="eastAsia" w:ascii="黑体" w:hAnsi="黑体" w:eastAsia="黑体" w:cs="黑体"/>
          <w:b/>
          <w:sz w:val="21"/>
          <w:szCs w:val="21"/>
        </w:rPr>
        <w:t>十</w:t>
      </w:r>
      <w:r>
        <w:rPr>
          <w:rFonts w:hint="eastAsia" w:ascii="黑体" w:hAnsi="黑体" w:eastAsia="黑体" w:cs="黑体"/>
          <w:b/>
          <w:sz w:val="21"/>
          <w:szCs w:val="21"/>
          <w:lang w:val="en-US" w:eastAsia="zh-CN"/>
        </w:rPr>
        <w:t>一</w:t>
      </w:r>
      <w:r>
        <w:rPr>
          <w:rFonts w:hint="eastAsia" w:ascii="黑体" w:hAnsi="黑体" w:eastAsia="黑体" w:cs="黑体"/>
          <w:b/>
          <w:sz w:val="21"/>
          <w:szCs w:val="21"/>
        </w:rPr>
        <w:t>、合同附件</w:t>
      </w:r>
    </w:p>
    <w:p w14:paraId="171C2EE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u w:val="single"/>
        </w:rPr>
      </w:pPr>
      <w:r>
        <w:rPr>
          <w:rFonts w:hint="eastAsia" w:ascii="黑体" w:hAnsi="黑体" w:eastAsia="黑体" w:cs="黑体"/>
          <w:sz w:val="21"/>
          <w:szCs w:val="21"/>
        </w:rPr>
        <w:t xml:space="preserve">    </w:t>
      </w:r>
      <w:r>
        <w:rPr>
          <w:rFonts w:hint="eastAsia" w:ascii="黑体" w:hAnsi="黑体" w:eastAsia="黑体" w:cs="黑体"/>
          <w:color w:val="000000"/>
          <w:sz w:val="21"/>
          <w:szCs w:val="21"/>
          <w:u w:val="single"/>
        </w:rPr>
        <w:t xml:space="preserve">附件一：设备配置清单       </w:t>
      </w:r>
      <w:r>
        <w:rPr>
          <w:rFonts w:hint="eastAsia" w:ascii="黑体" w:hAnsi="黑体" w:eastAsia="黑体" w:cs="黑体"/>
          <w:sz w:val="21"/>
          <w:szCs w:val="21"/>
          <w:u w:val="single"/>
        </w:rPr>
        <w:t xml:space="preserve">                                          </w:t>
      </w:r>
    </w:p>
    <w:p w14:paraId="6F95B43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 xml:space="preserve"> </w:t>
      </w:r>
    </w:p>
    <w:p w14:paraId="525E2D1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p>
    <w:p w14:paraId="1DA01FA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u w:val="single"/>
        </w:rPr>
      </w:pPr>
      <w:r>
        <w:rPr>
          <w:rFonts w:hint="eastAsia" w:ascii="黑体" w:hAnsi="黑体" w:eastAsia="黑体" w:cs="黑体"/>
          <w:sz w:val="21"/>
          <w:szCs w:val="21"/>
        </w:rPr>
        <w:t>甲方(盖章):</w:t>
      </w:r>
      <w:r>
        <w:rPr>
          <w:rFonts w:hint="eastAsia" w:ascii="黑体" w:hAnsi="黑体" w:eastAsia="黑体" w:cs="黑体"/>
          <w:sz w:val="21"/>
          <w:szCs w:val="21"/>
          <w:u w:val="single"/>
        </w:rPr>
        <w:t xml:space="preserve">东莞市清溪医院             </w:t>
      </w:r>
      <w:r>
        <w:rPr>
          <w:rFonts w:hint="eastAsia" w:ascii="黑体" w:hAnsi="黑体" w:eastAsia="黑体" w:cs="黑体"/>
          <w:sz w:val="21"/>
          <w:szCs w:val="21"/>
        </w:rPr>
        <w:t xml:space="preserve">       乙方(盖章)：</w:t>
      </w:r>
      <w:r>
        <w:rPr>
          <w:rFonts w:hint="eastAsia" w:ascii="黑体" w:hAnsi="黑体" w:eastAsia="黑体" w:cs="黑体"/>
          <w:sz w:val="21"/>
          <w:szCs w:val="21"/>
          <w:u w:val="single"/>
        </w:rPr>
        <w:t xml:space="preserve">                                 </w:t>
      </w:r>
    </w:p>
    <w:p w14:paraId="5C0F9080">
      <w:pPr>
        <w:keepNext w:val="0"/>
        <w:keepLines w:val="0"/>
        <w:pageBreakBefore w:val="0"/>
        <w:widowControl w:val="0"/>
        <w:kinsoku/>
        <w:wordWrap/>
        <w:overflowPunct/>
        <w:topLinePunct w:val="0"/>
        <w:autoSpaceDE/>
        <w:autoSpaceDN/>
        <w:bidi w:val="0"/>
        <w:adjustRightInd/>
        <w:snapToGrid/>
        <w:spacing w:line="360" w:lineRule="auto"/>
        <w:ind w:left="4830" w:hanging="4830" w:hangingChars="2300"/>
        <w:textAlignment w:val="auto"/>
        <w:rPr>
          <w:rFonts w:hint="eastAsia" w:ascii="黑体" w:hAnsi="黑体" w:eastAsia="黑体" w:cs="黑体"/>
          <w:sz w:val="21"/>
          <w:szCs w:val="21"/>
          <w:u w:val="single"/>
        </w:rPr>
      </w:pPr>
      <w:r>
        <w:rPr>
          <w:rFonts w:hint="eastAsia" w:ascii="黑体" w:hAnsi="黑体" w:eastAsia="黑体" w:cs="黑体"/>
          <w:sz w:val="21"/>
          <w:szCs w:val="21"/>
        </w:rPr>
        <w:t>地址：</w:t>
      </w:r>
      <w:r>
        <w:rPr>
          <w:rFonts w:hint="eastAsia" w:ascii="黑体" w:hAnsi="黑体" w:eastAsia="黑体" w:cs="黑体"/>
          <w:sz w:val="21"/>
          <w:szCs w:val="21"/>
          <w:u w:val="single"/>
        </w:rPr>
        <w:t>广东省东莞市清溪医院香芒中路6号</w:t>
      </w:r>
      <w:r>
        <w:rPr>
          <w:rFonts w:hint="eastAsia" w:ascii="黑体" w:hAnsi="黑体" w:eastAsia="黑体" w:cs="黑体"/>
          <w:sz w:val="21"/>
          <w:szCs w:val="21"/>
        </w:rPr>
        <w:t xml:space="preserve">       地址：</w:t>
      </w:r>
      <w:r>
        <w:rPr>
          <w:rFonts w:hint="eastAsia" w:ascii="黑体" w:hAnsi="黑体" w:eastAsia="黑体" w:cs="黑体"/>
          <w:sz w:val="21"/>
          <w:szCs w:val="21"/>
          <w:u w:val="single"/>
        </w:rPr>
        <w:t xml:space="preserve">                                        </w:t>
      </w:r>
    </w:p>
    <w:p w14:paraId="6AE3E791">
      <w:pPr>
        <w:keepNext w:val="0"/>
        <w:keepLines w:val="0"/>
        <w:pageBreakBefore w:val="0"/>
        <w:widowControl w:val="0"/>
        <w:kinsoku/>
        <w:wordWrap/>
        <w:overflowPunct/>
        <w:topLinePunct w:val="0"/>
        <w:autoSpaceDE/>
        <w:autoSpaceDN/>
        <w:bidi w:val="0"/>
        <w:adjustRightInd/>
        <w:snapToGrid/>
        <w:spacing w:line="360" w:lineRule="auto"/>
        <w:ind w:left="4830" w:hanging="4830" w:hangingChars="2300"/>
        <w:textAlignment w:val="auto"/>
        <w:rPr>
          <w:rFonts w:hint="eastAsia" w:ascii="黑体" w:hAnsi="黑体" w:eastAsia="黑体" w:cs="黑体"/>
          <w:sz w:val="21"/>
          <w:szCs w:val="21"/>
          <w:u w:val="single"/>
        </w:rPr>
      </w:pPr>
      <w:r>
        <w:rPr>
          <w:rFonts w:hint="eastAsia" w:ascii="黑体" w:hAnsi="黑体" w:eastAsia="黑体" w:cs="黑体"/>
          <w:sz w:val="21"/>
          <w:szCs w:val="21"/>
        </w:rPr>
        <w:t>法定代表人：</w:t>
      </w:r>
      <w:r>
        <w:rPr>
          <w:rFonts w:hint="eastAsia" w:ascii="黑体" w:hAnsi="黑体" w:eastAsia="黑体" w:cs="黑体"/>
          <w:sz w:val="21"/>
          <w:szCs w:val="21"/>
          <w:u w:val="single"/>
        </w:rPr>
        <w:t xml:space="preserve">                         </w:t>
      </w:r>
      <w:r>
        <w:rPr>
          <w:rFonts w:hint="eastAsia" w:ascii="黑体" w:hAnsi="黑体" w:eastAsia="黑体" w:cs="黑体"/>
          <w:sz w:val="21"/>
          <w:szCs w:val="21"/>
        </w:rPr>
        <w:t xml:space="preserve">        法定代表人：</w:t>
      </w:r>
      <w:r>
        <w:rPr>
          <w:rFonts w:hint="eastAsia" w:ascii="黑体" w:hAnsi="黑体" w:eastAsia="黑体" w:cs="黑体"/>
          <w:sz w:val="21"/>
          <w:szCs w:val="21"/>
          <w:u w:val="single"/>
        </w:rPr>
        <w:t xml:space="preserve">                                   </w:t>
      </w:r>
    </w:p>
    <w:p w14:paraId="0816C06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u w:val="single"/>
        </w:rPr>
      </w:pPr>
      <w:r>
        <w:rPr>
          <w:rFonts w:hint="eastAsia" w:ascii="黑体" w:hAnsi="黑体" w:eastAsia="黑体" w:cs="黑体"/>
          <w:sz w:val="21"/>
          <w:szCs w:val="21"/>
        </w:rPr>
        <w:t>委托代表人：</w:t>
      </w:r>
      <w:r>
        <w:rPr>
          <w:rFonts w:hint="eastAsia" w:ascii="黑体" w:hAnsi="黑体" w:eastAsia="黑体" w:cs="黑体"/>
          <w:sz w:val="21"/>
          <w:szCs w:val="21"/>
          <w:u w:val="single"/>
        </w:rPr>
        <w:t xml:space="preserve">                         </w:t>
      </w:r>
      <w:r>
        <w:rPr>
          <w:rFonts w:hint="eastAsia" w:ascii="黑体" w:hAnsi="黑体" w:eastAsia="黑体" w:cs="黑体"/>
          <w:sz w:val="21"/>
          <w:szCs w:val="21"/>
        </w:rPr>
        <w:t xml:space="preserve">        委托代表人：</w:t>
      </w:r>
      <w:r>
        <w:rPr>
          <w:rFonts w:hint="eastAsia" w:ascii="黑体" w:hAnsi="黑体" w:eastAsia="黑体" w:cs="黑体"/>
          <w:sz w:val="21"/>
          <w:szCs w:val="21"/>
          <w:u w:val="single"/>
        </w:rPr>
        <w:t xml:space="preserve">                                   </w:t>
      </w:r>
    </w:p>
    <w:p w14:paraId="01DB0E8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u w:val="single"/>
        </w:rPr>
      </w:pPr>
      <w:r>
        <w:rPr>
          <w:rFonts w:hint="eastAsia" w:ascii="黑体" w:hAnsi="黑体" w:eastAsia="黑体" w:cs="黑体"/>
          <w:sz w:val="21"/>
          <w:szCs w:val="21"/>
        </w:rPr>
        <w:t>电话：</w:t>
      </w:r>
      <w:r>
        <w:rPr>
          <w:rFonts w:hint="eastAsia" w:ascii="黑体" w:hAnsi="黑体" w:eastAsia="黑体" w:cs="黑体"/>
          <w:sz w:val="21"/>
          <w:szCs w:val="21"/>
          <w:u w:val="single"/>
        </w:rPr>
        <w:t xml:space="preserve">0769-38828817         </w:t>
      </w:r>
      <w:r>
        <w:rPr>
          <w:rFonts w:hint="eastAsia" w:ascii="黑体" w:hAnsi="黑体" w:eastAsia="黑体" w:cs="黑体"/>
          <w:sz w:val="21"/>
          <w:szCs w:val="21"/>
        </w:rPr>
        <w:t xml:space="preserve">                 电话：</w:t>
      </w:r>
      <w:r>
        <w:rPr>
          <w:rFonts w:hint="eastAsia" w:ascii="黑体" w:hAnsi="黑体" w:eastAsia="黑体" w:cs="黑体"/>
          <w:sz w:val="21"/>
          <w:szCs w:val="21"/>
          <w:u w:val="single"/>
        </w:rPr>
        <w:t xml:space="preserve">                            </w:t>
      </w:r>
    </w:p>
    <w:p w14:paraId="17CDF6D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u w:val="single"/>
        </w:rPr>
      </w:pPr>
      <w:r>
        <w:rPr>
          <w:rFonts w:hint="eastAsia" w:ascii="黑体" w:hAnsi="黑体" w:eastAsia="黑体" w:cs="黑体"/>
          <w:sz w:val="21"/>
          <w:szCs w:val="21"/>
        </w:rPr>
        <w:t>传真：</w:t>
      </w:r>
      <w:r>
        <w:rPr>
          <w:rFonts w:hint="eastAsia" w:ascii="黑体" w:hAnsi="黑体" w:eastAsia="黑体" w:cs="黑体"/>
          <w:sz w:val="21"/>
          <w:szCs w:val="21"/>
          <w:u w:val="single"/>
        </w:rPr>
        <w:t xml:space="preserve">0769-38828850                </w:t>
      </w:r>
      <w:r>
        <w:rPr>
          <w:rFonts w:hint="eastAsia" w:ascii="黑体" w:hAnsi="黑体" w:eastAsia="黑体" w:cs="黑体"/>
          <w:sz w:val="21"/>
          <w:szCs w:val="21"/>
        </w:rPr>
        <w:t xml:space="preserve">          传真：</w:t>
      </w:r>
      <w:r>
        <w:rPr>
          <w:rFonts w:hint="eastAsia" w:ascii="黑体" w:hAnsi="黑体" w:eastAsia="黑体" w:cs="黑体"/>
          <w:sz w:val="21"/>
          <w:szCs w:val="21"/>
          <w:u w:val="single"/>
        </w:rPr>
        <w:t xml:space="preserve">                                        </w:t>
      </w:r>
    </w:p>
    <w:p w14:paraId="2BC8B45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签约时间：</w:t>
      </w:r>
      <w:r>
        <w:rPr>
          <w:rFonts w:hint="eastAsia" w:ascii="黑体" w:hAnsi="黑体" w:eastAsia="黑体" w:cs="黑体"/>
          <w:sz w:val="21"/>
          <w:szCs w:val="21"/>
          <w:u w:val="single"/>
        </w:rPr>
        <w:t xml:space="preserve">          </w:t>
      </w:r>
      <w:r>
        <w:rPr>
          <w:rFonts w:hint="eastAsia" w:ascii="黑体" w:hAnsi="黑体" w:eastAsia="黑体" w:cs="黑体"/>
          <w:sz w:val="21"/>
          <w:szCs w:val="21"/>
        </w:rPr>
        <w:t>年</w:t>
      </w:r>
      <w:r>
        <w:rPr>
          <w:rFonts w:hint="eastAsia" w:ascii="黑体" w:hAnsi="黑体" w:eastAsia="黑体" w:cs="黑体"/>
          <w:sz w:val="21"/>
          <w:szCs w:val="21"/>
          <w:u w:val="single"/>
        </w:rPr>
        <w:t xml:space="preserve">      </w:t>
      </w:r>
      <w:r>
        <w:rPr>
          <w:rFonts w:hint="eastAsia" w:ascii="黑体" w:hAnsi="黑体" w:eastAsia="黑体" w:cs="黑体"/>
          <w:sz w:val="21"/>
          <w:szCs w:val="21"/>
        </w:rPr>
        <w:t>月</w:t>
      </w:r>
      <w:r>
        <w:rPr>
          <w:rFonts w:hint="eastAsia" w:ascii="黑体" w:hAnsi="黑体" w:eastAsia="黑体" w:cs="黑体"/>
          <w:sz w:val="21"/>
          <w:szCs w:val="21"/>
          <w:u w:val="single"/>
        </w:rPr>
        <w:t xml:space="preserve">     </w:t>
      </w:r>
      <w:r>
        <w:rPr>
          <w:rFonts w:hint="eastAsia" w:ascii="黑体" w:hAnsi="黑体" w:eastAsia="黑体" w:cs="黑体"/>
          <w:sz w:val="21"/>
          <w:szCs w:val="21"/>
        </w:rPr>
        <w:t>日        开户银行：</w:t>
      </w:r>
      <w:r>
        <w:rPr>
          <w:rFonts w:hint="eastAsia" w:ascii="黑体" w:hAnsi="黑体" w:eastAsia="黑体" w:cs="黑体"/>
          <w:sz w:val="21"/>
          <w:szCs w:val="21"/>
          <w:u w:val="single"/>
        </w:rPr>
        <w:t xml:space="preserve">                                   </w:t>
      </w:r>
      <w:r>
        <w:rPr>
          <w:rFonts w:hint="eastAsia" w:ascii="黑体" w:hAnsi="黑体" w:eastAsia="黑体" w:cs="黑体"/>
          <w:sz w:val="21"/>
          <w:szCs w:val="21"/>
        </w:rPr>
        <w:t xml:space="preserve">                                </w:t>
      </w:r>
    </w:p>
    <w:p w14:paraId="42F42C3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u w:val="single"/>
        </w:rPr>
      </w:pPr>
      <w:r>
        <w:rPr>
          <w:rFonts w:hint="eastAsia" w:ascii="黑体" w:hAnsi="黑体" w:eastAsia="黑体" w:cs="黑体"/>
          <w:sz w:val="21"/>
          <w:szCs w:val="21"/>
        </w:rPr>
        <w:t xml:space="preserve">                                             账号：       </w:t>
      </w:r>
      <w:r>
        <w:rPr>
          <w:rFonts w:hint="eastAsia" w:ascii="黑体" w:hAnsi="黑体" w:eastAsia="黑体" w:cs="黑体"/>
          <w:sz w:val="21"/>
          <w:szCs w:val="21"/>
          <w:u w:val="single"/>
        </w:rPr>
        <w:t xml:space="preserve">                                </w:t>
      </w:r>
    </w:p>
    <w:p w14:paraId="1D9F439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sz w:val="21"/>
          <w:szCs w:val="21"/>
        </w:rPr>
      </w:pPr>
      <w:r>
        <w:rPr>
          <w:rFonts w:hint="eastAsia" w:ascii="黑体" w:hAnsi="黑体" w:eastAsia="黑体" w:cs="黑体"/>
          <w:sz w:val="21"/>
          <w:szCs w:val="21"/>
        </w:rPr>
        <w:t xml:space="preserve">                                  签约时间：</w:t>
      </w:r>
      <w:r>
        <w:rPr>
          <w:rFonts w:hint="eastAsia" w:ascii="黑体" w:hAnsi="黑体" w:eastAsia="黑体" w:cs="黑体"/>
          <w:sz w:val="21"/>
          <w:szCs w:val="21"/>
          <w:u w:val="single"/>
        </w:rPr>
        <w:t xml:space="preserve">         </w:t>
      </w:r>
      <w:r>
        <w:rPr>
          <w:rFonts w:hint="eastAsia" w:ascii="黑体" w:hAnsi="黑体" w:eastAsia="黑体" w:cs="黑体"/>
          <w:sz w:val="21"/>
          <w:szCs w:val="21"/>
        </w:rPr>
        <w:t>年</w:t>
      </w:r>
      <w:r>
        <w:rPr>
          <w:rFonts w:hint="eastAsia" w:ascii="黑体" w:hAnsi="黑体" w:eastAsia="黑体" w:cs="黑体"/>
          <w:sz w:val="21"/>
          <w:szCs w:val="21"/>
          <w:u w:val="single"/>
        </w:rPr>
        <w:t xml:space="preserve">      </w:t>
      </w:r>
      <w:r>
        <w:rPr>
          <w:rFonts w:hint="eastAsia" w:ascii="黑体" w:hAnsi="黑体" w:eastAsia="黑体" w:cs="黑体"/>
          <w:sz w:val="21"/>
          <w:szCs w:val="21"/>
        </w:rPr>
        <w:t>月</w:t>
      </w:r>
      <w:r>
        <w:rPr>
          <w:rFonts w:hint="eastAsia" w:ascii="黑体" w:hAnsi="黑体" w:eastAsia="黑体" w:cs="黑体"/>
          <w:sz w:val="21"/>
          <w:szCs w:val="21"/>
          <w:u w:val="single"/>
        </w:rPr>
        <w:t xml:space="preserve">      </w:t>
      </w:r>
      <w:r>
        <w:rPr>
          <w:rFonts w:hint="eastAsia" w:ascii="黑体" w:hAnsi="黑体" w:eastAsia="黑体" w:cs="黑体"/>
          <w:sz w:val="21"/>
          <w:szCs w:val="21"/>
        </w:rPr>
        <w:t>日</w:t>
      </w:r>
    </w:p>
    <w:p w14:paraId="7D1C6219">
      <w:pPr>
        <w:spacing w:line="360" w:lineRule="auto"/>
        <w:rPr>
          <w:rFonts w:hint="eastAsia" w:ascii="宋体" w:hAnsi="宋体"/>
          <w:sz w:val="28"/>
          <w:szCs w:val="28"/>
        </w:rPr>
      </w:pPr>
      <w:r>
        <w:rPr>
          <w:rFonts w:hint="eastAsia" w:ascii="宋体" w:hAnsi="宋体"/>
          <w:sz w:val="28"/>
          <w:szCs w:val="28"/>
        </w:rPr>
        <w:t xml:space="preserve">   </w:t>
      </w:r>
    </w:p>
    <w:p w14:paraId="1893AE92">
      <w:pPr>
        <w:spacing w:line="360" w:lineRule="auto"/>
        <w:rPr>
          <w:rFonts w:hint="eastAsia" w:ascii="宋体" w:hAnsi="宋体"/>
          <w:sz w:val="28"/>
          <w:szCs w:val="28"/>
        </w:rPr>
      </w:pPr>
    </w:p>
    <w:p w14:paraId="3461D9D8">
      <w:pPr>
        <w:spacing w:line="360" w:lineRule="auto"/>
        <w:rPr>
          <w:rFonts w:hint="eastAsia" w:ascii="宋体" w:hAnsi="宋体"/>
          <w:sz w:val="28"/>
          <w:szCs w:val="28"/>
        </w:rPr>
      </w:pPr>
    </w:p>
    <w:p w14:paraId="7148C4CF">
      <w:pPr>
        <w:spacing w:line="360" w:lineRule="auto"/>
        <w:rPr>
          <w:rFonts w:hint="eastAsia" w:ascii="宋体" w:hAnsi="宋体"/>
          <w:sz w:val="28"/>
          <w:szCs w:val="28"/>
        </w:rPr>
      </w:pPr>
    </w:p>
    <w:p w14:paraId="47CD7BCB">
      <w:pPr>
        <w:spacing w:line="360" w:lineRule="auto"/>
        <w:rPr>
          <w:rFonts w:hint="eastAsia" w:ascii="宋体" w:hAnsi="宋体"/>
          <w:sz w:val="28"/>
          <w:szCs w:val="28"/>
        </w:rPr>
      </w:pPr>
    </w:p>
    <w:p w14:paraId="4DB45D79">
      <w:pPr>
        <w:spacing w:line="360" w:lineRule="auto"/>
        <w:rPr>
          <w:rFonts w:hint="eastAsia" w:ascii="宋体" w:hAnsi="宋体"/>
          <w:sz w:val="28"/>
          <w:szCs w:val="28"/>
        </w:rPr>
      </w:pPr>
    </w:p>
    <w:p w14:paraId="4901BFA8">
      <w:pPr>
        <w:pStyle w:val="2"/>
        <w:rPr>
          <w:rFonts w:hint="eastAsia"/>
        </w:rPr>
      </w:pPr>
    </w:p>
    <w:p w14:paraId="6475F423">
      <w:pPr>
        <w:rPr>
          <w:rFonts w:hint="eastAsia"/>
        </w:rPr>
      </w:pPr>
    </w:p>
    <w:p w14:paraId="1A209811">
      <w:pPr>
        <w:pStyle w:val="2"/>
        <w:rPr>
          <w:rFonts w:hint="eastAsia"/>
        </w:rPr>
      </w:pPr>
    </w:p>
    <w:p w14:paraId="3902A336">
      <w:pPr>
        <w:spacing w:line="360" w:lineRule="auto"/>
        <w:jc w:val="center"/>
        <w:rPr>
          <w:rFonts w:hint="eastAsia" w:ascii="黑体" w:hAnsi="黑体" w:eastAsia="黑体" w:cs="黑体"/>
          <w:b/>
          <w:bCs/>
          <w:sz w:val="21"/>
          <w:szCs w:val="21"/>
        </w:rPr>
      </w:pPr>
      <w:r>
        <w:rPr>
          <w:rFonts w:hint="eastAsia" w:ascii="黑体" w:hAnsi="黑体" w:eastAsia="黑体" w:cs="黑体"/>
          <w:b/>
          <w:bCs/>
          <w:sz w:val="21"/>
          <w:szCs w:val="21"/>
        </w:rPr>
        <w:t>附件1、设备配置清单</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6"/>
        <w:gridCol w:w="2618"/>
        <w:gridCol w:w="1719"/>
        <w:gridCol w:w="1350"/>
        <w:gridCol w:w="1344"/>
      </w:tblGrid>
      <w:tr w14:paraId="293F4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noWrap w:val="0"/>
            <w:vAlign w:val="center"/>
          </w:tcPr>
          <w:p w14:paraId="49455E8B">
            <w:pPr>
              <w:jc w:val="center"/>
              <w:textAlignment w:val="baseline"/>
              <w:rPr>
                <w:rFonts w:hint="eastAsia" w:ascii="黑体" w:hAnsi="黑体" w:eastAsia="黑体" w:cs="黑体"/>
                <w:sz w:val="21"/>
                <w:szCs w:val="21"/>
              </w:rPr>
            </w:pPr>
            <w:r>
              <w:rPr>
                <w:rStyle w:val="63"/>
                <w:rFonts w:hint="eastAsia" w:ascii="黑体" w:hAnsi="黑体" w:eastAsia="黑体" w:cs="黑体"/>
                <w:kern w:val="2"/>
                <w:sz w:val="21"/>
                <w:szCs w:val="21"/>
              </w:rPr>
              <w:t>序号</w:t>
            </w:r>
          </w:p>
        </w:tc>
        <w:tc>
          <w:tcPr>
            <w:tcW w:w="2977" w:type="dxa"/>
            <w:noWrap w:val="0"/>
            <w:vAlign w:val="center"/>
          </w:tcPr>
          <w:p w14:paraId="3959DCED">
            <w:pPr>
              <w:jc w:val="center"/>
              <w:textAlignment w:val="baseline"/>
              <w:rPr>
                <w:rFonts w:hint="eastAsia" w:ascii="黑体" w:hAnsi="黑体" w:eastAsia="黑体" w:cs="黑体"/>
                <w:sz w:val="21"/>
                <w:szCs w:val="21"/>
              </w:rPr>
            </w:pPr>
            <w:r>
              <w:rPr>
                <w:rStyle w:val="63"/>
                <w:rFonts w:hint="eastAsia" w:ascii="黑体" w:hAnsi="黑体" w:eastAsia="黑体" w:cs="黑体"/>
                <w:kern w:val="2"/>
                <w:sz w:val="21"/>
                <w:szCs w:val="21"/>
              </w:rPr>
              <w:t>主机及配件名称</w:t>
            </w:r>
          </w:p>
        </w:tc>
        <w:tc>
          <w:tcPr>
            <w:tcW w:w="1931" w:type="dxa"/>
            <w:noWrap w:val="0"/>
            <w:vAlign w:val="top"/>
          </w:tcPr>
          <w:p w14:paraId="435676F3">
            <w:pPr>
              <w:jc w:val="center"/>
              <w:textAlignment w:val="baseline"/>
              <w:rPr>
                <w:rStyle w:val="63"/>
                <w:rFonts w:hint="eastAsia" w:ascii="黑体" w:hAnsi="黑体" w:eastAsia="黑体" w:cs="黑体"/>
                <w:kern w:val="2"/>
                <w:sz w:val="21"/>
                <w:szCs w:val="21"/>
              </w:rPr>
            </w:pPr>
            <w:r>
              <w:rPr>
                <w:rStyle w:val="63"/>
                <w:rFonts w:hint="eastAsia" w:ascii="黑体" w:hAnsi="黑体" w:eastAsia="黑体" w:cs="黑体"/>
                <w:kern w:val="2"/>
                <w:sz w:val="21"/>
                <w:szCs w:val="21"/>
              </w:rPr>
              <w:t>规格型号</w:t>
            </w:r>
          </w:p>
        </w:tc>
        <w:tc>
          <w:tcPr>
            <w:tcW w:w="1501" w:type="dxa"/>
            <w:noWrap w:val="0"/>
            <w:vAlign w:val="center"/>
          </w:tcPr>
          <w:p w14:paraId="2AAA4003">
            <w:pPr>
              <w:jc w:val="center"/>
              <w:textAlignment w:val="baseline"/>
              <w:rPr>
                <w:rFonts w:hint="eastAsia" w:ascii="黑体" w:hAnsi="黑体" w:eastAsia="黑体" w:cs="黑体"/>
                <w:sz w:val="21"/>
                <w:szCs w:val="21"/>
              </w:rPr>
            </w:pPr>
            <w:r>
              <w:rPr>
                <w:rStyle w:val="63"/>
                <w:rFonts w:hint="eastAsia" w:ascii="黑体" w:hAnsi="黑体" w:eastAsia="黑体" w:cs="黑体"/>
                <w:kern w:val="2"/>
                <w:sz w:val="21"/>
                <w:szCs w:val="21"/>
              </w:rPr>
              <w:t>数量</w:t>
            </w:r>
          </w:p>
        </w:tc>
        <w:tc>
          <w:tcPr>
            <w:tcW w:w="1494" w:type="dxa"/>
            <w:noWrap w:val="0"/>
            <w:vAlign w:val="top"/>
          </w:tcPr>
          <w:p w14:paraId="282E1916">
            <w:pPr>
              <w:jc w:val="center"/>
              <w:textAlignment w:val="baseline"/>
              <w:rPr>
                <w:rStyle w:val="63"/>
                <w:rFonts w:hint="eastAsia" w:ascii="黑体" w:hAnsi="黑体" w:eastAsia="黑体" w:cs="黑体"/>
                <w:kern w:val="2"/>
                <w:sz w:val="21"/>
                <w:szCs w:val="21"/>
              </w:rPr>
            </w:pPr>
            <w:r>
              <w:rPr>
                <w:rStyle w:val="63"/>
                <w:rFonts w:hint="eastAsia" w:ascii="黑体" w:hAnsi="黑体" w:eastAsia="黑体" w:cs="黑体"/>
                <w:kern w:val="2"/>
                <w:sz w:val="21"/>
                <w:szCs w:val="21"/>
              </w:rPr>
              <w:t>单位</w:t>
            </w:r>
          </w:p>
        </w:tc>
      </w:tr>
      <w:tr w14:paraId="7DFC5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noWrap w:val="0"/>
            <w:vAlign w:val="center"/>
          </w:tcPr>
          <w:p w14:paraId="7DAF04EE">
            <w:pPr>
              <w:jc w:val="center"/>
              <w:textAlignment w:val="baseline"/>
              <w:rPr>
                <w:rFonts w:hint="eastAsia" w:ascii="黑体" w:hAnsi="黑体" w:eastAsia="黑体" w:cs="黑体"/>
                <w:sz w:val="21"/>
                <w:szCs w:val="21"/>
              </w:rPr>
            </w:pPr>
            <w:r>
              <w:rPr>
                <w:rStyle w:val="63"/>
                <w:rFonts w:hint="eastAsia" w:ascii="黑体" w:hAnsi="黑体" w:eastAsia="黑体" w:cs="黑体"/>
                <w:kern w:val="2"/>
                <w:sz w:val="21"/>
                <w:szCs w:val="21"/>
              </w:rPr>
              <w:t>1</w:t>
            </w:r>
          </w:p>
        </w:tc>
        <w:tc>
          <w:tcPr>
            <w:tcW w:w="2977" w:type="dxa"/>
            <w:noWrap w:val="0"/>
            <w:vAlign w:val="center"/>
          </w:tcPr>
          <w:p w14:paraId="1B5A7F9E">
            <w:pPr>
              <w:jc w:val="center"/>
              <w:textAlignment w:val="baseline"/>
              <w:rPr>
                <w:rFonts w:hint="eastAsia" w:ascii="黑体" w:hAnsi="黑体" w:eastAsia="黑体" w:cs="黑体"/>
                <w:sz w:val="21"/>
                <w:szCs w:val="21"/>
              </w:rPr>
            </w:pPr>
          </w:p>
        </w:tc>
        <w:tc>
          <w:tcPr>
            <w:tcW w:w="1931" w:type="dxa"/>
            <w:noWrap w:val="0"/>
            <w:vAlign w:val="top"/>
          </w:tcPr>
          <w:p w14:paraId="18A34F7B">
            <w:pPr>
              <w:jc w:val="center"/>
              <w:textAlignment w:val="baseline"/>
              <w:rPr>
                <w:rFonts w:hint="eastAsia" w:ascii="黑体" w:hAnsi="黑体" w:eastAsia="黑体" w:cs="黑体"/>
                <w:sz w:val="21"/>
                <w:szCs w:val="21"/>
              </w:rPr>
            </w:pPr>
          </w:p>
        </w:tc>
        <w:tc>
          <w:tcPr>
            <w:tcW w:w="1501" w:type="dxa"/>
            <w:noWrap w:val="0"/>
            <w:vAlign w:val="center"/>
          </w:tcPr>
          <w:p w14:paraId="5509077B">
            <w:pPr>
              <w:jc w:val="center"/>
              <w:textAlignment w:val="baseline"/>
              <w:rPr>
                <w:rFonts w:hint="eastAsia" w:ascii="黑体" w:hAnsi="黑体" w:eastAsia="黑体" w:cs="黑体"/>
                <w:sz w:val="21"/>
                <w:szCs w:val="21"/>
              </w:rPr>
            </w:pPr>
          </w:p>
        </w:tc>
        <w:tc>
          <w:tcPr>
            <w:tcW w:w="1494" w:type="dxa"/>
            <w:noWrap w:val="0"/>
            <w:vAlign w:val="top"/>
          </w:tcPr>
          <w:p w14:paraId="1566D216">
            <w:pPr>
              <w:jc w:val="center"/>
              <w:textAlignment w:val="baseline"/>
              <w:rPr>
                <w:rFonts w:hint="eastAsia" w:ascii="黑体" w:hAnsi="黑体" w:eastAsia="黑体" w:cs="黑体"/>
                <w:sz w:val="21"/>
                <w:szCs w:val="21"/>
              </w:rPr>
            </w:pPr>
          </w:p>
        </w:tc>
      </w:tr>
      <w:tr w14:paraId="6B356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noWrap w:val="0"/>
            <w:vAlign w:val="center"/>
          </w:tcPr>
          <w:p w14:paraId="5BDAB765">
            <w:pPr>
              <w:jc w:val="center"/>
              <w:textAlignment w:val="baseline"/>
              <w:rPr>
                <w:rFonts w:hint="eastAsia" w:ascii="黑体" w:hAnsi="黑体" w:eastAsia="黑体" w:cs="黑体"/>
                <w:sz w:val="21"/>
                <w:szCs w:val="21"/>
              </w:rPr>
            </w:pPr>
            <w:r>
              <w:rPr>
                <w:rStyle w:val="63"/>
                <w:rFonts w:hint="eastAsia" w:ascii="黑体" w:hAnsi="黑体" w:eastAsia="黑体" w:cs="黑体"/>
                <w:kern w:val="2"/>
                <w:sz w:val="21"/>
                <w:szCs w:val="21"/>
              </w:rPr>
              <w:t>2</w:t>
            </w:r>
          </w:p>
        </w:tc>
        <w:tc>
          <w:tcPr>
            <w:tcW w:w="2977" w:type="dxa"/>
            <w:noWrap w:val="0"/>
            <w:vAlign w:val="center"/>
          </w:tcPr>
          <w:p w14:paraId="78FC0BA8">
            <w:pPr>
              <w:jc w:val="center"/>
              <w:textAlignment w:val="baseline"/>
              <w:rPr>
                <w:rFonts w:hint="eastAsia" w:ascii="黑体" w:hAnsi="黑体" w:eastAsia="黑体" w:cs="黑体"/>
                <w:sz w:val="21"/>
                <w:szCs w:val="21"/>
              </w:rPr>
            </w:pPr>
          </w:p>
        </w:tc>
        <w:tc>
          <w:tcPr>
            <w:tcW w:w="1931" w:type="dxa"/>
            <w:noWrap w:val="0"/>
            <w:vAlign w:val="top"/>
          </w:tcPr>
          <w:p w14:paraId="18786A79">
            <w:pPr>
              <w:jc w:val="center"/>
              <w:textAlignment w:val="baseline"/>
              <w:rPr>
                <w:rFonts w:hint="eastAsia" w:ascii="黑体" w:hAnsi="黑体" w:eastAsia="黑体" w:cs="黑体"/>
                <w:sz w:val="21"/>
                <w:szCs w:val="21"/>
              </w:rPr>
            </w:pPr>
          </w:p>
        </w:tc>
        <w:tc>
          <w:tcPr>
            <w:tcW w:w="1501" w:type="dxa"/>
            <w:noWrap w:val="0"/>
            <w:vAlign w:val="center"/>
          </w:tcPr>
          <w:p w14:paraId="2D88284D">
            <w:pPr>
              <w:jc w:val="center"/>
              <w:textAlignment w:val="baseline"/>
              <w:rPr>
                <w:rFonts w:hint="eastAsia" w:ascii="黑体" w:hAnsi="黑体" w:eastAsia="黑体" w:cs="黑体"/>
                <w:sz w:val="21"/>
                <w:szCs w:val="21"/>
              </w:rPr>
            </w:pPr>
          </w:p>
        </w:tc>
        <w:tc>
          <w:tcPr>
            <w:tcW w:w="1494" w:type="dxa"/>
            <w:noWrap w:val="0"/>
            <w:vAlign w:val="top"/>
          </w:tcPr>
          <w:p w14:paraId="6E22F46B">
            <w:pPr>
              <w:jc w:val="center"/>
              <w:textAlignment w:val="baseline"/>
              <w:rPr>
                <w:rFonts w:hint="eastAsia" w:ascii="黑体" w:hAnsi="黑体" w:eastAsia="黑体" w:cs="黑体"/>
                <w:sz w:val="21"/>
                <w:szCs w:val="21"/>
              </w:rPr>
            </w:pPr>
          </w:p>
        </w:tc>
      </w:tr>
      <w:tr w14:paraId="222A5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noWrap w:val="0"/>
            <w:vAlign w:val="center"/>
          </w:tcPr>
          <w:p w14:paraId="44421CEF">
            <w:pPr>
              <w:jc w:val="center"/>
              <w:textAlignment w:val="baseline"/>
              <w:rPr>
                <w:rFonts w:hint="eastAsia" w:ascii="黑体" w:hAnsi="黑体" w:eastAsia="黑体" w:cs="黑体"/>
                <w:sz w:val="21"/>
                <w:szCs w:val="21"/>
              </w:rPr>
            </w:pPr>
            <w:r>
              <w:rPr>
                <w:rStyle w:val="63"/>
                <w:rFonts w:hint="eastAsia" w:ascii="黑体" w:hAnsi="黑体" w:eastAsia="黑体" w:cs="黑体"/>
                <w:kern w:val="2"/>
                <w:sz w:val="21"/>
                <w:szCs w:val="21"/>
              </w:rPr>
              <w:t>3</w:t>
            </w:r>
          </w:p>
        </w:tc>
        <w:tc>
          <w:tcPr>
            <w:tcW w:w="2977" w:type="dxa"/>
            <w:noWrap w:val="0"/>
            <w:vAlign w:val="center"/>
          </w:tcPr>
          <w:p w14:paraId="7BAD3AFF">
            <w:pPr>
              <w:jc w:val="center"/>
              <w:textAlignment w:val="baseline"/>
              <w:rPr>
                <w:rFonts w:hint="eastAsia" w:ascii="黑体" w:hAnsi="黑体" w:eastAsia="黑体" w:cs="黑体"/>
                <w:sz w:val="21"/>
                <w:szCs w:val="21"/>
              </w:rPr>
            </w:pPr>
          </w:p>
        </w:tc>
        <w:tc>
          <w:tcPr>
            <w:tcW w:w="1931" w:type="dxa"/>
            <w:noWrap w:val="0"/>
            <w:vAlign w:val="top"/>
          </w:tcPr>
          <w:p w14:paraId="643585DE">
            <w:pPr>
              <w:jc w:val="center"/>
              <w:textAlignment w:val="baseline"/>
              <w:rPr>
                <w:rFonts w:hint="eastAsia" w:ascii="黑体" w:hAnsi="黑体" w:eastAsia="黑体" w:cs="黑体"/>
                <w:sz w:val="21"/>
                <w:szCs w:val="21"/>
              </w:rPr>
            </w:pPr>
          </w:p>
        </w:tc>
        <w:tc>
          <w:tcPr>
            <w:tcW w:w="1501" w:type="dxa"/>
            <w:noWrap w:val="0"/>
            <w:vAlign w:val="center"/>
          </w:tcPr>
          <w:p w14:paraId="019112E4">
            <w:pPr>
              <w:jc w:val="center"/>
              <w:textAlignment w:val="baseline"/>
              <w:rPr>
                <w:rFonts w:hint="eastAsia" w:ascii="黑体" w:hAnsi="黑体" w:eastAsia="黑体" w:cs="黑体"/>
                <w:sz w:val="21"/>
                <w:szCs w:val="21"/>
              </w:rPr>
            </w:pPr>
          </w:p>
        </w:tc>
        <w:tc>
          <w:tcPr>
            <w:tcW w:w="1494" w:type="dxa"/>
            <w:noWrap w:val="0"/>
            <w:vAlign w:val="top"/>
          </w:tcPr>
          <w:p w14:paraId="2B770262">
            <w:pPr>
              <w:jc w:val="center"/>
              <w:textAlignment w:val="baseline"/>
              <w:rPr>
                <w:rFonts w:hint="eastAsia" w:ascii="黑体" w:hAnsi="黑体" w:eastAsia="黑体" w:cs="黑体"/>
                <w:sz w:val="21"/>
                <w:szCs w:val="21"/>
              </w:rPr>
            </w:pPr>
          </w:p>
        </w:tc>
      </w:tr>
      <w:tr w14:paraId="22CB7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noWrap w:val="0"/>
            <w:vAlign w:val="center"/>
          </w:tcPr>
          <w:p w14:paraId="69335543">
            <w:pPr>
              <w:jc w:val="center"/>
              <w:textAlignment w:val="baseline"/>
              <w:rPr>
                <w:rFonts w:hint="eastAsia" w:ascii="黑体" w:hAnsi="黑体" w:eastAsia="黑体" w:cs="黑体"/>
                <w:sz w:val="21"/>
                <w:szCs w:val="21"/>
              </w:rPr>
            </w:pPr>
            <w:r>
              <w:rPr>
                <w:rStyle w:val="63"/>
                <w:rFonts w:hint="eastAsia" w:ascii="黑体" w:hAnsi="黑体" w:eastAsia="黑体" w:cs="黑体"/>
                <w:kern w:val="2"/>
                <w:sz w:val="21"/>
                <w:szCs w:val="21"/>
              </w:rPr>
              <w:t>4</w:t>
            </w:r>
          </w:p>
        </w:tc>
        <w:tc>
          <w:tcPr>
            <w:tcW w:w="2977" w:type="dxa"/>
            <w:noWrap w:val="0"/>
            <w:vAlign w:val="center"/>
          </w:tcPr>
          <w:p w14:paraId="0D584D0C">
            <w:pPr>
              <w:jc w:val="center"/>
              <w:textAlignment w:val="baseline"/>
              <w:rPr>
                <w:rFonts w:hint="eastAsia" w:ascii="黑体" w:hAnsi="黑体" w:eastAsia="黑体" w:cs="黑体"/>
                <w:sz w:val="21"/>
                <w:szCs w:val="21"/>
              </w:rPr>
            </w:pPr>
          </w:p>
        </w:tc>
        <w:tc>
          <w:tcPr>
            <w:tcW w:w="1931" w:type="dxa"/>
            <w:noWrap w:val="0"/>
            <w:vAlign w:val="top"/>
          </w:tcPr>
          <w:p w14:paraId="27C6F123">
            <w:pPr>
              <w:jc w:val="center"/>
              <w:textAlignment w:val="baseline"/>
              <w:rPr>
                <w:rFonts w:hint="eastAsia" w:ascii="黑体" w:hAnsi="黑体" w:eastAsia="黑体" w:cs="黑体"/>
                <w:sz w:val="21"/>
                <w:szCs w:val="21"/>
              </w:rPr>
            </w:pPr>
          </w:p>
        </w:tc>
        <w:tc>
          <w:tcPr>
            <w:tcW w:w="1501" w:type="dxa"/>
            <w:noWrap w:val="0"/>
            <w:vAlign w:val="center"/>
          </w:tcPr>
          <w:p w14:paraId="7E028A9F">
            <w:pPr>
              <w:jc w:val="center"/>
              <w:textAlignment w:val="baseline"/>
              <w:rPr>
                <w:rFonts w:hint="eastAsia" w:ascii="黑体" w:hAnsi="黑体" w:eastAsia="黑体" w:cs="黑体"/>
                <w:sz w:val="21"/>
                <w:szCs w:val="21"/>
              </w:rPr>
            </w:pPr>
          </w:p>
        </w:tc>
        <w:tc>
          <w:tcPr>
            <w:tcW w:w="1494" w:type="dxa"/>
            <w:noWrap w:val="0"/>
            <w:vAlign w:val="top"/>
          </w:tcPr>
          <w:p w14:paraId="573474A7">
            <w:pPr>
              <w:jc w:val="center"/>
              <w:textAlignment w:val="baseline"/>
              <w:rPr>
                <w:rFonts w:hint="eastAsia" w:ascii="黑体" w:hAnsi="黑体" w:eastAsia="黑体" w:cs="黑体"/>
                <w:sz w:val="21"/>
                <w:szCs w:val="21"/>
              </w:rPr>
            </w:pPr>
          </w:p>
        </w:tc>
      </w:tr>
      <w:tr w14:paraId="5C287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noWrap w:val="0"/>
            <w:vAlign w:val="center"/>
          </w:tcPr>
          <w:p w14:paraId="69FDD057">
            <w:pPr>
              <w:jc w:val="center"/>
              <w:textAlignment w:val="baseline"/>
              <w:rPr>
                <w:rFonts w:hint="eastAsia" w:ascii="黑体" w:hAnsi="黑体" w:eastAsia="黑体" w:cs="黑体"/>
                <w:sz w:val="21"/>
                <w:szCs w:val="21"/>
              </w:rPr>
            </w:pPr>
            <w:r>
              <w:rPr>
                <w:rStyle w:val="63"/>
                <w:rFonts w:hint="eastAsia" w:ascii="黑体" w:hAnsi="黑体" w:eastAsia="黑体" w:cs="黑体"/>
                <w:kern w:val="2"/>
                <w:sz w:val="21"/>
                <w:szCs w:val="21"/>
              </w:rPr>
              <w:t>5</w:t>
            </w:r>
          </w:p>
        </w:tc>
        <w:tc>
          <w:tcPr>
            <w:tcW w:w="2977" w:type="dxa"/>
            <w:noWrap w:val="0"/>
            <w:vAlign w:val="center"/>
          </w:tcPr>
          <w:p w14:paraId="39F1D2BF">
            <w:pPr>
              <w:jc w:val="center"/>
              <w:textAlignment w:val="baseline"/>
              <w:rPr>
                <w:rFonts w:hint="eastAsia" w:ascii="黑体" w:hAnsi="黑体" w:eastAsia="黑体" w:cs="黑体"/>
                <w:sz w:val="21"/>
                <w:szCs w:val="21"/>
              </w:rPr>
            </w:pPr>
          </w:p>
        </w:tc>
        <w:tc>
          <w:tcPr>
            <w:tcW w:w="1931" w:type="dxa"/>
            <w:noWrap w:val="0"/>
            <w:vAlign w:val="top"/>
          </w:tcPr>
          <w:p w14:paraId="42C30E9A">
            <w:pPr>
              <w:jc w:val="center"/>
              <w:textAlignment w:val="baseline"/>
              <w:rPr>
                <w:rFonts w:hint="eastAsia" w:ascii="黑体" w:hAnsi="黑体" w:eastAsia="黑体" w:cs="黑体"/>
                <w:sz w:val="21"/>
                <w:szCs w:val="21"/>
              </w:rPr>
            </w:pPr>
          </w:p>
        </w:tc>
        <w:tc>
          <w:tcPr>
            <w:tcW w:w="1501" w:type="dxa"/>
            <w:noWrap w:val="0"/>
            <w:vAlign w:val="center"/>
          </w:tcPr>
          <w:p w14:paraId="244E5C68">
            <w:pPr>
              <w:jc w:val="center"/>
              <w:textAlignment w:val="baseline"/>
              <w:rPr>
                <w:rFonts w:hint="eastAsia" w:ascii="黑体" w:hAnsi="黑体" w:eastAsia="黑体" w:cs="黑体"/>
                <w:sz w:val="21"/>
                <w:szCs w:val="21"/>
              </w:rPr>
            </w:pPr>
          </w:p>
        </w:tc>
        <w:tc>
          <w:tcPr>
            <w:tcW w:w="1494" w:type="dxa"/>
            <w:noWrap w:val="0"/>
            <w:vAlign w:val="top"/>
          </w:tcPr>
          <w:p w14:paraId="103BE724">
            <w:pPr>
              <w:jc w:val="center"/>
              <w:textAlignment w:val="baseline"/>
              <w:rPr>
                <w:rFonts w:hint="eastAsia" w:ascii="黑体" w:hAnsi="黑体" w:eastAsia="黑体" w:cs="黑体"/>
                <w:sz w:val="21"/>
                <w:szCs w:val="21"/>
              </w:rPr>
            </w:pPr>
          </w:p>
        </w:tc>
      </w:tr>
      <w:tr w14:paraId="16853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noWrap w:val="0"/>
            <w:vAlign w:val="center"/>
          </w:tcPr>
          <w:p w14:paraId="79E115B4">
            <w:pPr>
              <w:jc w:val="center"/>
              <w:textAlignment w:val="baseline"/>
              <w:rPr>
                <w:rFonts w:hint="eastAsia" w:ascii="黑体" w:hAnsi="黑体" w:eastAsia="黑体" w:cs="黑体"/>
                <w:sz w:val="21"/>
                <w:szCs w:val="21"/>
              </w:rPr>
            </w:pPr>
            <w:r>
              <w:rPr>
                <w:rStyle w:val="63"/>
                <w:rFonts w:hint="eastAsia" w:ascii="黑体" w:hAnsi="黑体" w:eastAsia="黑体" w:cs="黑体"/>
                <w:kern w:val="2"/>
                <w:sz w:val="21"/>
                <w:szCs w:val="21"/>
              </w:rPr>
              <w:t>6</w:t>
            </w:r>
          </w:p>
        </w:tc>
        <w:tc>
          <w:tcPr>
            <w:tcW w:w="2977" w:type="dxa"/>
            <w:noWrap w:val="0"/>
            <w:vAlign w:val="center"/>
          </w:tcPr>
          <w:p w14:paraId="0B0951DD">
            <w:pPr>
              <w:jc w:val="center"/>
              <w:textAlignment w:val="baseline"/>
              <w:rPr>
                <w:rFonts w:hint="eastAsia" w:ascii="黑体" w:hAnsi="黑体" w:eastAsia="黑体" w:cs="黑体"/>
                <w:sz w:val="21"/>
                <w:szCs w:val="21"/>
              </w:rPr>
            </w:pPr>
          </w:p>
        </w:tc>
        <w:tc>
          <w:tcPr>
            <w:tcW w:w="1931" w:type="dxa"/>
            <w:noWrap w:val="0"/>
            <w:vAlign w:val="top"/>
          </w:tcPr>
          <w:p w14:paraId="20D8C7B5">
            <w:pPr>
              <w:jc w:val="center"/>
              <w:textAlignment w:val="baseline"/>
              <w:rPr>
                <w:rFonts w:hint="eastAsia" w:ascii="黑体" w:hAnsi="黑体" w:eastAsia="黑体" w:cs="黑体"/>
                <w:sz w:val="21"/>
                <w:szCs w:val="21"/>
              </w:rPr>
            </w:pPr>
          </w:p>
        </w:tc>
        <w:tc>
          <w:tcPr>
            <w:tcW w:w="1501" w:type="dxa"/>
            <w:noWrap w:val="0"/>
            <w:vAlign w:val="center"/>
          </w:tcPr>
          <w:p w14:paraId="4F0EE1C6">
            <w:pPr>
              <w:jc w:val="center"/>
              <w:textAlignment w:val="baseline"/>
              <w:rPr>
                <w:rFonts w:hint="eastAsia" w:ascii="黑体" w:hAnsi="黑体" w:eastAsia="黑体" w:cs="黑体"/>
                <w:sz w:val="21"/>
                <w:szCs w:val="21"/>
              </w:rPr>
            </w:pPr>
          </w:p>
        </w:tc>
        <w:tc>
          <w:tcPr>
            <w:tcW w:w="1494" w:type="dxa"/>
            <w:noWrap w:val="0"/>
            <w:vAlign w:val="top"/>
          </w:tcPr>
          <w:p w14:paraId="3426B9D2">
            <w:pPr>
              <w:jc w:val="center"/>
              <w:textAlignment w:val="baseline"/>
              <w:rPr>
                <w:rFonts w:hint="eastAsia" w:ascii="黑体" w:hAnsi="黑体" w:eastAsia="黑体" w:cs="黑体"/>
                <w:sz w:val="21"/>
                <w:szCs w:val="21"/>
              </w:rPr>
            </w:pPr>
          </w:p>
        </w:tc>
      </w:tr>
      <w:tr w14:paraId="216B0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noWrap w:val="0"/>
            <w:vAlign w:val="center"/>
          </w:tcPr>
          <w:p w14:paraId="5465415F">
            <w:pPr>
              <w:jc w:val="center"/>
              <w:textAlignment w:val="baseline"/>
              <w:rPr>
                <w:rFonts w:hint="eastAsia" w:ascii="黑体" w:hAnsi="黑体" w:eastAsia="黑体" w:cs="黑体"/>
                <w:sz w:val="21"/>
                <w:szCs w:val="21"/>
              </w:rPr>
            </w:pPr>
            <w:r>
              <w:rPr>
                <w:rStyle w:val="63"/>
                <w:rFonts w:hint="eastAsia" w:ascii="黑体" w:hAnsi="黑体" w:eastAsia="黑体" w:cs="黑体"/>
                <w:kern w:val="2"/>
                <w:sz w:val="21"/>
                <w:szCs w:val="21"/>
              </w:rPr>
              <w:t>7</w:t>
            </w:r>
          </w:p>
        </w:tc>
        <w:tc>
          <w:tcPr>
            <w:tcW w:w="2977" w:type="dxa"/>
            <w:noWrap w:val="0"/>
            <w:vAlign w:val="center"/>
          </w:tcPr>
          <w:p w14:paraId="6DF4CCBC">
            <w:pPr>
              <w:jc w:val="center"/>
              <w:textAlignment w:val="baseline"/>
              <w:rPr>
                <w:rFonts w:hint="eastAsia" w:ascii="黑体" w:hAnsi="黑体" w:eastAsia="黑体" w:cs="黑体"/>
                <w:sz w:val="21"/>
                <w:szCs w:val="21"/>
              </w:rPr>
            </w:pPr>
          </w:p>
        </w:tc>
        <w:tc>
          <w:tcPr>
            <w:tcW w:w="1931" w:type="dxa"/>
            <w:noWrap w:val="0"/>
            <w:vAlign w:val="top"/>
          </w:tcPr>
          <w:p w14:paraId="13CB4531">
            <w:pPr>
              <w:jc w:val="center"/>
              <w:textAlignment w:val="baseline"/>
              <w:rPr>
                <w:rFonts w:hint="eastAsia" w:ascii="黑体" w:hAnsi="黑体" w:eastAsia="黑体" w:cs="黑体"/>
                <w:sz w:val="21"/>
                <w:szCs w:val="21"/>
              </w:rPr>
            </w:pPr>
          </w:p>
        </w:tc>
        <w:tc>
          <w:tcPr>
            <w:tcW w:w="1501" w:type="dxa"/>
            <w:noWrap w:val="0"/>
            <w:vAlign w:val="center"/>
          </w:tcPr>
          <w:p w14:paraId="2D92040F">
            <w:pPr>
              <w:jc w:val="center"/>
              <w:textAlignment w:val="baseline"/>
              <w:rPr>
                <w:rFonts w:hint="eastAsia" w:ascii="黑体" w:hAnsi="黑体" w:eastAsia="黑体" w:cs="黑体"/>
                <w:sz w:val="21"/>
                <w:szCs w:val="21"/>
              </w:rPr>
            </w:pPr>
          </w:p>
        </w:tc>
        <w:tc>
          <w:tcPr>
            <w:tcW w:w="1494" w:type="dxa"/>
            <w:noWrap w:val="0"/>
            <w:vAlign w:val="top"/>
          </w:tcPr>
          <w:p w14:paraId="62B76E56">
            <w:pPr>
              <w:jc w:val="center"/>
              <w:textAlignment w:val="baseline"/>
              <w:rPr>
                <w:rFonts w:hint="eastAsia" w:ascii="黑体" w:hAnsi="黑体" w:eastAsia="黑体" w:cs="黑体"/>
                <w:sz w:val="21"/>
                <w:szCs w:val="21"/>
              </w:rPr>
            </w:pPr>
          </w:p>
        </w:tc>
      </w:tr>
      <w:tr w14:paraId="339B7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noWrap w:val="0"/>
            <w:vAlign w:val="center"/>
          </w:tcPr>
          <w:p w14:paraId="61285163">
            <w:pPr>
              <w:jc w:val="center"/>
              <w:textAlignment w:val="baseline"/>
              <w:rPr>
                <w:rFonts w:hint="eastAsia" w:ascii="黑体" w:hAnsi="黑体" w:eastAsia="黑体" w:cs="黑体"/>
                <w:sz w:val="21"/>
                <w:szCs w:val="21"/>
              </w:rPr>
            </w:pPr>
            <w:r>
              <w:rPr>
                <w:rStyle w:val="63"/>
                <w:rFonts w:hint="eastAsia" w:ascii="黑体" w:hAnsi="黑体" w:eastAsia="黑体" w:cs="黑体"/>
                <w:kern w:val="2"/>
                <w:sz w:val="21"/>
                <w:szCs w:val="21"/>
              </w:rPr>
              <w:t>8</w:t>
            </w:r>
          </w:p>
        </w:tc>
        <w:tc>
          <w:tcPr>
            <w:tcW w:w="2977" w:type="dxa"/>
            <w:noWrap w:val="0"/>
            <w:vAlign w:val="center"/>
          </w:tcPr>
          <w:p w14:paraId="1F8A3B4E">
            <w:pPr>
              <w:jc w:val="center"/>
              <w:textAlignment w:val="baseline"/>
              <w:rPr>
                <w:rFonts w:hint="eastAsia" w:ascii="黑体" w:hAnsi="黑体" w:eastAsia="黑体" w:cs="黑体"/>
                <w:sz w:val="21"/>
                <w:szCs w:val="21"/>
              </w:rPr>
            </w:pPr>
          </w:p>
        </w:tc>
        <w:tc>
          <w:tcPr>
            <w:tcW w:w="1931" w:type="dxa"/>
            <w:noWrap w:val="0"/>
            <w:vAlign w:val="top"/>
          </w:tcPr>
          <w:p w14:paraId="6BA35AC6">
            <w:pPr>
              <w:jc w:val="center"/>
              <w:textAlignment w:val="baseline"/>
              <w:rPr>
                <w:rFonts w:hint="eastAsia" w:ascii="黑体" w:hAnsi="黑体" w:eastAsia="黑体" w:cs="黑体"/>
                <w:sz w:val="21"/>
                <w:szCs w:val="21"/>
              </w:rPr>
            </w:pPr>
          </w:p>
        </w:tc>
        <w:tc>
          <w:tcPr>
            <w:tcW w:w="1501" w:type="dxa"/>
            <w:noWrap w:val="0"/>
            <w:vAlign w:val="center"/>
          </w:tcPr>
          <w:p w14:paraId="53E7B0AB">
            <w:pPr>
              <w:jc w:val="center"/>
              <w:textAlignment w:val="baseline"/>
              <w:rPr>
                <w:rFonts w:hint="eastAsia" w:ascii="黑体" w:hAnsi="黑体" w:eastAsia="黑体" w:cs="黑体"/>
                <w:sz w:val="21"/>
                <w:szCs w:val="21"/>
              </w:rPr>
            </w:pPr>
          </w:p>
        </w:tc>
        <w:tc>
          <w:tcPr>
            <w:tcW w:w="1494" w:type="dxa"/>
            <w:noWrap w:val="0"/>
            <w:vAlign w:val="top"/>
          </w:tcPr>
          <w:p w14:paraId="26F49802">
            <w:pPr>
              <w:jc w:val="center"/>
              <w:textAlignment w:val="baseline"/>
              <w:rPr>
                <w:rFonts w:hint="eastAsia" w:ascii="黑体" w:hAnsi="黑体" w:eastAsia="黑体" w:cs="黑体"/>
                <w:sz w:val="21"/>
                <w:szCs w:val="21"/>
              </w:rPr>
            </w:pPr>
          </w:p>
        </w:tc>
      </w:tr>
      <w:tr w14:paraId="3297F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noWrap w:val="0"/>
            <w:vAlign w:val="center"/>
          </w:tcPr>
          <w:p w14:paraId="07F2F553">
            <w:pPr>
              <w:jc w:val="center"/>
              <w:textAlignment w:val="baseline"/>
              <w:rPr>
                <w:rFonts w:hint="eastAsia" w:ascii="黑体" w:hAnsi="黑体" w:eastAsia="黑体" w:cs="黑体"/>
                <w:sz w:val="21"/>
                <w:szCs w:val="21"/>
              </w:rPr>
            </w:pPr>
            <w:r>
              <w:rPr>
                <w:rStyle w:val="63"/>
                <w:rFonts w:hint="eastAsia" w:ascii="黑体" w:hAnsi="黑体" w:eastAsia="黑体" w:cs="黑体"/>
                <w:kern w:val="2"/>
                <w:sz w:val="21"/>
                <w:szCs w:val="21"/>
              </w:rPr>
              <w:t>9</w:t>
            </w:r>
          </w:p>
        </w:tc>
        <w:tc>
          <w:tcPr>
            <w:tcW w:w="2977" w:type="dxa"/>
            <w:noWrap w:val="0"/>
            <w:vAlign w:val="center"/>
          </w:tcPr>
          <w:p w14:paraId="42D017B6">
            <w:pPr>
              <w:jc w:val="center"/>
              <w:textAlignment w:val="baseline"/>
              <w:rPr>
                <w:rFonts w:hint="eastAsia" w:ascii="黑体" w:hAnsi="黑体" w:eastAsia="黑体" w:cs="黑体"/>
                <w:sz w:val="21"/>
                <w:szCs w:val="21"/>
              </w:rPr>
            </w:pPr>
          </w:p>
        </w:tc>
        <w:tc>
          <w:tcPr>
            <w:tcW w:w="1931" w:type="dxa"/>
            <w:noWrap w:val="0"/>
            <w:vAlign w:val="top"/>
          </w:tcPr>
          <w:p w14:paraId="778B1AA3">
            <w:pPr>
              <w:jc w:val="center"/>
              <w:textAlignment w:val="baseline"/>
              <w:rPr>
                <w:rFonts w:hint="eastAsia" w:ascii="黑体" w:hAnsi="黑体" w:eastAsia="黑体" w:cs="黑体"/>
                <w:sz w:val="21"/>
                <w:szCs w:val="21"/>
              </w:rPr>
            </w:pPr>
          </w:p>
        </w:tc>
        <w:tc>
          <w:tcPr>
            <w:tcW w:w="1501" w:type="dxa"/>
            <w:noWrap w:val="0"/>
            <w:vAlign w:val="center"/>
          </w:tcPr>
          <w:p w14:paraId="548FFE1D">
            <w:pPr>
              <w:jc w:val="center"/>
              <w:textAlignment w:val="baseline"/>
              <w:rPr>
                <w:rFonts w:hint="eastAsia" w:ascii="黑体" w:hAnsi="黑体" w:eastAsia="黑体" w:cs="黑体"/>
                <w:sz w:val="21"/>
                <w:szCs w:val="21"/>
              </w:rPr>
            </w:pPr>
          </w:p>
        </w:tc>
        <w:tc>
          <w:tcPr>
            <w:tcW w:w="1494" w:type="dxa"/>
            <w:noWrap w:val="0"/>
            <w:vAlign w:val="top"/>
          </w:tcPr>
          <w:p w14:paraId="30ACA826">
            <w:pPr>
              <w:jc w:val="center"/>
              <w:textAlignment w:val="baseline"/>
              <w:rPr>
                <w:rFonts w:hint="eastAsia" w:ascii="黑体" w:hAnsi="黑体" w:eastAsia="黑体" w:cs="黑体"/>
                <w:sz w:val="21"/>
                <w:szCs w:val="21"/>
              </w:rPr>
            </w:pPr>
          </w:p>
        </w:tc>
      </w:tr>
    </w:tbl>
    <w:p w14:paraId="30DC5913">
      <w:pPr>
        <w:spacing w:line="360" w:lineRule="auto"/>
        <w:rPr>
          <w:rFonts w:hint="eastAsia" w:ascii="宋体" w:hAnsi="宋体"/>
          <w:sz w:val="28"/>
          <w:szCs w:val="28"/>
        </w:rPr>
      </w:pPr>
    </w:p>
    <w:p w14:paraId="1D99B1EA">
      <w:pPr>
        <w:rPr>
          <w:rFonts w:hint="eastAsia" w:ascii="黑体" w:hAnsi="黑体" w:eastAsia="黑体"/>
          <w:color w:val="000000" w:themeColor="text1"/>
          <w:spacing w:val="20"/>
          <w:sz w:val="32"/>
          <w:szCs w:val="32"/>
          <w14:textFill>
            <w14:solidFill>
              <w14:schemeClr w14:val="tx1"/>
            </w14:solidFill>
          </w14:textFill>
        </w:rPr>
      </w:pPr>
      <w:r>
        <w:rPr>
          <w:rFonts w:hint="eastAsia" w:ascii="黑体" w:hAnsi="黑体" w:eastAsia="黑体"/>
          <w:color w:val="000000" w:themeColor="text1"/>
          <w:spacing w:val="20"/>
          <w:sz w:val="32"/>
          <w:szCs w:val="32"/>
          <w14:textFill>
            <w14:solidFill>
              <w14:schemeClr w14:val="tx1"/>
            </w14:solidFill>
          </w14:textFill>
        </w:rPr>
        <w:br w:type="page"/>
      </w:r>
    </w:p>
    <w:p w14:paraId="7DBC107A">
      <w:pPr>
        <w:pStyle w:val="3"/>
        <w:keepNext w:val="0"/>
        <w:keepLines w:val="0"/>
        <w:pageBreakBefore/>
        <w:spacing w:line="360" w:lineRule="auto"/>
        <w:jc w:val="center"/>
        <w:rPr>
          <w:rFonts w:ascii="黑体" w:hAnsi="黑体" w:eastAsia="黑体"/>
          <w:color w:val="000000" w:themeColor="text1"/>
          <w:spacing w:val="20"/>
          <w:sz w:val="32"/>
          <w:szCs w:val="32"/>
          <w14:textFill>
            <w14:solidFill>
              <w14:schemeClr w14:val="tx1"/>
            </w14:solidFill>
          </w14:textFill>
        </w:rPr>
      </w:pPr>
      <w:r>
        <w:rPr>
          <w:rFonts w:hint="eastAsia" w:ascii="黑体" w:hAnsi="黑体" w:eastAsia="黑体"/>
          <w:color w:val="000000" w:themeColor="text1"/>
          <w:spacing w:val="20"/>
          <w:sz w:val="32"/>
          <w:szCs w:val="32"/>
          <w14:textFill>
            <w14:solidFill>
              <w14:schemeClr w14:val="tx1"/>
            </w14:solidFill>
          </w14:textFill>
        </w:rPr>
        <w:t>第七部分</w:t>
      </w:r>
      <w:r>
        <w:rPr>
          <w:rFonts w:ascii="黑体" w:hAnsi="黑体" w:eastAsia="黑体"/>
          <w:color w:val="000000" w:themeColor="text1"/>
          <w:spacing w:val="20"/>
          <w:sz w:val="32"/>
          <w:szCs w:val="32"/>
          <w14:textFill>
            <w14:solidFill>
              <w14:schemeClr w14:val="tx1"/>
            </w14:solidFill>
          </w14:textFill>
        </w:rPr>
        <w:t xml:space="preserve"> </w:t>
      </w:r>
      <w:r>
        <w:rPr>
          <w:rFonts w:hint="eastAsia" w:ascii="黑体" w:hAnsi="黑体" w:eastAsia="黑体"/>
          <w:color w:val="000000" w:themeColor="text1"/>
          <w:spacing w:val="20"/>
          <w:sz w:val="32"/>
          <w:szCs w:val="32"/>
          <w14:textFill>
            <w14:solidFill>
              <w14:schemeClr w14:val="tx1"/>
            </w14:solidFill>
          </w14:textFill>
        </w:rPr>
        <w:t>投标文件格式</w:t>
      </w:r>
      <w:bookmarkEnd w:id="64"/>
      <w:bookmarkEnd w:id="65"/>
      <w:bookmarkEnd w:id="66"/>
      <w:r>
        <w:rPr>
          <w:rFonts w:hint="eastAsia" w:ascii="黑体" w:hAnsi="黑体" w:eastAsia="黑体"/>
          <w:color w:val="auto"/>
          <w:spacing w:val="20"/>
          <w:sz w:val="32"/>
          <w:szCs w:val="32"/>
          <w:highlight w:val="none"/>
        </w:rPr>
        <w:t>（适用于包</w:t>
      </w:r>
      <w:r>
        <w:rPr>
          <w:rFonts w:hint="eastAsia" w:ascii="黑体" w:hAnsi="黑体" w:eastAsia="黑体"/>
          <w:color w:val="auto"/>
          <w:spacing w:val="20"/>
          <w:sz w:val="32"/>
          <w:szCs w:val="32"/>
          <w:highlight w:val="none"/>
          <w:lang w:val="en-US" w:eastAsia="zh-CN"/>
        </w:rPr>
        <w:t>A</w:t>
      </w:r>
      <w:r>
        <w:rPr>
          <w:rFonts w:hint="eastAsia" w:ascii="黑体" w:hAnsi="黑体" w:eastAsia="黑体"/>
          <w:color w:val="auto"/>
          <w:spacing w:val="20"/>
          <w:sz w:val="32"/>
          <w:szCs w:val="32"/>
          <w:highlight w:val="none"/>
        </w:rPr>
        <w:t>/包</w:t>
      </w:r>
      <w:r>
        <w:rPr>
          <w:rFonts w:hint="eastAsia" w:ascii="黑体" w:hAnsi="黑体" w:eastAsia="黑体"/>
          <w:color w:val="auto"/>
          <w:spacing w:val="20"/>
          <w:sz w:val="32"/>
          <w:szCs w:val="32"/>
          <w:highlight w:val="none"/>
          <w:lang w:val="en-US" w:eastAsia="zh-CN"/>
        </w:rPr>
        <w:t>B</w:t>
      </w:r>
      <w:r>
        <w:rPr>
          <w:rFonts w:hint="eastAsia" w:ascii="黑体" w:hAnsi="黑体" w:eastAsia="黑体"/>
          <w:color w:val="auto"/>
          <w:spacing w:val="20"/>
          <w:sz w:val="32"/>
          <w:szCs w:val="32"/>
          <w:highlight w:val="none"/>
        </w:rPr>
        <w:t>）</w:t>
      </w:r>
    </w:p>
    <w:p w14:paraId="1767E3E1">
      <w:pPr>
        <w:pStyle w:val="29"/>
        <w:spacing w:after="312" w:afterLines="100" w:line="360" w:lineRule="auto"/>
        <w:ind w:left="420" w:right="108" w:firstLine="0" w:firstLineChars="0"/>
        <w:jc w:val="right"/>
        <w:rPr>
          <w:rFonts w:ascii="黑体" w:hAnsi="黑体" w:eastAsia="黑体"/>
          <w:b/>
          <w:color w:val="000000" w:themeColor="text1"/>
          <w:sz w:val="36"/>
          <w:szCs w:val="36"/>
          <w14:textFill>
            <w14:solidFill>
              <w14:schemeClr w14:val="tx1"/>
            </w14:solidFill>
          </w14:textFill>
        </w:rPr>
      </w:pPr>
      <w:r>
        <w:rPr>
          <w:rFonts w:hint="eastAsia" w:ascii="黑体" w:hAnsi="黑体" w:eastAsia="黑体"/>
          <w:b/>
          <w:color w:val="000000" w:themeColor="text1"/>
          <w:sz w:val="36"/>
          <w:szCs w:val="36"/>
          <w14:textFill>
            <w14:solidFill>
              <w14:schemeClr w14:val="tx1"/>
            </w14:solidFill>
          </w14:textFill>
        </w:rPr>
        <w:t>正本</w:t>
      </w:r>
      <w:r>
        <w:rPr>
          <w:rFonts w:ascii="黑体" w:hAnsi="黑体" w:eastAsia="黑体"/>
          <w:b/>
          <w:color w:val="000000" w:themeColor="text1"/>
          <w:sz w:val="36"/>
          <w:szCs w:val="36"/>
          <w14:textFill>
            <w14:solidFill>
              <w14:schemeClr w14:val="tx1"/>
            </w14:solidFill>
          </w14:textFill>
        </w:rPr>
        <w:t>/副本</w:t>
      </w:r>
    </w:p>
    <w:p w14:paraId="079DF16E">
      <w:pPr>
        <w:spacing w:before="1092" w:beforeLines="350" w:after="780" w:afterLines="250" w:line="360" w:lineRule="auto"/>
        <w:jc w:val="center"/>
        <w:rPr>
          <w:rFonts w:hint="eastAsia" w:ascii="黑体" w:hAnsi="黑体" w:eastAsia="黑体"/>
          <w:bCs/>
          <w:color w:val="000000" w:themeColor="text1"/>
          <w:sz w:val="50"/>
          <w:szCs w:val="50"/>
          <w:lang w:eastAsia="zh-CN"/>
          <w14:textFill>
            <w14:solidFill>
              <w14:schemeClr w14:val="tx1"/>
            </w14:solidFill>
          </w14:textFill>
        </w:rPr>
      </w:pPr>
      <w:r>
        <w:rPr>
          <w:rFonts w:hint="eastAsia" w:ascii="黑体" w:hAnsi="黑体" w:eastAsia="黑体"/>
          <w:bCs/>
          <w:color w:val="000000" w:themeColor="text1"/>
          <w:sz w:val="50"/>
          <w:szCs w:val="50"/>
          <w:lang w:eastAsia="zh-CN"/>
          <w14:textFill>
            <w14:solidFill>
              <w14:schemeClr w14:val="tx1"/>
            </w14:solidFill>
          </w14:textFill>
        </w:rPr>
        <w:t>清溪医院硬性电子输尿管镜系统等采购项目</w:t>
      </w:r>
    </w:p>
    <w:p w14:paraId="58F940FD">
      <w:pPr>
        <w:spacing w:line="360" w:lineRule="auto"/>
        <w:jc w:val="center"/>
        <w:rPr>
          <w:rStyle w:val="26"/>
          <w:color w:val="000000" w:themeColor="text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（项目编号：</w:t>
      </w:r>
      <w:r>
        <w:rPr>
          <w:rFonts w:ascii="黑体" w:hAnsi="黑体" w:eastAsia="黑体"/>
          <w:b/>
          <w:color w:val="000000" w:themeColor="text1"/>
          <w:szCs w:val="21"/>
          <w:u w:val="single"/>
          <w14:textFill>
            <w14:solidFill>
              <w14:schemeClr w14:val="tx1"/>
            </w14:solidFill>
          </w14:textFill>
        </w:rPr>
        <w:t xml:space="preserve">             </w:t>
      </w:r>
      <w:r>
        <w:rPr>
          <w:rFonts w:hint="eastAsia" w:ascii="黑体" w:hAnsi="黑体" w:eastAsia="黑体"/>
          <w:b/>
          <w:color w:val="000000" w:themeColor="text1"/>
          <w:szCs w:val="21"/>
          <w14:textFill>
            <w14:solidFill>
              <w14:schemeClr w14:val="tx1"/>
            </w14:solidFill>
          </w14:textFill>
        </w:rPr>
        <w:t>）</w:t>
      </w:r>
    </w:p>
    <w:p w14:paraId="5143AF66">
      <w:pPr>
        <w:spacing w:line="360" w:lineRule="auto"/>
        <w:ind w:firstLine="3795" w:firstLineChars="1800"/>
        <w:jc w:val="both"/>
        <w:rPr>
          <w:rFonts w:hint="default" w:ascii="黑体" w:hAnsi="黑体" w:eastAsia="黑体"/>
          <w:b/>
          <w:color w:val="000000" w:themeColor="text1"/>
          <w:szCs w:val="21"/>
          <w:u w:val="single"/>
          <w:lang w:val="en-US" w:eastAsia="zh-CN"/>
          <w14:textFill>
            <w14:solidFill>
              <w14:schemeClr w14:val="tx1"/>
            </w14:solidFill>
          </w14:textFill>
        </w:rPr>
      </w:pPr>
      <w:r>
        <w:rPr>
          <w:rFonts w:hint="eastAsia" w:ascii="黑体" w:hAnsi="黑体" w:eastAsia="黑体"/>
          <w:b/>
          <w:color w:val="000000" w:themeColor="text1"/>
          <w:szCs w:val="21"/>
          <w:lang w:val="en-US" w:eastAsia="zh-CN"/>
          <w14:textFill>
            <w14:solidFill>
              <w14:schemeClr w14:val="tx1"/>
            </w14:solidFill>
          </w14:textFill>
        </w:rPr>
        <w:t>包号：</w:t>
      </w:r>
      <w:r>
        <w:rPr>
          <w:rFonts w:hint="eastAsia" w:ascii="黑体" w:hAnsi="黑体" w:eastAsia="黑体"/>
          <w:b/>
          <w:color w:val="000000" w:themeColor="text1"/>
          <w:szCs w:val="21"/>
          <w:u w:val="single"/>
          <w:lang w:val="en-US" w:eastAsia="zh-CN"/>
          <w14:textFill>
            <w14:solidFill>
              <w14:schemeClr w14:val="tx1"/>
            </w14:solidFill>
          </w14:textFill>
        </w:rPr>
        <w:t xml:space="preserve">       </w:t>
      </w:r>
    </w:p>
    <w:p w14:paraId="2CACBCDD">
      <w:pPr>
        <w:spacing w:before="1248" w:beforeLines="400" w:line="360" w:lineRule="auto"/>
        <w:jc w:val="center"/>
        <w:rPr>
          <w:rFonts w:ascii="黑体" w:hAnsi="黑体" w:eastAsia="黑体"/>
          <w:b/>
          <w:spacing w:val="60"/>
          <w:sz w:val="72"/>
          <w:szCs w:val="72"/>
        </w:rPr>
      </w:pPr>
      <w:r>
        <w:rPr>
          <w:rFonts w:hint="eastAsia" w:ascii="黑体" w:hAnsi="黑体" w:eastAsia="黑体"/>
          <w:b/>
          <w:spacing w:val="60"/>
          <w:sz w:val="72"/>
          <w:szCs w:val="72"/>
        </w:rPr>
        <w:t>投标文件</w:t>
      </w:r>
    </w:p>
    <w:p w14:paraId="79D637D5">
      <w:pPr>
        <w:keepNext w:val="0"/>
        <w:keepLines w:val="0"/>
        <w:pageBreakBefore w:val="0"/>
        <w:widowControl w:val="0"/>
        <w:kinsoku/>
        <w:wordWrap/>
        <w:overflowPunct/>
        <w:topLinePunct w:val="0"/>
        <w:autoSpaceDE/>
        <w:autoSpaceDN/>
        <w:bidi w:val="0"/>
        <w:adjustRightInd/>
        <w:snapToGrid/>
        <w:spacing w:after="1249" w:afterLines="400" w:line="360" w:lineRule="auto"/>
        <w:jc w:val="center"/>
        <w:textAlignment w:val="auto"/>
        <w:rPr>
          <w:rFonts w:ascii="黑体" w:hAnsi="黑体" w:eastAsia="黑体"/>
          <w:b/>
          <w:szCs w:val="21"/>
        </w:rPr>
      </w:pPr>
      <w:r>
        <w:rPr>
          <w:rFonts w:hint="eastAsia" w:ascii="黑体" w:hAnsi="黑体" w:eastAsia="黑体"/>
          <w:b/>
          <w:szCs w:val="21"/>
        </w:rPr>
        <w:t>（封面格式仅供参考）</w:t>
      </w:r>
    </w:p>
    <w:tbl>
      <w:tblPr>
        <w:tblStyle w:val="20"/>
        <w:tblW w:w="418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85"/>
        <w:gridCol w:w="5251"/>
      </w:tblGrid>
      <w:tr w14:paraId="2617E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1421" w:type="pct"/>
            <w:vAlign w:val="center"/>
          </w:tcPr>
          <w:p w14:paraId="2A28E682">
            <w:pPr>
              <w:spacing w:line="360" w:lineRule="auto"/>
              <w:jc w:val="right"/>
              <w:rPr>
                <w:rFonts w:ascii="黑体" w:hAnsi="黑体" w:eastAsia="黑体"/>
                <w:color w:val="000000" w:themeColor="text1"/>
                <w:sz w:val="24"/>
                <w:szCs w:val="24"/>
                <w14:textFill>
                  <w14:solidFill>
                    <w14:schemeClr w14:val="tx1"/>
                  </w14:solidFill>
                </w14:textFill>
              </w:rPr>
            </w:pPr>
            <w:r>
              <w:rPr>
                <w:rFonts w:hint="eastAsia" w:ascii="黑体" w:hAnsi="黑体" w:eastAsia="黑体"/>
                <w:color w:val="000000" w:themeColor="text1"/>
                <w:sz w:val="24"/>
                <w:szCs w:val="24"/>
                <w14:textFill>
                  <w14:solidFill>
                    <w14:schemeClr w14:val="tx1"/>
                  </w14:solidFill>
                </w14:textFill>
              </w:rPr>
              <w:t>投标人名称：</w:t>
            </w:r>
          </w:p>
        </w:tc>
        <w:tc>
          <w:tcPr>
            <w:tcW w:w="3579" w:type="pct"/>
            <w:vAlign w:val="center"/>
          </w:tcPr>
          <w:p w14:paraId="7E1FD414">
            <w:pPr>
              <w:spacing w:line="360" w:lineRule="auto"/>
              <w:jc w:val="left"/>
              <w:rPr>
                <w:rFonts w:ascii="黑体" w:hAnsi="黑体" w:eastAsia="黑体"/>
                <w:color w:val="000000" w:themeColor="text1"/>
                <w:sz w:val="24"/>
                <w:szCs w:val="24"/>
                <w:u w:val="single"/>
                <w14:textFill>
                  <w14:solidFill>
                    <w14:schemeClr w14:val="tx1"/>
                  </w14:solidFill>
                </w14:textFill>
              </w:rPr>
            </w:pPr>
            <w:r>
              <w:rPr>
                <w:rFonts w:ascii="黑体" w:hAnsi="黑体" w:eastAsia="黑体"/>
                <w:color w:val="000000" w:themeColor="text1"/>
                <w:sz w:val="24"/>
                <w:szCs w:val="24"/>
                <w:u w:val="single"/>
                <w14:textFill>
                  <w14:solidFill>
                    <w14:schemeClr w14:val="tx1"/>
                  </w14:solidFill>
                </w14:textFill>
              </w:rPr>
              <w:t xml:space="preserve">                                       </w:t>
            </w:r>
          </w:p>
        </w:tc>
      </w:tr>
      <w:tr w14:paraId="1E3D1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1421" w:type="pct"/>
            <w:vAlign w:val="center"/>
          </w:tcPr>
          <w:p w14:paraId="7F2DA83C">
            <w:pPr>
              <w:spacing w:line="360" w:lineRule="auto"/>
              <w:jc w:val="right"/>
              <w:rPr>
                <w:rFonts w:ascii="黑体" w:hAnsi="黑体" w:eastAsia="黑体"/>
                <w:color w:val="000000" w:themeColor="text1"/>
                <w:sz w:val="24"/>
                <w:szCs w:val="24"/>
                <w14:textFill>
                  <w14:solidFill>
                    <w14:schemeClr w14:val="tx1"/>
                  </w14:solidFill>
                </w14:textFill>
              </w:rPr>
            </w:pPr>
            <w:r>
              <w:rPr>
                <w:rFonts w:hint="eastAsia" w:ascii="黑体" w:hAnsi="黑体" w:eastAsia="黑体"/>
                <w:color w:val="000000" w:themeColor="text1"/>
                <w:sz w:val="24"/>
                <w:szCs w:val="24"/>
                <w14:textFill>
                  <w14:solidFill>
                    <w14:schemeClr w14:val="tx1"/>
                  </w14:solidFill>
                </w14:textFill>
              </w:rPr>
              <w:t>投标人地址：</w:t>
            </w:r>
          </w:p>
        </w:tc>
        <w:tc>
          <w:tcPr>
            <w:tcW w:w="3579" w:type="pct"/>
            <w:vAlign w:val="center"/>
          </w:tcPr>
          <w:p w14:paraId="159C0A20">
            <w:pPr>
              <w:spacing w:line="360" w:lineRule="auto"/>
              <w:jc w:val="left"/>
              <w:rPr>
                <w:rFonts w:ascii="黑体" w:hAnsi="黑体" w:eastAsia="黑体"/>
                <w:color w:val="000000" w:themeColor="text1"/>
                <w:sz w:val="24"/>
                <w:szCs w:val="24"/>
                <w:u w:val="single"/>
                <w14:textFill>
                  <w14:solidFill>
                    <w14:schemeClr w14:val="tx1"/>
                  </w14:solidFill>
                </w14:textFill>
              </w:rPr>
            </w:pPr>
            <w:r>
              <w:rPr>
                <w:rFonts w:ascii="黑体" w:hAnsi="黑体" w:eastAsia="黑体"/>
                <w:color w:val="000000" w:themeColor="text1"/>
                <w:sz w:val="24"/>
                <w:szCs w:val="24"/>
                <w:u w:val="single"/>
                <w14:textFill>
                  <w14:solidFill>
                    <w14:schemeClr w14:val="tx1"/>
                  </w14:solidFill>
                </w14:textFill>
              </w:rPr>
              <w:t xml:space="preserve">                                       </w:t>
            </w:r>
          </w:p>
        </w:tc>
      </w:tr>
      <w:tr w14:paraId="3E461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1421" w:type="pct"/>
            <w:vAlign w:val="center"/>
          </w:tcPr>
          <w:p w14:paraId="28E9C29A">
            <w:pPr>
              <w:spacing w:line="360" w:lineRule="auto"/>
              <w:jc w:val="right"/>
              <w:rPr>
                <w:rFonts w:ascii="黑体" w:hAnsi="黑体" w:eastAsia="黑体"/>
                <w:color w:val="000000" w:themeColor="text1"/>
                <w:spacing w:val="-10"/>
                <w:sz w:val="24"/>
                <w:szCs w:val="24"/>
                <w14:textFill>
                  <w14:solidFill>
                    <w14:schemeClr w14:val="tx1"/>
                  </w14:solidFill>
                </w14:textFill>
              </w:rPr>
            </w:pPr>
            <w:r>
              <w:rPr>
                <w:rFonts w:hint="eastAsia" w:ascii="黑体" w:hAnsi="黑体" w:eastAsia="黑体"/>
                <w:color w:val="000000" w:themeColor="text1"/>
                <w:sz w:val="24"/>
                <w:szCs w:val="24"/>
                <w14:textFill>
                  <w14:solidFill>
                    <w14:schemeClr w14:val="tx1"/>
                  </w14:solidFill>
                </w14:textFill>
              </w:rPr>
              <w:t>投标联系人</w:t>
            </w:r>
            <w:r>
              <w:rPr>
                <w:rFonts w:hint="eastAsia" w:ascii="黑体" w:hAnsi="黑体" w:eastAsia="黑体"/>
                <w:color w:val="000000" w:themeColor="text1"/>
                <w:spacing w:val="-10"/>
                <w:sz w:val="24"/>
                <w:szCs w:val="24"/>
                <w14:textFill>
                  <w14:solidFill>
                    <w14:schemeClr w14:val="tx1"/>
                  </w14:solidFill>
                </w14:textFill>
              </w:rPr>
              <w:t>：</w:t>
            </w:r>
          </w:p>
        </w:tc>
        <w:tc>
          <w:tcPr>
            <w:tcW w:w="3579" w:type="pct"/>
            <w:vAlign w:val="center"/>
          </w:tcPr>
          <w:p w14:paraId="2ADB6889">
            <w:pPr>
              <w:spacing w:line="360" w:lineRule="auto"/>
              <w:jc w:val="left"/>
              <w:rPr>
                <w:rFonts w:ascii="黑体" w:hAnsi="黑体" w:eastAsia="黑体"/>
                <w:color w:val="000000" w:themeColor="text1"/>
                <w:sz w:val="24"/>
                <w:szCs w:val="24"/>
                <w:u w:val="single"/>
                <w14:textFill>
                  <w14:solidFill>
                    <w14:schemeClr w14:val="tx1"/>
                  </w14:solidFill>
                </w14:textFill>
              </w:rPr>
            </w:pPr>
            <w:r>
              <w:rPr>
                <w:rFonts w:ascii="黑体" w:hAnsi="黑体" w:eastAsia="黑体"/>
                <w:color w:val="000000" w:themeColor="text1"/>
                <w:sz w:val="24"/>
                <w:szCs w:val="24"/>
                <w:u w:val="single"/>
                <w14:textFill>
                  <w14:solidFill>
                    <w14:schemeClr w14:val="tx1"/>
                  </w14:solidFill>
                </w14:textFill>
              </w:rPr>
              <w:t xml:space="preserve">                                       </w:t>
            </w:r>
          </w:p>
        </w:tc>
      </w:tr>
      <w:tr w14:paraId="5C1E5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1421" w:type="pct"/>
            <w:vAlign w:val="center"/>
          </w:tcPr>
          <w:p w14:paraId="226F9199">
            <w:pPr>
              <w:tabs>
                <w:tab w:val="left" w:pos="170"/>
              </w:tabs>
              <w:spacing w:line="360" w:lineRule="auto"/>
              <w:jc w:val="right"/>
              <w:rPr>
                <w:rFonts w:ascii="黑体" w:hAnsi="黑体" w:eastAsia="黑体"/>
                <w:color w:val="000000" w:themeColor="text1"/>
                <w:sz w:val="24"/>
                <w:szCs w:val="24"/>
                <w14:textFill>
                  <w14:solidFill>
                    <w14:schemeClr w14:val="tx1"/>
                  </w14:solidFill>
                </w14:textFill>
              </w:rPr>
            </w:pPr>
            <w:r>
              <w:rPr>
                <w:rFonts w:hint="eastAsia" w:ascii="黑体" w:hAnsi="黑体" w:eastAsia="黑体"/>
                <w:color w:val="000000" w:themeColor="text1"/>
                <w:spacing w:val="24"/>
                <w:sz w:val="24"/>
                <w:szCs w:val="24"/>
                <w14:textFill>
                  <w14:solidFill>
                    <w14:schemeClr w14:val="tx1"/>
                  </w14:solidFill>
                </w14:textFill>
              </w:rPr>
              <w:t>联系电话</w:t>
            </w:r>
            <w:r>
              <w:rPr>
                <w:rFonts w:hint="eastAsia" w:ascii="黑体" w:hAnsi="黑体" w:eastAsia="黑体"/>
                <w:color w:val="000000" w:themeColor="text1"/>
                <w:sz w:val="24"/>
                <w:szCs w:val="24"/>
                <w14:textFill>
                  <w14:solidFill>
                    <w14:schemeClr w14:val="tx1"/>
                  </w14:solidFill>
                </w14:textFill>
              </w:rPr>
              <w:t>：</w:t>
            </w:r>
          </w:p>
        </w:tc>
        <w:tc>
          <w:tcPr>
            <w:tcW w:w="3579" w:type="pct"/>
            <w:vAlign w:val="center"/>
          </w:tcPr>
          <w:p w14:paraId="2D316C8E">
            <w:pPr>
              <w:spacing w:line="360" w:lineRule="auto"/>
              <w:jc w:val="left"/>
              <w:rPr>
                <w:rFonts w:ascii="黑体" w:hAnsi="黑体" w:eastAsia="黑体"/>
                <w:color w:val="000000" w:themeColor="text1"/>
                <w:sz w:val="24"/>
                <w:szCs w:val="24"/>
                <w:u w:val="single"/>
                <w14:textFill>
                  <w14:solidFill>
                    <w14:schemeClr w14:val="tx1"/>
                  </w14:solidFill>
                </w14:textFill>
              </w:rPr>
            </w:pPr>
            <w:r>
              <w:rPr>
                <w:rFonts w:ascii="黑体" w:hAnsi="黑体" w:eastAsia="黑体"/>
                <w:color w:val="000000" w:themeColor="text1"/>
                <w:sz w:val="24"/>
                <w:szCs w:val="24"/>
                <w:u w:val="single"/>
                <w14:textFill>
                  <w14:solidFill>
                    <w14:schemeClr w14:val="tx1"/>
                  </w14:solidFill>
                </w14:textFill>
              </w:rPr>
              <w:t xml:space="preserve">                                       </w:t>
            </w:r>
          </w:p>
        </w:tc>
      </w:tr>
    </w:tbl>
    <w:p w14:paraId="5BE9B55C">
      <w:pPr>
        <w:spacing w:before="936" w:beforeLines="300" w:line="600" w:lineRule="exact"/>
        <w:jc w:val="center"/>
        <w:rPr>
          <w:rFonts w:ascii="黑体" w:hAnsi="黑体" w:eastAsia="黑体"/>
          <w:b/>
          <w:spacing w:val="40"/>
          <w:sz w:val="24"/>
          <w:szCs w:val="24"/>
        </w:rPr>
      </w:pPr>
      <w:r>
        <w:rPr>
          <w:rFonts w:hint="eastAsia" w:ascii="黑体" w:hAnsi="黑体" w:eastAsia="黑体"/>
          <w:b/>
          <w:spacing w:val="40"/>
          <w:sz w:val="24"/>
          <w:szCs w:val="24"/>
        </w:rPr>
        <w:t>日期：</w:t>
      </w:r>
      <w:r>
        <w:rPr>
          <w:rFonts w:hint="eastAsia" w:ascii="黑体" w:hAnsi="黑体" w:eastAsia="黑体"/>
          <w:b/>
          <w:spacing w:val="20"/>
          <w:szCs w:val="21"/>
        </w:rPr>
        <w:t xml:space="preserve">    </w:t>
      </w:r>
      <w:r>
        <w:rPr>
          <w:rFonts w:hint="eastAsia" w:ascii="黑体" w:hAnsi="黑体" w:eastAsia="黑体"/>
          <w:b/>
          <w:spacing w:val="40"/>
          <w:sz w:val="24"/>
          <w:szCs w:val="24"/>
        </w:rPr>
        <w:t>年</w:t>
      </w:r>
      <w:r>
        <w:rPr>
          <w:rFonts w:ascii="黑体" w:hAnsi="黑体" w:eastAsia="黑体"/>
          <w:b/>
          <w:spacing w:val="40"/>
          <w:sz w:val="24"/>
          <w:szCs w:val="24"/>
        </w:rPr>
        <w:t xml:space="preserve">  </w:t>
      </w:r>
      <w:r>
        <w:rPr>
          <w:rFonts w:hint="eastAsia" w:ascii="黑体" w:hAnsi="黑体" w:eastAsia="黑体"/>
          <w:b/>
          <w:spacing w:val="40"/>
          <w:sz w:val="24"/>
          <w:szCs w:val="24"/>
        </w:rPr>
        <w:t>月</w:t>
      </w:r>
      <w:r>
        <w:rPr>
          <w:rFonts w:ascii="黑体" w:hAnsi="黑体" w:eastAsia="黑体"/>
          <w:b/>
          <w:spacing w:val="40"/>
          <w:sz w:val="24"/>
          <w:szCs w:val="24"/>
        </w:rPr>
        <w:t xml:space="preserve">  </w:t>
      </w:r>
      <w:r>
        <w:rPr>
          <w:rFonts w:hint="eastAsia" w:ascii="黑体" w:hAnsi="黑体" w:eastAsia="黑体"/>
          <w:b/>
          <w:spacing w:val="40"/>
          <w:sz w:val="24"/>
          <w:szCs w:val="24"/>
        </w:rPr>
        <w:t>日</w:t>
      </w:r>
    </w:p>
    <w:p w14:paraId="41931D54">
      <w:pPr>
        <w:rPr>
          <w:rFonts w:ascii="黑体" w:hAnsi="黑体" w:eastAsia="黑体"/>
          <w:b/>
          <w:bCs/>
        </w:rPr>
      </w:pPr>
      <w:bookmarkStart w:id="67" w:name="_Toc405313958"/>
      <w:bookmarkStart w:id="68" w:name="_Toc391627754"/>
      <w:bookmarkStart w:id="69" w:name="_Hlk81205692"/>
      <w:r>
        <w:rPr>
          <w:rFonts w:hint="eastAsia" w:ascii="黑体" w:hAnsi="黑体" w:eastAsia="黑体"/>
          <w:b/>
          <w:bCs/>
        </w:rPr>
        <w:t>投标文件目录（投标文件包括但不限于以下组成内容，请按顺序制作。）</w:t>
      </w:r>
      <w:r>
        <w:rPr>
          <w:rFonts w:ascii="黑体" w:hAnsi="黑体" w:eastAsia="黑体"/>
          <w:b/>
          <w:bCs/>
        </w:rPr>
        <w:cr/>
      </w:r>
    </w:p>
    <w:p w14:paraId="173D1D11">
      <w:pPr>
        <w:pStyle w:val="29"/>
        <w:numPr>
          <w:ilvl w:val="3"/>
          <w:numId w:val="111"/>
        </w:numPr>
        <w:spacing w:line="360" w:lineRule="auto"/>
        <w:ind w:left="567" w:hanging="425" w:firstLineChars="0"/>
        <w:jc w:val="left"/>
        <w:rPr>
          <w:rFonts w:ascii="黑体" w:hAnsi="黑体" w:eastAsia="黑体"/>
        </w:rPr>
      </w:pPr>
      <w:r>
        <w:rPr>
          <w:rFonts w:ascii="黑体" w:hAnsi="黑体" w:eastAsia="黑体"/>
        </w:rPr>
        <w:t>资格性自查索引表</w:t>
      </w:r>
    </w:p>
    <w:p w14:paraId="1E90D9BD">
      <w:pPr>
        <w:pStyle w:val="29"/>
        <w:numPr>
          <w:ilvl w:val="3"/>
          <w:numId w:val="111"/>
        </w:numPr>
        <w:spacing w:line="360" w:lineRule="auto"/>
        <w:ind w:left="567" w:hanging="425" w:firstLineChars="0"/>
        <w:jc w:val="left"/>
        <w:rPr>
          <w:rFonts w:ascii="黑体" w:hAnsi="黑体" w:eastAsia="黑体"/>
        </w:rPr>
      </w:pPr>
      <w:r>
        <w:rPr>
          <w:rFonts w:ascii="黑体" w:hAnsi="黑体" w:eastAsia="黑体"/>
        </w:rPr>
        <w:t>符合性自查索引表</w:t>
      </w:r>
    </w:p>
    <w:p w14:paraId="35FDE2DB">
      <w:pPr>
        <w:pStyle w:val="29"/>
        <w:numPr>
          <w:ilvl w:val="3"/>
          <w:numId w:val="111"/>
        </w:numPr>
        <w:spacing w:line="360" w:lineRule="auto"/>
        <w:ind w:left="567" w:hanging="425" w:firstLineChars="0"/>
        <w:jc w:val="left"/>
        <w:rPr>
          <w:rFonts w:ascii="黑体" w:hAnsi="黑体" w:eastAsia="黑体"/>
        </w:rPr>
      </w:pPr>
      <w:r>
        <w:rPr>
          <w:rFonts w:ascii="黑体" w:hAnsi="黑体" w:eastAsia="黑体"/>
        </w:rPr>
        <w:t>详细评审索引表</w:t>
      </w:r>
    </w:p>
    <w:p w14:paraId="67F4B210">
      <w:pPr>
        <w:pStyle w:val="29"/>
        <w:numPr>
          <w:ilvl w:val="3"/>
          <w:numId w:val="111"/>
        </w:numPr>
        <w:spacing w:line="360" w:lineRule="auto"/>
        <w:ind w:left="567" w:hanging="425" w:firstLineChars="0"/>
        <w:jc w:val="left"/>
        <w:rPr>
          <w:rFonts w:ascii="黑体" w:hAnsi="黑体" w:eastAsia="黑体"/>
        </w:rPr>
      </w:pPr>
      <w:r>
        <w:rPr>
          <w:rFonts w:ascii="黑体" w:hAnsi="黑体" w:eastAsia="黑体"/>
        </w:rPr>
        <w:t>开标一览表</w:t>
      </w:r>
    </w:p>
    <w:p w14:paraId="31600D18">
      <w:pPr>
        <w:pStyle w:val="29"/>
        <w:numPr>
          <w:ilvl w:val="3"/>
          <w:numId w:val="111"/>
        </w:numPr>
        <w:spacing w:line="360" w:lineRule="auto"/>
        <w:ind w:left="567" w:hanging="425" w:firstLineChars="0"/>
        <w:jc w:val="left"/>
        <w:rPr>
          <w:rFonts w:ascii="黑体" w:hAnsi="黑体" w:eastAsia="黑体"/>
        </w:rPr>
      </w:pPr>
      <w:r>
        <w:rPr>
          <w:rFonts w:hint="eastAsia" w:ascii="黑体" w:hAnsi="黑体" w:eastAsia="黑体"/>
        </w:rPr>
        <w:t>分项报价表</w:t>
      </w:r>
    </w:p>
    <w:p w14:paraId="4CE3202B">
      <w:pPr>
        <w:pStyle w:val="29"/>
        <w:numPr>
          <w:ilvl w:val="3"/>
          <w:numId w:val="111"/>
        </w:numPr>
        <w:spacing w:line="360" w:lineRule="auto"/>
        <w:ind w:left="567" w:hanging="425" w:firstLineChars="0"/>
        <w:jc w:val="left"/>
        <w:rPr>
          <w:rFonts w:ascii="黑体" w:hAnsi="黑体" w:eastAsia="黑体"/>
        </w:rPr>
      </w:pPr>
      <w:r>
        <w:rPr>
          <w:rFonts w:ascii="黑体" w:hAnsi="黑体" w:eastAsia="黑体"/>
        </w:rPr>
        <w:t>中小企业声明函（如需）</w:t>
      </w:r>
    </w:p>
    <w:p w14:paraId="4055F247">
      <w:pPr>
        <w:pStyle w:val="29"/>
        <w:numPr>
          <w:ilvl w:val="3"/>
          <w:numId w:val="111"/>
        </w:numPr>
        <w:spacing w:line="360" w:lineRule="auto"/>
        <w:ind w:left="567" w:hanging="425" w:firstLineChars="0"/>
        <w:jc w:val="left"/>
        <w:rPr>
          <w:rFonts w:ascii="黑体" w:hAnsi="黑体" w:eastAsia="黑体"/>
        </w:rPr>
      </w:pPr>
      <w:r>
        <w:rPr>
          <w:rFonts w:ascii="黑体" w:hAnsi="黑体" w:eastAsia="黑体"/>
        </w:rPr>
        <w:t>残疾人福利性单位声明函（如需）</w:t>
      </w:r>
    </w:p>
    <w:p w14:paraId="3C3C73C5">
      <w:pPr>
        <w:pStyle w:val="29"/>
        <w:numPr>
          <w:ilvl w:val="3"/>
          <w:numId w:val="111"/>
        </w:numPr>
        <w:spacing w:line="360" w:lineRule="auto"/>
        <w:ind w:left="567" w:hanging="425" w:firstLineChars="0"/>
        <w:jc w:val="left"/>
        <w:rPr>
          <w:rFonts w:ascii="黑体" w:hAnsi="黑体" w:eastAsia="黑体"/>
        </w:rPr>
      </w:pPr>
      <w:r>
        <w:rPr>
          <w:rFonts w:ascii="黑体" w:hAnsi="黑体" w:eastAsia="黑体"/>
        </w:rPr>
        <w:t>监狱企业的证明文件（如需）</w:t>
      </w:r>
    </w:p>
    <w:p w14:paraId="76322E92">
      <w:pPr>
        <w:pStyle w:val="29"/>
        <w:numPr>
          <w:ilvl w:val="3"/>
          <w:numId w:val="111"/>
        </w:numPr>
        <w:spacing w:line="360" w:lineRule="auto"/>
        <w:ind w:left="567" w:hanging="425" w:firstLineChars="0"/>
        <w:jc w:val="left"/>
        <w:rPr>
          <w:rFonts w:ascii="黑体" w:hAnsi="黑体" w:eastAsia="黑体"/>
        </w:rPr>
      </w:pPr>
      <w:r>
        <w:rPr>
          <w:rFonts w:ascii="黑体" w:hAnsi="黑体" w:eastAsia="黑体"/>
        </w:rPr>
        <w:t>政策适用性说明（如需）</w:t>
      </w:r>
    </w:p>
    <w:p w14:paraId="7E31875A">
      <w:pPr>
        <w:pStyle w:val="29"/>
        <w:numPr>
          <w:ilvl w:val="3"/>
          <w:numId w:val="111"/>
        </w:numPr>
        <w:spacing w:line="360" w:lineRule="auto"/>
        <w:ind w:left="567" w:hanging="425" w:firstLineChars="0"/>
        <w:jc w:val="left"/>
        <w:rPr>
          <w:rFonts w:ascii="黑体" w:hAnsi="黑体" w:eastAsia="黑体"/>
        </w:rPr>
      </w:pPr>
      <w:r>
        <w:rPr>
          <w:rFonts w:ascii="黑体" w:hAnsi="黑体" w:eastAsia="黑体"/>
        </w:rPr>
        <w:t>投标函</w:t>
      </w:r>
    </w:p>
    <w:p w14:paraId="4D2292B0">
      <w:pPr>
        <w:pStyle w:val="29"/>
        <w:numPr>
          <w:ilvl w:val="3"/>
          <w:numId w:val="111"/>
        </w:numPr>
        <w:spacing w:line="360" w:lineRule="auto"/>
        <w:ind w:left="567" w:hanging="425" w:firstLineChars="0"/>
        <w:jc w:val="left"/>
        <w:rPr>
          <w:rFonts w:ascii="黑体" w:hAnsi="黑体" w:eastAsia="黑体"/>
        </w:rPr>
      </w:pPr>
      <w:r>
        <w:rPr>
          <w:rFonts w:ascii="黑体" w:hAnsi="黑体" w:eastAsia="黑体"/>
        </w:rPr>
        <w:t>资格声明函</w:t>
      </w:r>
    </w:p>
    <w:p w14:paraId="426241AE">
      <w:pPr>
        <w:pStyle w:val="29"/>
        <w:numPr>
          <w:ilvl w:val="3"/>
          <w:numId w:val="111"/>
        </w:numPr>
        <w:spacing w:line="360" w:lineRule="auto"/>
        <w:ind w:left="567" w:hanging="425" w:firstLineChars="0"/>
        <w:jc w:val="left"/>
        <w:rPr>
          <w:rFonts w:ascii="黑体" w:hAnsi="黑体" w:eastAsia="黑体"/>
        </w:rPr>
      </w:pPr>
      <w:r>
        <w:rPr>
          <w:rFonts w:ascii="黑体" w:hAnsi="黑体" w:eastAsia="黑体"/>
        </w:rPr>
        <w:t>法定代表人身份证明书</w:t>
      </w:r>
    </w:p>
    <w:p w14:paraId="4E7E7E96">
      <w:pPr>
        <w:pStyle w:val="29"/>
        <w:numPr>
          <w:ilvl w:val="3"/>
          <w:numId w:val="111"/>
        </w:numPr>
        <w:spacing w:line="360" w:lineRule="auto"/>
        <w:ind w:left="567" w:hanging="425" w:firstLineChars="0"/>
        <w:jc w:val="left"/>
        <w:rPr>
          <w:rFonts w:ascii="黑体" w:hAnsi="黑体" w:eastAsia="黑体"/>
        </w:rPr>
      </w:pPr>
      <w:r>
        <w:rPr>
          <w:rFonts w:ascii="黑体" w:hAnsi="黑体" w:eastAsia="黑体"/>
        </w:rPr>
        <w:t>法定代表人授权委托书</w:t>
      </w:r>
    </w:p>
    <w:p w14:paraId="65CB1A2E">
      <w:pPr>
        <w:pStyle w:val="29"/>
        <w:numPr>
          <w:ilvl w:val="3"/>
          <w:numId w:val="111"/>
        </w:numPr>
        <w:spacing w:line="360" w:lineRule="auto"/>
        <w:ind w:left="567" w:hanging="425" w:firstLineChars="0"/>
        <w:jc w:val="left"/>
        <w:rPr>
          <w:rFonts w:ascii="黑体" w:hAnsi="黑体" w:eastAsia="黑体"/>
        </w:rPr>
      </w:pPr>
      <w:r>
        <w:rPr>
          <w:rFonts w:ascii="黑体" w:hAnsi="黑体" w:eastAsia="黑体"/>
        </w:rPr>
        <w:t>投标人基本情况说明</w:t>
      </w:r>
    </w:p>
    <w:p w14:paraId="49A2C678">
      <w:pPr>
        <w:spacing w:line="360" w:lineRule="auto"/>
        <w:ind w:left="567" w:hanging="425"/>
        <w:jc w:val="left"/>
        <w:rPr>
          <w:rFonts w:ascii="黑体" w:hAnsi="黑体" w:eastAsia="黑体"/>
        </w:rPr>
      </w:pPr>
      <w:r>
        <w:rPr>
          <w:rFonts w:hint="eastAsia" w:ascii="黑体" w:hAnsi="黑体" w:eastAsia="黑体"/>
        </w:rPr>
        <w:t>1</w:t>
      </w:r>
      <w:r>
        <w:rPr>
          <w:rFonts w:ascii="黑体" w:hAnsi="黑体" w:eastAsia="黑体"/>
        </w:rPr>
        <w:t>4.1</w:t>
      </w:r>
      <w:bookmarkStart w:id="70" w:name="_Hlk81207453"/>
      <w:r>
        <w:rPr>
          <w:rFonts w:hint="eastAsia" w:ascii="黑体" w:hAnsi="黑体" w:eastAsia="黑体"/>
        </w:rPr>
        <w:t>投标人资格证明文件</w:t>
      </w:r>
      <w:bookmarkEnd w:id="70"/>
    </w:p>
    <w:p w14:paraId="269B26D5">
      <w:pPr>
        <w:pStyle w:val="29"/>
        <w:numPr>
          <w:ilvl w:val="3"/>
          <w:numId w:val="111"/>
        </w:numPr>
        <w:spacing w:line="360" w:lineRule="auto"/>
        <w:ind w:left="567" w:hanging="425" w:firstLineChars="0"/>
        <w:jc w:val="left"/>
        <w:rPr>
          <w:rFonts w:ascii="黑体" w:hAnsi="黑体" w:eastAsia="黑体"/>
        </w:rPr>
      </w:pPr>
      <w:r>
        <w:rPr>
          <w:rFonts w:ascii="黑体" w:hAnsi="黑体" w:eastAsia="黑体"/>
        </w:rPr>
        <w:t>业绩表</w:t>
      </w:r>
      <w:r>
        <w:rPr>
          <w:rFonts w:ascii="黑体" w:hAnsi="黑体" w:eastAsia="黑体"/>
        </w:rPr>
        <w:tab/>
      </w:r>
    </w:p>
    <w:p w14:paraId="292D86DB">
      <w:pPr>
        <w:pStyle w:val="29"/>
        <w:numPr>
          <w:ilvl w:val="3"/>
          <w:numId w:val="111"/>
        </w:numPr>
        <w:spacing w:line="360" w:lineRule="auto"/>
        <w:ind w:left="567" w:hanging="425" w:firstLineChars="0"/>
        <w:jc w:val="left"/>
        <w:rPr>
          <w:rFonts w:ascii="黑体" w:hAnsi="黑体" w:eastAsia="黑体"/>
        </w:rPr>
      </w:pPr>
      <w:r>
        <w:rPr>
          <w:rFonts w:ascii="黑体" w:hAnsi="黑体" w:eastAsia="黑体"/>
        </w:rPr>
        <w:t>商务要求偏离表</w:t>
      </w:r>
      <w:r>
        <w:rPr>
          <w:rFonts w:ascii="黑体" w:hAnsi="黑体" w:eastAsia="黑体"/>
        </w:rPr>
        <w:tab/>
      </w:r>
    </w:p>
    <w:p w14:paraId="3B905B4F">
      <w:pPr>
        <w:pStyle w:val="29"/>
        <w:numPr>
          <w:ilvl w:val="3"/>
          <w:numId w:val="111"/>
        </w:numPr>
        <w:spacing w:line="360" w:lineRule="auto"/>
        <w:ind w:left="567" w:hanging="425" w:firstLineChars="0"/>
        <w:jc w:val="left"/>
        <w:rPr>
          <w:rFonts w:ascii="黑体" w:hAnsi="黑体" w:eastAsia="黑体"/>
        </w:rPr>
      </w:pPr>
      <w:r>
        <w:rPr>
          <w:rFonts w:hint="eastAsia" w:ascii="黑体" w:hAnsi="黑体" w:eastAsia="黑体"/>
        </w:rPr>
        <w:t>投标货物详细说明</w:t>
      </w:r>
    </w:p>
    <w:p w14:paraId="529B525B">
      <w:pPr>
        <w:pStyle w:val="29"/>
        <w:numPr>
          <w:ilvl w:val="3"/>
          <w:numId w:val="111"/>
        </w:numPr>
        <w:spacing w:line="360" w:lineRule="auto"/>
        <w:ind w:left="567" w:hanging="425" w:firstLineChars="0"/>
        <w:jc w:val="left"/>
        <w:rPr>
          <w:rFonts w:ascii="黑体" w:hAnsi="黑体" w:eastAsia="黑体"/>
        </w:rPr>
      </w:pPr>
      <w:r>
        <w:rPr>
          <w:rFonts w:ascii="黑体" w:hAnsi="黑体" w:eastAsia="黑体"/>
        </w:rPr>
        <w:t>拟投入本项目设备情况表</w:t>
      </w:r>
    </w:p>
    <w:p w14:paraId="2BB33BE2">
      <w:pPr>
        <w:pStyle w:val="29"/>
        <w:numPr>
          <w:ilvl w:val="3"/>
          <w:numId w:val="111"/>
        </w:numPr>
        <w:spacing w:line="360" w:lineRule="auto"/>
        <w:ind w:left="567" w:hanging="425" w:firstLineChars="0"/>
        <w:jc w:val="left"/>
        <w:rPr>
          <w:rFonts w:ascii="黑体" w:hAnsi="黑体" w:eastAsia="黑体"/>
        </w:rPr>
      </w:pPr>
      <w:r>
        <w:rPr>
          <w:rFonts w:ascii="黑体" w:hAnsi="黑体" w:eastAsia="黑体"/>
        </w:rPr>
        <w:t>项目技术服务人员情况表</w:t>
      </w:r>
    </w:p>
    <w:p w14:paraId="160D2A3E">
      <w:pPr>
        <w:pStyle w:val="29"/>
        <w:numPr>
          <w:ilvl w:val="3"/>
          <w:numId w:val="111"/>
        </w:numPr>
        <w:spacing w:line="360" w:lineRule="auto"/>
        <w:ind w:left="567" w:hanging="425" w:firstLineChars="0"/>
        <w:jc w:val="left"/>
        <w:rPr>
          <w:rFonts w:ascii="黑体" w:hAnsi="黑体" w:eastAsia="黑体"/>
        </w:rPr>
      </w:pPr>
      <w:r>
        <w:rPr>
          <w:rFonts w:ascii="黑体" w:hAnsi="黑体" w:eastAsia="黑体"/>
        </w:rPr>
        <w:t>项目负责人简历表</w:t>
      </w:r>
    </w:p>
    <w:p w14:paraId="121A3789">
      <w:pPr>
        <w:pStyle w:val="29"/>
        <w:numPr>
          <w:ilvl w:val="3"/>
          <w:numId w:val="111"/>
        </w:numPr>
        <w:spacing w:line="360" w:lineRule="auto"/>
        <w:ind w:left="567" w:hanging="425" w:firstLineChars="0"/>
        <w:jc w:val="left"/>
        <w:rPr>
          <w:rFonts w:ascii="黑体" w:hAnsi="黑体" w:eastAsia="黑体"/>
        </w:rPr>
      </w:pPr>
      <w:r>
        <w:rPr>
          <w:rFonts w:ascii="黑体" w:hAnsi="黑体" w:eastAsia="黑体"/>
        </w:rPr>
        <w:t>技术要求偏离表</w:t>
      </w:r>
    </w:p>
    <w:p w14:paraId="12D1404A">
      <w:pPr>
        <w:pStyle w:val="29"/>
        <w:numPr>
          <w:ilvl w:val="3"/>
          <w:numId w:val="111"/>
        </w:numPr>
        <w:spacing w:line="360" w:lineRule="auto"/>
        <w:ind w:left="567" w:hanging="425" w:firstLineChars="0"/>
        <w:jc w:val="left"/>
        <w:rPr>
          <w:rFonts w:ascii="黑体" w:hAnsi="黑体" w:eastAsia="黑体"/>
        </w:rPr>
      </w:pPr>
      <w:r>
        <w:rPr>
          <w:rFonts w:hint="eastAsia" w:ascii="黑体" w:hAnsi="黑体" w:eastAsia="黑体"/>
        </w:rPr>
        <w:t>★号条款响应一览表（可选）</w:t>
      </w:r>
    </w:p>
    <w:p w14:paraId="009C0F3C">
      <w:pPr>
        <w:pStyle w:val="29"/>
        <w:numPr>
          <w:ilvl w:val="3"/>
          <w:numId w:val="111"/>
        </w:numPr>
        <w:spacing w:line="360" w:lineRule="auto"/>
        <w:ind w:left="567" w:hanging="425" w:firstLineChars="0"/>
        <w:jc w:val="left"/>
        <w:rPr>
          <w:rFonts w:ascii="黑体" w:hAnsi="黑体" w:eastAsia="黑体"/>
        </w:rPr>
      </w:pPr>
      <w:r>
        <w:rPr>
          <w:rFonts w:hint="eastAsia" w:ascii="黑体" w:hAnsi="黑体" w:eastAsia="黑体"/>
        </w:rPr>
        <w:t>▲号条款要求扣分明细响应表（可选）</w:t>
      </w:r>
    </w:p>
    <w:p w14:paraId="7E0114AF">
      <w:pPr>
        <w:pStyle w:val="29"/>
        <w:numPr>
          <w:ilvl w:val="3"/>
          <w:numId w:val="111"/>
        </w:numPr>
        <w:spacing w:line="360" w:lineRule="auto"/>
        <w:ind w:left="567" w:hanging="425" w:firstLineChars="0"/>
        <w:jc w:val="left"/>
        <w:rPr>
          <w:rFonts w:ascii="黑体" w:hAnsi="黑体" w:eastAsia="黑体"/>
        </w:rPr>
      </w:pPr>
      <w:r>
        <w:rPr>
          <w:rFonts w:ascii="黑体" w:hAnsi="黑体" w:eastAsia="黑体"/>
        </w:rPr>
        <w:t>投标保证金汇入情况说明（</w:t>
      </w:r>
      <w:r>
        <w:rPr>
          <w:rFonts w:hint="eastAsia" w:ascii="黑体" w:hAnsi="黑体" w:eastAsia="黑体"/>
        </w:rPr>
        <w:t>或</w:t>
      </w:r>
      <w:r>
        <w:rPr>
          <w:rFonts w:ascii="黑体" w:hAnsi="黑体" w:eastAsia="黑体"/>
        </w:rPr>
        <w:t>政府采购投标担保函递交情况说明）</w:t>
      </w:r>
    </w:p>
    <w:p w14:paraId="0A837E02">
      <w:pPr>
        <w:pStyle w:val="29"/>
        <w:numPr>
          <w:ilvl w:val="3"/>
          <w:numId w:val="111"/>
        </w:numPr>
        <w:spacing w:line="360" w:lineRule="auto"/>
        <w:ind w:left="567" w:hanging="425" w:firstLineChars="0"/>
        <w:jc w:val="left"/>
        <w:rPr>
          <w:rFonts w:ascii="黑体" w:hAnsi="黑体" w:eastAsia="黑体"/>
        </w:rPr>
      </w:pPr>
      <w:r>
        <w:rPr>
          <w:rFonts w:ascii="黑体" w:hAnsi="黑体" w:eastAsia="黑体"/>
        </w:rPr>
        <w:t>项目实施方案（投标人自行编写）</w:t>
      </w:r>
    </w:p>
    <w:p w14:paraId="215C1612">
      <w:pPr>
        <w:spacing w:line="360" w:lineRule="auto"/>
        <w:jc w:val="left"/>
        <w:rPr>
          <w:rFonts w:ascii="黑体" w:hAnsi="黑体" w:eastAsia="黑体"/>
        </w:rPr>
      </w:pPr>
    </w:p>
    <w:p w14:paraId="628384C3"/>
    <w:p w14:paraId="5E3F9225">
      <w:pPr>
        <w:pStyle w:val="29"/>
        <w:pageBreakBefore/>
        <w:numPr>
          <w:ilvl w:val="0"/>
          <w:numId w:val="112"/>
        </w:numPr>
        <w:tabs>
          <w:tab w:val="left" w:pos="284"/>
          <w:tab w:val="left" w:pos="426"/>
          <w:tab w:val="left" w:pos="709"/>
        </w:tabs>
        <w:ind w:left="1679" w:hanging="1537" w:firstLineChars="0"/>
        <w:jc w:val="left"/>
        <w:rPr>
          <w:rFonts w:ascii="黑体" w:hAnsi="黑体" w:eastAsia="黑体"/>
          <w:b/>
          <w:bCs/>
        </w:rPr>
      </w:pPr>
      <w:r>
        <w:rPr>
          <w:rFonts w:hint="eastAsia" w:ascii="黑体" w:hAnsi="黑体" w:eastAsia="黑体"/>
          <w:b/>
          <w:bCs/>
        </w:rPr>
        <w:t>资格性自查索引表</w:t>
      </w:r>
    </w:p>
    <w:p w14:paraId="47D68529">
      <w:pPr>
        <w:spacing w:before="312" w:beforeLines="100" w:after="312" w:afterLines="100"/>
        <w:jc w:val="center"/>
        <w:rPr>
          <w:rFonts w:ascii="黑体" w:hAnsi="黑体" w:eastAsia="黑体" w:cs="Times New Roman"/>
          <w:b/>
          <w:color w:val="000000" w:themeColor="text1"/>
          <w:spacing w:val="20"/>
          <w:sz w:val="30"/>
          <w:szCs w:val="30"/>
          <w14:textFill>
            <w14:solidFill>
              <w14:schemeClr w14:val="tx1"/>
            </w14:solidFill>
          </w14:textFill>
        </w:rPr>
      </w:pPr>
      <w:r>
        <w:rPr>
          <w:rFonts w:hint="eastAsia" w:ascii="黑体" w:hAnsi="黑体" w:eastAsia="黑体" w:cs="Times New Roman"/>
          <w:b/>
          <w:color w:val="000000" w:themeColor="text1"/>
          <w:spacing w:val="20"/>
          <w:sz w:val="30"/>
          <w:szCs w:val="30"/>
          <w14:textFill>
            <w14:solidFill>
              <w14:schemeClr w14:val="tx1"/>
            </w14:solidFill>
          </w14:textFill>
        </w:rPr>
        <w:t>资格性自查索引表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4936"/>
        <w:gridCol w:w="1312"/>
        <w:gridCol w:w="1806"/>
      </w:tblGrid>
      <w:tr w14:paraId="3BC99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7" w:type="pct"/>
            <w:vAlign w:val="center"/>
          </w:tcPr>
          <w:p w14:paraId="1FB12337">
            <w:pPr>
              <w:spacing w:line="360" w:lineRule="auto"/>
              <w:jc w:val="center"/>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序号</w:t>
            </w:r>
          </w:p>
        </w:tc>
        <w:tc>
          <w:tcPr>
            <w:tcW w:w="2815" w:type="pct"/>
            <w:tcBorders>
              <w:bottom w:val="single" w:color="auto" w:sz="4" w:space="0"/>
              <w:tl2br w:val="nil"/>
            </w:tcBorders>
            <w:vAlign w:val="center"/>
          </w:tcPr>
          <w:p w14:paraId="69A0C839">
            <w:pPr>
              <w:spacing w:line="360" w:lineRule="auto"/>
              <w:ind w:left="211" w:hanging="211" w:hangingChars="100"/>
              <w:jc w:val="center"/>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审查内容</w:t>
            </w:r>
          </w:p>
        </w:tc>
        <w:tc>
          <w:tcPr>
            <w:tcW w:w="748" w:type="pct"/>
            <w:vAlign w:val="center"/>
          </w:tcPr>
          <w:p w14:paraId="582E2B57">
            <w:pPr>
              <w:spacing w:line="360" w:lineRule="auto"/>
              <w:jc w:val="center"/>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自查</w:t>
            </w:r>
          </w:p>
          <w:p w14:paraId="7E419360">
            <w:pPr>
              <w:spacing w:line="360" w:lineRule="auto"/>
              <w:jc w:val="center"/>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结论</w:t>
            </w:r>
          </w:p>
        </w:tc>
        <w:tc>
          <w:tcPr>
            <w:tcW w:w="1030" w:type="pct"/>
            <w:vAlign w:val="center"/>
          </w:tcPr>
          <w:p w14:paraId="34BFC3DC">
            <w:pPr>
              <w:spacing w:line="360" w:lineRule="auto"/>
              <w:jc w:val="center"/>
              <w:rPr>
                <w:rFonts w:ascii="黑体" w:hAnsi="黑体" w:eastAsia="黑体"/>
                <w:b/>
                <w:bCs/>
                <w:color w:val="000000" w:themeColor="text1"/>
                <w:spacing w:val="-10"/>
                <w:szCs w:val="21"/>
                <w14:textFill>
                  <w14:solidFill>
                    <w14:schemeClr w14:val="tx1"/>
                  </w14:solidFill>
                </w14:textFill>
              </w:rPr>
            </w:pPr>
            <w:r>
              <w:rPr>
                <w:rFonts w:ascii="黑体" w:hAnsi="黑体" w:eastAsia="黑体"/>
                <w:b/>
                <w:bCs/>
                <w:color w:val="000000" w:themeColor="text1"/>
                <w:spacing w:val="-10"/>
                <w:szCs w:val="21"/>
                <w14:textFill>
                  <w14:solidFill>
                    <w14:schemeClr w14:val="tx1"/>
                  </w14:solidFill>
                </w14:textFill>
              </w:rPr>
              <w:t>投标文件响应页码</w:t>
            </w:r>
          </w:p>
        </w:tc>
      </w:tr>
      <w:tr w14:paraId="2B67B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14:paraId="40B2A5A7">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1</w:t>
            </w:r>
          </w:p>
        </w:tc>
        <w:tc>
          <w:tcPr>
            <w:tcW w:w="2815" w:type="pct"/>
            <w:tcBorders>
              <w:tl2br w:val="nil"/>
            </w:tcBorders>
            <w:vAlign w:val="center"/>
          </w:tcPr>
          <w:p w14:paraId="2089CD2A">
            <w:pPr>
              <w:jc w:val="left"/>
              <w:rPr>
                <w:rFonts w:ascii="黑体" w:hAnsi="黑体" w:eastAsia="黑体"/>
                <w:color w:val="000000" w:themeColor="text1"/>
                <w14:textFill>
                  <w14:solidFill>
                    <w14:schemeClr w14:val="tx1"/>
                  </w14:solidFill>
                </w14:textFill>
              </w:rPr>
            </w:pPr>
          </w:p>
        </w:tc>
        <w:tc>
          <w:tcPr>
            <w:tcW w:w="748" w:type="pct"/>
            <w:vAlign w:val="center"/>
          </w:tcPr>
          <w:p w14:paraId="61908166">
            <w:pPr>
              <w:spacing w:line="360" w:lineRule="auto"/>
              <w:jc w:val="center"/>
              <w:rPr>
                <w:rFonts w:ascii="黑体" w:hAnsi="黑体" w:eastAsia="黑体"/>
                <w:bCs/>
                <w:color w:val="000000" w:themeColor="text1"/>
                <w:szCs w:val="21"/>
                <w14:textFill>
                  <w14:solidFill>
                    <w14:schemeClr w14:val="tx1"/>
                  </w14:solidFill>
                </w14:textFill>
              </w:rPr>
            </w:pPr>
          </w:p>
        </w:tc>
        <w:tc>
          <w:tcPr>
            <w:tcW w:w="1030" w:type="pct"/>
            <w:vAlign w:val="center"/>
          </w:tcPr>
          <w:p w14:paraId="7FC10848">
            <w:pPr>
              <w:spacing w:line="360" w:lineRule="auto"/>
              <w:jc w:val="center"/>
              <w:rPr>
                <w:rFonts w:ascii="黑体" w:hAnsi="黑体" w:eastAsia="黑体"/>
                <w:bCs/>
                <w:color w:val="000000" w:themeColor="text1"/>
                <w:szCs w:val="21"/>
                <w14:textFill>
                  <w14:solidFill>
                    <w14:schemeClr w14:val="tx1"/>
                  </w14:solidFill>
                </w14:textFill>
              </w:rPr>
            </w:pPr>
          </w:p>
        </w:tc>
      </w:tr>
      <w:tr w14:paraId="49E4D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44F2DC94">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2</w:t>
            </w:r>
          </w:p>
        </w:tc>
        <w:tc>
          <w:tcPr>
            <w:tcW w:w="2815" w:type="pct"/>
            <w:vAlign w:val="center"/>
          </w:tcPr>
          <w:p w14:paraId="3404F986">
            <w:pPr>
              <w:spacing w:line="360" w:lineRule="auto"/>
              <w:jc w:val="left"/>
              <w:rPr>
                <w:rFonts w:ascii="黑体" w:hAnsi="黑体" w:eastAsia="黑体"/>
                <w:b/>
                <w:bCs/>
                <w:color w:val="000000" w:themeColor="text1"/>
                <w:szCs w:val="21"/>
                <w14:textFill>
                  <w14:solidFill>
                    <w14:schemeClr w14:val="tx1"/>
                  </w14:solidFill>
                </w14:textFill>
              </w:rPr>
            </w:pPr>
          </w:p>
        </w:tc>
        <w:tc>
          <w:tcPr>
            <w:tcW w:w="748" w:type="pct"/>
            <w:vAlign w:val="center"/>
          </w:tcPr>
          <w:p w14:paraId="3DE568C4">
            <w:pPr>
              <w:spacing w:line="360" w:lineRule="auto"/>
              <w:jc w:val="center"/>
              <w:rPr>
                <w:rFonts w:ascii="黑体" w:hAnsi="黑体" w:eastAsia="黑体"/>
                <w:b/>
                <w:bCs/>
                <w:color w:val="000000" w:themeColor="text1"/>
                <w:szCs w:val="21"/>
                <w14:textFill>
                  <w14:solidFill>
                    <w14:schemeClr w14:val="tx1"/>
                  </w14:solidFill>
                </w14:textFill>
              </w:rPr>
            </w:pPr>
          </w:p>
        </w:tc>
        <w:tc>
          <w:tcPr>
            <w:tcW w:w="1030" w:type="pct"/>
            <w:vAlign w:val="center"/>
          </w:tcPr>
          <w:p w14:paraId="24F0EDF0">
            <w:pPr>
              <w:spacing w:line="360" w:lineRule="auto"/>
              <w:jc w:val="center"/>
              <w:rPr>
                <w:rFonts w:ascii="黑体" w:hAnsi="黑体" w:eastAsia="黑体"/>
                <w:b/>
                <w:bCs/>
                <w:color w:val="000000" w:themeColor="text1"/>
                <w:szCs w:val="21"/>
                <w14:textFill>
                  <w14:solidFill>
                    <w14:schemeClr w14:val="tx1"/>
                  </w14:solidFill>
                </w14:textFill>
              </w:rPr>
            </w:pPr>
          </w:p>
        </w:tc>
      </w:tr>
      <w:tr w14:paraId="3B89F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6AE50364">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3</w:t>
            </w:r>
          </w:p>
        </w:tc>
        <w:tc>
          <w:tcPr>
            <w:tcW w:w="2815" w:type="pct"/>
            <w:vAlign w:val="center"/>
          </w:tcPr>
          <w:p w14:paraId="6EBFF51B">
            <w:pPr>
              <w:spacing w:line="360" w:lineRule="auto"/>
              <w:jc w:val="left"/>
              <w:rPr>
                <w:rFonts w:ascii="黑体" w:hAnsi="黑体" w:eastAsia="黑体"/>
                <w:b/>
                <w:bCs/>
                <w:color w:val="000000" w:themeColor="text1"/>
                <w:szCs w:val="21"/>
                <w14:textFill>
                  <w14:solidFill>
                    <w14:schemeClr w14:val="tx1"/>
                  </w14:solidFill>
                </w14:textFill>
              </w:rPr>
            </w:pPr>
          </w:p>
        </w:tc>
        <w:tc>
          <w:tcPr>
            <w:tcW w:w="748" w:type="pct"/>
            <w:vAlign w:val="center"/>
          </w:tcPr>
          <w:p w14:paraId="552B0EA9">
            <w:pPr>
              <w:spacing w:line="360" w:lineRule="auto"/>
              <w:jc w:val="center"/>
              <w:rPr>
                <w:rFonts w:ascii="黑体" w:hAnsi="黑体" w:eastAsia="黑体"/>
                <w:b/>
                <w:bCs/>
                <w:color w:val="000000" w:themeColor="text1"/>
                <w:szCs w:val="21"/>
                <w14:textFill>
                  <w14:solidFill>
                    <w14:schemeClr w14:val="tx1"/>
                  </w14:solidFill>
                </w14:textFill>
              </w:rPr>
            </w:pPr>
          </w:p>
        </w:tc>
        <w:tc>
          <w:tcPr>
            <w:tcW w:w="1030" w:type="pct"/>
            <w:vAlign w:val="center"/>
          </w:tcPr>
          <w:p w14:paraId="6FDE3AFD">
            <w:pPr>
              <w:spacing w:line="360" w:lineRule="auto"/>
              <w:jc w:val="center"/>
              <w:rPr>
                <w:rFonts w:ascii="黑体" w:hAnsi="黑体" w:eastAsia="黑体"/>
                <w:b/>
                <w:bCs/>
                <w:color w:val="000000" w:themeColor="text1"/>
                <w:szCs w:val="21"/>
                <w14:textFill>
                  <w14:solidFill>
                    <w14:schemeClr w14:val="tx1"/>
                  </w14:solidFill>
                </w14:textFill>
              </w:rPr>
            </w:pPr>
          </w:p>
        </w:tc>
      </w:tr>
      <w:tr w14:paraId="0A6CA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367D2303">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4</w:t>
            </w:r>
          </w:p>
        </w:tc>
        <w:tc>
          <w:tcPr>
            <w:tcW w:w="2815" w:type="pct"/>
            <w:vAlign w:val="center"/>
          </w:tcPr>
          <w:p w14:paraId="79B4F577">
            <w:pPr>
              <w:spacing w:line="360" w:lineRule="auto"/>
              <w:jc w:val="left"/>
              <w:rPr>
                <w:rFonts w:ascii="黑体" w:hAnsi="黑体" w:eastAsia="黑体"/>
                <w:b/>
                <w:bCs/>
                <w:color w:val="000000" w:themeColor="text1"/>
                <w:szCs w:val="21"/>
                <w14:textFill>
                  <w14:solidFill>
                    <w14:schemeClr w14:val="tx1"/>
                  </w14:solidFill>
                </w14:textFill>
              </w:rPr>
            </w:pPr>
          </w:p>
        </w:tc>
        <w:tc>
          <w:tcPr>
            <w:tcW w:w="748" w:type="pct"/>
            <w:vAlign w:val="center"/>
          </w:tcPr>
          <w:p w14:paraId="2E39CC18">
            <w:pPr>
              <w:spacing w:line="360" w:lineRule="auto"/>
              <w:jc w:val="center"/>
              <w:rPr>
                <w:rFonts w:ascii="黑体" w:hAnsi="黑体" w:eastAsia="黑体"/>
                <w:b/>
                <w:bCs/>
                <w:color w:val="000000" w:themeColor="text1"/>
                <w:szCs w:val="21"/>
                <w14:textFill>
                  <w14:solidFill>
                    <w14:schemeClr w14:val="tx1"/>
                  </w14:solidFill>
                </w14:textFill>
              </w:rPr>
            </w:pPr>
          </w:p>
        </w:tc>
        <w:tc>
          <w:tcPr>
            <w:tcW w:w="1030" w:type="pct"/>
            <w:vAlign w:val="center"/>
          </w:tcPr>
          <w:p w14:paraId="7A5783EA">
            <w:pPr>
              <w:spacing w:line="360" w:lineRule="auto"/>
              <w:jc w:val="center"/>
              <w:rPr>
                <w:rFonts w:ascii="黑体" w:hAnsi="黑体" w:eastAsia="黑体"/>
                <w:b/>
                <w:bCs/>
                <w:color w:val="000000" w:themeColor="text1"/>
                <w:szCs w:val="21"/>
                <w14:textFill>
                  <w14:solidFill>
                    <w14:schemeClr w14:val="tx1"/>
                  </w14:solidFill>
                </w14:textFill>
              </w:rPr>
            </w:pPr>
          </w:p>
        </w:tc>
      </w:tr>
    </w:tbl>
    <w:p w14:paraId="057551AE">
      <w:pPr>
        <w:spacing w:before="156" w:beforeLines="50" w:line="360" w:lineRule="auto"/>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注明：</w:t>
      </w:r>
    </w:p>
    <w:p w14:paraId="00CB3F9B">
      <w:pPr>
        <w:pStyle w:val="29"/>
        <w:numPr>
          <w:ilvl w:val="0"/>
          <w:numId w:val="113"/>
        </w:numPr>
        <w:spacing w:line="360" w:lineRule="auto"/>
        <w:ind w:firstLineChars="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自查结论处请填写：通过</w:t>
      </w:r>
      <w:r>
        <w:rPr>
          <w:rFonts w:ascii="黑体" w:hAnsi="黑体" w:eastAsia="黑体"/>
          <w:color w:val="000000" w:themeColor="text1"/>
          <w14:textFill>
            <w14:solidFill>
              <w14:schemeClr w14:val="tx1"/>
            </w14:solidFill>
          </w14:textFill>
        </w:rPr>
        <w:t>/不通过；</w:t>
      </w:r>
    </w:p>
    <w:p w14:paraId="1053C40D">
      <w:pPr>
        <w:pStyle w:val="29"/>
        <w:numPr>
          <w:ilvl w:val="0"/>
          <w:numId w:val="113"/>
        </w:numPr>
        <w:spacing w:line="360" w:lineRule="auto"/>
        <w:ind w:firstLineChars="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按招标文件第五部分</w:t>
      </w:r>
      <w:r>
        <w:rPr>
          <w:rFonts w:ascii="黑体" w:hAnsi="黑体" w:eastAsia="黑体"/>
          <w:color w:val="000000" w:themeColor="text1"/>
          <w:szCs w:val="21"/>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评标方法、步骤、标准之附表资格性审查表（</w:t>
      </w:r>
      <w:r>
        <w:rPr>
          <w:rFonts w:hint="eastAsia" w:ascii="黑体" w:hAnsi="黑体" w:eastAsia="黑体"/>
          <w:color w:val="000000" w:themeColor="text1"/>
          <w:kern w:val="0"/>
          <w:szCs w:val="21"/>
          <w14:textFill>
            <w14:solidFill>
              <w14:schemeClr w14:val="tx1"/>
            </w14:solidFill>
          </w14:textFill>
        </w:rPr>
        <w:t>附表一）</w:t>
      </w:r>
      <w:r>
        <w:rPr>
          <w:rFonts w:hint="eastAsia" w:ascii="黑体" w:hAnsi="黑体" w:eastAsia="黑体"/>
          <w:color w:val="000000" w:themeColor="text1"/>
          <w:szCs w:val="21"/>
          <w14:textFill>
            <w14:solidFill>
              <w14:schemeClr w14:val="tx1"/>
            </w14:solidFill>
          </w14:textFill>
        </w:rPr>
        <w:t>相对应条款填写</w:t>
      </w:r>
      <w:r>
        <w:rPr>
          <w:rFonts w:hint="eastAsia" w:ascii="黑体" w:hAnsi="黑体" w:eastAsia="黑体"/>
          <w:color w:val="000000" w:themeColor="text1"/>
          <w14:textFill>
            <w14:solidFill>
              <w14:schemeClr w14:val="tx1"/>
            </w14:solidFill>
          </w14:textFill>
        </w:rPr>
        <w:t>。</w:t>
      </w:r>
    </w:p>
    <w:p w14:paraId="7894D6AD">
      <w:pPr>
        <w:spacing w:line="360" w:lineRule="auto"/>
        <w:rPr>
          <w:rFonts w:ascii="黑体" w:hAnsi="黑体" w:eastAsia="黑体"/>
          <w:color w:val="000000" w:themeColor="text1"/>
          <w14:textFill>
            <w14:solidFill>
              <w14:schemeClr w14:val="tx1"/>
            </w14:solidFill>
          </w14:textFill>
        </w:rPr>
      </w:pPr>
    </w:p>
    <w:p w14:paraId="00FC99C8">
      <w:pPr>
        <w:spacing w:line="360" w:lineRule="auto"/>
        <w:rPr>
          <w:rFonts w:ascii="黑体" w:hAnsi="黑体" w:eastAsia="黑体"/>
          <w:color w:val="000000" w:themeColor="text1"/>
          <w14:textFill>
            <w14:solidFill>
              <w14:schemeClr w14:val="tx1"/>
            </w14:solidFill>
          </w14:textFill>
        </w:rPr>
      </w:pPr>
    </w:p>
    <w:p w14:paraId="75A45150">
      <w:pPr>
        <w:spacing w:line="360" w:lineRule="auto"/>
        <w:rPr>
          <w:rFonts w:ascii="黑体" w:hAnsi="黑体" w:eastAsia="黑体"/>
          <w:color w:val="000000" w:themeColor="text1"/>
          <w14:textFill>
            <w14:solidFill>
              <w14:schemeClr w14:val="tx1"/>
            </w14:solidFill>
          </w14:textFill>
        </w:rPr>
      </w:pPr>
    </w:p>
    <w:tbl>
      <w:tblPr>
        <w:tblStyle w:val="19"/>
        <w:tblW w:w="0" w:type="auto"/>
        <w:tblInd w:w="0" w:type="dxa"/>
        <w:tblLayout w:type="autofit"/>
        <w:tblCellMar>
          <w:top w:w="0" w:type="dxa"/>
          <w:left w:w="108" w:type="dxa"/>
          <w:bottom w:w="0" w:type="dxa"/>
          <w:right w:w="108" w:type="dxa"/>
        </w:tblCellMar>
      </w:tblPr>
      <w:tblGrid>
        <w:gridCol w:w="5353"/>
        <w:gridCol w:w="3175"/>
      </w:tblGrid>
      <w:tr w14:paraId="06696926">
        <w:tblPrEx>
          <w:tblCellMar>
            <w:top w:w="0" w:type="dxa"/>
            <w:left w:w="108" w:type="dxa"/>
            <w:bottom w:w="0" w:type="dxa"/>
            <w:right w:w="108" w:type="dxa"/>
          </w:tblCellMar>
        </w:tblPrEx>
        <w:tc>
          <w:tcPr>
            <w:tcW w:w="5353" w:type="dxa"/>
          </w:tcPr>
          <w:p w14:paraId="3BD06B17">
            <w:pPr>
              <w:overflowPunct w:val="0"/>
              <w:adjustRightInd w:val="0"/>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投标人名称（加盖公章）：</w:t>
            </w:r>
            <w:r>
              <w:rPr>
                <w:rFonts w:ascii="黑体" w:hAnsi="黑体" w:eastAsia="黑体"/>
                <w:color w:val="000000" w:themeColor="text1"/>
                <w:szCs w:val="21"/>
                <w:u w:val="single"/>
                <w14:textFill>
                  <w14:solidFill>
                    <w14:schemeClr w14:val="tx1"/>
                  </w14:solidFill>
                </w14:textFill>
              </w:rPr>
              <w:t xml:space="preserve">                         </w:t>
            </w:r>
          </w:p>
        </w:tc>
        <w:tc>
          <w:tcPr>
            <w:tcW w:w="3175" w:type="dxa"/>
          </w:tcPr>
          <w:p w14:paraId="45A92E7E">
            <w:pPr>
              <w:spacing w:line="360" w:lineRule="auto"/>
              <w:rPr>
                <w:rFonts w:ascii="黑体" w:hAnsi="黑体" w:eastAsia="黑体"/>
                <w:color w:val="000000" w:themeColor="text1"/>
                <w:szCs w:val="21"/>
                <w14:textFill>
                  <w14:solidFill>
                    <w14:schemeClr w14:val="tx1"/>
                  </w14:solidFill>
                </w14:textFill>
              </w:rPr>
            </w:pPr>
          </w:p>
        </w:tc>
      </w:tr>
      <w:tr w14:paraId="62B6B4C1">
        <w:tblPrEx>
          <w:tblCellMar>
            <w:top w:w="0" w:type="dxa"/>
            <w:left w:w="108" w:type="dxa"/>
            <w:bottom w:w="0" w:type="dxa"/>
            <w:right w:w="108" w:type="dxa"/>
          </w:tblCellMar>
        </w:tblPrEx>
        <w:tc>
          <w:tcPr>
            <w:tcW w:w="5353" w:type="dxa"/>
          </w:tcPr>
          <w:p w14:paraId="14F39453">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日期：</w:t>
            </w:r>
            <w:r>
              <w:rPr>
                <w:rFonts w:ascii="黑体" w:hAnsi="黑体" w:eastAsia="黑体"/>
                <w:color w:val="000000" w:themeColor="text1"/>
                <w:szCs w:val="21"/>
                <w:u w:val="single"/>
                <w14:textFill>
                  <w14:solidFill>
                    <w14:schemeClr w14:val="tx1"/>
                  </w14:solidFill>
                </w14:textFill>
              </w:rPr>
              <w:t xml:space="preserve">             年           月            日</w:t>
            </w:r>
          </w:p>
        </w:tc>
        <w:tc>
          <w:tcPr>
            <w:tcW w:w="3175" w:type="dxa"/>
          </w:tcPr>
          <w:p w14:paraId="5F8DEC7F">
            <w:pPr>
              <w:spacing w:line="360" w:lineRule="auto"/>
              <w:rPr>
                <w:rFonts w:ascii="黑体" w:hAnsi="黑体" w:eastAsia="黑体"/>
                <w:color w:val="000000" w:themeColor="text1"/>
                <w:szCs w:val="21"/>
                <w14:textFill>
                  <w14:solidFill>
                    <w14:schemeClr w14:val="tx1"/>
                  </w14:solidFill>
                </w14:textFill>
              </w:rPr>
            </w:pPr>
          </w:p>
        </w:tc>
      </w:tr>
    </w:tbl>
    <w:p w14:paraId="16412A2E">
      <w:pPr>
        <w:rPr>
          <w:rFonts w:ascii="黑体" w:hAnsi="黑体" w:eastAsia="黑体"/>
          <w:color w:val="000000" w:themeColor="text1"/>
          <w14:textFill>
            <w14:solidFill>
              <w14:schemeClr w14:val="tx1"/>
            </w14:solidFill>
          </w14:textFill>
        </w:rPr>
      </w:pPr>
    </w:p>
    <w:p w14:paraId="5CFBE6EC">
      <w:pPr>
        <w:rPr>
          <w:rFonts w:ascii="黑体" w:hAnsi="黑体" w:eastAsia="黑体"/>
          <w:color w:val="000000" w:themeColor="text1"/>
          <w14:textFill>
            <w14:solidFill>
              <w14:schemeClr w14:val="tx1"/>
            </w14:solidFill>
          </w14:textFill>
        </w:rPr>
      </w:pPr>
    </w:p>
    <w:p w14:paraId="46D6DF20">
      <w:pPr>
        <w:rPr>
          <w:rFonts w:ascii="黑体" w:hAnsi="黑体" w:eastAsia="黑体"/>
          <w:color w:val="000000" w:themeColor="text1"/>
          <w14:textFill>
            <w14:solidFill>
              <w14:schemeClr w14:val="tx1"/>
            </w14:solidFill>
          </w14:textFill>
        </w:rPr>
      </w:pPr>
    </w:p>
    <w:p w14:paraId="3C3A9DFA">
      <w:pPr>
        <w:pStyle w:val="29"/>
        <w:pageBreakBefore/>
        <w:numPr>
          <w:ilvl w:val="0"/>
          <w:numId w:val="112"/>
        </w:numPr>
        <w:tabs>
          <w:tab w:val="left" w:pos="284"/>
          <w:tab w:val="left" w:pos="426"/>
          <w:tab w:val="left" w:pos="709"/>
        </w:tabs>
        <w:ind w:left="1679" w:hanging="1537" w:firstLineChars="0"/>
        <w:jc w:val="left"/>
        <w:rPr>
          <w:rFonts w:ascii="黑体" w:hAnsi="黑体" w:eastAsia="黑体"/>
          <w:b/>
          <w:bCs/>
        </w:rPr>
      </w:pPr>
      <w:r>
        <w:rPr>
          <w:rFonts w:hint="eastAsia" w:ascii="黑体" w:hAnsi="黑体" w:eastAsia="黑体"/>
          <w:b/>
          <w:bCs/>
        </w:rPr>
        <w:t>符合性自查索引表</w:t>
      </w:r>
    </w:p>
    <w:p w14:paraId="2FCB4102">
      <w:pPr>
        <w:spacing w:before="312" w:beforeLines="100" w:after="312" w:afterLines="100"/>
        <w:jc w:val="center"/>
        <w:rPr>
          <w:rFonts w:ascii="黑体" w:hAnsi="黑体" w:eastAsia="黑体" w:cs="Times New Roman"/>
          <w:b/>
          <w:color w:val="000000" w:themeColor="text1"/>
          <w:spacing w:val="20"/>
          <w:sz w:val="30"/>
          <w:szCs w:val="30"/>
          <w14:textFill>
            <w14:solidFill>
              <w14:schemeClr w14:val="tx1"/>
            </w14:solidFill>
          </w14:textFill>
        </w:rPr>
      </w:pPr>
      <w:r>
        <w:rPr>
          <w:rFonts w:hint="eastAsia" w:ascii="黑体" w:hAnsi="黑体" w:eastAsia="黑体" w:cs="Times New Roman"/>
          <w:b/>
          <w:color w:val="000000" w:themeColor="text1"/>
          <w:spacing w:val="20"/>
          <w:sz w:val="30"/>
          <w:szCs w:val="30"/>
          <w14:textFill>
            <w14:solidFill>
              <w14:schemeClr w14:val="tx1"/>
            </w14:solidFill>
          </w14:textFill>
        </w:rPr>
        <w:t>符合性自查索引表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4936"/>
        <w:gridCol w:w="1312"/>
        <w:gridCol w:w="1806"/>
      </w:tblGrid>
      <w:tr w14:paraId="6A934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7" w:type="pct"/>
            <w:vAlign w:val="center"/>
          </w:tcPr>
          <w:p w14:paraId="3869F131">
            <w:pPr>
              <w:spacing w:line="360" w:lineRule="auto"/>
              <w:jc w:val="center"/>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序号</w:t>
            </w:r>
          </w:p>
        </w:tc>
        <w:tc>
          <w:tcPr>
            <w:tcW w:w="2815" w:type="pct"/>
            <w:tcBorders>
              <w:bottom w:val="single" w:color="auto" w:sz="4" w:space="0"/>
              <w:tl2br w:val="nil"/>
            </w:tcBorders>
            <w:vAlign w:val="center"/>
          </w:tcPr>
          <w:p w14:paraId="5356B858">
            <w:pPr>
              <w:spacing w:line="360" w:lineRule="auto"/>
              <w:ind w:left="211" w:hanging="211" w:hangingChars="100"/>
              <w:jc w:val="center"/>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审查内容</w:t>
            </w:r>
          </w:p>
        </w:tc>
        <w:tc>
          <w:tcPr>
            <w:tcW w:w="748" w:type="pct"/>
            <w:vAlign w:val="center"/>
          </w:tcPr>
          <w:p w14:paraId="40EAF61D">
            <w:pPr>
              <w:spacing w:line="360" w:lineRule="auto"/>
              <w:jc w:val="center"/>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自查</w:t>
            </w:r>
          </w:p>
          <w:p w14:paraId="10F090D4">
            <w:pPr>
              <w:spacing w:line="360" w:lineRule="auto"/>
              <w:jc w:val="center"/>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结论</w:t>
            </w:r>
          </w:p>
        </w:tc>
        <w:tc>
          <w:tcPr>
            <w:tcW w:w="1030" w:type="pct"/>
            <w:vAlign w:val="center"/>
          </w:tcPr>
          <w:p w14:paraId="77F0C3C5">
            <w:pPr>
              <w:spacing w:line="360" w:lineRule="auto"/>
              <w:jc w:val="center"/>
              <w:rPr>
                <w:rFonts w:ascii="黑体" w:hAnsi="黑体" w:eastAsia="黑体"/>
                <w:b/>
                <w:bCs/>
                <w:color w:val="000000" w:themeColor="text1"/>
                <w:spacing w:val="-10"/>
                <w:szCs w:val="21"/>
                <w14:textFill>
                  <w14:solidFill>
                    <w14:schemeClr w14:val="tx1"/>
                  </w14:solidFill>
                </w14:textFill>
              </w:rPr>
            </w:pPr>
            <w:r>
              <w:rPr>
                <w:rFonts w:ascii="黑体" w:hAnsi="黑体" w:eastAsia="黑体"/>
                <w:b/>
                <w:bCs/>
                <w:color w:val="000000" w:themeColor="text1"/>
                <w:spacing w:val="-10"/>
                <w:szCs w:val="21"/>
                <w14:textFill>
                  <w14:solidFill>
                    <w14:schemeClr w14:val="tx1"/>
                  </w14:solidFill>
                </w14:textFill>
              </w:rPr>
              <w:t>投标文件响应页码</w:t>
            </w:r>
          </w:p>
        </w:tc>
      </w:tr>
      <w:tr w14:paraId="53388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14:paraId="2E94EEC5">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1</w:t>
            </w:r>
          </w:p>
        </w:tc>
        <w:tc>
          <w:tcPr>
            <w:tcW w:w="2815" w:type="pct"/>
            <w:tcBorders>
              <w:tl2br w:val="nil"/>
            </w:tcBorders>
            <w:vAlign w:val="center"/>
          </w:tcPr>
          <w:p w14:paraId="2298B929">
            <w:pPr>
              <w:jc w:val="left"/>
              <w:rPr>
                <w:rFonts w:ascii="黑体" w:hAnsi="黑体" w:eastAsia="黑体"/>
                <w:color w:val="000000" w:themeColor="text1"/>
                <w14:textFill>
                  <w14:solidFill>
                    <w14:schemeClr w14:val="tx1"/>
                  </w14:solidFill>
                </w14:textFill>
              </w:rPr>
            </w:pPr>
          </w:p>
        </w:tc>
        <w:tc>
          <w:tcPr>
            <w:tcW w:w="748" w:type="pct"/>
            <w:vAlign w:val="center"/>
          </w:tcPr>
          <w:p w14:paraId="58041935">
            <w:pPr>
              <w:spacing w:line="360" w:lineRule="auto"/>
              <w:jc w:val="center"/>
              <w:rPr>
                <w:rFonts w:ascii="黑体" w:hAnsi="黑体" w:eastAsia="黑体"/>
                <w:bCs/>
                <w:color w:val="000000" w:themeColor="text1"/>
                <w:szCs w:val="21"/>
                <w14:textFill>
                  <w14:solidFill>
                    <w14:schemeClr w14:val="tx1"/>
                  </w14:solidFill>
                </w14:textFill>
              </w:rPr>
            </w:pPr>
          </w:p>
        </w:tc>
        <w:tc>
          <w:tcPr>
            <w:tcW w:w="1030" w:type="pct"/>
            <w:vAlign w:val="center"/>
          </w:tcPr>
          <w:p w14:paraId="3047F2C0">
            <w:pPr>
              <w:spacing w:line="360" w:lineRule="auto"/>
              <w:jc w:val="center"/>
              <w:rPr>
                <w:rFonts w:ascii="黑体" w:hAnsi="黑体" w:eastAsia="黑体"/>
                <w:bCs/>
                <w:color w:val="000000" w:themeColor="text1"/>
                <w:szCs w:val="21"/>
                <w14:textFill>
                  <w14:solidFill>
                    <w14:schemeClr w14:val="tx1"/>
                  </w14:solidFill>
                </w14:textFill>
              </w:rPr>
            </w:pPr>
          </w:p>
        </w:tc>
      </w:tr>
      <w:tr w14:paraId="0C925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3B1A367E">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2</w:t>
            </w:r>
          </w:p>
        </w:tc>
        <w:tc>
          <w:tcPr>
            <w:tcW w:w="2815" w:type="pct"/>
            <w:vAlign w:val="center"/>
          </w:tcPr>
          <w:p w14:paraId="77A95E8E">
            <w:pPr>
              <w:spacing w:line="360" w:lineRule="auto"/>
              <w:jc w:val="left"/>
              <w:rPr>
                <w:rFonts w:ascii="黑体" w:hAnsi="黑体" w:eastAsia="黑体"/>
                <w:b/>
                <w:bCs/>
                <w:color w:val="000000" w:themeColor="text1"/>
                <w:szCs w:val="21"/>
                <w14:textFill>
                  <w14:solidFill>
                    <w14:schemeClr w14:val="tx1"/>
                  </w14:solidFill>
                </w14:textFill>
              </w:rPr>
            </w:pPr>
          </w:p>
        </w:tc>
        <w:tc>
          <w:tcPr>
            <w:tcW w:w="748" w:type="pct"/>
            <w:vAlign w:val="center"/>
          </w:tcPr>
          <w:p w14:paraId="379D652C">
            <w:pPr>
              <w:spacing w:line="360" w:lineRule="auto"/>
              <w:jc w:val="center"/>
              <w:rPr>
                <w:rFonts w:ascii="黑体" w:hAnsi="黑体" w:eastAsia="黑体"/>
                <w:b/>
                <w:bCs/>
                <w:color w:val="000000" w:themeColor="text1"/>
                <w:szCs w:val="21"/>
                <w14:textFill>
                  <w14:solidFill>
                    <w14:schemeClr w14:val="tx1"/>
                  </w14:solidFill>
                </w14:textFill>
              </w:rPr>
            </w:pPr>
          </w:p>
        </w:tc>
        <w:tc>
          <w:tcPr>
            <w:tcW w:w="1030" w:type="pct"/>
            <w:vAlign w:val="center"/>
          </w:tcPr>
          <w:p w14:paraId="2C3F1EEE">
            <w:pPr>
              <w:spacing w:line="360" w:lineRule="auto"/>
              <w:jc w:val="center"/>
              <w:rPr>
                <w:rFonts w:ascii="黑体" w:hAnsi="黑体" w:eastAsia="黑体"/>
                <w:b/>
                <w:bCs/>
                <w:color w:val="000000" w:themeColor="text1"/>
                <w:szCs w:val="21"/>
                <w14:textFill>
                  <w14:solidFill>
                    <w14:schemeClr w14:val="tx1"/>
                  </w14:solidFill>
                </w14:textFill>
              </w:rPr>
            </w:pPr>
          </w:p>
        </w:tc>
      </w:tr>
      <w:tr w14:paraId="05B3B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643C293A">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3</w:t>
            </w:r>
          </w:p>
        </w:tc>
        <w:tc>
          <w:tcPr>
            <w:tcW w:w="2815" w:type="pct"/>
            <w:vAlign w:val="center"/>
          </w:tcPr>
          <w:p w14:paraId="7306772D">
            <w:pPr>
              <w:spacing w:line="360" w:lineRule="auto"/>
              <w:jc w:val="left"/>
              <w:rPr>
                <w:rFonts w:ascii="黑体" w:hAnsi="黑体" w:eastAsia="黑体"/>
                <w:b/>
                <w:bCs/>
                <w:color w:val="000000" w:themeColor="text1"/>
                <w:szCs w:val="21"/>
                <w14:textFill>
                  <w14:solidFill>
                    <w14:schemeClr w14:val="tx1"/>
                  </w14:solidFill>
                </w14:textFill>
              </w:rPr>
            </w:pPr>
          </w:p>
        </w:tc>
        <w:tc>
          <w:tcPr>
            <w:tcW w:w="748" w:type="pct"/>
            <w:vAlign w:val="center"/>
          </w:tcPr>
          <w:p w14:paraId="5A16E2C5">
            <w:pPr>
              <w:spacing w:line="360" w:lineRule="auto"/>
              <w:jc w:val="center"/>
              <w:rPr>
                <w:rFonts w:ascii="黑体" w:hAnsi="黑体" w:eastAsia="黑体"/>
                <w:b/>
                <w:bCs/>
                <w:color w:val="000000" w:themeColor="text1"/>
                <w:szCs w:val="21"/>
                <w14:textFill>
                  <w14:solidFill>
                    <w14:schemeClr w14:val="tx1"/>
                  </w14:solidFill>
                </w14:textFill>
              </w:rPr>
            </w:pPr>
          </w:p>
        </w:tc>
        <w:tc>
          <w:tcPr>
            <w:tcW w:w="1030" w:type="pct"/>
            <w:vAlign w:val="center"/>
          </w:tcPr>
          <w:p w14:paraId="3B068F49">
            <w:pPr>
              <w:spacing w:line="360" w:lineRule="auto"/>
              <w:jc w:val="center"/>
              <w:rPr>
                <w:rFonts w:ascii="黑体" w:hAnsi="黑体" w:eastAsia="黑体"/>
                <w:b/>
                <w:bCs/>
                <w:color w:val="000000" w:themeColor="text1"/>
                <w:szCs w:val="21"/>
                <w14:textFill>
                  <w14:solidFill>
                    <w14:schemeClr w14:val="tx1"/>
                  </w14:solidFill>
                </w14:textFill>
              </w:rPr>
            </w:pPr>
          </w:p>
        </w:tc>
      </w:tr>
      <w:tr w14:paraId="08CC9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5A746F9A">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4</w:t>
            </w:r>
          </w:p>
        </w:tc>
        <w:tc>
          <w:tcPr>
            <w:tcW w:w="2815" w:type="pct"/>
            <w:vAlign w:val="center"/>
          </w:tcPr>
          <w:p w14:paraId="3FEA55D7">
            <w:pPr>
              <w:spacing w:line="360" w:lineRule="auto"/>
              <w:jc w:val="left"/>
              <w:rPr>
                <w:rFonts w:ascii="黑体" w:hAnsi="黑体" w:eastAsia="黑体"/>
                <w:b/>
                <w:bCs/>
                <w:color w:val="000000" w:themeColor="text1"/>
                <w:szCs w:val="21"/>
                <w14:textFill>
                  <w14:solidFill>
                    <w14:schemeClr w14:val="tx1"/>
                  </w14:solidFill>
                </w14:textFill>
              </w:rPr>
            </w:pPr>
          </w:p>
        </w:tc>
        <w:tc>
          <w:tcPr>
            <w:tcW w:w="748" w:type="pct"/>
            <w:vAlign w:val="center"/>
          </w:tcPr>
          <w:p w14:paraId="1BEBEC5A">
            <w:pPr>
              <w:spacing w:line="360" w:lineRule="auto"/>
              <w:jc w:val="center"/>
              <w:rPr>
                <w:rFonts w:ascii="黑体" w:hAnsi="黑体" w:eastAsia="黑体"/>
                <w:b/>
                <w:bCs/>
                <w:color w:val="000000" w:themeColor="text1"/>
                <w:szCs w:val="21"/>
                <w14:textFill>
                  <w14:solidFill>
                    <w14:schemeClr w14:val="tx1"/>
                  </w14:solidFill>
                </w14:textFill>
              </w:rPr>
            </w:pPr>
          </w:p>
        </w:tc>
        <w:tc>
          <w:tcPr>
            <w:tcW w:w="1030" w:type="pct"/>
            <w:vAlign w:val="center"/>
          </w:tcPr>
          <w:p w14:paraId="44D70AF7">
            <w:pPr>
              <w:spacing w:line="360" w:lineRule="auto"/>
              <w:jc w:val="center"/>
              <w:rPr>
                <w:rFonts w:ascii="黑体" w:hAnsi="黑体" w:eastAsia="黑体"/>
                <w:b/>
                <w:bCs/>
                <w:color w:val="000000" w:themeColor="text1"/>
                <w:szCs w:val="21"/>
                <w14:textFill>
                  <w14:solidFill>
                    <w14:schemeClr w14:val="tx1"/>
                  </w14:solidFill>
                </w14:textFill>
              </w:rPr>
            </w:pPr>
          </w:p>
        </w:tc>
      </w:tr>
      <w:tr w14:paraId="61E05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407" w:type="pct"/>
            <w:vAlign w:val="center"/>
          </w:tcPr>
          <w:p w14:paraId="2AD0787C">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5</w:t>
            </w:r>
          </w:p>
        </w:tc>
        <w:tc>
          <w:tcPr>
            <w:tcW w:w="2815" w:type="pct"/>
            <w:vAlign w:val="center"/>
          </w:tcPr>
          <w:p w14:paraId="1AAAFBCD">
            <w:pPr>
              <w:spacing w:line="360" w:lineRule="auto"/>
              <w:jc w:val="left"/>
              <w:rPr>
                <w:rFonts w:ascii="黑体" w:hAnsi="黑体" w:eastAsia="黑体"/>
                <w:color w:val="000000" w:themeColor="text1"/>
                <w:szCs w:val="21"/>
                <w14:textFill>
                  <w14:solidFill>
                    <w14:schemeClr w14:val="tx1"/>
                  </w14:solidFill>
                </w14:textFill>
              </w:rPr>
            </w:pPr>
          </w:p>
        </w:tc>
        <w:tc>
          <w:tcPr>
            <w:tcW w:w="748" w:type="pct"/>
            <w:vAlign w:val="center"/>
          </w:tcPr>
          <w:p w14:paraId="2C8A9747">
            <w:pPr>
              <w:spacing w:line="360" w:lineRule="auto"/>
              <w:jc w:val="center"/>
              <w:rPr>
                <w:rFonts w:ascii="黑体" w:hAnsi="黑体" w:eastAsia="黑体"/>
                <w:b/>
                <w:bCs/>
                <w:color w:val="000000" w:themeColor="text1"/>
                <w:szCs w:val="21"/>
                <w14:textFill>
                  <w14:solidFill>
                    <w14:schemeClr w14:val="tx1"/>
                  </w14:solidFill>
                </w14:textFill>
              </w:rPr>
            </w:pPr>
          </w:p>
        </w:tc>
        <w:tc>
          <w:tcPr>
            <w:tcW w:w="1030" w:type="pct"/>
            <w:vAlign w:val="center"/>
          </w:tcPr>
          <w:p w14:paraId="5BDA5449">
            <w:pPr>
              <w:spacing w:line="360" w:lineRule="auto"/>
              <w:jc w:val="center"/>
              <w:rPr>
                <w:rFonts w:ascii="黑体" w:hAnsi="黑体" w:eastAsia="黑体"/>
                <w:b/>
                <w:bCs/>
                <w:color w:val="000000" w:themeColor="text1"/>
                <w:szCs w:val="21"/>
                <w14:textFill>
                  <w14:solidFill>
                    <w14:schemeClr w14:val="tx1"/>
                  </w14:solidFill>
                </w14:textFill>
              </w:rPr>
            </w:pPr>
          </w:p>
        </w:tc>
      </w:tr>
      <w:tr w14:paraId="2A2C9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407" w:type="pct"/>
            <w:vAlign w:val="center"/>
          </w:tcPr>
          <w:p w14:paraId="769DC068">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6</w:t>
            </w:r>
          </w:p>
        </w:tc>
        <w:tc>
          <w:tcPr>
            <w:tcW w:w="2815" w:type="pct"/>
            <w:vAlign w:val="center"/>
          </w:tcPr>
          <w:p w14:paraId="1CEB5B02">
            <w:pPr>
              <w:spacing w:line="360" w:lineRule="auto"/>
              <w:jc w:val="left"/>
              <w:rPr>
                <w:rFonts w:ascii="黑体" w:hAnsi="黑体" w:eastAsia="黑体"/>
                <w:b/>
                <w:bCs/>
                <w:color w:val="000000" w:themeColor="text1"/>
                <w:szCs w:val="21"/>
                <w14:textFill>
                  <w14:solidFill>
                    <w14:schemeClr w14:val="tx1"/>
                  </w14:solidFill>
                </w14:textFill>
              </w:rPr>
            </w:pPr>
          </w:p>
        </w:tc>
        <w:tc>
          <w:tcPr>
            <w:tcW w:w="748" w:type="pct"/>
            <w:vAlign w:val="center"/>
          </w:tcPr>
          <w:p w14:paraId="0C0F0DB5">
            <w:pPr>
              <w:spacing w:line="360" w:lineRule="auto"/>
              <w:jc w:val="center"/>
              <w:rPr>
                <w:rFonts w:ascii="黑体" w:hAnsi="黑体" w:eastAsia="黑体"/>
                <w:b/>
                <w:bCs/>
                <w:color w:val="000000" w:themeColor="text1"/>
                <w:szCs w:val="21"/>
                <w14:textFill>
                  <w14:solidFill>
                    <w14:schemeClr w14:val="tx1"/>
                  </w14:solidFill>
                </w14:textFill>
              </w:rPr>
            </w:pPr>
          </w:p>
        </w:tc>
        <w:tc>
          <w:tcPr>
            <w:tcW w:w="1030" w:type="pct"/>
            <w:vAlign w:val="center"/>
          </w:tcPr>
          <w:p w14:paraId="388D9226">
            <w:pPr>
              <w:spacing w:line="360" w:lineRule="auto"/>
              <w:jc w:val="center"/>
              <w:rPr>
                <w:rFonts w:ascii="黑体" w:hAnsi="黑体" w:eastAsia="黑体"/>
                <w:b/>
                <w:bCs/>
                <w:color w:val="000000" w:themeColor="text1"/>
                <w:szCs w:val="21"/>
                <w14:textFill>
                  <w14:solidFill>
                    <w14:schemeClr w14:val="tx1"/>
                  </w14:solidFill>
                </w14:textFill>
              </w:rPr>
            </w:pPr>
          </w:p>
        </w:tc>
      </w:tr>
      <w:tr w14:paraId="0DA3F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0C3EE390">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7</w:t>
            </w:r>
          </w:p>
        </w:tc>
        <w:tc>
          <w:tcPr>
            <w:tcW w:w="2815" w:type="pct"/>
            <w:vAlign w:val="center"/>
          </w:tcPr>
          <w:p w14:paraId="63ACD0C5">
            <w:pPr>
              <w:spacing w:line="360" w:lineRule="auto"/>
              <w:jc w:val="left"/>
              <w:rPr>
                <w:rFonts w:ascii="黑体" w:hAnsi="黑体" w:eastAsia="黑体"/>
                <w:color w:val="000000" w:themeColor="text1"/>
                <w:szCs w:val="21"/>
                <w14:textFill>
                  <w14:solidFill>
                    <w14:schemeClr w14:val="tx1"/>
                  </w14:solidFill>
                </w14:textFill>
              </w:rPr>
            </w:pPr>
          </w:p>
        </w:tc>
        <w:tc>
          <w:tcPr>
            <w:tcW w:w="748" w:type="pct"/>
            <w:vAlign w:val="center"/>
          </w:tcPr>
          <w:p w14:paraId="77D1FE03">
            <w:pPr>
              <w:spacing w:line="360" w:lineRule="auto"/>
              <w:jc w:val="center"/>
              <w:rPr>
                <w:rFonts w:ascii="黑体" w:hAnsi="黑体" w:eastAsia="黑体"/>
                <w:b/>
                <w:bCs/>
                <w:color w:val="000000" w:themeColor="text1"/>
                <w:szCs w:val="21"/>
                <w14:textFill>
                  <w14:solidFill>
                    <w14:schemeClr w14:val="tx1"/>
                  </w14:solidFill>
                </w14:textFill>
              </w:rPr>
            </w:pPr>
          </w:p>
        </w:tc>
        <w:tc>
          <w:tcPr>
            <w:tcW w:w="1030" w:type="pct"/>
            <w:vAlign w:val="center"/>
          </w:tcPr>
          <w:p w14:paraId="4E0AC13C">
            <w:pPr>
              <w:spacing w:line="360" w:lineRule="auto"/>
              <w:jc w:val="center"/>
              <w:rPr>
                <w:rFonts w:ascii="黑体" w:hAnsi="黑体" w:eastAsia="黑体"/>
                <w:b/>
                <w:bCs/>
                <w:color w:val="000000" w:themeColor="text1"/>
                <w:szCs w:val="21"/>
                <w14:textFill>
                  <w14:solidFill>
                    <w14:schemeClr w14:val="tx1"/>
                  </w14:solidFill>
                </w14:textFill>
              </w:rPr>
            </w:pPr>
          </w:p>
        </w:tc>
      </w:tr>
      <w:tr w14:paraId="4860E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407" w:type="pct"/>
            <w:vAlign w:val="center"/>
          </w:tcPr>
          <w:p w14:paraId="662C200A">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8</w:t>
            </w:r>
          </w:p>
        </w:tc>
        <w:tc>
          <w:tcPr>
            <w:tcW w:w="2815" w:type="pct"/>
            <w:vAlign w:val="center"/>
          </w:tcPr>
          <w:p w14:paraId="45D61173">
            <w:pPr>
              <w:spacing w:line="360" w:lineRule="auto"/>
              <w:jc w:val="left"/>
              <w:rPr>
                <w:rFonts w:ascii="黑体" w:hAnsi="黑体" w:eastAsia="黑体"/>
                <w:color w:val="000000" w:themeColor="text1"/>
                <w:szCs w:val="21"/>
                <w14:textFill>
                  <w14:solidFill>
                    <w14:schemeClr w14:val="tx1"/>
                  </w14:solidFill>
                </w14:textFill>
              </w:rPr>
            </w:pPr>
          </w:p>
        </w:tc>
        <w:tc>
          <w:tcPr>
            <w:tcW w:w="748" w:type="pct"/>
            <w:vAlign w:val="center"/>
          </w:tcPr>
          <w:p w14:paraId="40683F3F">
            <w:pPr>
              <w:spacing w:line="360" w:lineRule="auto"/>
              <w:jc w:val="center"/>
              <w:rPr>
                <w:rFonts w:ascii="黑体" w:hAnsi="黑体" w:eastAsia="黑体"/>
                <w:b/>
                <w:bCs/>
                <w:color w:val="000000" w:themeColor="text1"/>
                <w:szCs w:val="21"/>
                <w14:textFill>
                  <w14:solidFill>
                    <w14:schemeClr w14:val="tx1"/>
                  </w14:solidFill>
                </w14:textFill>
              </w:rPr>
            </w:pPr>
          </w:p>
        </w:tc>
        <w:tc>
          <w:tcPr>
            <w:tcW w:w="1030" w:type="pct"/>
            <w:vAlign w:val="center"/>
          </w:tcPr>
          <w:p w14:paraId="7A4F1EE3">
            <w:pPr>
              <w:spacing w:line="360" w:lineRule="auto"/>
              <w:jc w:val="center"/>
              <w:rPr>
                <w:rFonts w:ascii="黑体" w:hAnsi="黑体" w:eastAsia="黑体"/>
                <w:b/>
                <w:bCs/>
                <w:color w:val="000000" w:themeColor="text1"/>
                <w:szCs w:val="21"/>
                <w14:textFill>
                  <w14:solidFill>
                    <w14:schemeClr w14:val="tx1"/>
                  </w14:solidFill>
                </w14:textFill>
              </w:rPr>
            </w:pPr>
          </w:p>
        </w:tc>
      </w:tr>
      <w:tr w14:paraId="3A4DE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407" w:type="pct"/>
            <w:vAlign w:val="center"/>
          </w:tcPr>
          <w:p w14:paraId="4811DF90">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9</w:t>
            </w:r>
          </w:p>
        </w:tc>
        <w:tc>
          <w:tcPr>
            <w:tcW w:w="2815" w:type="pct"/>
            <w:vAlign w:val="center"/>
          </w:tcPr>
          <w:p w14:paraId="70BA6815">
            <w:pPr>
              <w:spacing w:line="360" w:lineRule="auto"/>
              <w:jc w:val="left"/>
              <w:rPr>
                <w:rFonts w:ascii="黑体" w:hAnsi="黑体" w:eastAsia="黑体"/>
                <w:bCs/>
                <w:color w:val="000000" w:themeColor="text1"/>
                <w:szCs w:val="21"/>
                <w14:textFill>
                  <w14:solidFill>
                    <w14:schemeClr w14:val="tx1"/>
                  </w14:solidFill>
                </w14:textFill>
              </w:rPr>
            </w:pPr>
          </w:p>
        </w:tc>
        <w:tc>
          <w:tcPr>
            <w:tcW w:w="748" w:type="pct"/>
            <w:vAlign w:val="center"/>
          </w:tcPr>
          <w:p w14:paraId="3A37E67D">
            <w:pPr>
              <w:spacing w:line="360" w:lineRule="auto"/>
              <w:jc w:val="center"/>
              <w:rPr>
                <w:rFonts w:ascii="黑体" w:hAnsi="黑体" w:eastAsia="黑体"/>
                <w:b/>
                <w:bCs/>
                <w:color w:val="000000" w:themeColor="text1"/>
                <w:szCs w:val="21"/>
                <w14:textFill>
                  <w14:solidFill>
                    <w14:schemeClr w14:val="tx1"/>
                  </w14:solidFill>
                </w14:textFill>
              </w:rPr>
            </w:pPr>
          </w:p>
        </w:tc>
        <w:tc>
          <w:tcPr>
            <w:tcW w:w="1030" w:type="pct"/>
            <w:vAlign w:val="center"/>
          </w:tcPr>
          <w:p w14:paraId="0D9222CE">
            <w:pPr>
              <w:spacing w:line="360" w:lineRule="auto"/>
              <w:jc w:val="center"/>
              <w:rPr>
                <w:rFonts w:ascii="黑体" w:hAnsi="黑体" w:eastAsia="黑体"/>
                <w:b/>
                <w:bCs/>
                <w:color w:val="000000" w:themeColor="text1"/>
                <w:szCs w:val="21"/>
                <w14:textFill>
                  <w14:solidFill>
                    <w14:schemeClr w14:val="tx1"/>
                  </w14:solidFill>
                </w14:textFill>
              </w:rPr>
            </w:pPr>
          </w:p>
        </w:tc>
      </w:tr>
    </w:tbl>
    <w:p w14:paraId="58B1FEC7">
      <w:pPr>
        <w:spacing w:before="156" w:beforeLines="50" w:line="360" w:lineRule="auto"/>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注明：</w:t>
      </w:r>
    </w:p>
    <w:p w14:paraId="3F880AA2">
      <w:pPr>
        <w:pStyle w:val="29"/>
        <w:numPr>
          <w:ilvl w:val="0"/>
          <w:numId w:val="114"/>
        </w:numPr>
        <w:spacing w:line="360" w:lineRule="auto"/>
        <w:ind w:firstLineChars="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自查结论处请填写：通过</w:t>
      </w:r>
      <w:r>
        <w:rPr>
          <w:rFonts w:ascii="黑体" w:hAnsi="黑体" w:eastAsia="黑体"/>
          <w:color w:val="000000" w:themeColor="text1"/>
          <w14:textFill>
            <w14:solidFill>
              <w14:schemeClr w14:val="tx1"/>
            </w14:solidFill>
          </w14:textFill>
        </w:rPr>
        <w:t>/不通过</w:t>
      </w:r>
      <w:r>
        <w:rPr>
          <w:rFonts w:hint="eastAsia" w:ascii="黑体" w:hAnsi="黑体" w:eastAsia="黑体"/>
          <w:color w:val="000000" w:themeColor="text1"/>
          <w14:textFill>
            <w14:solidFill>
              <w14:schemeClr w14:val="tx1"/>
            </w14:solidFill>
          </w14:textFill>
        </w:rPr>
        <w:t>；</w:t>
      </w:r>
    </w:p>
    <w:p w14:paraId="610CC9BB">
      <w:pPr>
        <w:pStyle w:val="29"/>
        <w:numPr>
          <w:ilvl w:val="0"/>
          <w:numId w:val="114"/>
        </w:numPr>
        <w:spacing w:line="360" w:lineRule="auto"/>
        <w:ind w:firstLineChars="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按招标文件第五部分</w:t>
      </w:r>
      <w:r>
        <w:rPr>
          <w:rFonts w:ascii="黑体" w:hAnsi="黑体" w:eastAsia="黑体"/>
          <w:color w:val="000000" w:themeColor="text1"/>
          <w:szCs w:val="21"/>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评标方法、步骤、标准之符合性审查表（</w:t>
      </w:r>
      <w:r>
        <w:rPr>
          <w:rFonts w:hint="eastAsia" w:ascii="黑体" w:hAnsi="黑体" w:eastAsia="黑体"/>
          <w:color w:val="000000" w:themeColor="text1"/>
          <w:kern w:val="0"/>
          <w:szCs w:val="21"/>
          <w14:textFill>
            <w14:solidFill>
              <w14:schemeClr w14:val="tx1"/>
            </w14:solidFill>
          </w14:textFill>
        </w:rPr>
        <w:t>附表二）</w:t>
      </w:r>
      <w:r>
        <w:rPr>
          <w:rFonts w:hint="eastAsia" w:ascii="黑体" w:hAnsi="黑体" w:eastAsia="黑体"/>
          <w:color w:val="000000" w:themeColor="text1"/>
          <w:szCs w:val="21"/>
          <w14:textFill>
            <w14:solidFill>
              <w14:schemeClr w14:val="tx1"/>
            </w14:solidFill>
          </w14:textFill>
        </w:rPr>
        <w:t>相对应条款填写</w:t>
      </w:r>
      <w:r>
        <w:rPr>
          <w:rFonts w:hint="eastAsia" w:ascii="黑体" w:hAnsi="黑体" w:eastAsia="黑体"/>
          <w:color w:val="000000" w:themeColor="text1"/>
          <w14:textFill>
            <w14:solidFill>
              <w14:schemeClr w14:val="tx1"/>
            </w14:solidFill>
          </w14:textFill>
        </w:rPr>
        <w:t>。</w:t>
      </w:r>
    </w:p>
    <w:p w14:paraId="42A405D1">
      <w:pPr>
        <w:spacing w:line="360" w:lineRule="auto"/>
        <w:rPr>
          <w:rFonts w:ascii="黑体" w:hAnsi="黑体" w:eastAsia="黑体"/>
          <w:color w:val="000000" w:themeColor="text1"/>
          <w14:textFill>
            <w14:solidFill>
              <w14:schemeClr w14:val="tx1"/>
            </w14:solidFill>
          </w14:textFill>
        </w:rPr>
      </w:pPr>
    </w:p>
    <w:p w14:paraId="297FF892">
      <w:pPr>
        <w:spacing w:line="360" w:lineRule="auto"/>
        <w:rPr>
          <w:rFonts w:ascii="黑体" w:hAnsi="黑体" w:eastAsia="黑体"/>
          <w:color w:val="000000" w:themeColor="text1"/>
          <w14:textFill>
            <w14:solidFill>
              <w14:schemeClr w14:val="tx1"/>
            </w14:solidFill>
          </w14:textFill>
        </w:rPr>
      </w:pPr>
    </w:p>
    <w:tbl>
      <w:tblPr>
        <w:tblStyle w:val="19"/>
        <w:tblW w:w="0" w:type="auto"/>
        <w:tblInd w:w="0" w:type="dxa"/>
        <w:tblLayout w:type="autofit"/>
        <w:tblCellMar>
          <w:top w:w="0" w:type="dxa"/>
          <w:left w:w="108" w:type="dxa"/>
          <w:bottom w:w="0" w:type="dxa"/>
          <w:right w:w="108" w:type="dxa"/>
        </w:tblCellMar>
      </w:tblPr>
      <w:tblGrid>
        <w:gridCol w:w="5353"/>
        <w:gridCol w:w="3175"/>
      </w:tblGrid>
      <w:tr w14:paraId="7000C012">
        <w:tblPrEx>
          <w:tblCellMar>
            <w:top w:w="0" w:type="dxa"/>
            <w:left w:w="108" w:type="dxa"/>
            <w:bottom w:w="0" w:type="dxa"/>
            <w:right w:w="108" w:type="dxa"/>
          </w:tblCellMar>
        </w:tblPrEx>
        <w:tc>
          <w:tcPr>
            <w:tcW w:w="5353" w:type="dxa"/>
          </w:tcPr>
          <w:p w14:paraId="2D6FC41E">
            <w:pPr>
              <w:overflowPunct w:val="0"/>
              <w:adjustRightInd w:val="0"/>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投标人名称（加盖公章）：</w:t>
            </w:r>
            <w:r>
              <w:rPr>
                <w:rFonts w:ascii="黑体" w:hAnsi="黑体" w:eastAsia="黑体"/>
                <w:color w:val="000000" w:themeColor="text1"/>
                <w:szCs w:val="21"/>
                <w:u w:val="single"/>
                <w14:textFill>
                  <w14:solidFill>
                    <w14:schemeClr w14:val="tx1"/>
                  </w14:solidFill>
                </w14:textFill>
              </w:rPr>
              <w:t xml:space="preserve">                         </w:t>
            </w:r>
          </w:p>
        </w:tc>
        <w:tc>
          <w:tcPr>
            <w:tcW w:w="3175" w:type="dxa"/>
          </w:tcPr>
          <w:p w14:paraId="33C38CE3">
            <w:pPr>
              <w:spacing w:line="360" w:lineRule="auto"/>
              <w:rPr>
                <w:rFonts w:ascii="黑体" w:hAnsi="黑体" w:eastAsia="黑体"/>
                <w:color w:val="000000" w:themeColor="text1"/>
                <w:szCs w:val="21"/>
                <w14:textFill>
                  <w14:solidFill>
                    <w14:schemeClr w14:val="tx1"/>
                  </w14:solidFill>
                </w14:textFill>
              </w:rPr>
            </w:pPr>
          </w:p>
        </w:tc>
      </w:tr>
      <w:tr w14:paraId="4BFECE9B">
        <w:tblPrEx>
          <w:tblCellMar>
            <w:top w:w="0" w:type="dxa"/>
            <w:left w:w="108" w:type="dxa"/>
            <w:bottom w:w="0" w:type="dxa"/>
            <w:right w:w="108" w:type="dxa"/>
          </w:tblCellMar>
        </w:tblPrEx>
        <w:tc>
          <w:tcPr>
            <w:tcW w:w="5353" w:type="dxa"/>
          </w:tcPr>
          <w:p w14:paraId="67D56A0C">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日期：</w:t>
            </w:r>
            <w:r>
              <w:rPr>
                <w:rFonts w:ascii="黑体" w:hAnsi="黑体" w:eastAsia="黑体"/>
                <w:color w:val="000000" w:themeColor="text1"/>
                <w:szCs w:val="21"/>
                <w:u w:val="single"/>
                <w14:textFill>
                  <w14:solidFill>
                    <w14:schemeClr w14:val="tx1"/>
                  </w14:solidFill>
                </w14:textFill>
              </w:rPr>
              <w:t xml:space="preserve">             年           月            日</w:t>
            </w:r>
          </w:p>
        </w:tc>
        <w:tc>
          <w:tcPr>
            <w:tcW w:w="3175" w:type="dxa"/>
          </w:tcPr>
          <w:p w14:paraId="015243C7">
            <w:pPr>
              <w:spacing w:line="360" w:lineRule="auto"/>
              <w:rPr>
                <w:rFonts w:ascii="黑体" w:hAnsi="黑体" w:eastAsia="黑体"/>
                <w:color w:val="000000" w:themeColor="text1"/>
                <w:szCs w:val="21"/>
                <w14:textFill>
                  <w14:solidFill>
                    <w14:schemeClr w14:val="tx1"/>
                  </w14:solidFill>
                </w14:textFill>
              </w:rPr>
            </w:pPr>
          </w:p>
        </w:tc>
      </w:tr>
    </w:tbl>
    <w:p w14:paraId="0948FBB0">
      <w:pPr>
        <w:pStyle w:val="29"/>
        <w:pageBreakBefore/>
        <w:numPr>
          <w:ilvl w:val="0"/>
          <w:numId w:val="112"/>
        </w:numPr>
        <w:tabs>
          <w:tab w:val="left" w:pos="284"/>
          <w:tab w:val="left" w:pos="426"/>
          <w:tab w:val="left" w:pos="709"/>
        </w:tabs>
        <w:ind w:left="1679" w:hanging="1537" w:firstLineChars="0"/>
        <w:jc w:val="left"/>
        <w:rPr>
          <w:rFonts w:ascii="黑体" w:hAnsi="黑体" w:eastAsia="黑体"/>
          <w:b/>
          <w:bCs/>
        </w:rPr>
      </w:pPr>
      <w:r>
        <w:rPr>
          <w:rFonts w:hint="eastAsia" w:ascii="黑体" w:hAnsi="黑体" w:eastAsia="黑体"/>
          <w:b/>
          <w:bCs/>
        </w:rPr>
        <w:t>详细评审索引表</w:t>
      </w:r>
    </w:p>
    <w:p w14:paraId="4FEC32AD">
      <w:pPr>
        <w:spacing w:before="312" w:beforeLines="100" w:after="312" w:afterLines="100"/>
        <w:jc w:val="center"/>
        <w:rPr>
          <w:rFonts w:ascii="黑体" w:hAnsi="黑体" w:eastAsia="黑体"/>
          <w:b/>
          <w:color w:val="000000" w:themeColor="text1"/>
          <w:spacing w:val="20"/>
          <w:sz w:val="30"/>
          <w:szCs w:val="30"/>
          <w14:textFill>
            <w14:solidFill>
              <w14:schemeClr w14:val="tx1"/>
            </w14:solidFill>
          </w14:textFill>
        </w:rPr>
      </w:pPr>
      <w:r>
        <w:rPr>
          <w:rFonts w:hint="eastAsia" w:ascii="黑体" w:hAnsi="黑体" w:eastAsia="黑体"/>
          <w:b/>
          <w:color w:val="000000" w:themeColor="text1"/>
          <w:spacing w:val="20"/>
          <w:sz w:val="30"/>
          <w:szCs w:val="30"/>
          <w14:textFill>
            <w14:solidFill>
              <w14:schemeClr w14:val="tx1"/>
            </w14:solidFill>
          </w14:textFill>
        </w:rPr>
        <w:t>详细评审索引表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7"/>
        <w:gridCol w:w="1551"/>
        <w:gridCol w:w="3382"/>
        <w:gridCol w:w="2452"/>
      </w:tblGrid>
      <w:tr w14:paraId="713E8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14:paraId="7A718D16">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商务评审细则</w:t>
            </w:r>
          </w:p>
        </w:tc>
      </w:tr>
      <w:tr w14:paraId="5F971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060466DD">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序号</w:t>
            </w:r>
          </w:p>
        </w:tc>
        <w:tc>
          <w:tcPr>
            <w:tcW w:w="1551" w:type="dxa"/>
            <w:vAlign w:val="center"/>
          </w:tcPr>
          <w:p w14:paraId="71EAE41B">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评分内容</w:t>
            </w:r>
          </w:p>
        </w:tc>
        <w:tc>
          <w:tcPr>
            <w:tcW w:w="3382" w:type="dxa"/>
            <w:vAlign w:val="center"/>
          </w:tcPr>
          <w:p w14:paraId="5B3DC602">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评分标准</w:t>
            </w:r>
          </w:p>
        </w:tc>
        <w:tc>
          <w:tcPr>
            <w:tcW w:w="2452" w:type="dxa"/>
            <w:vAlign w:val="center"/>
          </w:tcPr>
          <w:p w14:paraId="6BE231A3">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投标文件响应页码</w:t>
            </w:r>
          </w:p>
        </w:tc>
      </w:tr>
      <w:tr w14:paraId="39A6C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436D3D73">
            <w:pPr>
              <w:spacing w:line="360" w:lineRule="auto"/>
              <w:jc w:val="center"/>
              <w:rPr>
                <w:rFonts w:ascii="黑体" w:hAnsi="黑体" w:eastAsia="黑体"/>
                <w:b/>
                <w:color w:val="000000" w:themeColor="text1"/>
                <w:szCs w:val="21"/>
                <w14:textFill>
                  <w14:solidFill>
                    <w14:schemeClr w14:val="tx1"/>
                  </w14:solidFill>
                </w14:textFill>
              </w:rPr>
            </w:pPr>
          </w:p>
        </w:tc>
        <w:tc>
          <w:tcPr>
            <w:tcW w:w="1551" w:type="dxa"/>
            <w:vAlign w:val="center"/>
          </w:tcPr>
          <w:p w14:paraId="50DB38D9">
            <w:pPr>
              <w:spacing w:line="360" w:lineRule="auto"/>
              <w:jc w:val="center"/>
              <w:rPr>
                <w:rFonts w:ascii="黑体" w:hAnsi="黑体" w:eastAsia="黑体"/>
                <w:b/>
                <w:color w:val="000000" w:themeColor="text1"/>
                <w:szCs w:val="21"/>
                <w14:textFill>
                  <w14:solidFill>
                    <w14:schemeClr w14:val="tx1"/>
                  </w14:solidFill>
                </w14:textFill>
              </w:rPr>
            </w:pPr>
          </w:p>
        </w:tc>
        <w:tc>
          <w:tcPr>
            <w:tcW w:w="3382" w:type="dxa"/>
            <w:vAlign w:val="center"/>
          </w:tcPr>
          <w:p w14:paraId="0520AF08">
            <w:pPr>
              <w:spacing w:line="360" w:lineRule="auto"/>
              <w:jc w:val="center"/>
              <w:rPr>
                <w:rFonts w:ascii="黑体" w:hAnsi="黑体" w:eastAsia="黑体"/>
                <w:b/>
                <w:color w:val="000000" w:themeColor="text1"/>
                <w:szCs w:val="21"/>
                <w14:textFill>
                  <w14:solidFill>
                    <w14:schemeClr w14:val="tx1"/>
                  </w14:solidFill>
                </w14:textFill>
              </w:rPr>
            </w:pPr>
          </w:p>
        </w:tc>
        <w:tc>
          <w:tcPr>
            <w:tcW w:w="2452" w:type="dxa"/>
            <w:vAlign w:val="center"/>
          </w:tcPr>
          <w:p w14:paraId="51E78359">
            <w:pPr>
              <w:spacing w:line="360" w:lineRule="auto"/>
              <w:jc w:val="center"/>
              <w:rPr>
                <w:rFonts w:ascii="黑体" w:hAnsi="黑体" w:eastAsia="黑体"/>
                <w:b/>
                <w:color w:val="000000" w:themeColor="text1"/>
                <w:szCs w:val="21"/>
                <w14:textFill>
                  <w14:solidFill>
                    <w14:schemeClr w14:val="tx1"/>
                  </w14:solidFill>
                </w14:textFill>
              </w:rPr>
            </w:pPr>
          </w:p>
        </w:tc>
      </w:tr>
      <w:tr w14:paraId="57BF5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4DE33847">
            <w:pPr>
              <w:spacing w:line="360" w:lineRule="auto"/>
              <w:jc w:val="center"/>
              <w:rPr>
                <w:rFonts w:ascii="黑体" w:hAnsi="黑体" w:eastAsia="黑体"/>
                <w:b/>
                <w:color w:val="000000" w:themeColor="text1"/>
                <w:szCs w:val="21"/>
                <w14:textFill>
                  <w14:solidFill>
                    <w14:schemeClr w14:val="tx1"/>
                  </w14:solidFill>
                </w14:textFill>
              </w:rPr>
            </w:pPr>
          </w:p>
        </w:tc>
        <w:tc>
          <w:tcPr>
            <w:tcW w:w="1551" w:type="dxa"/>
            <w:vAlign w:val="center"/>
          </w:tcPr>
          <w:p w14:paraId="20F2D57C">
            <w:pPr>
              <w:spacing w:line="360" w:lineRule="auto"/>
              <w:jc w:val="center"/>
              <w:rPr>
                <w:rFonts w:ascii="黑体" w:hAnsi="黑体" w:eastAsia="黑体"/>
                <w:b/>
                <w:color w:val="000000" w:themeColor="text1"/>
                <w:szCs w:val="21"/>
                <w14:textFill>
                  <w14:solidFill>
                    <w14:schemeClr w14:val="tx1"/>
                  </w14:solidFill>
                </w14:textFill>
              </w:rPr>
            </w:pPr>
          </w:p>
        </w:tc>
        <w:tc>
          <w:tcPr>
            <w:tcW w:w="3382" w:type="dxa"/>
            <w:vAlign w:val="center"/>
          </w:tcPr>
          <w:p w14:paraId="1EF4B9C9">
            <w:pPr>
              <w:spacing w:line="360" w:lineRule="auto"/>
              <w:jc w:val="center"/>
              <w:rPr>
                <w:rFonts w:ascii="黑体" w:hAnsi="黑体" w:eastAsia="黑体"/>
                <w:b/>
                <w:color w:val="000000" w:themeColor="text1"/>
                <w:szCs w:val="21"/>
                <w14:textFill>
                  <w14:solidFill>
                    <w14:schemeClr w14:val="tx1"/>
                  </w14:solidFill>
                </w14:textFill>
              </w:rPr>
            </w:pPr>
          </w:p>
        </w:tc>
        <w:tc>
          <w:tcPr>
            <w:tcW w:w="2452" w:type="dxa"/>
            <w:vAlign w:val="center"/>
          </w:tcPr>
          <w:p w14:paraId="2D880F4A">
            <w:pPr>
              <w:spacing w:line="360" w:lineRule="auto"/>
              <w:jc w:val="center"/>
              <w:rPr>
                <w:rFonts w:ascii="黑体" w:hAnsi="黑体" w:eastAsia="黑体"/>
                <w:b/>
                <w:color w:val="000000" w:themeColor="text1"/>
                <w:szCs w:val="21"/>
                <w14:textFill>
                  <w14:solidFill>
                    <w14:schemeClr w14:val="tx1"/>
                  </w14:solidFill>
                </w14:textFill>
              </w:rPr>
            </w:pPr>
          </w:p>
        </w:tc>
      </w:tr>
      <w:tr w14:paraId="3D9EE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62873737">
            <w:pPr>
              <w:spacing w:line="360" w:lineRule="auto"/>
              <w:jc w:val="center"/>
              <w:rPr>
                <w:rFonts w:ascii="黑体" w:hAnsi="黑体" w:eastAsia="黑体"/>
                <w:b/>
                <w:color w:val="000000" w:themeColor="text1"/>
                <w:szCs w:val="21"/>
                <w14:textFill>
                  <w14:solidFill>
                    <w14:schemeClr w14:val="tx1"/>
                  </w14:solidFill>
                </w14:textFill>
              </w:rPr>
            </w:pPr>
          </w:p>
        </w:tc>
        <w:tc>
          <w:tcPr>
            <w:tcW w:w="1551" w:type="dxa"/>
            <w:vAlign w:val="center"/>
          </w:tcPr>
          <w:p w14:paraId="785E2E2A">
            <w:pPr>
              <w:spacing w:line="360" w:lineRule="auto"/>
              <w:jc w:val="center"/>
              <w:rPr>
                <w:rFonts w:ascii="黑体" w:hAnsi="黑体" w:eastAsia="黑体"/>
                <w:b/>
                <w:color w:val="000000" w:themeColor="text1"/>
                <w:szCs w:val="21"/>
                <w14:textFill>
                  <w14:solidFill>
                    <w14:schemeClr w14:val="tx1"/>
                  </w14:solidFill>
                </w14:textFill>
              </w:rPr>
            </w:pPr>
          </w:p>
        </w:tc>
        <w:tc>
          <w:tcPr>
            <w:tcW w:w="3382" w:type="dxa"/>
            <w:vAlign w:val="center"/>
          </w:tcPr>
          <w:p w14:paraId="501E04C2">
            <w:pPr>
              <w:spacing w:line="360" w:lineRule="auto"/>
              <w:jc w:val="center"/>
              <w:rPr>
                <w:rFonts w:ascii="黑体" w:hAnsi="黑体" w:eastAsia="黑体"/>
                <w:b/>
                <w:color w:val="000000" w:themeColor="text1"/>
                <w:szCs w:val="21"/>
                <w14:textFill>
                  <w14:solidFill>
                    <w14:schemeClr w14:val="tx1"/>
                  </w14:solidFill>
                </w14:textFill>
              </w:rPr>
            </w:pPr>
          </w:p>
        </w:tc>
        <w:tc>
          <w:tcPr>
            <w:tcW w:w="2452" w:type="dxa"/>
            <w:vAlign w:val="center"/>
          </w:tcPr>
          <w:p w14:paraId="2AA957ED">
            <w:pPr>
              <w:spacing w:line="360" w:lineRule="auto"/>
              <w:jc w:val="center"/>
              <w:rPr>
                <w:rFonts w:ascii="黑体" w:hAnsi="黑体" w:eastAsia="黑体"/>
                <w:b/>
                <w:color w:val="000000" w:themeColor="text1"/>
                <w:szCs w:val="21"/>
                <w14:textFill>
                  <w14:solidFill>
                    <w14:schemeClr w14:val="tx1"/>
                  </w14:solidFill>
                </w14:textFill>
              </w:rPr>
            </w:pPr>
          </w:p>
        </w:tc>
      </w:tr>
      <w:tr w14:paraId="31A02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138DA5B8">
            <w:pPr>
              <w:spacing w:line="360" w:lineRule="auto"/>
              <w:jc w:val="center"/>
              <w:rPr>
                <w:rFonts w:ascii="黑体" w:hAnsi="黑体" w:eastAsia="黑体"/>
                <w:b/>
                <w:color w:val="000000" w:themeColor="text1"/>
                <w:szCs w:val="21"/>
                <w14:textFill>
                  <w14:solidFill>
                    <w14:schemeClr w14:val="tx1"/>
                  </w14:solidFill>
                </w14:textFill>
              </w:rPr>
            </w:pPr>
          </w:p>
        </w:tc>
        <w:tc>
          <w:tcPr>
            <w:tcW w:w="1551" w:type="dxa"/>
            <w:vAlign w:val="center"/>
          </w:tcPr>
          <w:p w14:paraId="3C1B4E79">
            <w:pPr>
              <w:spacing w:line="360" w:lineRule="auto"/>
              <w:jc w:val="center"/>
              <w:rPr>
                <w:rFonts w:ascii="黑体" w:hAnsi="黑体" w:eastAsia="黑体"/>
                <w:b/>
                <w:color w:val="000000" w:themeColor="text1"/>
                <w:szCs w:val="21"/>
                <w14:textFill>
                  <w14:solidFill>
                    <w14:schemeClr w14:val="tx1"/>
                  </w14:solidFill>
                </w14:textFill>
              </w:rPr>
            </w:pPr>
          </w:p>
        </w:tc>
        <w:tc>
          <w:tcPr>
            <w:tcW w:w="3382" w:type="dxa"/>
            <w:vAlign w:val="center"/>
          </w:tcPr>
          <w:p w14:paraId="7E9E4E7F">
            <w:pPr>
              <w:spacing w:line="360" w:lineRule="auto"/>
              <w:jc w:val="center"/>
              <w:rPr>
                <w:rFonts w:ascii="黑体" w:hAnsi="黑体" w:eastAsia="黑体"/>
                <w:b/>
                <w:color w:val="000000" w:themeColor="text1"/>
                <w:szCs w:val="21"/>
                <w14:textFill>
                  <w14:solidFill>
                    <w14:schemeClr w14:val="tx1"/>
                  </w14:solidFill>
                </w14:textFill>
              </w:rPr>
            </w:pPr>
          </w:p>
        </w:tc>
        <w:tc>
          <w:tcPr>
            <w:tcW w:w="2452" w:type="dxa"/>
            <w:vAlign w:val="center"/>
          </w:tcPr>
          <w:p w14:paraId="1A365679">
            <w:pPr>
              <w:spacing w:line="360" w:lineRule="auto"/>
              <w:jc w:val="center"/>
              <w:rPr>
                <w:rFonts w:ascii="黑体" w:hAnsi="黑体" w:eastAsia="黑体"/>
                <w:b/>
                <w:color w:val="000000" w:themeColor="text1"/>
                <w:szCs w:val="21"/>
                <w14:textFill>
                  <w14:solidFill>
                    <w14:schemeClr w14:val="tx1"/>
                  </w14:solidFill>
                </w14:textFill>
              </w:rPr>
            </w:pPr>
          </w:p>
        </w:tc>
      </w:tr>
      <w:tr w14:paraId="2AE5F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14:paraId="69382B67">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技术评审细则</w:t>
            </w:r>
          </w:p>
        </w:tc>
      </w:tr>
      <w:tr w14:paraId="37199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53AC9F63">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序号</w:t>
            </w:r>
          </w:p>
        </w:tc>
        <w:tc>
          <w:tcPr>
            <w:tcW w:w="1551" w:type="dxa"/>
            <w:vAlign w:val="center"/>
          </w:tcPr>
          <w:p w14:paraId="206B6D1D">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评分内容</w:t>
            </w:r>
          </w:p>
        </w:tc>
        <w:tc>
          <w:tcPr>
            <w:tcW w:w="3382" w:type="dxa"/>
            <w:vAlign w:val="center"/>
          </w:tcPr>
          <w:p w14:paraId="5445A456">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评分标准</w:t>
            </w:r>
          </w:p>
        </w:tc>
        <w:tc>
          <w:tcPr>
            <w:tcW w:w="2452" w:type="dxa"/>
            <w:vAlign w:val="center"/>
          </w:tcPr>
          <w:p w14:paraId="0EBE56EE">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投标文件响应页码</w:t>
            </w:r>
          </w:p>
        </w:tc>
      </w:tr>
      <w:tr w14:paraId="77126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6C3DFAD5">
            <w:pPr>
              <w:spacing w:line="360" w:lineRule="auto"/>
              <w:jc w:val="center"/>
              <w:rPr>
                <w:rFonts w:ascii="黑体" w:hAnsi="黑体" w:eastAsia="黑体"/>
                <w:b/>
                <w:color w:val="000000" w:themeColor="text1"/>
                <w:szCs w:val="21"/>
                <w14:textFill>
                  <w14:solidFill>
                    <w14:schemeClr w14:val="tx1"/>
                  </w14:solidFill>
                </w14:textFill>
              </w:rPr>
            </w:pPr>
          </w:p>
        </w:tc>
        <w:tc>
          <w:tcPr>
            <w:tcW w:w="1551" w:type="dxa"/>
            <w:vAlign w:val="center"/>
          </w:tcPr>
          <w:p w14:paraId="20CCA8D4">
            <w:pPr>
              <w:spacing w:line="360" w:lineRule="auto"/>
              <w:jc w:val="center"/>
              <w:rPr>
                <w:rFonts w:ascii="黑体" w:hAnsi="黑体" w:eastAsia="黑体"/>
                <w:b/>
                <w:color w:val="000000" w:themeColor="text1"/>
                <w:szCs w:val="21"/>
                <w14:textFill>
                  <w14:solidFill>
                    <w14:schemeClr w14:val="tx1"/>
                  </w14:solidFill>
                </w14:textFill>
              </w:rPr>
            </w:pPr>
          </w:p>
        </w:tc>
        <w:tc>
          <w:tcPr>
            <w:tcW w:w="3382" w:type="dxa"/>
            <w:vAlign w:val="center"/>
          </w:tcPr>
          <w:p w14:paraId="667592C6">
            <w:pPr>
              <w:spacing w:line="360" w:lineRule="auto"/>
              <w:jc w:val="center"/>
              <w:rPr>
                <w:rFonts w:ascii="黑体" w:hAnsi="黑体" w:eastAsia="黑体"/>
                <w:b/>
                <w:color w:val="000000" w:themeColor="text1"/>
                <w:szCs w:val="21"/>
                <w14:textFill>
                  <w14:solidFill>
                    <w14:schemeClr w14:val="tx1"/>
                  </w14:solidFill>
                </w14:textFill>
              </w:rPr>
            </w:pPr>
          </w:p>
        </w:tc>
        <w:tc>
          <w:tcPr>
            <w:tcW w:w="2452" w:type="dxa"/>
            <w:vAlign w:val="center"/>
          </w:tcPr>
          <w:p w14:paraId="478C93E4">
            <w:pPr>
              <w:spacing w:line="360" w:lineRule="auto"/>
              <w:jc w:val="center"/>
              <w:rPr>
                <w:rFonts w:ascii="黑体" w:hAnsi="黑体" w:eastAsia="黑体"/>
                <w:b/>
                <w:color w:val="000000" w:themeColor="text1"/>
                <w:szCs w:val="21"/>
                <w14:textFill>
                  <w14:solidFill>
                    <w14:schemeClr w14:val="tx1"/>
                  </w14:solidFill>
                </w14:textFill>
              </w:rPr>
            </w:pPr>
          </w:p>
        </w:tc>
      </w:tr>
      <w:tr w14:paraId="7C312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17719F8A">
            <w:pPr>
              <w:spacing w:line="360" w:lineRule="auto"/>
              <w:jc w:val="center"/>
              <w:rPr>
                <w:rFonts w:ascii="黑体" w:hAnsi="黑体" w:eastAsia="黑体"/>
                <w:b/>
                <w:color w:val="000000" w:themeColor="text1"/>
                <w:szCs w:val="21"/>
                <w14:textFill>
                  <w14:solidFill>
                    <w14:schemeClr w14:val="tx1"/>
                  </w14:solidFill>
                </w14:textFill>
              </w:rPr>
            </w:pPr>
          </w:p>
        </w:tc>
        <w:tc>
          <w:tcPr>
            <w:tcW w:w="1551" w:type="dxa"/>
            <w:vAlign w:val="center"/>
          </w:tcPr>
          <w:p w14:paraId="7D022D99">
            <w:pPr>
              <w:spacing w:line="360" w:lineRule="auto"/>
              <w:jc w:val="center"/>
              <w:rPr>
                <w:rFonts w:ascii="黑体" w:hAnsi="黑体" w:eastAsia="黑体"/>
                <w:b/>
                <w:color w:val="000000" w:themeColor="text1"/>
                <w:szCs w:val="21"/>
                <w14:textFill>
                  <w14:solidFill>
                    <w14:schemeClr w14:val="tx1"/>
                  </w14:solidFill>
                </w14:textFill>
              </w:rPr>
            </w:pPr>
          </w:p>
        </w:tc>
        <w:tc>
          <w:tcPr>
            <w:tcW w:w="3382" w:type="dxa"/>
            <w:vAlign w:val="center"/>
          </w:tcPr>
          <w:p w14:paraId="579C36D3">
            <w:pPr>
              <w:spacing w:line="360" w:lineRule="auto"/>
              <w:jc w:val="center"/>
              <w:rPr>
                <w:rFonts w:ascii="黑体" w:hAnsi="黑体" w:eastAsia="黑体"/>
                <w:b/>
                <w:color w:val="000000" w:themeColor="text1"/>
                <w:szCs w:val="21"/>
                <w14:textFill>
                  <w14:solidFill>
                    <w14:schemeClr w14:val="tx1"/>
                  </w14:solidFill>
                </w14:textFill>
              </w:rPr>
            </w:pPr>
          </w:p>
        </w:tc>
        <w:tc>
          <w:tcPr>
            <w:tcW w:w="2452" w:type="dxa"/>
            <w:vAlign w:val="center"/>
          </w:tcPr>
          <w:p w14:paraId="1EF01A64">
            <w:pPr>
              <w:spacing w:line="360" w:lineRule="auto"/>
              <w:jc w:val="center"/>
              <w:rPr>
                <w:rFonts w:ascii="黑体" w:hAnsi="黑体" w:eastAsia="黑体"/>
                <w:b/>
                <w:color w:val="000000" w:themeColor="text1"/>
                <w:szCs w:val="21"/>
                <w14:textFill>
                  <w14:solidFill>
                    <w14:schemeClr w14:val="tx1"/>
                  </w14:solidFill>
                </w14:textFill>
              </w:rPr>
            </w:pPr>
          </w:p>
        </w:tc>
      </w:tr>
      <w:tr w14:paraId="5E84F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0540BE1F">
            <w:pPr>
              <w:spacing w:line="360" w:lineRule="auto"/>
              <w:jc w:val="center"/>
              <w:rPr>
                <w:rFonts w:ascii="黑体" w:hAnsi="黑体" w:eastAsia="黑体"/>
                <w:b/>
                <w:color w:val="000000" w:themeColor="text1"/>
                <w:szCs w:val="21"/>
                <w14:textFill>
                  <w14:solidFill>
                    <w14:schemeClr w14:val="tx1"/>
                  </w14:solidFill>
                </w14:textFill>
              </w:rPr>
            </w:pPr>
          </w:p>
        </w:tc>
        <w:tc>
          <w:tcPr>
            <w:tcW w:w="1551" w:type="dxa"/>
            <w:vAlign w:val="center"/>
          </w:tcPr>
          <w:p w14:paraId="1FCA66AF">
            <w:pPr>
              <w:spacing w:line="360" w:lineRule="auto"/>
              <w:jc w:val="center"/>
              <w:rPr>
                <w:rFonts w:ascii="黑体" w:hAnsi="黑体" w:eastAsia="黑体"/>
                <w:b/>
                <w:color w:val="000000" w:themeColor="text1"/>
                <w:szCs w:val="21"/>
                <w14:textFill>
                  <w14:solidFill>
                    <w14:schemeClr w14:val="tx1"/>
                  </w14:solidFill>
                </w14:textFill>
              </w:rPr>
            </w:pPr>
          </w:p>
        </w:tc>
        <w:tc>
          <w:tcPr>
            <w:tcW w:w="3382" w:type="dxa"/>
            <w:vAlign w:val="center"/>
          </w:tcPr>
          <w:p w14:paraId="32D1FCA0">
            <w:pPr>
              <w:spacing w:line="360" w:lineRule="auto"/>
              <w:jc w:val="center"/>
              <w:rPr>
                <w:rFonts w:ascii="黑体" w:hAnsi="黑体" w:eastAsia="黑体"/>
                <w:b/>
                <w:color w:val="000000" w:themeColor="text1"/>
                <w:szCs w:val="21"/>
                <w14:textFill>
                  <w14:solidFill>
                    <w14:schemeClr w14:val="tx1"/>
                  </w14:solidFill>
                </w14:textFill>
              </w:rPr>
            </w:pPr>
          </w:p>
        </w:tc>
        <w:tc>
          <w:tcPr>
            <w:tcW w:w="2452" w:type="dxa"/>
            <w:vAlign w:val="center"/>
          </w:tcPr>
          <w:p w14:paraId="3CD550AE">
            <w:pPr>
              <w:spacing w:line="360" w:lineRule="auto"/>
              <w:jc w:val="center"/>
              <w:rPr>
                <w:rFonts w:ascii="黑体" w:hAnsi="黑体" w:eastAsia="黑体"/>
                <w:b/>
                <w:color w:val="000000" w:themeColor="text1"/>
                <w:szCs w:val="21"/>
                <w14:textFill>
                  <w14:solidFill>
                    <w14:schemeClr w14:val="tx1"/>
                  </w14:solidFill>
                </w14:textFill>
              </w:rPr>
            </w:pPr>
          </w:p>
        </w:tc>
      </w:tr>
      <w:tr w14:paraId="156BF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2D62DF1D">
            <w:pPr>
              <w:spacing w:line="360" w:lineRule="auto"/>
              <w:jc w:val="center"/>
              <w:rPr>
                <w:rFonts w:ascii="黑体" w:hAnsi="黑体" w:eastAsia="黑体"/>
                <w:b/>
                <w:color w:val="000000" w:themeColor="text1"/>
                <w:szCs w:val="21"/>
                <w14:textFill>
                  <w14:solidFill>
                    <w14:schemeClr w14:val="tx1"/>
                  </w14:solidFill>
                </w14:textFill>
              </w:rPr>
            </w:pPr>
          </w:p>
        </w:tc>
        <w:tc>
          <w:tcPr>
            <w:tcW w:w="1551" w:type="dxa"/>
            <w:vAlign w:val="center"/>
          </w:tcPr>
          <w:p w14:paraId="45162A0F">
            <w:pPr>
              <w:spacing w:line="360" w:lineRule="auto"/>
              <w:jc w:val="center"/>
              <w:rPr>
                <w:rFonts w:ascii="黑体" w:hAnsi="黑体" w:eastAsia="黑体"/>
                <w:b/>
                <w:color w:val="000000" w:themeColor="text1"/>
                <w:szCs w:val="21"/>
                <w14:textFill>
                  <w14:solidFill>
                    <w14:schemeClr w14:val="tx1"/>
                  </w14:solidFill>
                </w14:textFill>
              </w:rPr>
            </w:pPr>
          </w:p>
        </w:tc>
        <w:tc>
          <w:tcPr>
            <w:tcW w:w="3382" w:type="dxa"/>
            <w:vAlign w:val="center"/>
          </w:tcPr>
          <w:p w14:paraId="7E586912">
            <w:pPr>
              <w:spacing w:line="360" w:lineRule="auto"/>
              <w:jc w:val="center"/>
              <w:rPr>
                <w:rFonts w:ascii="黑体" w:hAnsi="黑体" w:eastAsia="黑体"/>
                <w:b/>
                <w:color w:val="000000" w:themeColor="text1"/>
                <w:szCs w:val="21"/>
                <w14:textFill>
                  <w14:solidFill>
                    <w14:schemeClr w14:val="tx1"/>
                  </w14:solidFill>
                </w14:textFill>
              </w:rPr>
            </w:pPr>
          </w:p>
        </w:tc>
        <w:tc>
          <w:tcPr>
            <w:tcW w:w="2452" w:type="dxa"/>
            <w:vAlign w:val="center"/>
          </w:tcPr>
          <w:p w14:paraId="20C3DFC3">
            <w:pPr>
              <w:spacing w:line="360" w:lineRule="auto"/>
              <w:jc w:val="center"/>
              <w:rPr>
                <w:rFonts w:ascii="黑体" w:hAnsi="黑体" w:eastAsia="黑体"/>
                <w:b/>
                <w:color w:val="000000" w:themeColor="text1"/>
                <w:szCs w:val="21"/>
                <w14:textFill>
                  <w14:solidFill>
                    <w14:schemeClr w14:val="tx1"/>
                  </w14:solidFill>
                </w14:textFill>
              </w:rPr>
            </w:pPr>
          </w:p>
        </w:tc>
      </w:tr>
      <w:tr w14:paraId="7E6C5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6A163918">
            <w:pPr>
              <w:spacing w:line="360" w:lineRule="auto"/>
              <w:jc w:val="center"/>
              <w:rPr>
                <w:rFonts w:ascii="黑体" w:hAnsi="黑体" w:eastAsia="黑体"/>
                <w:b/>
                <w:color w:val="000000" w:themeColor="text1"/>
                <w:szCs w:val="21"/>
                <w14:textFill>
                  <w14:solidFill>
                    <w14:schemeClr w14:val="tx1"/>
                  </w14:solidFill>
                </w14:textFill>
              </w:rPr>
            </w:pPr>
          </w:p>
        </w:tc>
        <w:tc>
          <w:tcPr>
            <w:tcW w:w="1551" w:type="dxa"/>
            <w:vAlign w:val="center"/>
          </w:tcPr>
          <w:p w14:paraId="71993BC9">
            <w:pPr>
              <w:spacing w:line="360" w:lineRule="auto"/>
              <w:jc w:val="center"/>
              <w:rPr>
                <w:rFonts w:ascii="黑体" w:hAnsi="黑体" w:eastAsia="黑体"/>
                <w:b/>
                <w:color w:val="000000" w:themeColor="text1"/>
                <w:szCs w:val="21"/>
                <w14:textFill>
                  <w14:solidFill>
                    <w14:schemeClr w14:val="tx1"/>
                  </w14:solidFill>
                </w14:textFill>
              </w:rPr>
            </w:pPr>
          </w:p>
        </w:tc>
        <w:tc>
          <w:tcPr>
            <w:tcW w:w="3382" w:type="dxa"/>
            <w:vAlign w:val="center"/>
          </w:tcPr>
          <w:p w14:paraId="1E9787B5">
            <w:pPr>
              <w:spacing w:line="360" w:lineRule="auto"/>
              <w:jc w:val="center"/>
              <w:rPr>
                <w:rFonts w:ascii="黑体" w:hAnsi="黑体" w:eastAsia="黑体"/>
                <w:b/>
                <w:color w:val="000000" w:themeColor="text1"/>
                <w:szCs w:val="21"/>
                <w14:textFill>
                  <w14:solidFill>
                    <w14:schemeClr w14:val="tx1"/>
                  </w14:solidFill>
                </w14:textFill>
              </w:rPr>
            </w:pPr>
          </w:p>
        </w:tc>
        <w:tc>
          <w:tcPr>
            <w:tcW w:w="2452" w:type="dxa"/>
            <w:vAlign w:val="center"/>
          </w:tcPr>
          <w:p w14:paraId="363DDDA2">
            <w:pPr>
              <w:spacing w:line="360" w:lineRule="auto"/>
              <w:jc w:val="center"/>
              <w:rPr>
                <w:rFonts w:ascii="黑体" w:hAnsi="黑体" w:eastAsia="黑体"/>
                <w:b/>
                <w:color w:val="000000" w:themeColor="text1"/>
                <w:szCs w:val="21"/>
                <w14:textFill>
                  <w14:solidFill>
                    <w14:schemeClr w14:val="tx1"/>
                  </w14:solidFill>
                </w14:textFill>
              </w:rPr>
            </w:pPr>
          </w:p>
        </w:tc>
      </w:tr>
      <w:tr w14:paraId="5FBAF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1C4B4913">
            <w:pPr>
              <w:spacing w:line="360" w:lineRule="auto"/>
              <w:jc w:val="center"/>
              <w:rPr>
                <w:rFonts w:ascii="黑体" w:hAnsi="黑体" w:eastAsia="黑体"/>
                <w:b/>
                <w:color w:val="000000" w:themeColor="text1"/>
                <w:szCs w:val="21"/>
                <w14:textFill>
                  <w14:solidFill>
                    <w14:schemeClr w14:val="tx1"/>
                  </w14:solidFill>
                </w14:textFill>
              </w:rPr>
            </w:pPr>
          </w:p>
        </w:tc>
        <w:tc>
          <w:tcPr>
            <w:tcW w:w="1551" w:type="dxa"/>
            <w:vAlign w:val="center"/>
          </w:tcPr>
          <w:p w14:paraId="0F3F2935">
            <w:pPr>
              <w:spacing w:line="360" w:lineRule="auto"/>
              <w:jc w:val="center"/>
              <w:rPr>
                <w:rFonts w:ascii="黑体" w:hAnsi="黑体" w:eastAsia="黑体"/>
                <w:b/>
                <w:color w:val="000000" w:themeColor="text1"/>
                <w:szCs w:val="21"/>
                <w14:textFill>
                  <w14:solidFill>
                    <w14:schemeClr w14:val="tx1"/>
                  </w14:solidFill>
                </w14:textFill>
              </w:rPr>
            </w:pPr>
          </w:p>
        </w:tc>
        <w:tc>
          <w:tcPr>
            <w:tcW w:w="3382" w:type="dxa"/>
            <w:vAlign w:val="center"/>
          </w:tcPr>
          <w:p w14:paraId="051C9ECA">
            <w:pPr>
              <w:spacing w:line="360" w:lineRule="auto"/>
              <w:jc w:val="center"/>
              <w:rPr>
                <w:rFonts w:ascii="黑体" w:hAnsi="黑体" w:eastAsia="黑体"/>
                <w:b/>
                <w:color w:val="000000" w:themeColor="text1"/>
                <w:szCs w:val="21"/>
                <w14:textFill>
                  <w14:solidFill>
                    <w14:schemeClr w14:val="tx1"/>
                  </w14:solidFill>
                </w14:textFill>
              </w:rPr>
            </w:pPr>
          </w:p>
        </w:tc>
        <w:tc>
          <w:tcPr>
            <w:tcW w:w="2452" w:type="dxa"/>
            <w:vAlign w:val="center"/>
          </w:tcPr>
          <w:p w14:paraId="36045844">
            <w:pPr>
              <w:spacing w:line="360" w:lineRule="auto"/>
              <w:jc w:val="center"/>
              <w:rPr>
                <w:rFonts w:ascii="黑体" w:hAnsi="黑体" w:eastAsia="黑体"/>
                <w:b/>
                <w:color w:val="000000" w:themeColor="text1"/>
                <w:szCs w:val="21"/>
                <w14:textFill>
                  <w14:solidFill>
                    <w14:schemeClr w14:val="tx1"/>
                  </w14:solidFill>
                </w14:textFill>
              </w:rPr>
            </w:pPr>
          </w:p>
        </w:tc>
      </w:tr>
    </w:tbl>
    <w:p w14:paraId="233B0D3B">
      <w:pPr>
        <w:spacing w:before="156" w:beforeLines="50" w:line="360" w:lineRule="auto"/>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注明：按招标文件第五部分</w:t>
      </w:r>
      <w:r>
        <w:rPr>
          <w:rFonts w:ascii="黑体" w:hAnsi="黑体" w:eastAsia="黑体"/>
          <w:color w:val="000000" w:themeColor="text1"/>
          <w:szCs w:val="21"/>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评标方法、步骤、标准之附表三详细评审表相对应条款填写。</w:t>
      </w:r>
    </w:p>
    <w:p w14:paraId="2B77640E">
      <w:pPr>
        <w:spacing w:line="360" w:lineRule="auto"/>
        <w:rPr>
          <w:rFonts w:ascii="黑体" w:hAnsi="黑体" w:eastAsia="黑体"/>
          <w:color w:val="000000" w:themeColor="text1"/>
          <w14:textFill>
            <w14:solidFill>
              <w14:schemeClr w14:val="tx1"/>
            </w14:solidFill>
          </w14:textFill>
        </w:rPr>
      </w:pPr>
    </w:p>
    <w:p w14:paraId="1E463BD7">
      <w:pPr>
        <w:spacing w:line="360" w:lineRule="auto"/>
        <w:rPr>
          <w:rFonts w:ascii="黑体" w:hAnsi="黑体" w:eastAsia="黑体"/>
          <w:color w:val="000000" w:themeColor="text1"/>
          <w14:textFill>
            <w14:solidFill>
              <w14:schemeClr w14:val="tx1"/>
            </w14:solidFill>
          </w14:textFill>
        </w:rPr>
      </w:pPr>
    </w:p>
    <w:p w14:paraId="077256EA">
      <w:pPr>
        <w:spacing w:line="360" w:lineRule="auto"/>
        <w:rPr>
          <w:rFonts w:ascii="黑体" w:hAnsi="黑体" w:eastAsia="黑体"/>
          <w:color w:val="000000" w:themeColor="text1"/>
          <w14:textFill>
            <w14:solidFill>
              <w14:schemeClr w14:val="tx1"/>
            </w14:solidFill>
          </w14:textFill>
        </w:rPr>
      </w:pPr>
    </w:p>
    <w:tbl>
      <w:tblPr>
        <w:tblStyle w:val="19"/>
        <w:tblW w:w="0" w:type="auto"/>
        <w:tblInd w:w="0" w:type="dxa"/>
        <w:tblLayout w:type="autofit"/>
        <w:tblCellMar>
          <w:top w:w="0" w:type="dxa"/>
          <w:left w:w="108" w:type="dxa"/>
          <w:bottom w:w="0" w:type="dxa"/>
          <w:right w:w="108" w:type="dxa"/>
        </w:tblCellMar>
      </w:tblPr>
      <w:tblGrid>
        <w:gridCol w:w="5353"/>
        <w:gridCol w:w="3175"/>
      </w:tblGrid>
      <w:tr w14:paraId="55610E93">
        <w:tblPrEx>
          <w:tblCellMar>
            <w:top w:w="0" w:type="dxa"/>
            <w:left w:w="108" w:type="dxa"/>
            <w:bottom w:w="0" w:type="dxa"/>
            <w:right w:w="108" w:type="dxa"/>
          </w:tblCellMar>
        </w:tblPrEx>
        <w:tc>
          <w:tcPr>
            <w:tcW w:w="5353" w:type="dxa"/>
          </w:tcPr>
          <w:p w14:paraId="487CFE23">
            <w:pPr>
              <w:overflowPunct w:val="0"/>
              <w:adjustRightInd w:val="0"/>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投标人名称（加盖公章）：</w:t>
            </w:r>
            <w:r>
              <w:rPr>
                <w:rFonts w:ascii="黑体" w:hAnsi="黑体" w:eastAsia="黑体"/>
                <w:color w:val="000000" w:themeColor="text1"/>
                <w:szCs w:val="21"/>
                <w:u w:val="single"/>
                <w14:textFill>
                  <w14:solidFill>
                    <w14:schemeClr w14:val="tx1"/>
                  </w14:solidFill>
                </w14:textFill>
              </w:rPr>
              <w:t xml:space="preserve">                         </w:t>
            </w:r>
          </w:p>
        </w:tc>
        <w:tc>
          <w:tcPr>
            <w:tcW w:w="3175" w:type="dxa"/>
          </w:tcPr>
          <w:p w14:paraId="7E2E6837">
            <w:pPr>
              <w:spacing w:line="360" w:lineRule="auto"/>
              <w:rPr>
                <w:rFonts w:ascii="黑体" w:hAnsi="黑体" w:eastAsia="黑体"/>
                <w:color w:val="000000" w:themeColor="text1"/>
                <w:szCs w:val="21"/>
                <w14:textFill>
                  <w14:solidFill>
                    <w14:schemeClr w14:val="tx1"/>
                  </w14:solidFill>
                </w14:textFill>
              </w:rPr>
            </w:pPr>
          </w:p>
        </w:tc>
      </w:tr>
      <w:tr w14:paraId="7A4D931E">
        <w:tblPrEx>
          <w:tblCellMar>
            <w:top w:w="0" w:type="dxa"/>
            <w:left w:w="108" w:type="dxa"/>
            <w:bottom w:w="0" w:type="dxa"/>
            <w:right w:w="108" w:type="dxa"/>
          </w:tblCellMar>
        </w:tblPrEx>
        <w:tc>
          <w:tcPr>
            <w:tcW w:w="5353" w:type="dxa"/>
          </w:tcPr>
          <w:p w14:paraId="0778FC57">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日期：</w:t>
            </w:r>
            <w:r>
              <w:rPr>
                <w:rFonts w:ascii="黑体" w:hAnsi="黑体" w:eastAsia="黑体"/>
                <w:color w:val="000000" w:themeColor="text1"/>
                <w:szCs w:val="21"/>
                <w:u w:val="single"/>
                <w14:textFill>
                  <w14:solidFill>
                    <w14:schemeClr w14:val="tx1"/>
                  </w14:solidFill>
                </w14:textFill>
              </w:rPr>
              <w:t xml:space="preserve">             年           月            日</w:t>
            </w:r>
          </w:p>
        </w:tc>
        <w:tc>
          <w:tcPr>
            <w:tcW w:w="3175" w:type="dxa"/>
          </w:tcPr>
          <w:p w14:paraId="47754E67">
            <w:pPr>
              <w:spacing w:line="360" w:lineRule="auto"/>
              <w:rPr>
                <w:rFonts w:ascii="黑体" w:hAnsi="黑体" w:eastAsia="黑体"/>
                <w:color w:val="000000" w:themeColor="text1"/>
                <w:szCs w:val="21"/>
                <w14:textFill>
                  <w14:solidFill>
                    <w14:schemeClr w14:val="tx1"/>
                  </w14:solidFill>
                </w14:textFill>
              </w:rPr>
            </w:pPr>
          </w:p>
        </w:tc>
      </w:tr>
    </w:tbl>
    <w:p w14:paraId="0A7E2158">
      <w:pPr>
        <w:pStyle w:val="29"/>
        <w:pageBreakBefore/>
        <w:numPr>
          <w:ilvl w:val="0"/>
          <w:numId w:val="112"/>
        </w:numPr>
        <w:tabs>
          <w:tab w:val="left" w:pos="284"/>
          <w:tab w:val="left" w:pos="426"/>
          <w:tab w:val="left" w:pos="709"/>
        </w:tabs>
        <w:ind w:left="1679" w:hanging="1537" w:firstLineChars="0"/>
        <w:jc w:val="left"/>
        <w:rPr>
          <w:rFonts w:ascii="黑体" w:hAnsi="黑体" w:eastAsia="黑体"/>
          <w:b/>
          <w:bCs/>
        </w:rPr>
      </w:pPr>
      <w:r>
        <w:rPr>
          <w:rFonts w:hint="eastAsia" w:ascii="黑体" w:hAnsi="黑体" w:eastAsia="黑体"/>
          <w:b/>
          <w:bCs/>
        </w:rPr>
        <w:t>开标一览表</w:t>
      </w:r>
      <w:bookmarkEnd w:id="67"/>
      <w:bookmarkEnd w:id="68"/>
    </w:p>
    <w:p w14:paraId="23D1DB94">
      <w:pPr>
        <w:spacing w:before="624" w:beforeLines="200" w:after="312" w:afterLines="100" w:line="360" w:lineRule="auto"/>
        <w:jc w:val="center"/>
        <w:rPr>
          <w:rFonts w:hint="eastAsia" w:ascii="黑体" w:hAnsi="黑体" w:eastAsia="黑体"/>
          <w:b/>
          <w:color w:val="000000" w:themeColor="text1"/>
          <w:spacing w:val="20"/>
          <w:sz w:val="28"/>
          <w:szCs w:val="28"/>
          <w:lang w:eastAsia="zh-CN"/>
          <w14:textFill>
            <w14:solidFill>
              <w14:schemeClr w14:val="tx1"/>
            </w14:solidFill>
          </w14:textFill>
        </w:rPr>
      </w:pPr>
      <w:r>
        <w:rPr>
          <w:rFonts w:hint="eastAsia" w:ascii="黑体" w:hAnsi="黑体" w:eastAsia="黑体"/>
          <w:b/>
          <w:color w:val="000000" w:themeColor="text1"/>
          <w:spacing w:val="20"/>
          <w:sz w:val="28"/>
          <w:szCs w:val="28"/>
          <w14:textFill>
            <w14:solidFill>
              <w14:schemeClr w14:val="tx1"/>
            </w14:solidFill>
          </w14:textFill>
        </w:rPr>
        <w:t>开标一览表</w:t>
      </w:r>
      <w:r>
        <w:rPr>
          <w:rFonts w:hint="eastAsia" w:ascii="黑体" w:hAnsi="黑体" w:eastAsia="黑体"/>
          <w:b/>
          <w:color w:val="000000" w:themeColor="text1"/>
          <w:spacing w:val="20"/>
          <w:sz w:val="28"/>
          <w:szCs w:val="28"/>
          <w:lang w:eastAsia="zh-CN"/>
          <w14:textFill>
            <w14:solidFill>
              <w14:schemeClr w14:val="tx1"/>
            </w14:solidFill>
          </w14:textFill>
        </w:rPr>
        <w:t>（</w:t>
      </w:r>
      <w:r>
        <w:rPr>
          <w:rFonts w:hint="eastAsia" w:ascii="黑体" w:hAnsi="黑体" w:eastAsia="黑体"/>
          <w:b/>
          <w:color w:val="000000" w:themeColor="text1"/>
          <w:spacing w:val="20"/>
          <w:sz w:val="28"/>
          <w:szCs w:val="28"/>
          <w:lang w:val="en-US" w:eastAsia="zh-CN"/>
          <w14:textFill>
            <w14:solidFill>
              <w14:schemeClr w14:val="tx1"/>
            </w14:solidFill>
          </w14:textFill>
        </w:rPr>
        <w:t>包号：</w:t>
      </w:r>
      <w:r>
        <w:rPr>
          <w:rFonts w:hint="eastAsia" w:ascii="黑体" w:hAnsi="黑体" w:eastAsia="黑体"/>
          <w:b/>
          <w:color w:val="000000" w:themeColor="text1"/>
          <w:spacing w:val="20"/>
          <w:sz w:val="28"/>
          <w:szCs w:val="28"/>
          <w:u w:val="single"/>
          <w:lang w:val="en-US" w:eastAsia="zh-CN"/>
          <w14:textFill>
            <w14:solidFill>
              <w14:schemeClr w14:val="tx1"/>
            </w14:solidFill>
          </w14:textFill>
        </w:rPr>
        <w:t xml:space="preserve">  </w:t>
      </w:r>
      <w:r>
        <w:rPr>
          <w:rFonts w:hint="eastAsia" w:ascii="黑体" w:hAnsi="黑体" w:eastAsia="黑体"/>
          <w:b/>
          <w:color w:val="000000" w:themeColor="text1"/>
          <w:spacing w:val="20"/>
          <w:sz w:val="28"/>
          <w:szCs w:val="28"/>
          <w:lang w:eastAsia="zh-CN"/>
          <w14:textFill>
            <w14:solidFill>
              <w14:schemeClr w14:val="tx1"/>
            </w14:solidFill>
          </w14:textFill>
        </w:rPr>
        <w:t>）</w:t>
      </w:r>
    </w:p>
    <w:tbl>
      <w:tblPr>
        <w:tblStyle w:val="19"/>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94"/>
        <w:gridCol w:w="3935"/>
        <w:gridCol w:w="3060"/>
        <w:gridCol w:w="1078"/>
      </w:tblGrid>
      <w:tr w14:paraId="45017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44E16F7E">
            <w:pPr>
              <w:overflowPunct w:val="0"/>
              <w:adjustRightInd w:val="0"/>
              <w:spacing w:line="460" w:lineRule="exact"/>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序号</w:t>
            </w:r>
          </w:p>
        </w:tc>
        <w:tc>
          <w:tcPr>
            <w:tcW w:w="2244" w:type="pct"/>
            <w:tcBorders>
              <w:top w:val="single" w:color="auto" w:sz="4" w:space="0"/>
              <w:left w:val="single" w:color="auto" w:sz="4" w:space="0"/>
              <w:right w:val="single" w:color="auto" w:sz="4" w:space="0"/>
            </w:tcBorders>
            <w:vAlign w:val="center"/>
          </w:tcPr>
          <w:p w14:paraId="177F0D7E">
            <w:pPr>
              <w:overflowPunct w:val="0"/>
              <w:adjustRightInd w:val="0"/>
              <w:spacing w:line="460" w:lineRule="exact"/>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003550A7">
            <w:pPr>
              <w:overflowPunct w:val="0"/>
              <w:adjustRightInd w:val="0"/>
              <w:spacing w:line="460" w:lineRule="exact"/>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总报价（单位：元）</w:t>
            </w:r>
          </w:p>
        </w:tc>
        <w:tc>
          <w:tcPr>
            <w:tcW w:w="615" w:type="pct"/>
            <w:tcBorders>
              <w:top w:val="single" w:color="auto" w:sz="4" w:space="0"/>
              <w:left w:val="single" w:color="auto" w:sz="4" w:space="0"/>
              <w:right w:val="single" w:color="auto" w:sz="4" w:space="0"/>
            </w:tcBorders>
            <w:vAlign w:val="center"/>
          </w:tcPr>
          <w:p w14:paraId="1863BAC9">
            <w:pPr>
              <w:overflowPunct w:val="0"/>
              <w:adjustRightInd w:val="0"/>
              <w:spacing w:line="460" w:lineRule="exact"/>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备注</w:t>
            </w:r>
          </w:p>
        </w:tc>
      </w:tr>
      <w:tr w14:paraId="33FAF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64A3D7B4">
            <w:pPr>
              <w:overflowPunct w:val="0"/>
              <w:adjustRightInd w:val="0"/>
              <w:spacing w:line="460" w:lineRule="exact"/>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1</w:t>
            </w:r>
          </w:p>
        </w:tc>
        <w:tc>
          <w:tcPr>
            <w:tcW w:w="2244" w:type="pct"/>
            <w:tcBorders>
              <w:top w:val="single" w:color="auto" w:sz="4" w:space="0"/>
              <w:left w:val="single" w:color="auto" w:sz="4" w:space="0"/>
              <w:bottom w:val="single" w:color="auto" w:sz="4" w:space="0"/>
              <w:right w:val="single" w:color="auto" w:sz="4" w:space="0"/>
            </w:tcBorders>
            <w:vAlign w:val="center"/>
          </w:tcPr>
          <w:p w14:paraId="7C970BF9">
            <w:pPr>
              <w:overflowPunct w:val="0"/>
              <w:adjustRightInd w:val="0"/>
              <w:spacing w:line="460" w:lineRule="exact"/>
              <w:jc w:val="center"/>
              <w:rPr>
                <w:rFonts w:ascii="黑体" w:hAnsi="黑体" w:eastAsia="黑体"/>
                <w:color w:val="000000" w:themeColor="text1"/>
                <w:szCs w:val="21"/>
                <w14:textFill>
                  <w14:solidFill>
                    <w14:schemeClr w14:val="tx1"/>
                  </w14:solidFill>
                </w14:textFill>
              </w:rPr>
            </w:pPr>
          </w:p>
        </w:tc>
        <w:tc>
          <w:tcPr>
            <w:tcW w:w="1745" w:type="pct"/>
            <w:tcBorders>
              <w:top w:val="single" w:color="auto" w:sz="4" w:space="0"/>
              <w:left w:val="single" w:color="auto" w:sz="4" w:space="0"/>
              <w:bottom w:val="single" w:color="auto" w:sz="4" w:space="0"/>
              <w:right w:val="single" w:color="auto" w:sz="4" w:space="0"/>
            </w:tcBorders>
            <w:vAlign w:val="center"/>
          </w:tcPr>
          <w:p w14:paraId="49B34BC3">
            <w:pPr>
              <w:overflowPunct w:val="0"/>
              <w:adjustRightInd w:val="0"/>
              <w:spacing w:line="460" w:lineRule="exact"/>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大写：</w:t>
            </w:r>
            <w:r>
              <w:rPr>
                <w:rFonts w:ascii="黑体" w:hAnsi="黑体" w:eastAsia="黑体"/>
                <w:color w:val="000000" w:themeColor="text1"/>
                <w:szCs w:val="21"/>
                <w:u w:val="single"/>
                <w14:textFill>
                  <w14:solidFill>
                    <w14:schemeClr w14:val="tx1"/>
                  </w14:solidFill>
                </w14:textFill>
              </w:rPr>
              <w:t xml:space="preserve">                    </w:t>
            </w:r>
          </w:p>
          <w:p w14:paraId="7E6E5EDD">
            <w:pPr>
              <w:overflowPunct w:val="0"/>
              <w:adjustRightInd w:val="0"/>
              <w:spacing w:line="460" w:lineRule="exact"/>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小写：</w:t>
            </w:r>
            <w:r>
              <w:rPr>
                <w:rFonts w:ascii="黑体" w:hAnsi="黑体" w:eastAsia="黑体"/>
                <w:color w:val="000000" w:themeColor="text1"/>
                <w:szCs w:val="21"/>
                <w:u w:val="single"/>
                <w14:textFill>
                  <w14:solidFill>
                    <w14:schemeClr w14:val="tx1"/>
                  </w14:solidFill>
                </w14:textFill>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6B3A3B1E">
            <w:pPr>
              <w:overflowPunct w:val="0"/>
              <w:adjustRightInd w:val="0"/>
              <w:spacing w:line="460" w:lineRule="exact"/>
              <w:jc w:val="center"/>
              <w:rPr>
                <w:rFonts w:ascii="黑体" w:hAnsi="黑体" w:eastAsia="黑体"/>
                <w:color w:val="000000" w:themeColor="text1"/>
                <w:szCs w:val="21"/>
                <w14:textFill>
                  <w14:solidFill>
                    <w14:schemeClr w14:val="tx1"/>
                  </w14:solidFill>
                </w14:textFill>
              </w:rPr>
            </w:pPr>
          </w:p>
        </w:tc>
      </w:tr>
    </w:tbl>
    <w:p w14:paraId="3D0BA781">
      <w:pPr>
        <w:spacing w:before="312" w:beforeLines="100"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注明：</w:t>
      </w:r>
    </w:p>
    <w:p w14:paraId="0325C45A">
      <w:pPr>
        <w:pStyle w:val="29"/>
        <w:numPr>
          <w:ilvl w:val="0"/>
          <w:numId w:val="115"/>
        </w:numPr>
        <w:spacing w:line="360" w:lineRule="auto"/>
        <w:ind w:firstLineChars="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投标总价栏须用文字和数字两种方式表示的投标总价。</w:t>
      </w:r>
    </w:p>
    <w:p w14:paraId="5AEA64EB">
      <w:pPr>
        <w:pStyle w:val="29"/>
        <w:numPr>
          <w:ilvl w:val="0"/>
          <w:numId w:val="115"/>
        </w:numPr>
        <w:spacing w:line="360" w:lineRule="auto"/>
        <w:ind w:firstLineChars="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开标一览表内容与投标文件中相应内容不一致的，以开标一览表为准。</w:t>
      </w:r>
    </w:p>
    <w:p w14:paraId="6D2E7C5D">
      <w:pPr>
        <w:pStyle w:val="29"/>
        <w:numPr>
          <w:ilvl w:val="0"/>
          <w:numId w:val="115"/>
        </w:numPr>
        <w:spacing w:line="360" w:lineRule="auto"/>
        <w:ind w:firstLineChars="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大写金额和小写金额不一致的，以大写金额为准。</w:t>
      </w:r>
    </w:p>
    <w:p w14:paraId="2B65E955">
      <w:pPr>
        <w:spacing w:line="360" w:lineRule="auto"/>
        <w:rPr>
          <w:rFonts w:ascii="黑体" w:hAnsi="黑体" w:eastAsia="黑体"/>
          <w:color w:val="000000" w:themeColor="text1"/>
          <w:szCs w:val="21"/>
          <w14:textFill>
            <w14:solidFill>
              <w14:schemeClr w14:val="tx1"/>
            </w14:solidFill>
          </w14:textFill>
        </w:rPr>
      </w:pPr>
    </w:p>
    <w:p w14:paraId="7FB52AEE">
      <w:pPr>
        <w:spacing w:line="360" w:lineRule="auto"/>
        <w:rPr>
          <w:rFonts w:ascii="黑体" w:hAnsi="黑体" w:eastAsia="黑体"/>
          <w:color w:val="000000" w:themeColor="text1"/>
          <w:szCs w:val="21"/>
          <w14:textFill>
            <w14:solidFill>
              <w14:schemeClr w14:val="tx1"/>
            </w14:solidFill>
          </w14:textFill>
        </w:rPr>
      </w:pPr>
    </w:p>
    <w:p w14:paraId="643CF07C">
      <w:pPr>
        <w:spacing w:line="360" w:lineRule="auto"/>
        <w:rPr>
          <w:rFonts w:ascii="黑体" w:hAnsi="黑体" w:eastAsia="黑体"/>
          <w:color w:val="000000" w:themeColor="text1"/>
          <w:szCs w:val="21"/>
          <w14:textFill>
            <w14:solidFill>
              <w14:schemeClr w14:val="tx1"/>
            </w14:solidFill>
          </w14:textFill>
        </w:rPr>
      </w:pPr>
    </w:p>
    <w:p w14:paraId="10E2A0FD">
      <w:pPr>
        <w:spacing w:line="360" w:lineRule="auto"/>
        <w:rPr>
          <w:rFonts w:ascii="黑体" w:hAnsi="黑体" w:eastAsia="黑体"/>
          <w:color w:val="000000" w:themeColor="text1"/>
          <w:szCs w:val="21"/>
          <w14:textFill>
            <w14:solidFill>
              <w14:schemeClr w14:val="tx1"/>
            </w14:solidFill>
          </w14:textFill>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629"/>
      </w:tblGrid>
      <w:tr w14:paraId="2C2D7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14:paraId="6146B884">
            <w:pPr>
              <w:overflowPunct w:val="0"/>
              <w:adjustRightInd w:val="0"/>
              <w:spacing w:line="48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投标人名称（加盖公章）：</w:t>
            </w:r>
            <w:r>
              <w:rPr>
                <w:rFonts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u w:val="single"/>
                <w14:textFill>
                  <w14:solidFill>
                    <w14:schemeClr w14:val="tx1"/>
                  </w14:solidFill>
                </w14:textFill>
              </w:rPr>
              <w:t xml:space="preserve">                    </w:t>
            </w:r>
          </w:p>
        </w:tc>
      </w:tr>
      <w:tr w14:paraId="594100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14:paraId="66BCE95A">
            <w:pPr>
              <w:spacing w:line="48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投标人法定代表人或被授权人（签名或盖私章）：</w:t>
            </w:r>
            <w:r>
              <w:rPr>
                <w:rFonts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u w:val="single"/>
                <w14:textFill>
                  <w14:solidFill>
                    <w14:schemeClr w14:val="tx1"/>
                  </w14:solidFill>
                </w14:textFill>
              </w:rPr>
              <w:t xml:space="preserve">             </w:t>
            </w:r>
          </w:p>
        </w:tc>
      </w:tr>
      <w:tr w14:paraId="5E6E7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14:paraId="2DC62CF3">
            <w:pPr>
              <w:spacing w:line="48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日期：</w:t>
            </w:r>
            <w:r>
              <w:rPr>
                <w:rFonts w:ascii="黑体" w:hAnsi="黑体" w:eastAsia="黑体"/>
                <w:color w:val="000000" w:themeColor="text1"/>
                <w:szCs w:val="21"/>
                <w:u w:val="single"/>
                <w14:textFill>
                  <w14:solidFill>
                    <w14:schemeClr w14:val="tx1"/>
                  </w14:solidFill>
                </w14:textFill>
              </w:rPr>
              <w:t xml:space="preserve">             年           月            日</w:t>
            </w:r>
          </w:p>
        </w:tc>
      </w:tr>
    </w:tbl>
    <w:p w14:paraId="4F19FB51">
      <w:pPr>
        <w:spacing w:line="360" w:lineRule="auto"/>
        <w:rPr>
          <w:rFonts w:ascii="黑体" w:hAnsi="黑体" w:eastAsia="黑体"/>
          <w:color w:val="000000" w:themeColor="text1"/>
          <w:szCs w:val="21"/>
          <w14:textFill>
            <w14:solidFill>
              <w14:schemeClr w14:val="tx1"/>
            </w14:solidFill>
          </w14:textFill>
        </w:rPr>
      </w:pPr>
    </w:p>
    <w:p w14:paraId="32CB2F6A">
      <w:pPr>
        <w:spacing w:line="360" w:lineRule="auto"/>
        <w:rPr>
          <w:rFonts w:ascii="黑体" w:hAnsi="黑体" w:eastAsia="黑体"/>
          <w:color w:val="000000" w:themeColor="text1"/>
          <w:szCs w:val="21"/>
          <w14:textFill>
            <w14:solidFill>
              <w14:schemeClr w14:val="tx1"/>
            </w14:solidFill>
          </w14:textFill>
        </w:rPr>
      </w:pPr>
    </w:p>
    <w:p w14:paraId="37E6B8F2">
      <w:pPr>
        <w:pStyle w:val="29"/>
        <w:pageBreakBefore/>
        <w:numPr>
          <w:ilvl w:val="0"/>
          <w:numId w:val="112"/>
        </w:numPr>
        <w:tabs>
          <w:tab w:val="left" w:pos="284"/>
          <w:tab w:val="left" w:pos="426"/>
          <w:tab w:val="left" w:pos="709"/>
        </w:tabs>
        <w:ind w:left="1679" w:hanging="1537" w:firstLineChars="0"/>
        <w:jc w:val="left"/>
        <w:rPr>
          <w:rFonts w:ascii="黑体" w:hAnsi="黑体" w:eastAsia="黑体"/>
          <w:b/>
          <w:bCs/>
        </w:rPr>
      </w:pPr>
      <w:bookmarkStart w:id="71" w:name="_Toc391627755"/>
      <w:bookmarkStart w:id="72" w:name="_Toc405313959"/>
      <w:r>
        <w:rPr>
          <w:rFonts w:hint="eastAsia" w:ascii="黑体" w:hAnsi="黑体" w:eastAsia="黑体"/>
          <w:b/>
          <w:bCs/>
        </w:rPr>
        <w:t>分项报价表</w:t>
      </w:r>
      <w:bookmarkEnd w:id="71"/>
      <w:bookmarkEnd w:id="72"/>
    </w:p>
    <w:p w14:paraId="69EE0A7E">
      <w:pPr>
        <w:spacing w:before="312" w:beforeLines="100" w:line="360" w:lineRule="auto"/>
        <w:jc w:val="center"/>
        <w:rPr>
          <w:rFonts w:hint="eastAsia" w:ascii="黑体" w:hAnsi="黑体" w:eastAsia="黑体"/>
          <w:b/>
          <w:color w:val="000000" w:themeColor="text1"/>
          <w:spacing w:val="20"/>
          <w:sz w:val="28"/>
          <w:szCs w:val="28"/>
          <w:lang w:eastAsia="zh-CN"/>
          <w14:textFill>
            <w14:solidFill>
              <w14:schemeClr w14:val="tx1"/>
            </w14:solidFill>
          </w14:textFill>
        </w:rPr>
      </w:pPr>
      <w:r>
        <w:rPr>
          <w:rFonts w:hint="eastAsia" w:ascii="黑体" w:hAnsi="黑体" w:eastAsia="黑体"/>
          <w:b/>
          <w:color w:val="000000" w:themeColor="text1"/>
          <w:spacing w:val="20"/>
          <w:sz w:val="28"/>
          <w:szCs w:val="28"/>
          <w14:textFill>
            <w14:solidFill>
              <w14:schemeClr w14:val="tx1"/>
            </w14:solidFill>
          </w14:textFill>
        </w:rPr>
        <w:t>分项报价表</w:t>
      </w:r>
      <w:r>
        <w:rPr>
          <w:rFonts w:hint="eastAsia" w:ascii="黑体" w:hAnsi="黑体" w:eastAsia="黑体"/>
          <w:b/>
          <w:color w:val="000000" w:themeColor="text1"/>
          <w:spacing w:val="20"/>
          <w:sz w:val="28"/>
          <w:szCs w:val="28"/>
          <w:lang w:eastAsia="zh-CN"/>
          <w14:textFill>
            <w14:solidFill>
              <w14:schemeClr w14:val="tx1"/>
            </w14:solidFill>
          </w14:textFill>
        </w:rPr>
        <w:t>（</w:t>
      </w:r>
      <w:r>
        <w:rPr>
          <w:rFonts w:hint="eastAsia" w:ascii="黑体" w:hAnsi="黑体" w:eastAsia="黑体"/>
          <w:b/>
          <w:color w:val="000000" w:themeColor="text1"/>
          <w:spacing w:val="20"/>
          <w:sz w:val="28"/>
          <w:szCs w:val="28"/>
          <w:lang w:val="en-US" w:eastAsia="zh-CN"/>
          <w14:textFill>
            <w14:solidFill>
              <w14:schemeClr w14:val="tx1"/>
            </w14:solidFill>
          </w14:textFill>
        </w:rPr>
        <w:t>包号：</w:t>
      </w:r>
      <w:r>
        <w:rPr>
          <w:rFonts w:hint="eastAsia" w:ascii="黑体" w:hAnsi="黑体" w:eastAsia="黑体"/>
          <w:b/>
          <w:color w:val="000000" w:themeColor="text1"/>
          <w:spacing w:val="20"/>
          <w:sz w:val="28"/>
          <w:szCs w:val="28"/>
          <w:u w:val="single"/>
          <w:lang w:val="en-US" w:eastAsia="zh-CN"/>
          <w14:textFill>
            <w14:solidFill>
              <w14:schemeClr w14:val="tx1"/>
            </w14:solidFill>
          </w14:textFill>
        </w:rPr>
        <w:t xml:space="preserve">   </w:t>
      </w:r>
      <w:r>
        <w:rPr>
          <w:rFonts w:hint="eastAsia" w:ascii="黑体" w:hAnsi="黑体" w:eastAsia="黑体"/>
          <w:b/>
          <w:color w:val="000000" w:themeColor="text1"/>
          <w:spacing w:val="20"/>
          <w:sz w:val="28"/>
          <w:szCs w:val="28"/>
          <w:lang w:eastAsia="zh-CN"/>
          <w14:textFill>
            <w14:solidFill>
              <w14:schemeClr w14:val="tx1"/>
            </w14:solidFill>
          </w14:textFill>
        </w:rPr>
        <w:t>）</w:t>
      </w:r>
    </w:p>
    <w:p w14:paraId="1F21F4CB">
      <w:pPr>
        <w:spacing w:line="360" w:lineRule="auto"/>
        <w:jc w:val="right"/>
        <w:rPr>
          <w:rFonts w:ascii="黑体" w:hAnsi="黑体" w:eastAsia="黑体"/>
          <w:b/>
          <w:color w:val="000000" w:themeColor="text1"/>
          <w:spacing w:val="20"/>
          <w:szCs w:val="21"/>
          <w14:textFill>
            <w14:solidFill>
              <w14:schemeClr w14:val="tx1"/>
            </w14:solidFill>
          </w14:textFill>
        </w:rPr>
      </w:pPr>
      <w:r>
        <w:rPr>
          <w:rFonts w:hint="eastAsia" w:ascii="黑体" w:hAnsi="黑体" w:eastAsia="黑体"/>
          <w:b/>
          <w:color w:val="000000" w:themeColor="text1"/>
          <w:spacing w:val="20"/>
          <w:szCs w:val="21"/>
          <w14:textFill>
            <w14:solidFill>
              <w14:schemeClr w14:val="tx1"/>
            </w14:solidFill>
          </w14:textFill>
        </w:rPr>
        <w:t>报价单位：人民币元</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2"/>
        <w:gridCol w:w="1315"/>
        <w:gridCol w:w="1459"/>
        <w:gridCol w:w="1022"/>
        <w:gridCol w:w="1313"/>
        <w:gridCol w:w="1024"/>
        <w:gridCol w:w="729"/>
        <w:gridCol w:w="1183"/>
      </w:tblGrid>
      <w:tr w14:paraId="2E636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412" w:type="pct"/>
            <w:vAlign w:val="center"/>
          </w:tcPr>
          <w:p w14:paraId="74B8C46B">
            <w:pPr>
              <w:adjustRightInd w:val="0"/>
              <w:snapToGrid w:val="0"/>
              <w:spacing w:line="360" w:lineRule="auto"/>
              <w:jc w:val="center"/>
              <w:rPr>
                <w:rFonts w:ascii="黑体" w:hAnsi="黑体" w:eastAsia="黑体"/>
                <w:b/>
                <w:color w:val="000000"/>
                <w:szCs w:val="21"/>
              </w:rPr>
            </w:pPr>
            <w:bookmarkStart w:id="73" w:name="_Hlk119659673"/>
            <w:r>
              <w:rPr>
                <w:rFonts w:ascii="黑体" w:hAnsi="黑体" w:eastAsia="黑体"/>
                <w:b/>
                <w:color w:val="000000"/>
                <w:szCs w:val="21"/>
              </w:rPr>
              <w:t>序号</w:t>
            </w:r>
          </w:p>
        </w:tc>
        <w:tc>
          <w:tcPr>
            <w:tcW w:w="750" w:type="pct"/>
            <w:vAlign w:val="center"/>
          </w:tcPr>
          <w:p w14:paraId="6F54314F">
            <w:pPr>
              <w:adjustRightInd w:val="0"/>
              <w:snapToGrid w:val="0"/>
              <w:spacing w:line="360" w:lineRule="auto"/>
              <w:jc w:val="center"/>
              <w:rPr>
                <w:rFonts w:ascii="黑体" w:hAnsi="黑体" w:eastAsia="黑体"/>
                <w:b/>
                <w:color w:val="000000"/>
                <w:szCs w:val="21"/>
              </w:rPr>
            </w:pPr>
            <w:r>
              <w:rPr>
                <w:rFonts w:ascii="黑体" w:hAnsi="黑体" w:eastAsia="黑体"/>
                <w:b/>
                <w:color w:val="000000"/>
                <w:szCs w:val="21"/>
              </w:rPr>
              <w:t>分项名称</w:t>
            </w:r>
          </w:p>
        </w:tc>
        <w:tc>
          <w:tcPr>
            <w:tcW w:w="832" w:type="pct"/>
            <w:vAlign w:val="center"/>
          </w:tcPr>
          <w:p w14:paraId="0BF48808">
            <w:pPr>
              <w:adjustRightInd w:val="0"/>
              <w:snapToGrid w:val="0"/>
              <w:spacing w:line="360" w:lineRule="auto"/>
              <w:jc w:val="center"/>
              <w:rPr>
                <w:rFonts w:ascii="黑体" w:hAnsi="黑体" w:eastAsia="黑体"/>
                <w:b/>
                <w:color w:val="000000"/>
                <w:szCs w:val="21"/>
              </w:rPr>
            </w:pPr>
            <w:r>
              <w:rPr>
                <w:rFonts w:ascii="黑体" w:hAnsi="黑体" w:eastAsia="黑体"/>
                <w:b/>
                <w:color w:val="000000"/>
                <w:szCs w:val="21"/>
              </w:rPr>
              <w:t>制造商/</w:t>
            </w:r>
          </w:p>
          <w:p w14:paraId="3F1356C6">
            <w:pPr>
              <w:adjustRightInd w:val="0"/>
              <w:snapToGrid w:val="0"/>
              <w:spacing w:line="360" w:lineRule="auto"/>
              <w:jc w:val="center"/>
              <w:rPr>
                <w:rFonts w:ascii="黑体" w:hAnsi="黑体" w:eastAsia="黑体"/>
                <w:b/>
                <w:color w:val="000000"/>
                <w:szCs w:val="21"/>
              </w:rPr>
            </w:pPr>
            <w:r>
              <w:rPr>
                <w:rFonts w:ascii="黑体" w:hAnsi="黑体" w:eastAsia="黑体"/>
                <w:b/>
                <w:color w:val="000000"/>
                <w:szCs w:val="21"/>
              </w:rPr>
              <w:t>生产厂家</w:t>
            </w:r>
          </w:p>
        </w:tc>
        <w:tc>
          <w:tcPr>
            <w:tcW w:w="583" w:type="pct"/>
            <w:vAlign w:val="center"/>
          </w:tcPr>
          <w:p w14:paraId="63F4C8C9">
            <w:pPr>
              <w:adjustRightInd w:val="0"/>
              <w:snapToGrid w:val="0"/>
              <w:spacing w:line="360" w:lineRule="auto"/>
              <w:jc w:val="center"/>
              <w:rPr>
                <w:rFonts w:ascii="黑体" w:hAnsi="黑体" w:eastAsia="黑体"/>
                <w:b/>
                <w:color w:val="000000"/>
                <w:szCs w:val="21"/>
              </w:rPr>
            </w:pPr>
            <w:r>
              <w:rPr>
                <w:rFonts w:ascii="黑体" w:hAnsi="黑体" w:eastAsia="黑体"/>
                <w:b/>
                <w:color w:val="000000"/>
                <w:szCs w:val="21"/>
              </w:rPr>
              <w:t>产地</w:t>
            </w:r>
          </w:p>
        </w:tc>
        <w:tc>
          <w:tcPr>
            <w:tcW w:w="749" w:type="pct"/>
            <w:vAlign w:val="center"/>
          </w:tcPr>
          <w:p w14:paraId="40C7C593">
            <w:pPr>
              <w:adjustRightInd w:val="0"/>
              <w:snapToGrid w:val="0"/>
              <w:spacing w:line="360" w:lineRule="auto"/>
              <w:jc w:val="center"/>
              <w:rPr>
                <w:rFonts w:ascii="黑体" w:hAnsi="黑体" w:eastAsia="黑体"/>
                <w:b/>
                <w:color w:val="000000"/>
                <w:szCs w:val="21"/>
              </w:rPr>
            </w:pPr>
            <w:r>
              <w:rPr>
                <w:rFonts w:ascii="黑体" w:hAnsi="黑体" w:eastAsia="黑体"/>
                <w:b/>
                <w:color w:val="000000"/>
                <w:szCs w:val="21"/>
              </w:rPr>
              <w:t>品牌、规格、型号</w:t>
            </w:r>
          </w:p>
        </w:tc>
        <w:tc>
          <w:tcPr>
            <w:tcW w:w="584" w:type="pct"/>
            <w:vAlign w:val="center"/>
          </w:tcPr>
          <w:p w14:paraId="4AF36A39">
            <w:pPr>
              <w:adjustRightInd w:val="0"/>
              <w:snapToGrid w:val="0"/>
              <w:spacing w:line="360" w:lineRule="auto"/>
              <w:jc w:val="center"/>
              <w:rPr>
                <w:rFonts w:ascii="黑体" w:hAnsi="黑体" w:eastAsia="黑体"/>
                <w:b/>
                <w:color w:val="000000"/>
                <w:szCs w:val="21"/>
              </w:rPr>
            </w:pPr>
            <w:r>
              <w:rPr>
                <w:rFonts w:ascii="黑体" w:hAnsi="黑体" w:eastAsia="黑体"/>
                <w:b/>
                <w:color w:val="000000"/>
                <w:szCs w:val="21"/>
              </w:rPr>
              <w:t>单价（元）</w:t>
            </w:r>
          </w:p>
        </w:tc>
        <w:tc>
          <w:tcPr>
            <w:tcW w:w="416" w:type="pct"/>
            <w:vAlign w:val="center"/>
          </w:tcPr>
          <w:p w14:paraId="773EF408">
            <w:pPr>
              <w:adjustRightInd w:val="0"/>
              <w:snapToGrid w:val="0"/>
              <w:spacing w:line="360" w:lineRule="auto"/>
              <w:jc w:val="center"/>
              <w:rPr>
                <w:rFonts w:ascii="黑体" w:hAnsi="黑体" w:eastAsia="黑体"/>
                <w:b/>
                <w:color w:val="000000"/>
                <w:szCs w:val="21"/>
              </w:rPr>
            </w:pPr>
            <w:r>
              <w:rPr>
                <w:rFonts w:ascii="黑体" w:hAnsi="黑体" w:eastAsia="黑体"/>
                <w:b/>
                <w:color w:val="000000"/>
                <w:szCs w:val="21"/>
              </w:rPr>
              <w:t>数量</w:t>
            </w:r>
          </w:p>
        </w:tc>
        <w:tc>
          <w:tcPr>
            <w:tcW w:w="674" w:type="pct"/>
            <w:vAlign w:val="center"/>
          </w:tcPr>
          <w:p w14:paraId="4524C341">
            <w:pPr>
              <w:adjustRightInd w:val="0"/>
              <w:snapToGrid w:val="0"/>
              <w:spacing w:line="360" w:lineRule="auto"/>
              <w:jc w:val="center"/>
              <w:rPr>
                <w:rFonts w:ascii="黑体" w:hAnsi="黑体" w:eastAsia="黑体"/>
                <w:b/>
                <w:color w:val="000000"/>
                <w:szCs w:val="21"/>
              </w:rPr>
            </w:pPr>
            <w:r>
              <w:rPr>
                <w:rFonts w:ascii="黑体" w:hAnsi="黑体" w:eastAsia="黑体"/>
                <w:b/>
                <w:color w:val="000000"/>
                <w:szCs w:val="21"/>
              </w:rPr>
              <w:t>合价（元）</w:t>
            </w:r>
          </w:p>
        </w:tc>
      </w:tr>
      <w:tr w14:paraId="211F8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vAlign w:val="center"/>
          </w:tcPr>
          <w:p w14:paraId="35974093">
            <w:pPr>
              <w:adjustRightInd w:val="0"/>
              <w:snapToGrid w:val="0"/>
              <w:spacing w:line="480" w:lineRule="auto"/>
              <w:jc w:val="center"/>
              <w:rPr>
                <w:rFonts w:ascii="黑体" w:hAnsi="黑体" w:eastAsia="黑体"/>
                <w:color w:val="000000"/>
                <w:szCs w:val="21"/>
              </w:rPr>
            </w:pPr>
          </w:p>
        </w:tc>
        <w:tc>
          <w:tcPr>
            <w:tcW w:w="750" w:type="pct"/>
            <w:vAlign w:val="center"/>
          </w:tcPr>
          <w:p w14:paraId="06951D33">
            <w:pPr>
              <w:adjustRightInd w:val="0"/>
              <w:snapToGrid w:val="0"/>
              <w:spacing w:line="480" w:lineRule="auto"/>
              <w:jc w:val="left"/>
              <w:rPr>
                <w:rFonts w:ascii="黑体" w:hAnsi="黑体" w:eastAsia="黑体"/>
                <w:color w:val="000000"/>
                <w:szCs w:val="21"/>
              </w:rPr>
            </w:pPr>
          </w:p>
        </w:tc>
        <w:tc>
          <w:tcPr>
            <w:tcW w:w="832" w:type="pct"/>
            <w:vAlign w:val="center"/>
          </w:tcPr>
          <w:p w14:paraId="218DE02E">
            <w:pPr>
              <w:adjustRightInd w:val="0"/>
              <w:snapToGrid w:val="0"/>
              <w:spacing w:line="480" w:lineRule="auto"/>
              <w:jc w:val="left"/>
              <w:rPr>
                <w:rFonts w:ascii="黑体" w:hAnsi="黑体" w:eastAsia="黑体"/>
                <w:color w:val="000000"/>
                <w:szCs w:val="21"/>
              </w:rPr>
            </w:pPr>
          </w:p>
        </w:tc>
        <w:tc>
          <w:tcPr>
            <w:tcW w:w="583" w:type="pct"/>
          </w:tcPr>
          <w:p w14:paraId="5ADE1675">
            <w:pPr>
              <w:adjustRightInd w:val="0"/>
              <w:snapToGrid w:val="0"/>
              <w:spacing w:line="480" w:lineRule="auto"/>
              <w:jc w:val="left"/>
              <w:rPr>
                <w:rFonts w:ascii="黑体" w:hAnsi="黑体" w:eastAsia="黑体"/>
                <w:color w:val="000000"/>
                <w:szCs w:val="21"/>
              </w:rPr>
            </w:pPr>
          </w:p>
        </w:tc>
        <w:tc>
          <w:tcPr>
            <w:tcW w:w="749" w:type="pct"/>
            <w:vAlign w:val="center"/>
          </w:tcPr>
          <w:p w14:paraId="151066DD">
            <w:pPr>
              <w:adjustRightInd w:val="0"/>
              <w:snapToGrid w:val="0"/>
              <w:spacing w:line="480" w:lineRule="auto"/>
              <w:jc w:val="left"/>
              <w:rPr>
                <w:rFonts w:ascii="黑体" w:hAnsi="黑体" w:eastAsia="黑体"/>
                <w:color w:val="000000"/>
                <w:szCs w:val="21"/>
              </w:rPr>
            </w:pPr>
          </w:p>
        </w:tc>
        <w:tc>
          <w:tcPr>
            <w:tcW w:w="584" w:type="pct"/>
            <w:vAlign w:val="center"/>
          </w:tcPr>
          <w:p w14:paraId="3146F664">
            <w:pPr>
              <w:adjustRightInd w:val="0"/>
              <w:snapToGrid w:val="0"/>
              <w:spacing w:line="480" w:lineRule="auto"/>
              <w:jc w:val="left"/>
              <w:rPr>
                <w:rFonts w:ascii="黑体" w:hAnsi="黑体" w:eastAsia="黑体"/>
                <w:color w:val="000000"/>
                <w:szCs w:val="21"/>
              </w:rPr>
            </w:pPr>
          </w:p>
        </w:tc>
        <w:tc>
          <w:tcPr>
            <w:tcW w:w="416" w:type="pct"/>
            <w:vAlign w:val="center"/>
          </w:tcPr>
          <w:p w14:paraId="0A672675">
            <w:pPr>
              <w:adjustRightInd w:val="0"/>
              <w:snapToGrid w:val="0"/>
              <w:spacing w:line="480" w:lineRule="auto"/>
              <w:jc w:val="left"/>
              <w:rPr>
                <w:rFonts w:ascii="黑体" w:hAnsi="黑体" w:eastAsia="黑体"/>
                <w:color w:val="000000"/>
                <w:szCs w:val="21"/>
              </w:rPr>
            </w:pPr>
          </w:p>
        </w:tc>
        <w:tc>
          <w:tcPr>
            <w:tcW w:w="674" w:type="pct"/>
            <w:vAlign w:val="center"/>
          </w:tcPr>
          <w:p w14:paraId="323B1EF6">
            <w:pPr>
              <w:adjustRightInd w:val="0"/>
              <w:snapToGrid w:val="0"/>
              <w:spacing w:line="480" w:lineRule="auto"/>
              <w:jc w:val="left"/>
              <w:rPr>
                <w:rFonts w:ascii="黑体" w:hAnsi="黑体" w:eastAsia="黑体"/>
                <w:color w:val="000000"/>
                <w:szCs w:val="21"/>
              </w:rPr>
            </w:pPr>
          </w:p>
        </w:tc>
      </w:tr>
      <w:tr w14:paraId="3ED14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vAlign w:val="center"/>
          </w:tcPr>
          <w:p w14:paraId="52D68355">
            <w:pPr>
              <w:adjustRightInd w:val="0"/>
              <w:snapToGrid w:val="0"/>
              <w:spacing w:line="480" w:lineRule="auto"/>
              <w:jc w:val="center"/>
              <w:rPr>
                <w:rFonts w:ascii="黑体" w:hAnsi="黑体" w:eastAsia="黑体"/>
                <w:color w:val="000000"/>
                <w:szCs w:val="21"/>
              </w:rPr>
            </w:pPr>
          </w:p>
        </w:tc>
        <w:tc>
          <w:tcPr>
            <w:tcW w:w="750" w:type="pct"/>
            <w:vAlign w:val="center"/>
          </w:tcPr>
          <w:p w14:paraId="0A793E48">
            <w:pPr>
              <w:adjustRightInd w:val="0"/>
              <w:snapToGrid w:val="0"/>
              <w:spacing w:line="480" w:lineRule="auto"/>
              <w:jc w:val="left"/>
              <w:rPr>
                <w:rFonts w:ascii="黑体" w:hAnsi="黑体" w:eastAsia="黑体"/>
                <w:color w:val="000000"/>
                <w:szCs w:val="21"/>
              </w:rPr>
            </w:pPr>
          </w:p>
        </w:tc>
        <w:tc>
          <w:tcPr>
            <w:tcW w:w="832" w:type="pct"/>
            <w:vAlign w:val="center"/>
          </w:tcPr>
          <w:p w14:paraId="685700EF">
            <w:pPr>
              <w:adjustRightInd w:val="0"/>
              <w:snapToGrid w:val="0"/>
              <w:spacing w:line="480" w:lineRule="auto"/>
              <w:jc w:val="left"/>
              <w:rPr>
                <w:rFonts w:ascii="黑体" w:hAnsi="黑体" w:eastAsia="黑体"/>
                <w:color w:val="000000"/>
                <w:szCs w:val="21"/>
              </w:rPr>
            </w:pPr>
          </w:p>
        </w:tc>
        <w:tc>
          <w:tcPr>
            <w:tcW w:w="583" w:type="pct"/>
          </w:tcPr>
          <w:p w14:paraId="6CCBB42D">
            <w:pPr>
              <w:adjustRightInd w:val="0"/>
              <w:snapToGrid w:val="0"/>
              <w:spacing w:line="480" w:lineRule="auto"/>
              <w:jc w:val="left"/>
              <w:rPr>
                <w:rFonts w:ascii="黑体" w:hAnsi="黑体" w:eastAsia="黑体"/>
                <w:color w:val="000000"/>
                <w:szCs w:val="21"/>
              </w:rPr>
            </w:pPr>
          </w:p>
        </w:tc>
        <w:tc>
          <w:tcPr>
            <w:tcW w:w="749" w:type="pct"/>
            <w:vAlign w:val="center"/>
          </w:tcPr>
          <w:p w14:paraId="5DCC1D01">
            <w:pPr>
              <w:adjustRightInd w:val="0"/>
              <w:snapToGrid w:val="0"/>
              <w:spacing w:line="480" w:lineRule="auto"/>
              <w:jc w:val="left"/>
              <w:rPr>
                <w:rFonts w:ascii="黑体" w:hAnsi="黑体" w:eastAsia="黑体"/>
                <w:color w:val="000000"/>
                <w:szCs w:val="21"/>
              </w:rPr>
            </w:pPr>
          </w:p>
        </w:tc>
        <w:tc>
          <w:tcPr>
            <w:tcW w:w="584" w:type="pct"/>
            <w:vAlign w:val="center"/>
          </w:tcPr>
          <w:p w14:paraId="7A819689">
            <w:pPr>
              <w:adjustRightInd w:val="0"/>
              <w:snapToGrid w:val="0"/>
              <w:spacing w:line="480" w:lineRule="auto"/>
              <w:jc w:val="left"/>
              <w:rPr>
                <w:rFonts w:ascii="黑体" w:hAnsi="黑体" w:eastAsia="黑体"/>
                <w:color w:val="000000"/>
                <w:szCs w:val="21"/>
              </w:rPr>
            </w:pPr>
          </w:p>
        </w:tc>
        <w:tc>
          <w:tcPr>
            <w:tcW w:w="416" w:type="pct"/>
            <w:vAlign w:val="center"/>
          </w:tcPr>
          <w:p w14:paraId="58790A8B">
            <w:pPr>
              <w:adjustRightInd w:val="0"/>
              <w:snapToGrid w:val="0"/>
              <w:spacing w:line="480" w:lineRule="auto"/>
              <w:jc w:val="left"/>
              <w:rPr>
                <w:rFonts w:ascii="黑体" w:hAnsi="黑体" w:eastAsia="黑体"/>
                <w:color w:val="000000"/>
                <w:szCs w:val="21"/>
              </w:rPr>
            </w:pPr>
          </w:p>
        </w:tc>
        <w:tc>
          <w:tcPr>
            <w:tcW w:w="674" w:type="pct"/>
            <w:vAlign w:val="center"/>
          </w:tcPr>
          <w:p w14:paraId="36964B3E">
            <w:pPr>
              <w:adjustRightInd w:val="0"/>
              <w:snapToGrid w:val="0"/>
              <w:spacing w:line="480" w:lineRule="auto"/>
              <w:jc w:val="left"/>
              <w:rPr>
                <w:rFonts w:ascii="黑体" w:hAnsi="黑体" w:eastAsia="黑体"/>
                <w:color w:val="000000"/>
                <w:szCs w:val="21"/>
              </w:rPr>
            </w:pPr>
          </w:p>
        </w:tc>
      </w:tr>
      <w:tr w14:paraId="35448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vAlign w:val="center"/>
          </w:tcPr>
          <w:p w14:paraId="7E9EFDD4">
            <w:pPr>
              <w:adjustRightInd w:val="0"/>
              <w:snapToGrid w:val="0"/>
              <w:spacing w:line="480" w:lineRule="auto"/>
              <w:jc w:val="center"/>
              <w:rPr>
                <w:rFonts w:ascii="黑体" w:hAnsi="黑体" w:eastAsia="黑体"/>
                <w:color w:val="000000"/>
                <w:szCs w:val="21"/>
              </w:rPr>
            </w:pPr>
          </w:p>
        </w:tc>
        <w:tc>
          <w:tcPr>
            <w:tcW w:w="750" w:type="pct"/>
            <w:vAlign w:val="center"/>
          </w:tcPr>
          <w:p w14:paraId="347CAF7E">
            <w:pPr>
              <w:adjustRightInd w:val="0"/>
              <w:snapToGrid w:val="0"/>
              <w:spacing w:line="480" w:lineRule="auto"/>
              <w:jc w:val="left"/>
              <w:rPr>
                <w:rFonts w:ascii="黑体" w:hAnsi="黑体" w:eastAsia="黑体"/>
                <w:color w:val="000000"/>
                <w:szCs w:val="21"/>
              </w:rPr>
            </w:pPr>
          </w:p>
        </w:tc>
        <w:tc>
          <w:tcPr>
            <w:tcW w:w="832" w:type="pct"/>
            <w:vAlign w:val="center"/>
          </w:tcPr>
          <w:p w14:paraId="2E6549D2">
            <w:pPr>
              <w:adjustRightInd w:val="0"/>
              <w:snapToGrid w:val="0"/>
              <w:spacing w:line="480" w:lineRule="auto"/>
              <w:jc w:val="left"/>
              <w:rPr>
                <w:rFonts w:ascii="黑体" w:hAnsi="黑体" w:eastAsia="黑体"/>
                <w:color w:val="000000"/>
                <w:szCs w:val="21"/>
              </w:rPr>
            </w:pPr>
          </w:p>
        </w:tc>
        <w:tc>
          <w:tcPr>
            <w:tcW w:w="583" w:type="pct"/>
          </w:tcPr>
          <w:p w14:paraId="7ECDB6FB">
            <w:pPr>
              <w:adjustRightInd w:val="0"/>
              <w:snapToGrid w:val="0"/>
              <w:spacing w:line="480" w:lineRule="auto"/>
              <w:jc w:val="left"/>
              <w:rPr>
                <w:rFonts w:ascii="黑体" w:hAnsi="黑体" w:eastAsia="黑体"/>
                <w:color w:val="000000"/>
                <w:szCs w:val="21"/>
              </w:rPr>
            </w:pPr>
          </w:p>
        </w:tc>
        <w:tc>
          <w:tcPr>
            <w:tcW w:w="749" w:type="pct"/>
            <w:vAlign w:val="center"/>
          </w:tcPr>
          <w:p w14:paraId="34F1B624">
            <w:pPr>
              <w:adjustRightInd w:val="0"/>
              <w:snapToGrid w:val="0"/>
              <w:spacing w:line="480" w:lineRule="auto"/>
              <w:jc w:val="left"/>
              <w:rPr>
                <w:rFonts w:ascii="黑体" w:hAnsi="黑体" w:eastAsia="黑体"/>
                <w:color w:val="000000"/>
                <w:szCs w:val="21"/>
              </w:rPr>
            </w:pPr>
          </w:p>
        </w:tc>
        <w:tc>
          <w:tcPr>
            <w:tcW w:w="584" w:type="pct"/>
            <w:vAlign w:val="center"/>
          </w:tcPr>
          <w:p w14:paraId="37E55FC4">
            <w:pPr>
              <w:adjustRightInd w:val="0"/>
              <w:snapToGrid w:val="0"/>
              <w:spacing w:line="480" w:lineRule="auto"/>
              <w:jc w:val="left"/>
              <w:rPr>
                <w:rFonts w:ascii="黑体" w:hAnsi="黑体" w:eastAsia="黑体"/>
                <w:color w:val="000000"/>
                <w:szCs w:val="21"/>
              </w:rPr>
            </w:pPr>
          </w:p>
        </w:tc>
        <w:tc>
          <w:tcPr>
            <w:tcW w:w="416" w:type="pct"/>
            <w:vAlign w:val="center"/>
          </w:tcPr>
          <w:p w14:paraId="7597B020">
            <w:pPr>
              <w:adjustRightInd w:val="0"/>
              <w:snapToGrid w:val="0"/>
              <w:spacing w:line="480" w:lineRule="auto"/>
              <w:jc w:val="left"/>
              <w:rPr>
                <w:rFonts w:ascii="黑体" w:hAnsi="黑体" w:eastAsia="黑体"/>
                <w:color w:val="000000"/>
                <w:szCs w:val="21"/>
              </w:rPr>
            </w:pPr>
          </w:p>
        </w:tc>
        <w:tc>
          <w:tcPr>
            <w:tcW w:w="674" w:type="pct"/>
            <w:vAlign w:val="center"/>
          </w:tcPr>
          <w:p w14:paraId="574CB83B">
            <w:pPr>
              <w:adjustRightInd w:val="0"/>
              <w:snapToGrid w:val="0"/>
              <w:spacing w:line="480" w:lineRule="auto"/>
              <w:jc w:val="left"/>
              <w:rPr>
                <w:rFonts w:ascii="黑体" w:hAnsi="黑体" w:eastAsia="黑体"/>
                <w:color w:val="000000"/>
                <w:szCs w:val="21"/>
              </w:rPr>
            </w:pPr>
          </w:p>
        </w:tc>
      </w:tr>
      <w:tr w14:paraId="64200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vAlign w:val="center"/>
          </w:tcPr>
          <w:p w14:paraId="21BA8F73">
            <w:pPr>
              <w:adjustRightInd w:val="0"/>
              <w:snapToGrid w:val="0"/>
              <w:spacing w:line="480" w:lineRule="auto"/>
              <w:jc w:val="center"/>
              <w:rPr>
                <w:rFonts w:ascii="黑体" w:hAnsi="黑体" w:eastAsia="黑体"/>
                <w:color w:val="000000"/>
                <w:szCs w:val="21"/>
              </w:rPr>
            </w:pPr>
          </w:p>
        </w:tc>
        <w:tc>
          <w:tcPr>
            <w:tcW w:w="750" w:type="pct"/>
            <w:vAlign w:val="center"/>
          </w:tcPr>
          <w:p w14:paraId="0D1DE6E7">
            <w:pPr>
              <w:adjustRightInd w:val="0"/>
              <w:snapToGrid w:val="0"/>
              <w:spacing w:line="480" w:lineRule="auto"/>
              <w:jc w:val="left"/>
              <w:rPr>
                <w:rFonts w:ascii="黑体" w:hAnsi="黑体" w:eastAsia="黑体"/>
                <w:color w:val="000000"/>
                <w:szCs w:val="21"/>
              </w:rPr>
            </w:pPr>
          </w:p>
        </w:tc>
        <w:tc>
          <w:tcPr>
            <w:tcW w:w="832" w:type="pct"/>
            <w:vAlign w:val="center"/>
          </w:tcPr>
          <w:p w14:paraId="4F2FE144">
            <w:pPr>
              <w:adjustRightInd w:val="0"/>
              <w:snapToGrid w:val="0"/>
              <w:spacing w:line="480" w:lineRule="auto"/>
              <w:jc w:val="left"/>
              <w:rPr>
                <w:rFonts w:ascii="黑体" w:hAnsi="黑体" w:eastAsia="黑体"/>
                <w:color w:val="000000"/>
                <w:szCs w:val="21"/>
              </w:rPr>
            </w:pPr>
          </w:p>
        </w:tc>
        <w:tc>
          <w:tcPr>
            <w:tcW w:w="583" w:type="pct"/>
          </w:tcPr>
          <w:p w14:paraId="7AE1D420">
            <w:pPr>
              <w:adjustRightInd w:val="0"/>
              <w:snapToGrid w:val="0"/>
              <w:spacing w:line="480" w:lineRule="auto"/>
              <w:jc w:val="left"/>
              <w:rPr>
                <w:rFonts w:ascii="黑体" w:hAnsi="黑体" w:eastAsia="黑体"/>
                <w:color w:val="000000"/>
                <w:szCs w:val="21"/>
              </w:rPr>
            </w:pPr>
          </w:p>
        </w:tc>
        <w:tc>
          <w:tcPr>
            <w:tcW w:w="749" w:type="pct"/>
            <w:vAlign w:val="center"/>
          </w:tcPr>
          <w:p w14:paraId="4493DB71">
            <w:pPr>
              <w:adjustRightInd w:val="0"/>
              <w:snapToGrid w:val="0"/>
              <w:spacing w:line="480" w:lineRule="auto"/>
              <w:jc w:val="left"/>
              <w:rPr>
                <w:rFonts w:ascii="黑体" w:hAnsi="黑体" w:eastAsia="黑体"/>
                <w:color w:val="000000"/>
                <w:szCs w:val="21"/>
              </w:rPr>
            </w:pPr>
          </w:p>
        </w:tc>
        <w:tc>
          <w:tcPr>
            <w:tcW w:w="584" w:type="pct"/>
            <w:vAlign w:val="center"/>
          </w:tcPr>
          <w:p w14:paraId="775655CA">
            <w:pPr>
              <w:adjustRightInd w:val="0"/>
              <w:snapToGrid w:val="0"/>
              <w:spacing w:line="480" w:lineRule="auto"/>
              <w:jc w:val="left"/>
              <w:rPr>
                <w:rFonts w:ascii="黑体" w:hAnsi="黑体" w:eastAsia="黑体"/>
                <w:color w:val="000000"/>
                <w:szCs w:val="21"/>
              </w:rPr>
            </w:pPr>
          </w:p>
        </w:tc>
        <w:tc>
          <w:tcPr>
            <w:tcW w:w="416" w:type="pct"/>
            <w:vAlign w:val="center"/>
          </w:tcPr>
          <w:p w14:paraId="46261B1F">
            <w:pPr>
              <w:adjustRightInd w:val="0"/>
              <w:snapToGrid w:val="0"/>
              <w:spacing w:line="480" w:lineRule="auto"/>
              <w:jc w:val="left"/>
              <w:rPr>
                <w:rFonts w:ascii="黑体" w:hAnsi="黑体" w:eastAsia="黑体"/>
                <w:color w:val="000000"/>
                <w:szCs w:val="21"/>
              </w:rPr>
            </w:pPr>
          </w:p>
        </w:tc>
        <w:tc>
          <w:tcPr>
            <w:tcW w:w="674" w:type="pct"/>
            <w:vAlign w:val="center"/>
          </w:tcPr>
          <w:p w14:paraId="3EEB4E1A">
            <w:pPr>
              <w:adjustRightInd w:val="0"/>
              <w:snapToGrid w:val="0"/>
              <w:spacing w:line="480" w:lineRule="auto"/>
              <w:jc w:val="left"/>
              <w:rPr>
                <w:rFonts w:ascii="黑体" w:hAnsi="黑体" w:eastAsia="黑体"/>
                <w:color w:val="000000"/>
                <w:szCs w:val="21"/>
              </w:rPr>
            </w:pPr>
          </w:p>
        </w:tc>
      </w:tr>
      <w:tr w14:paraId="4AC01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vAlign w:val="center"/>
          </w:tcPr>
          <w:p w14:paraId="3CA4114A">
            <w:pPr>
              <w:adjustRightInd w:val="0"/>
              <w:snapToGrid w:val="0"/>
              <w:spacing w:line="480" w:lineRule="auto"/>
              <w:jc w:val="left"/>
              <w:rPr>
                <w:rFonts w:ascii="黑体" w:hAnsi="黑体" w:eastAsia="黑体"/>
                <w:color w:val="000000"/>
                <w:szCs w:val="21"/>
              </w:rPr>
            </w:pPr>
          </w:p>
        </w:tc>
        <w:tc>
          <w:tcPr>
            <w:tcW w:w="750" w:type="pct"/>
            <w:vAlign w:val="center"/>
          </w:tcPr>
          <w:p w14:paraId="7D38121B">
            <w:pPr>
              <w:adjustRightInd w:val="0"/>
              <w:snapToGrid w:val="0"/>
              <w:spacing w:line="480" w:lineRule="auto"/>
              <w:jc w:val="left"/>
              <w:rPr>
                <w:rFonts w:ascii="黑体" w:hAnsi="黑体" w:eastAsia="黑体"/>
                <w:color w:val="000000"/>
                <w:szCs w:val="21"/>
              </w:rPr>
            </w:pPr>
          </w:p>
        </w:tc>
        <w:tc>
          <w:tcPr>
            <w:tcW w:w="832" w:type="pct"/>
            <w:vAlign w:val="center"/>
          </w:tcPr>
          <w:p w14:paraId="6B1B87EC">
            <w:pPr>
              <w:adjustRightInd w:val="0"/>
              <w:snapToGrid w:val="0"/>
              <w:spacing w:line="480" w:lineRule="auto"/>
              <w:jc w:val="left"/>
              <w:rPr>
                <w:rFonts w:ascii="黑体" w:hAnsi="黑体" w:eastAsia="黑体"/>
                <w:color w:val="000000"/>
                <w:szCs w:val="21"/>
              </w:rPr>
            </w:pPr>
          </w:p>
        </w:tc>
        <w:tc>
          <w:tcPr>
            <w:tcW w:w="583" w:type="pct"/>
          </w:tcPr>
          <w:p w14:paraId="1A3A5B27">
            <w:pPr>
              <w:adjustRightInd w:val="0"/>
              <w:snapToGrid w:val="0"/>
              <w:spacing w:line="480" w:lineRule="auto"/>
              <w:jc w:val="left"/>
              <w:rPr>
                <w:rFonts w:ascii="黑体" w:hAnsi="黑体" w:eastAsia="黑体"/>
                <w:color w:val="000000"/>
                <w:szCs w:val="21"/>
              </w:rPr>
            </w:pPr>
          </w:p>
        </w:tc>
        <w:tc>
          <w:tcPr>
            <w:tcW w:w="749" w:type="pct"/>
            <w:vAlign w:val="center"/>
          </w:tcPr>
          <w:p w14:paraId="4BC7A8BB">
            <w:pPr>
              <w:adjustRightInd w:val="0"/>
              <w:snapToGrid w:val="0"/>
              <w:spacing w:line="480" w:lineRule="auto"/>
              <w:jc w:val="left"/>
              <w:rPr>
                <w:rFonts w:ascii="黑体" w:hAnsi="黑体" w:eastAsia="黑体"/>
                <w:color w:val="000000"/>
                <w:szCs w:val="21"/>
              </w:rPr>
            </w:pPr>
          </w:p>
        </w:tc>
        <w:tc>
          <w:tcPr>
            <w:tcW w:w="584" w:type="pct"/>
            <w:vAlign w:val="center"/>
          </w:tcPr>
          <w:p w14:paraId="45A0E54D">
            <w:pPr>
              <w:adjustRightInd w:val="0"/>
              <w:snapToGrid w:val="0"/>
              <w:spacing w:line="480" w:lineRule="auto"/>
              <w:jc w:val="left"/>
              <w:rPr>
                <w:rFonts w:ascii="黑体" w:hAnsi="黑体" w:eastAsia="黑体"/>
                <w:color w:val="000000"/>
                <w:szCs w:val="21"/>
              </w:rPr>
            </w:pPr>
          </w:p>
        </w:tc>
        <w:tc>
          <w:tcPr>
            <w:tcW w:w="416" w:type="pct"/>
            <w:vAlign w:val="center"/>
          </w:tcPr>
          <w:p w14:paraId="48898CDE">
            <w:pPr>
              <w:adjustRightInd w:val="0"/>
              <w:snapToGrid w:val="0"/>
              <w:spacing w:line="480" w:lineRule="auto"/>
              <w:jc w:val="left"/>
              <w:rPr>
                <w:rFonts w:ascii="黑体" w:hAnsi="黑体" w:eastAsia="黑体"/>
                <w:color w:val="000000"/>
                <w:szCs w:val="21"/>
              </w:rPr>
            </w:pPr>
          </w:p>
        </w:tc>
        <w:tc>
          <w:tcPr>
            <w:tcW w:w="674" w:type="pct"/>
            <w:vAlign w:val="center"/>
          </w:tcPr>
          <w:p w14:paraId="5FEE0EF1">
            <w:pPr>
              <w:adjustRightInd w:val="0"/>
              <w:snapToGrid w:val="0"/>
              <w:spacing w:line="480" w:lineRule="auto"/>
              <w:jc w:val="left"/>
              <w:rPr>
                <w:rFonts w:ascii="黑体" w:hAnsi="黑体" w:eastAsia="黑体"/>
                <w:color w:val="000000"/>
                <w:szCs w:val="21"/>
              </w:rPr>
            </w:pPr>
          </w:p>
        </w:tc>
      </w:tr>
      <w:tr w14:paraId="23A40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gridSpan w:val="4"/>
            <w:vAlign w:val="center"/>
          </w:tcPr>
          <w:p w14:paraId="46F66E2B">
            <w:pPr>
              <w:adjustRightInd w:val="0"/>
              <w:snapToGrid w:val="0"/>
              <w:spacing w:line="480" w:lineRule="auto"/>
              <w:jc w:val="right"/>
              <w:rPr>
                <w:rFonts w:ascii="黑体" w:hAnsi="黑体" w:eastAsia="黑体"/>
                <w:color w:val="000000"/>
                <w:szCs w:val="21"/>
              </w:rPr>
            </w:pPr>
            <w:r>
              <w:rPr>
                <w:rFonts w:ascii="黑体" w:hAnsi="黑体" w:eastAsia="黑体"/>
                <w:b/>
                <w:szCs w:val="21"/>
              </w:rPr>
              <w:t>总价（元）</w:t>
            </w:r>
          </w:p>
        </w:tc>
        <w:tc>
          <w:tcPr>
            <w:tcW w:w="2423" w:type="pct"/>
            <w:gridSpan w:val="4"/>
            <w:vAlign w:val="center"/>
          </w:tcPr>
          <w:p w14:paraId="76ED4F65">
            <w:pPr>
              <w:spacing w:line="360" w:lineRule="auto"/>
              <w:rPr>
                <w:rFonts w:ascii="黑体" w:hAnsi="黑体" w:eastAsia="黑体"/>
                <w:szCs w:val="21"/>
              </w:rPr>
            </w:pPr>
            <w:r>
              <w:rPr>
                <w:rFonts w:hint="eastAsia" w:ascii="黑体" w:hAnsi="黑体" w:eastAsia="黑体"/>
                <w:szCs w:val="21"/>
              </w:rPr>
              <w:t>大写：</w:t>
            </w:r>
            <w:r>
              <w:rPr>
                <w:rFonts w:ascii="黑体" w:hAnsi="黑体" w:eastAsia="黑体"/>
                <w:szCs w:val="21"/>
                <w:u w:val="single"/>
              </w:rPr>
              <w:t xml:space="preserve">       </w:t>
            </w:r>
            <w:r>
              <w:rPr>
                <w:rFonts w:hint="eastAsia" w:ascii="黑体" w:hAnsi="黑体" w:eastAsia="黑体"/>
                <w:szCs w:val="21"/>
                <w:u w:val="single"/>
              </w:rPr>
              <w:t xml:space="preserve">   </w:t>
            </w:r>
            <w:r>
              <w:rPr>
                <w:rFonts w:ascii="黑体" w:hAnsi="黑体" w:eastAsia="黑体"/>
                <w:szCs w:val="21"/>
                <w:u w:val="single"/>
              </w:rPr>
              <w:t xml:space="preserve">          </w:t>
            </w:r>
            <w:r>
              <w:rPr>
                <w:rFonts w:hint="eastAsia" w:ascii="黑体" w:hAnsi="黑体" w:eastAsia="黑体"/>
                <w:szCs w:val="21"/>
                <w:u w:val="single"/>
              </w:rPr>
              <w:t xml:space="preserve"> </w:t>
            </w:r>
            <w:r>
              <w:rPr>
                <w:rFonts w:ascii="黑体" w:hAnsi="黑体" w:eastAsia="黑体"/>
                <w:szCs w:val="21"/>
                <w:u w:val="single"/>
              </w:rPr>
              <w:t xml:space="preserve">  </w:t>
            </w:r>
            <w:r>
              <w:rPr>
                <w:rFonts w:hint="eastAsia" w:ascii="黑体" w:hAnsi="黑体" w:eastAsia="黑体"/>
                <w:szCs w:val="21"/>
                <w:u w:val="single"/>
              </w:rPr>
              <w:t>元</w:t>
            </w:r>
          </w:p>
          <w:p w14:paraId="090BC57D">
            <w:pPr>
              <w:adjustRightInd w:val="0"/>
              <w:snapToGrid w:val="0"/>
              <w:spacing w:line="480" w:lineRule="auto"/>
              <w:rPr>
                <w:rFonts w:ascii="黑体" w:hAnsi="黑体" w:eastAsia="黑体"/>
                <w:color w:val="000000"/>
                <w:szCs w:val="21"/>
              </w:rPr>
            </w:pPr>
            <w:r>
              <w:rPr>
                <w:rFonts w:hint="eastAsia" w:ascii="黑体" w:hAnsi="黑体" w:eastAsia="黑体"/>
                <w:szCs w:val="21"/>
              </w:rPr>
              <w:t>小写：</w:t>
            </w:r>
            <w:r>
              <w:rPr>
                <w:rFonts w:ascii="黑体" w:hAnsi="黑体" w:eastAsia="黑体"/>
                <w:szCs w:val="21"/>
                <w:u w:val="single"/>
              </w:rPr>
              <w:t xml:space="preserve">     </w:t>
            </w:r>
            <w:r>
              <w:rPr>
                <w:rFonts w:hint="eastAsia" w:ascii="黑体" w:hAnsi="黑体" w:eastAsia="黑体"/>
                <w:szCs w:val="21"/>
                <w:u w:val="single"/>
              </w:rPr>
              <w:t xml:space="preserve"> </w:t>
            </w:r>
            <w:r>
              <w:rPr>
                <w:rFonts w:ascii="黑体" w:hAnsi="黑体" w:eastAsia="黑体"/>
                <w:szCs w:val="21"/>
                <w:u w:val="single"/>
              </w:rPr>
              <w:t xml:space="preserve">     </w:t>
            </w:r>
            <w:r>
              <w:rPr>
                <w:rFonts w:hint="eastAsia" w:ascii="黑体" w:hAnsi="黑体" w:eastAsia="黑体"/>
                <w:szCs w:val="21"/>
                <w:u w:val="single"/>
              </w:rPr>
              <w:t xml:space="preserve">  </w:t>
            </w:r>
            <w:r>
              <w:rPr>
                <w:rFonts w:ascii="黑体" w:hAnsi="黑体" w:eastAsia="黑体"/>
                <w:szCs w:val="21"/>
                <w:u w:val="single"/>
              </w:rPr>
              <w:t xml:space="preserve">          </w:t>
            </w:r>
            <w:r>
              <w:rPr>
                <w:rFonts w:hint="eastAsia" w:ascii="黑体" w:hAnsi="黑体" w:eastAsia="黑体"/>
                <w:szCs w:val="21"/>
                <w:u w:val="single"/>
              </w:rPr>
              <w:t>元</w:t>
            </w:r>
          </w:p>
        </w:tc>
      </w:tr>
      <w:bookmarkEnd w:id="73"/>
    </w:tbl>
    <w:p w14:paraId="6589A1FA">
      <w:pPr>
        <w:spacing w:before="312" w:beforeLines="100"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注明：</w:t>
      </w:r>
    </w:p>
    <w:p w14:paraId="6C17EFF9">
      <w:pPr>
        <w:pStyle w:val="29"/>
        <w:numPr>
          <w:ilvl w:val="0"/>
          <w:numId w:val="116"/>
        </w:numPr>
        <w:spacing w:line="360" w:lineRule="auto"/>
        <w:ind w:firstLineChars="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此表为报价总表的分项报价表。</w:t>
      </w:r>
    </w:p>
    <w:p w14:paraId="6D5E22D5">
      <w:pPr>
        <w:pStyle w:val="29"/>
        <w:numPr>
          <w:ilvl w:val="0"/>
          <w:numId w:val="116"/>
        </w:numPr>
        <w:spacing w:line="360" w:lineRule="auto"/>
        <w:ind w:firstLineChars="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如果单价和总价不符时，以单价为准，修正总价。</w:t>
      </w:r>
    </w:p>
    <w:p w14:paraId="4F6B3D7D">
      <w:pPr>
        <w:pStyle w:val="29"/>
        <w:numPr>
          <w:ilvl w:val="0"/>
          <w:numId w:val="116"/>
        </w:numPr>
        <w:spacing w:line="360" w:lineRule="auto"/>
        <w:ind w:firstLineChars="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投标人应列明按“采购需求”所要求提供的所有报价项的价格明细。</w:t>
      </w:r>
    </w:p>
    <w:p w14:paraId="052C6259">
      <w:pPr>
        <w:tabs>
          <w:tab w:val="left" w:pos="1180"/>
        </w:tabs>
        <w:rPr>
          <w:rFonts w:ascii="黑体" w:hAnsi="黑体" w:eastAsia="黑体"/>
          <w:color w:val="000000" w:themeColor="text1"/>
          <w:sz w:val="28"/>
          <w:szCs w:val="28"/>
          <w14:textFill>
            <w14:solidFill>
              <w14:schemeClr w14:val="tx1"/>
            </w14:solidFill>
          </w14:textFill>
        </w:rPr>
      </w:pPr>
    </w:p>
    <w:p w14:paraId="6D3938AE">
      <w:pPr>
        <w:tabs>
          <w:tab w:val="left" w:pos="1180"/>
        </w:tabs>
        <w:rPr>
          <w:rFonts w:ascii="黑体" w:hAnsi="黑体" w:eastAsia="黑体"/>
          <w:color w:val="000000" w:themeColor="text1"/>
          <w:sz w:val="28"/>
          <w:szCs w:val="28"/>
          <w14:textFill>
            <w14:solidFill>
              <w14:schemeClr w14:val="tx1"/>
            </w14:solidFill>
          </w14:textFill>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184A4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36368AF4">
            <w:pPr>
              <w:overflowPunct w:val="0"/>
              <w:adjustRightInd w:val="0"/>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投标人名称（加盖公章）：</w:t>
            </w:r>
            <w:r>
              <w:rPr>
                <w:rFonts w:hint="eastAsia" w:ascii="黑体" w:hAnsi="黑体" w:eastAsia="黑体"/>
                <w:color w:val="000000" w:themeColor="text1"/>
                <w:szCs w:val="21"/>
                <w:u w:val="single"/>
                <w14:textFill>
                  <w14:solidFill>
                    <w14:schemeClr w14:val="tx1"/>
                  </w14:solidFill>
                </w14:textFill>
              </w:rPr>
              <w:t xml:space="preserve">                         </w:t>
            </w:r>
          </w:p>
        </w:tc>
        <w:tc>
          <w:tcPr>
            <w:tcW w:w="3175" w:type="dxa"/>
          </w:tcPr>
          <w:p w14:paraId="657D704E">
            <w:pPr>
              <w:spacing w:line="360" w:lineRule="auto"/>
              <w:rPr>
                <w:rFonts w:ascii="黑体" w:hAnsi="黑体" w:eastAsia="黑体"/>
                <w:color w:val="000000" w:themeColor="text1"/>
                <w:szCs w:val="21"/>
                <w14:textFill>
                  <w14:solidFill>
                    <w14:schemeClr w14:val="tx1"/>
                  </w14:solidFill>
                </w14:textFill>
              </w:rPr>
            </w:pPr>
          </w:p>
        </w:tc>
      </w:tr>
      <w:tr w14:paraId="17FD2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7578218E">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日期：</w:t>
            </w:r>
            <w:r>
              <w:rPr>
                <w:rFonts w:hint="eastAsia" w:ascii="黑体" w:hAnsi="黑体" w:eastAsia="黑体"/>
                <w:color w:val="000000" w:themeColor="text1"/>
                <w:szCs w:val="21"/>
                <w:u w:val="single"/>
                <w14:textFill>
                  <w14:solidFill>
                    <w14:schemeClr w14:val="tx1"/>
                  </w14:solidFill>
                </w14:textFill>
              </w:rPr>
              <w:t xml:space="preserve">             年           月            日</w:t>
            </w:r>
          </w:p>
        </w:tc>
        <w:tc>
          <w:tcPr>
            <w:tcW w:w="3175" w:type="dxa"/>
          </w:tcPr>
          <w:p w14:paraId="1CAC45C4">
            <w:pPr>
              <w:spacing w:line="360" w:lineRule="auto"/>
              <w:rPr>
                <w:rFonts w:ascii="黑体" w:hAnsi="黑体" w:eastAsia="黑体"/>
                <w:color w:val="000000" w:themeColor="text1"/>
                <w:szCs w:val="21"/>
                <w14:textFill>
                  <w14:solidFill>
                    <w14:schemeClr w14:val="tx1"/>
                  </w14:solidFill>
                </w14:textFill>
              </w:rPr>
            </w:pPr>
          </w:p>
        </w:tc>
      </w:tr>
    </w:tbl>
    <w:p w14:paraId="0B2F4CCF">
      <w:pPr>
        <w:tabs>
          <w:tab w:val="left" w:pos="1180"/>
        </w:tabs>
        <w:rPr>
          <w:rFonts w:ascii="黑体" w:hAnsi="黑体" w:eastAsia="黑体"/>
          <w:color w:val="000000" w:themeColor="text1"/>
          <w:sz w:val="28"/>
          <w:szCs w:val="28"/>
          <w14:textFill>
            <w14:solidFill>
              <w14:schemeClr w14:val="tx1"/>
            </w14:solidFill>
          </w14:textFill>
        </w:rPr>
      </w:pPr>
    </w:p>
    <w:p w14:paraId="1F3BE6D9">
      <w:pPr>
        <w:pStyle w:val="29"/>
        <w:pageBreakBefore/>
        <w:numPr>
          <w:ilvl w:val="0"/>
          <w:numId w:val="112"/>
        </w:numPr>
        <w:tabs>
          <w:tab w:val="left" w:pos="284"/>
          <w:tab w:val="left" w:pos="426"/>
        </w:tabs>
        <w:ind w:left="1679" w:hanging="1537" w:firstLineChars="0"/>
        <w:jc w:val="left"/>
        <w:rPr>
          <w:rFonts w:ascii="黑体" w:hAnsi="黑体" w:eastAsia="黑体"/>
          <w:b/>
          <w:bCs/>
        </w:rPr>
      </w:pPr>
      <w:r>
        <w:rPr>
          <w:rFonts w:hint="eastAsia" w:ascii="黑体" w:hAnsi="黑体" w:eastAsia="黑体"/>
          <w:b/>
          <w:bCs/>
        </w:rPr>
        <w:t>中小企业声明函（如需）</w:t>
      </w:r>
    </w:p>
    <w:p w14:paraId="43A30FA6">
      <w:pPr>
        <w:spacing w:before="468" w:beforeLines="150" w:after="312" w:afterLines="100" w:line="360" w:lineRule="auto"/>
        <w:jc w:val="center"/>
        <w:rPr>
          <w:rFonts w:hint="eastAsia" w:ascii="黑体" w:hAnsi="黑体" w:eastAsia="黑体"/>
          <w:b/>
          <w:spacing w:val="20"/>
          <w:sz w:val="30"/>
          <w:szCs w:val="30"/>
          <w:lang w:eastAsia="zh-CN"/>
        </w:rPr>
      </w:pPr>
      <w:bookmarkStart w:id="74" w:name="_Hlk90663850"/>
      <w:r>
        <w:rPr>
          <w:rFonts w:hint="eastAsia" w:ascii="黑体" w:hAnsi="黑体" w:eastAsia="黑体"/>
          <w:b/>
          <w:spacing w:val="20"/>
          <w:sz w:val="30"/>
          <w:szCs w:val="30"/>
        </w:rPr>
        <w:t>中小企业声明函（货物）</w:t>
      </w:r>
      <w:r>
        <w:rPr>
          <w:rFonts w:hint="eastAsia" w:ascii="黑体" w:hAnsi="黑体" w:eastAsia="黑体"/>
          <w:b/>
          <w:spacing w:val="20"/>
          <w:sz w:val="30"/>
          <w:szCs w:val="30"/>
          <w:lang w:eastAsia="zh-CN"/>
        </w:rPr>
        <w:t>（</w:t>
      </w:r>
      <w:r>
        <w:rPr>
          <w:rFonts w:hint="eastAsia" w:ascii="黑体" w:hAnsi="黑体" w:eastAsia="黑体"/>
          <w:b/>
          <w:spacing w:val="20"/>
          <w:sz w:val="30"/>
          <w:szCs w:val="30"/>
          <w:lang w:val="en-US" w:eastAsia="zh-CN"/>
        </w:rPr>
        <w:t>包号：</w:t>
      </w:r>
      <w:r>
        <w:rPr>
          <w:rFonts w:hint="eastAsia" w:ascii="黑体" w:hAnsi="黑体" w:eastAsia="黑体"/>
          <w:b/>
          <w:spacing w:val="20"/>
          <w:sz w:val="30"/>
          <w:szCs w:val="30"/>
          <w:u w:val="single"/>
          <w:lang w:val="en-US" w:eastAsia="zh-CN"/>
        </w:rPr>
        <w:t xml:space="preserve">   </w:t>
      </w:r>
      <w:r>
        <w:rPr>
          <w:rFonts w:hint="eastAsia" w:ascii="黑体" w:hAnsi="黑体" w:eastAsia="黑体"/>
          <w:b/>
          <w:spacing w:val="20"/>
          <w:sz w:val="30"/>
          <w:szCs w:val="30"/>
          <w:lang w:eastAsia="zh-CN"/>
        </w:rPr>
        <w:t>）</w:t>
      </w:r>
    </w:p>
    <w:p w14:paraId="619C3875">
      <w:pPr>
        <w:spacing w:line="360" w:lineRule="auto"/>
        <w:ind w:firstLine="424" w:firstLineChars="202"/>
        <w:rPr>
          <w:rFonts w:ascii="黑体" w:hAnsi="黑体" w:eastAsia="黑体"/>
          <w:szCs w:val="21"/>
        </w:rPr>
      </w:pPr>
      <w:r>
        <w:rPr>
          <w:rFonts w:hint="eastAsia" w:ascii="黑体" w:hAnsi="黑体" w:eastAsia="黑体"/>
          <w:szCs w:val="21"/>
        </w:rPr>
        <w:t>本公司（联合体）郑重声明，根据《政府采购促进中小企业发展管理办法》（财库﹝2020﹞46 号）的规定，本公司（联合体）参加</w:t>
      </w:r>
      <w:r>
        <w:rPr>
          <w:rFonts w:hint="eastAsia" w:ascii="黑体" w:hAnsi="黑体" w:eastAsia="黑体"/>
          <w:szCs w:val="21"/>
          <w:u w:val="single"/>
        </w:rPr>
        <w:t>（单位名称）</w:t>
      </w:r>
      <w:r>
        <w:rPr>
          <w:rFonts w:hint="eastAsia" w:ascii="黑体" w:hAnsi="黑体" w:eastAsia="黑体"/>
          <w:szCs w:val="21"/>
        </w:rPr>
        <w:t>的</w:t>
      </w:r>
      <w:r>
        <w:rPr>
          <w:rFonts w:hint="eastAsia" w:ascii="黑体" w:hAnsi="黑体" w:eastAsia="黑体"/>
          <w:szCs w:val="21"/>
          <w:u w:val="single"/>
        </w:rPr>
        <w:t>（项目名称）</w:t>
      </w:r>
      <w:r>
        <w:rPr>
          <w:rFonts w:hint="eastAsia" w:ascii="黑体" w:hAnsi="黑体" w:eastAsia="黑体"/>
          <w:szCs w:val="21"/>
        </w:rPr>
        <w:t>采购活动，提供的货物全部由符合政策要求的中小企业制造。相关企业（含联合体中的中小企业、签订分包意向协议的中小企业）的具体情况如下：</w:t>
      </w:r>
    </w:p>
    <w:p w14:paraId="412EC296">
      <w:pPr>
        <w:spacing w:line="360" w:lineRule="auto"/>
        <w:ind w:firstLine="424" w:firstLineChars="202"/>
        <w:rPr>
          <w:rFonts w:ascii="黑体" w:hAnsi="黑体" w:eastAsia="黑体"/>
          <w:szCs w:val="21"/>
        </w:rPr>
      </w:pPr>
      <w:r>
        <w:rPr>
          <w:rFonts w:hint="eastAsia" w:ascii="黑体" w:hAnsi="黑体" w:eastAsia="黑体"/>
          <w:szCs w:val="21"/>
        </w:rPr>
        <w:t>1.</w:t>
      </w:r>
      <w:r>
        <w:rPr>
          <w:rFonts w:hint="eastAsia" w:ascii="黑体" w:hAnsi="黑体" w:eastAsia="黑体"/>
          <w:szCs w:val="21"/>
          <w:u w:val="single"/>
        </w:rPr>
        <w:t xml:space="preserve"> （标的名称） </w:t>
      </w:r>
      <w:r>
        <w:rPr>
          <w:rFonts w:hint="eastAsia" w:ascii="黑体" w:hAnsi="黑体" w:eastAsia="黑体"/>
          <w:szCs w:val="21"/>
        </w:rPr>
        <w:t>，属于</w:t>
      </w:r>
      <w:r>
        <w:rPr>
          <w:rFonts w:hint="eastAsia" w:ascii="黑体" w:hAnsi="黑体" w:eastAsia="黑体"/>
          <w:szCs w:val="21"/>
          <w:u w:val="single"/>
        </w:rPr>
        <w:t>（采购文件中明确的所属行业）</w:t>
      </w:r>
      <w:r>
        <w:rPr>
          <w:rFonts w:hint="eastAsia" w:ascii="黑体" w:hAnsi="黑体" w:eastAsia="黑体"/>
          <w:szCs w:val="21"/>
        </w:rPr>
        <w:t>行业；制造商为</w:t>
      </w:r>
      <w:r>
        <w:rPr>
          <w:rFonts w:hint="eastAsia" w:ascii="黑体" w:hAnsi="黑体" w:eastAsia="黑体"/>
          <w:szCs w:val="21"/>
          <w:u w:val="single"/>
        </w:rPr>
        <w:t>（企业名称）</w:t>
      </w:r>
      <w:r>
        <w:rPr>
          <w:rFonts w:hint="eastAsia" w:ascii="黑体" w:hAnsi="黑体" w:eastAsia="黑体"/>
          <w:szCs w:val="21"/>
        </w:rPr>
        <w:t>，从业人员</w:t>
      </w:r>
      <w:r>
        <w:rPr>
          <w:rFonts w:hint="eastAsia" w:ascii="黑体" w:hAnsi="黑体" w:eastAsia="黑体"/>
          <w:szCs w:val="21"/>
          <w:u w:val="single"/>
        </w:rPr>
        <w:t xml:space="preserve">        </w:t>
      </w:r>
      <w:r>
        <w:rPr>
          <w:rFonts w:hint="eastAsia" w:ascii="黑体" w:hAnsi="黑体" w:eastAsia="黑体"/>
          <w:szCs w:val="21"/>
        </w:rPr>
        <w:t xml:space="preserve">人，营业收入为 </w:t>
      </w:r>
      <w:r>
        <w:rPr>
          <w:rFonts w:hint="eastAsia" w:ascii="黑体" w:hAnsi="黑体" w:eastAsia="黑体"/>
          <w:szCs w:val="21"/>
          <w:u w:val="single"/>
        </w:rPr>
        <w:t xml:space="preserve">      </w:t>
      </w:r>
      <w:r>
        <w:rPr>
          <w:rFonts w:hint="eastAsia" w:ascii="黑体" w:hAnsi="黑体" w:eastAsia="黑体"/>
          <w:szCs w:val="21"/>
        </w:rPr>
        <w:t>万元，资产总额为</w:t>
      </w:r>
      <w:r>
        <w:rPr>
          <w:rFonts w:hint="eastAsia" w:ascii="黑体" w:hAnsi="黑体" w:eastAsia="黑体"/>
          <w:szCs w:val="21"/>
          <w:u w:val="single"/>
        </w:rPr>
        <w:t xml:space="preserve">      </w:t>
      </w:r>
      <w:r>
        <w:rPr>
          <w:rFonts w:hint="eastAsia" w:ascii="黑体" w:hAnsi="黑体" w:eastAsia="黑体"/>
          <w:szCs w:val="21"/>
        </w:rPr>
        <w:t xml:space="preserve"> 万元</w:t>
      </w:r>
      <w:r>
        <w:rPr>
          <w:rFonts w:hint="eastAsia" w:ascii="黑体" w:hAnsi="黑体" w:eastAsia="黑体"/>
          <w:szCs w:val="21"/>
          <w:vertAlign w:val="superscript"/>
        </w:rPr>
        <w:t>1</w:t>
      </w:r>
      <w:r>
        <w:rPr>
          <w:rFonts w:hint="eastAsia" w:ascii="黑体" w:hAnsi="黑体" w:eastAsia="黑体"/>
          <w:szCs w:val="21"/>
        </w:rPr>
        <w:t>，属于</w:t>
      </w:r>
      <w:r>
        <w:rPr>
          <w:rFonts w:hint="eastAsia" w:ascii="黑体" w:hAnsi="黑体" w:eastAsia="黑体"/>
          <w:szCs w:val="21"/>
          <w:u w:val="single"/>
        </w:rPr>
        <w:t>（中型企业、小型企业、微型企业）</w:t>
      </w:r>
      <w:r>
        <w:rPr>
          <w:rFonts w:hint="eastAsia" w:ascii="黑体" w:hAnsi="黑体" w:eastAsia="黑体"/>
          <w:szCs w:val="21"/>
        </w:rPr>
        <w:t>；</w:t>
      </w:r>
    </w:p>
    <w:p w14:paraId="39EBC56A">
      <w:pPr>
        <w:spacing w:line="360" w:lineRule="auto"/>
        <w:ind w:firstLine="424" w:firstLineChars="202"/>
        <w:rPr>
          <w:rFonts w:ascii="黑体" w:hAnsi="黑体" w:eastAsia="黑体"/>
          <w:szCs w:val="21"/>
        </w:rPr>
      </w:pPr>
      <w:r>
        <w:rPr>
          <w:rFonts w:hint="eastAsia" w:ascii="黑体" w:hAnsi="黑体" w:eastAsia="黑体"/>
          <w:szCs w:val="21"/>
        </w:rPr>
        <w:t>2.</w:t>
      </w:r>
      <w:r>
        <w:rPr>
          <w:rFonts w:hint="eastAsia" w:ascii="黑体" w:hAnsi="黑体" w:eastAsia="黑体"/>
          <w:szCs w:val="21"/>
          <w:u w:val="single"/>
        </w:rPr>
        <w:t xml:space="preserve"> （标的名称）</w:t>
      </w:r>
      <w:r>
        <w:rPr>
          <w:rFonts w:hint="eastAsia" w:ascii="黑体" w:hAnsi="黑体" w:eastAsia="黑体"/>
          <w:szCs w:val="21"/>
        </w:rPr>
        <w:t xml:space="preserve"> ，属于</w:t>
      </w:r>
      <w:r>
        <w:rPr>
          <w:rFonts w:hint="eastAsia" w:ascii="黑体" w:hAnsi="黑体" w:eastAsia="黑体"/>
          <w:szCs w:val="21"/>
          <w:u w:val="single"/>
        </w:rPr>
        <w:t>（采购文件中明确的所属行业）</w:t>
      </w:r>
      <w:r>
        <w:rPr>
          <w:rFonts w:hint="eastAsia" w:ascii="黑体" w:hAnsi="黑体" w:eastAsia="黑体"/>
          <w:szCs w:val="21"/>
        </w:rPr>
        <w:t>行业；制造商为</w:t>
      </w:r>
      <w:r>
        <w:rPr>
          <w:rFonts w:hint="eastAsia" w:ascii="黑体" w:hAnsi="黑体" w:eastAsia="黑体"/>
          <w:szCs w:val="21"/>
          <w:u w:val="single"/>
        </w:rPr>
        <w:t>（企业名称）</w:t>
      </w:r>
      <w:r>
        <w:rPr>
          <w:rFonts w:hint="eastAsia" w:ascii="黑体" w:hAnsi="黑体" w:eastAsia="黑体"/>
          <w:szCs w:val="21"/>
        </w:rPr>
        <w:t>，从业人员</w:t>
      </w:r>
      <w:r>
        <w:rPr>
          <w:rFonts w:hint="eastAsia" w:ascii="黑体" w:hAnsi="黑体" w:eastAsia="黑体"/>
          <w:szCs w:val="21"/>
          <w:u w:val="single"/>
        </w:rPr>
        <w:t xml:space="preserve">        </w:t>
      </w:r>
      <w:r>
        <w:rPr>
          <w:rFonts w:hint="eastAsia" w:ascii="黑体" w:hAnsi="黑体" w:eastAsia="黑体"/>
          <w:szCs w:val="21"/>
        </w:rPr>
        <w:t>人，营业收入为</w:t>
      </w:r>
      <w:r>
        <w:rPr>
          <w:rFonts w:hint="eastAsia" w:ascii="黑体" w:hAnsi="黑体" w:eastAsia="黑体"/>
          <w:szCs w:val="21"/>
          <w:u w:val="single"/>
        </w:rPr>
        <w:t xml:space="preserve">      </w:t>
      </w:r>
      <w:r>
        <w:rPr>
          <w:rFonts w:hint="eastAsia" w:ascii="黑体" w:hAnsi="黑体" w:eastAsia="黑体"/>
          <w:szCs w:val="21"/>
        </w:rPr>
        <w:t>万元，资产总额为</w:t>
      </w:r>
      <w:r>
        <w:rPr>
          <w:rFonts w:hint="eastAsia" w:ascii="黑体" w:hAnsi="黑体" w:eastAsia="黑体"/>
          <w:szCs w:val="21"/>
          <w:u w:val="single"/>
        </w:rPr>
        <w:t xml:space="preserve">      </w:t>
      </w:r>
      <w:r>
        <w:rPr>
          <w:rFonts w:hint="eastAsia" w:ascii="黑体" w:hAnsi="黑体" w:eastAsia="黑体"/>
          <w:szCs w:val="21"/>
        </w:rPr>
        <w:t>万元，属于</w:t>
      </w:r>
      <w:r>
        <w:rPr>
          <w:rFonts w:hint="eastAsia" w:ascii="黑体" w:hAnsi="黑体" w:eastAsia="黑体"/>
          <w:szCs w:val="21"/>
          <w:u w:val="single"/>
        </w:rPr>
        <w:t>（中型企业、小型企业、微型企业）</w:t>
      </w:r>
      <w:r>
        <w:rPr>
          <w:rFonts w:hint="eastAsia" w:ascii="黑体" w:hAnsi="黑体" w:eastAsia="黑体"/>
          <w:szCs w:val="21"/>
        </w:rPr>
        <w:t>；</w:t>
      </w:r>
    </w:p>
    <w:p w14:paraId="250153F1">
      <w:pPr>
        <w:spacing w:line="360" w:lineRule="auto"/>
        <w:ind w:firstLine="424" w:firstLineChars="202"/>
        <w:rPr>
          <w:rFonts w:ascii="黑体" w:hAnsi="黑体" w:eastAsia="黑体"/>
          <w:szCs w:val="21"/>
        </w:rPr>
      </w:pPr>
      <w:r>
        <w:rPr>
          <w:rFonts w:hint="eastAsia" w:ascii="黑体" w:hAnsi="黑体" w:eastAsia="黑体"/>
          <w:szCs w:val="21"/>
        </w:rPr>
        <w:t>……</w:t>
      </w:r>
    </w:p>
    <w:p w14:paraId="3EFE15A0">
      <w:pPr>
        <w:spacing w:line="360" w:lineRule="auto"/>
        <w:ind w:firstLine="424" w:firstLineChars="202"/>
        <w:rPr>
          <w:rFonts w:ascii="黑体" w:hAnsi="黑体" w:eastAsia="黑体"/>
          <w:szCs w:val="21"/>
        </w:rPr>
      </w:pPr>
      <w:r>
        <w:rPr>
          <w:rFonts w:hint="eastAsia" w:ascii="黑体" w:hAnsi="黑体" w:eastAsia="黑体"/>
          <w:szCs w:val="21"/>
        </w:rPr>
        <w:t>以上企业，不属于大企业的分支机构，不存在控股股东为大企业的情形，也不存在与大企业的负责人为同一人的情形。</w:t>
      </w:r>
    </w:p>
    <w:p w14:paraId="34906322">
      <w:pPr>
        <w:spacing w:line="360" w:lineRule="auto"/>
        <w:ind w:firstLine="424" w:firstLineChars="202"/>
        <w:rPr>
          <w:rFonts w:ascii="黑体" w:hAnsi="黑体" w:eastAsia="黑体"/>
          <w:szCs w:val="21"/>
        </w:rPr>
      </w:pPr>
      <w:r>
        <w:rPr>
          <w:rFonts w:hint="eastAsia" w:ascii="黑体" w:hAnsi="黑体" w:eastAsia="黑体"/>
          <w:szCs w:val="21"/>
        </w:rPr>
        <w:t>本企业对上述声明内容的真实性负责。如有虚假，将依法承担相应责任。</w:t>
      </w:r>
    </w:p>
    <w:p w14:paraId="2237D82F">
      <w:pPr>
        <w:spacing w:before="936" w:beforeLines="300" w:line="360" w:lineRule="auto"/>
        <w:ind w:right="420"/>
        <w:jc w:val="center"/>
        <w:rPr>
          <w:rFonts w:ascii="黑体" w:hAnsi="黑体" w:eastAsia="黑体"/>
          <w:szCs w:val="21"/>
        </w:rPr>
      </w:pPr>
      <w:r>
        <w:rPr>
          <w:rFonts w:hint="eastAsia" w:ascii="黑体" w:hAnsi="黑体" w:eastAsia="黑体"/>
          <w:szCs w:val="21"/>
        </w:rPr>
        <w:t xml:space="preserve">                        企业名称（盖章）：</w:t>
      </w:r>
    </w:p>
    <w:p w14:paraId="536D4BD4">
      <w:pPr>
        <w:spacing w:line="360" w:lineRule="auto"/>
        <w:ind w:firstLine="5527" w:firstLineChars="2632"/>
        <w:jc w:val="left"/>
        <w:rPr>
          <w:rFonts w:ascii="黑体" w:hAnsi="黑体" w:eastAsia="黑体"/>
          <w:szCs w:val="21"/>
        </w:rPr>
      </w:pPr>
      <w:r>
        <w:rPr>
          <w:rFonts w:hint="eastAsia" w:ascii="黑体" w:hAnsi="黑体" w:eastAsia="黑体"/>
          <w:szCs w:val="21"/>
        </w:rPr>
        <w:t>日期：</w:t>
      </w:r>
    </w:p>
    <w:p w14:paraId="2302EC2B">
      <w:pPr>
        <w:spacing w:line="360" w:lineRule="auto"/>
        <w:rPr>
          <w:rFonts w:ascii="黑体" w:hAnsi="黑体" w:eastAsia="黑体"/>
          <w:szCs w:val="21"/>
        </w:rPr>
      </w:pPr>
    </w:p>
    <w:p w14:paraId="422AF388">
      <w:pPr>
        <w:spacing w:line="360" w:lineRule="auto"/>
        <w:rPr>
          <w:rFonts w:ascii="黑体" w:hAnsi="黑体" w:eastAsia="黑体"/>
          <w:szCs w:val="21"/>
        </w:rPr>
      </w:pPr>
    </w:p>
    <w:p w14:paraId="04CD6DF2">
      <w:pPr>
        <w:spacing w:line="360" w:lineRule="auto"/>
        <w:rPr>
          <w:rFonts w:ascii="黑体" w:hAnsi="黑体" w:eastAsia="黑体"/>
          <w:szCs w:val="21"/>
        </w:rPr>
      </w:pPr>
    </w:p>
    <w:p w14:paraId="57FF7F9B">
      <w:pPr>
        <w:spacing w:line="360" w:lineRule="auto"/>
        <w:rPr>
          <w:rFonts w:ascii="黑体" w:hAnsi="黑体" w:eastAsia="黑体"/>
          <w:szCs w:val="21"/>
        </w:rPr>
      </w:pPr>
      <w:r>
        <w:rPr>
          <w:rFonts w:hint="eastAsia" w:ascii="黑体" w:hAnsi="黑体" w:eastAsia="黑体"/>
          <w:szCs w:val="21"/>
        </w:rPr>
        <w:t>1.从业人员、营业收入、资产总额填报上一年度数据，无上一年度数据的新成立企业可不填报。</w:t>
      </w:r>
    </w:p>
    <w:bookmarkEnd w:id="74"/>
    <w:p w14:paraId="47158969">
      <w:pPr>
        <w:spacing w:before="936" w:beforeLines="300" w:line="360" w:lineRule="auto"/>
        <w:ind w:right="-51"/>
        <w:jc w:val="left"/>
        <w:rPr>
          <w:rFonts w:ascii="黑体" w:hAnsi="黑体" w:eastAsia="黑体"/>
          <w:spacing w:val="-4"/>
          <w:szCs w:val="21"/>
        </w:rPr>
      </w:pPr>
    </w:p>
    <w:p w14:paraId="3170DE56">
      <w:pPr>
        <w:pStyle w:val="29"/>
        <w:pageBreakBefore/>
        <w:numPr>
          <w:ilvl w:val="0"/>
          <w:numId w:val="112"/>
        </w:numPr>
        <w:tabs>
          <w:tab w:val="left" w:pos="284"/>
          <w:tab w:val="left" w:pos="426"/>
          <w:tab w:val="left" w:pos="709"/>
        </w:tabs>
        <w:ind w:left="1679" w:hanging="1537" w:firstLineChars="0"/>
        <w:jc w:val="left"/>
        <w:rPr>
          <w:rFonts w:ascii="黑体" w:hAnsi="黑体" w:eastAsia="黑体"/>
          <w:b/>
          <w:bCs/>
        </w:rPr>
      </w:pPr>
      <w:r>
        <w:rPr>
          <w:rFonts w:hint="eastAsia" w:ascii="黑体" w:hAnsi="黑体" w:eastAsia="黑体"/>
          <w:b/>
          <w:bCs/>
        </w:rPr>
        <w:t>残疾人福利性单位声明函（如需）</w:t>
      </w:r>
    </w:p>
    <w:p w14:paraId="520E5704">
      <w:pPr>
        <w:spacing w:before="312" w:beforeLines="100" w:after="312" w:afterLines="100" w:line="360" w:lineRule="auto"/>
        <w:jc w:val="center"/>
        <w:rPr>
          <w:rFonts w:ascii="黑体" w:hAnsi="黑体" w:eastAsia="黑体"/>
          <w:b/>
          <w:color w:val="000000" w:themeColor="text1"/>
          <w:spacing w:val="20"/>
          <w:sz w:val="30"/>
          <w:szCs w:val="30"/>
          <w14:textFill>
            <w14:solidFill>
              <w14:schemeClr w14:val="tx1"/>
            </w14:solidFill>
          </w14:textFill>
        </w:rPr>
      </w:pPr>
      <w:r>
        <w:rPr>
          <w:rFonts w:hint="eastAsia" w:ascii="黑体" w:hAnsi="黑体" w:eastAsia="黑体"/>
          <w:b/>
          <w:color w:val="000000" w:themeColor="text1"/>
          <w:spacing w:val="20"/>
          <w:sz w:val="30"/>
          <w:szCs w:val="30"/>
          <w14:textFill>
            <w14:solidFill>
              <w14:schemeClr w14:val="tx1"/>
            </w14:solidFill>
          </w14:textFill>
        </w:rPr>
        <w:t>残疾人福利性单位声明函</w:t>
      </w:r>
    </w:p>
    <w:p w14:paraId="0B2D2320">
      <w:pPr>
        <w:spacing w:line="480" w:lineRule="auto"/>
        <w:ind w:firstLine="630" w:firstLineChars="300"/>
        <w:rPr>
          <w:rFonts w:ascii="黑体" w:hAnsi="黑体" w:eastAsia="黑体"/>
          <w:color w:val="000000" w:themeColor="text1"/>
          <w14:textFill>
            <w14:solidFill>
              <w14:schemeClr w14:val="tx1"/>
            </w14:solidFill>
          </w14:textFill>
        </w:rPr>
      </w:pPr>
      <w:r>
        <w:rPr>
          <w:rFonts w:hint="eastAsia" w:ascii="黑体" w:hAnsi="黑体" w:eastAsia="黑体"/>
          <w:bCs/>
          <w:color w:val="000000" w:themeColor="text1"/>
          <w14:textFill>
            <w14:solidFill>
              <w14:schemeClr w14:val="tx1"/>
            </w14:solidFill>
          </w14:textFill>
        </w:rPr>
        <w:t>本单位郑重声明，根据《财政部</w:t>
      </w:r>
      <w:r>
        <w:rPr>
          <w:rFonts w:ascii="黑体" w:hAnsi="黑体" w:eastAsia="黑体"/>
          <w:bCs/>
          <w:color w:val="000000" w:themeColor="text1"/>
          <w14:textFill>
            <w14:solidFill>
              <w14:schemeClr w14:val="tx1"/>
            </w14:solidFill>
          </w14:textFill>
        </w:rPr>
        <w:t xml:space="preserve"> </w:t>
      </w:r>
      <w:r>
        <w:rPr>
          <w:rFonts w:hint="eastAsia" w:ascii="黑体" w:hAnsi="黑体" w:eastAsia="黑体"/>
          <w:bCs/>
          <w:color w:val="000000" w:themeColor="text1"/>
          <w14:textFill>
            <w14:solidFill>
              <w14:schemeClr w14:val="tx1"/>
            </w14:solidFill>
          </w14:textFill>
        </w:rPr>
        <w:t>民政部</w:t>
      </w:r>
      <w:r>
        <w:rPr>
          <w:rFonts w:ascii="黑体" w:hAnsi="黑体" w:eastAsia="黑体"/>
          <w:bCs/>
          <w:color w:val="000000" w:themeColor="text1"/>
          <w14:textFill>
            <w14:solidFill>
              <w14:schemeClr w14:val="tx1"/>
            </w14:solidFill>
          </w14:textFill>
        </w:rPr>
        <w:t xml:space="preserve"> </w:t>
      </w:r>
      <w:r>
        <w:rPr>
          <w:rFonts w:hint="eastAsia" w:ascii="黑体" w:hAnsi="黑体" w:eastAsia="黑体"/>
          <w:bCs/>
          <w:color w:val="000000" w:themeColor="text1"/>
          <w14:textFill>
            <w14:solidFill>
              <w14:schemeClr w14:val="tx1"/>
            </w14:solidFill>
          </w14:textFill>
        </w:rPr>
        <w:t>中国残疾人联合会关于促进残疾人就业政府采购政策的通知》（财库〔</w:t>
      </w:r>
      <w:r>
        <w:rPr>
          <w:rFonts w:ascii="黑体" w:hAnsi="黑体" w:eastAsia="黑体"/>
          <w:bCs/>
          <w:color w:val="000000" w:themeColor="text1"/>
          <w14:textFill>
            <w14:solidFill>
              <w14:schemeClr w14:val="tx1"/>
            </w14:solidFill>
          </w14:textFill>
        </w:rPr>
        <w:t>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5DA940F7">
      <w:pPr>
        <w:spacing w:line="480" w:lineRule="auto"/>
        <w:ind w:firstLine="420" w:firstLineChars="20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本单位对上述声明的真实性负责。如有虚假，将依法承担相应责任。</w:t>
      </w:r>
    </w:p>
    <w:p w14:paraId="412E225D">
      <w:pPr>
        <w:spacing w:line="360" w:lineRule="auto"/>
        <w:rPr>
          <w:rFonts w:ascii="黑体" w:hAnsi="黑体" w:eastAsia="黑体"/>
          <w:color w:val="000000" w:themeColor="text1"/>
          <w14:textFill>
            <w14:solidFill>
              <w14:schemeClr w14:val="tx1"/>
            </w14:solidFill>
          </w14:textFill>
        </w:rPr>
      </w:pPr>
    </w:p>
    <w:p w14:paraId="21E93370">
      <w:pPr>
        <w:spacing w:line="360" w:lineRule="auto"/>
        <w:rPr>
          <w:rFonts w:ascii="黑体" w:hAnsi="黑体" w:eastAsia="黑体"/>
          <w:color w:val="000000" w:themeColor="text1"/>
          <w14:textFill>
            <w14:solidFill>
              <w14:schemeClr w14:val="tx1"/>
            </w14:solidFill>
          </w14:textFill>
        </w:rPr>
      </w:pPr>
    </w:p>
    <w:p w14:paraId="0A670783">
      <w:pPr>
        <w:spacing w:line="360" w:lineRule="auto"/>
        <w:rPr>
          <w:rFonts w:ascii="黑体" w:hAnsi="黑体" w:eastAsia="黑体"/>
          <w:color w:val="000000" w:themeColor="text1"/>
          <w14:textFill>
            <w14:solidFill>
              <w14:schemeClr w14:val="tx1"/>
            </w14:solidFill>
          </w14:textFill>
        </w:rPr>
      </w:pPr>
    </w:p>
    <w:tbl>
      <w:tblPr>
        <w:tblStyle w:val="19"/>
        <w:tblW w:w="0" w:type="auto"/>
        <w:tblInd w:w="0" w:type="dxa"/>
        <w:tblLayout w:type="autofit"/>
        <w:tblCellMar>
          <w:top w:w="0" w:type="dxa"/>
          <w:left w:w="108" w:type="dxa"/>
          <w:bottom w:w="0" w:type="dxa"/>
          <w:right w:w="108" w:type="dxa"/>
        </w:tblCellMar>
      </w:tblPr>
      <w:tblGrid>
        <w:gridCol w:w="5353"/>
        <w:gridCol w:w="3175"/>
      </w:tblGrid>
      <w:tr w14:paraId="5791472E">
        <w:tblPrEx>
          <w:tblCellMar>
            <w:top w:w="0" w:type="dxa"/>
            <w:left w:w="108" w:type="dxa"/>
            <w:bottom w:w="0" w:type="dxa"/>
            <w:right w:w="108" w:type="dxa"/>
          </w:tblCellMar>
        </w:tblPrEx>
        <w:tc>
          <w:tcPr>
            <w:tcW w:w="5353" w:type="dxa"/>
            <w:shd w:val="clear" w:color="auto" w:fill="auto"/>
          </w:tcPr>
          <w:p w14:paraId="2D97EC6E">
            <w:pPr>
              <w:overflowPunct w:val="0"/>
              <w:adjustRightInd w:val="0"/>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投标人名称（加盖公章）：</w:t>
            </w:r>
            <w:r>
              <w:rPr>
                <w:rFonts w:ascii="黑体" w:hAnsi="黑体" w:eastAsia="黑体"/>
                <w:color w:val="000000" w:themeColor="text1"/>
                <w:szCs w:val="21"/>
                <w:u w:val="single"/>
                <w14:textFill>
                  <w14:solidFill>
                    <w14:schemeClr w14:val="tx1"/>
                  </w14:solidFill>
                </w14:textFill>
              </w:rPr>
              <w:t xml:space="preserve">                         </w:t>
            </w:r>
          </w:p>
        </w:tc>
        <w:tc>
          <w:tcPr>
            <w:tcW w:w="3175" w:type="dxa"/>
            <w:shd w:val="clear" w:color="auto" w:fill="auto"/>
          </w:tcPr>
          <w:p w14:paraId="38560882">
            <w:pPr>
              <w:spacing w:line="360" w:lineRule="auto"/>
              <w:rPr>
                <w:rFonts w:ascii="黑体" w:hAnsi="黑体" w:eastAsia="黑体"/>
                <w:color w:val="000000" w:themeColor="text1"/>
                <w:szCs w:val="21"/>
                <w14:textFill>
                  <w14:solidFill>
                    <w14:schemeClr w14:val="tx1"/>
                  </w14:solidFill>
                </w14:textFill>
              </w:rPr>
            </w:pPr>
          </w:p>
        </w:tc>
      </w:tr>
      <w:tr w14:paraId="61FA004E">
        <w:tblPrEx>
          <w:tblCellMar>
            <w:top w:w="0" w:type="dxa"/>
            <w:left w:w="108" w:type="dxa"/>
            <w:bottom w:w="0" w:type="dxa"/>
            <w:right w:w="108" w:type="dxa"/>
          </w:tblCellMar>
        </w:tblPrEx>
        <w:tc>
          <w:tcPr>
            <w:tcW w:w="5353" w:type="dxa"/>
            <w:shd w:val="clear" w:color="auto" w:fill="auto"/>
          </w:tcPr>
          <w:p w14:paraId="7B649563">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日期：</w:t>
            </w:r>
            <w:r>
              <w:rPr>
                <w:rFonts w:ascii="黑体" w:hAnsi="黑体" w:eastAsia="黑体"/>
                <w:color w:val="000000" w:themeColor="text1"/>
                <w:szCs w:val="21"/>
                <w:u w:val="single"/>
                <w14:textFill>
                  <w14:solidFill>
                    <w14:schemeClr w14:val="tx1"/>
                  </w14:solidFill>
                </w14:textFill>
              </w:rPr>
              <w:t xml:space="preserve">             年           月            日</w:t>
            </w:r>
          </w:p>
        </w:tc>
        <w:tc>
          <w:tcPr>
            <w:tcW w:w="3175" w:type="dxa"/>
            <w:shd w:val="clear" w:color="auto" w:fill="auto"/>
          </w:tcPr>
          <w:p w14:paraId="5CC3E376">
            <w:pPr>
              <w:spacing w:line="360" w:lineRule="auto"/>
              <w:rPr>
                <w:rFonts w:ascii="黑体" w:hAnsi="黑体" w:eastAsia="黑体"/>
                <w:color w:val="000000" w:themeColor="text1"/>
                <w:szCs w:val="21"/>
                <w14:textFill>
                  <w14:solidFill>
                    <w14:schemeClr w14:val="tx1"/>
                  </w14:solidFill>
                </w14:textFill>
              </w:rPr>
            </w:pPr>
          </w:p>
        </w:tc>
      </w:tr>
    </w:tbl>
    <w:p w14:paraId="4EEA9364">
      <w:pPr>
        <w:rPr>
          <w:rFonts w:ascii="黑体" w:hAnsi="黑体" w:eastAsia="黑体"/>
          <w:color w:val="000000" w:themeColor="text1"/>
          <w14:textFill>
            <w14:solidFill>
              <w14:schemeClr w14:val="tx1"/>
            </w14:solidFill>
          </w14:textFill>
        </w:rPr>
      </w:pPr>
    </w:p>
    <w:p w14:paraId="1825421D">
      <w:pPr>
        <w:pStyle w:val="29"/>
        <w:pageBreakBefore/>
        <w:numPr>
          <w:ilvl w:val="0"/>
          <w:numId w:val="112"/>
        </w:numPr>
        <w:tabs>
          <w:tab w:val="left" w:pos="284"/>
          <w:tab w:val="left" w:pos="426"/>
          <w:tab w:val="left" w:pos="709"/>
        </w:tabs>
        <w:ind w:left="1679" w:hanging="1537" w:firstLineChars="0"/>
        <w:jc w:val="left"/>
        <w:rPr>
          <w:rFonts w:ascii="黑体" w:hAnsi="黑体" w:eastAsia="黑体"/>
          <w:b/>
          <w:bCs/>
        </w:rPr>
      </w:pPr>
      <w:r>
        <w:rPr>
          <w:rFonts w:hint="eastAsia" w:ascii="黑体" w:hAnsi="黑体" w:eastAsia="黑体"/>
          <w:b/>
          <w:bCs/>
        </w:rPr>
        <w:t>监狱企业的证明文件（如需）</w:t>
      </w:r>
    </w:p>
    <w:p w14:paraId="686623C1">
      <w:pPr>
        <w:rPr>
          <w:color w:val="000000" w:themeColor="text1"/>
          <w14:textFill>
            <w14:solidFill>
              <w14:schemeClr w14:val="tx1"/>
            </w14:solidFill>
          </w14:textFill>
        </w:rPr>
      </w:pPr>
    </w:p>
    <w:p w14:paraId="31769F6C">
      <w:pPr>
        <w:spacing w:before="312" w:beforeLines="100" w:after="312" w:afterLines="100" w:line="360" w:lineRule="auto"/>
        <w:jc w:val="center"/>
        <w:rPr>
          <w:rFonts w:ascii="黑体" w:hAnsi="黑体" w:eastAsia="黑体"/>
          <w:b/>
          <w:color w:val="000000" w:themeColor="text1"/>
          <w:spacing w:val="20"/>
          <w:sz w:val="30"/>
          <w:szCs w:val="30"/>
          <w14:textFill>
            <w14:solidFill>
              <w14:schemeClr w14:val="tx1"/>
            </w14:solidFill>
          </w14:textFill>
        </w:rPr>
      </w:pPr>
      <w:r>
        <w:rPr>
          <w:rFonts w:hint="eastAsia" w:ascii="黑体" w:hAnsi="黑体" w:eastAsia="黑体"/>
          <w:b/>
          <w:color w:val="000000" w:themeColor="text1"/>
          <w:spacing w:val="20"/>
          <w:sz w:val="30"/>
          <w:szCs w:val="30"/>
          <w14:textFill>
            <w14:solidFill>
              <w14:schemeClr w14:val="tx1"/>
            </w14:solidFill>
          </w14:textFill>
        </w:rPr>
        <w:t>监狱企业的证明文件</w:t>
      </w:r>
    </w:p>
    <w:p w14:paraId="2ECEB2D3">
      <w:pPr>
        <w:spacing w:line="440" w:lineRule="exact"/>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说明：监狱企业参加政府采购活动时，应当提供由省级以上监狱管理局、戒毒管理局（含新疆生产建设兵团）出具的属于监狱企业的证明文件并加盖投标单位公章。</w:t>
      </w:r>
    </w:p>
    <w:p w14:paraId="4AAF1228">
      <w:pPr>
        <w:rPr>
          <w:color w:val="000000" w:themeColor="text1"/>
          <w14:textFill>
            <w14:solidFill>
              <w14:schemeClr w14:val="tx1"/>
            </w14:solidFill>
          </w14:textFill>
        </w:rPr>
      </w:pPr>
    </w:p>
    <w:p w14:paraId="395869A4">
      <w:pPr>
        <w:pStyle w:val="29"/>
        <w:pageBreakBefore/>
        <w:numPr>
          <w:ilvl w:val="0"/>
          <w:numId w:val="112"/>
        </w:numPr>
        <w:tabs>
          <w:tab w:val="left" w:pos="284"/>
          <w:tab w:val="left" w:pos="426"/>
          <w:tab w:val="left" w:pos="709"/>
        </w:tabs>
        <w:ind w:left="1679" w:hanging="1537" w:firstLineChars="0"/>
        <w:jc w:val="left"/>
        <w:rPr>
          <w:rFonts w:ascii="黑体" w:hAnsi="黑体" w:eastAsia="黑体"/>
          <w:b/>
          <w:bCs/>
        </w:rPr>
      </w:pPr>
      <w:r>
        <w:rPr>
          <w:rFonts w:hint="eastAsia" w:ascii="黑体" w:hAnsi="黑体" w:eastAsia="黑体"/>
          <w:b/>
          <w:bCs/>
        </w:rPr>
        <w:t>政策适用性说明（如需）</w:t>
      </w:r>
    </w:p>
    <w:p w14:paraId="0FD97BA4">
      <w:pPr>
        <w:spacing w:before="312" w:beforeLines="100" w:after="312" w:afterLines="100" w:line="360" w:lineRule="auto"/>
        <w:jc w:val="center"/>
        <w:rPr>
          <w:rFonts w:ascii="黑体" w:hAnsi="黑体" w:eastAsia="黑体"/>
          <w:b/>
          <w:spacing w:val="20"/>
          <w:sz w:val="30"/>
          <w:szCs w:val="30"/>
        </w:rPr>
      </w:pPr>
      <w:r>
        <w:rPr>
          <w:rFonts w:hint="eastAsia" w:ascii="黑体" w:hAnsi="黑体" w:eastAsia="黑体"/>
          <w:b/>
          <w:spacing w:val="20"/>
          <w:sz w:val="30"/>
          <w:szCs w:val="30"/>
        </w:rPr>
        <w:t>政策适用性说明</w:t>
      </w:r>
    </w:p>
    <w:p w14:paraId="25690BDC">
      <w:pPr>
        <w:spacing w:after="156" w:afterLines="50" w:line="360" w:lineRule="auto"/>
        <w:rPr>
          <w:rFonts w:ascii="黑体" w:hAnsi="黑体" w:eastAsia="黑体"/>
          <w:bCs/>
          <w:szCs w:val="21"/>
          <w:lang w:val="zh-CN"/>
        </w:rPr>
      </w:pPr>
      <w:r>
        <w:rPr>
          <w:rFonts w:hint="eastAsia" w:ascii="黑体" w:hAnsi="黑体" w:eastAsia="黑体"/>
          <w:bCs/>
          <w:szCs w:val="21"/>
          <w:lang w:val="zh-CN"/>
        </w:rPr>
        <w:t>按照政府采购有关政策的要求，在本次的技术方案中，采用符合政策的小型或微型企业产品、节能产品、环保标志产品，主要产品与核心技术介绍说明如下：</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3"/>
        <w:gridCol w:w="2185"/>
        <w:gridCol w:w="1020"/>
        <w:gridCol w:w="1022"/>
        <w:gridCol w:w="733"/>
        <w:gridCol w:w="877"/>
        <w:gridCol w:w="868"/>
        <w:gridCol w:w="1659"/>
      </w:tblGrid>
      <w:tr w14:paraId="7B91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230" w:type="pct"/>
            <w:vAlign w:val="center"/>
          </w:tcPr>
          <w:p w14:paraId="46BE24E1">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序号</w:t>
            </w:r>
          </w:p>
        </w:tc>
        <w:tc>
          <w:tcPr>
            <w:tcW w:w="1246" w:type="pct"/>
            <w:vAlign w:val="center"/>
          </w:tcPr>
          <w:p w14:paraId="0799A282">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主要产品</w:t>
            </w:r>
            <w:r>
              <w:rPr>
                <w:rFonts w:ascii="黑体" w:hAnsi="黑体" w:eastAsia="黑体"/>
                <w:szCs w:val="21"/>
                <w:lang w:val="en-GB"/>
              </w:rPr>
              <w:t>/技术名称</w:t>
            </w:r>
          </w:p>
          <w:p w14:paraId="2BFC15BE">
            <w:pPr>
              <w:tabs>
                <w:tab w:val="left" w:pos="1260"/>
              </w:tabs>
              <w:ind w:left="-53" w:leftChars="-25" w:right="-53" w:rightChars="-25"/>
              <w:jc w:val="center"/>
              <w:rPr>
                <w:rFonts w:ascii="黑体" w:hAnsi="黑体" w:eastAsia="黑体"/>
                <w:szCs w:val="21"/>
                <w:lang w:val="en-GB"/>
              </w:rPr>
            </w:pPr>
            <w:r>
              <w:rPr>
                <w:rFonts w:ascii="黑体" w:hAnsi="黑体" w:eastAsia="黑体"/>
                <w:spacing w:val="-6"/>
                <w:szCs w:val="21"/>
                <w:lang w:val="en-GB"/>
              </w:rPr>
              <w:t>(规格型号、注册商标)</w:t>
            </w:r>
          </w:p>
        </w:tc>
        <w:tc>
          <w:tcPr>
            <w:tcW w:w="582" w:type="pct"/>
            <w:vAlign w:val="center"/>
          </w:tcPr>
          <w:p w14:paraId="00DADC90">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制造商</w:t>
            </w:r>
            <w:r>
              <w:rPr>
                <w:rFonts w:ascii="黑体" w:hAnsi="黑体" w:eastAsia="黑体"/>
                <w:szCs w:val="21"/>
                <w:lang w:val="en-GB"/>
              </w:rPr>
              <w:br w:type="textWrapping"/>
            </w:r>
            <w:r>
              <w:rPr>
                <w:rFonts w:ascii="黑体" w:hAnsi="黑体" w:eastAsia="黑体"/>
                <w:spacing w:val="-6"/>
                <w:szCs w:val="21"/>
                <w:lang w:val="en-GB"/>
              </w:rPr>
              <w:t>(开发商)</w:t>
            </w:r>
          </w:p>
        </w:tc>
        <w:tc>
          <w:tcPr>
            <w:tcW w:w="583" w:type="pct"/>
            <w:vAlign w:val="center"/>
          </w:tcPr>
          <w:p w14:paraId="674C3F2D">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制造商</w:t>
            </w:r>
            <w:r>
              <w:rPr>
                <w:rFonts w:ascii="黑体" w:hAnsi="黑体" w:eastAsia="黑体"/>
                <w:szCs w:val="21"/>
                <w:lang w:val="en-GB"/>
              </w:rPr>
              <w:br w:type="textWrapping"/>
            </w:r>
            <w:r>
              <w:rPr>
                <w:rFonts w:hint="eastAsia" w:ascii="黑体" w:hAnsi="黑体" w:eastAsia="黑体"/>
                <w:spacing w:val="-8"/>
                <w:szCs w:val="21"/>
                <w:lang w:val="en-GB"/>
              </w:rPr>
              <w:t>企业类型</w:t>
            </w:r>
          </w:p>
        </w:tc>
        <w:tc>
          <w:tcPr>
            <w:tcW w:w="418" w:type="pct"/>
            <w:vAlign w:val="center"/>
          </w:tcPr>
          <w:p w14:paraId="73208A65">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节能</w:t>
            </w:r>
            <w:r>
              <w:rPr>
                <w:rFonts w:ascii="黑体" w:hAnsi="黑体" w:eastAsia="黑体"/>
                <w:szCs w:val="21"/>
                <w:lang w:val="en-GB"/>
              </w:rPr>
              <w:br w:type="textWrapping"/>
            </w:r>
            <w:r>
              <w:rPr>
                <w:rFonts w:hint="eastAsia" w:ascii="黑体" w:hAnsi="黑体" w:eastAsia="黑体"/>
                <w:szCs w:val="21"/>
                <w:lang w:val="en-GB"/>
              </w:rPr>
              <w:t>产品</w:t>
            </w:r>
          </w:p>
        </w:tc>
        <w:tc>
          <w:tcPr>
            <w:tcW w:w="500" w:type="pct"/>
            <w:vAlign w:val="center"/>
          </w:tcPr>
          <w:p w14:paraId="426A4352">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环保标</w:t>
            </w:r>
          </w:p>
          <w:p w14:paraId="01A579BC">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志产品</w:t>
            </w:r>
          </w:p>
        </w:tc>
        <w:tc>
          <w:tcPr>
            <w:tcW w:w="495" w:type="pct"/>
            <w:vAlign w:val="center"/>
          </w:tcPr>
          <w:p w14:paraId="443BC5B6">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认证证</w:t>
            </w:r>
          </w:p>
          <w:p w14:paraId="441CBB99">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书编号</w:t>
            </w:r>
          </w:p>
        </w:tc>
        <w:tc>
          <w:tcPr>
            <w:tcW w:w="946" w:type="pct"/>
            <w:vAlign w:val="center"/>
          </w:tcPr>
          <w:p w14:paraId="1D55B1C7">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该产品报价在总报价中占比</w:t>
            </w:r>
            <w:r>
              <w:rPr>
                <w:rFonts w:ascii="黑体" w:hAnsi="黑体" w:eastAsia="黑体"/>
                <w:szCs w:val="21"/>
                <w:lang w:val="en-GB"/>
              </w:rPr>
              <w:t>(%)</w:t>
            </w:r>
          </w:p>
        </w:tc>
      </w:tr>
      <w:tr w14:paraId="22804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2754DE74">
            <w:pPr>
              <w:tabs>
                <w:tab w:val="left" w:pos="1260"/>
              </w:tabs>
              <w:ind w:left="-53" w:leftChars="-25" w:right="-53" w:rightChars="-25"/>
              <w:jc w:val="center"/>
              <w:rPr>
                <w:rFonts w:ascii="黑体" w:hAnsi="黑体" w:eastAsia="黑体"/>
                <w:szCs w:val="21"/>
                <w:lang w:val="en-GB"/>
              </w:rPr>
            </w:pPr>
            <w:r>
              <w:rPr>
                <w:rFonts w:ascii="黑体" w:hAnsi="黑体" w:eastAsia="黑体"/>
                <w:szCs w:val="21"/>
                <w:lang w:val="en-GB"/>
              </w:rPr>
              <w:t>1</w:t>
            </w:r>
          </w:p>
        </w:tc>
        <w:tc>
          <w:tcPr>
            <w:tcW w:w="1246" w:type="pct"/>
            <w:vAlign w:val="center"/>
          </w:tcPr>
          <w:p w14:paraId="7DE6BF36">
            <w:pPr>
              <w:tabs>
                <w:tab w:val="left" w:pos="1260"/>
              </w:tabs>
              <w:ind w:left="-53" w:leftChars="-25" w:right="-53" w:rightChars="-25"/>
              <w:jc w:val="center"/>
              <w:rPr>
                <w:rFonts w:ascii="黑体" w:hAnsi="黑体" w:eastAsia="黑体"/>
                <w:szCs w:val="21"/>
                <w:lang w:val="en-GB"/>
              </w:rPr>
            </w:pPr>
          </w:p>
        </w:tc>
        <w:tc>
          <w:tcPr>
            <w:tcW w:w="582" w:type="pct"/>
            <w:vAlign w:val="center"/>
          </w:tcPr>
          <w:p w14:paraId="184267DE">
            <w:pPr>
              <w:tabs>
                <w:tab w:val="left" w:pos="1260"/>
              </w:tabs>
              <w:ind w:left="-53" w:leftChars="-25" w:right="-53" w:rightChars="-25"/>
              <w:jc w:val="center"/>
              <w:rPr>
                <w:rFonts w:ascii="黑体" w:hAnsi="黑体" w:eastAsia="黑体"/>
                <w:szCs w:val="21"/>
                <w:lang w:val="en-GB"/>
              </w:rPr>
            </w:pPr>
          </w:p>
        </w:tc>
        <w:tc>
          <w:tcPr>
            <w:tcW w:w="583" w:type="pct"/>
            <w:vAlign w:val="center"/>
          </w:tcPr>
          <w:p w14:paraId="46975CD5">
            <w:pPr>
              <w:tabs>
                <w:tab w:val="left" w:pos="1260"/>
              </w:tabs>
              <w:ind w:left="-53" w:leftChars="-25" w:right="-53" w:rightChars="-25"/>
              <w:jc w:val="center"/>
              <w:rPr>
                <w:rFonts w:ascii="黑体" w:hAnsi="黑体" w:eastAsia="黑体"/>
                <w:szCs w:val="21"/>
                <w:lang w:val="en-GB"/>
              </w:rPr>
            </w:pPr>
          </w:p>
        </w:tc>
        <w:tc>
          <w:tcPr>
            <w:tcW w:w="418" w:type="pct"/>
            <w:vAlign w:val="center"/>
          </w:tcPr>
          <w:p w14:paraId="37D11F29">
            <w:pPr>
              <w:tabs>
                <w:tab w:val="left" w:pos="1260"/>
              </w:tabs>
              <w:ind w:left="-53" w:leftChars="-25" w:right="-53" w:rightChars="-25"/>
              <w:jc w:val="center"/>
              <w:rPr>
                <w:rFonts w:ascii="黑体" w:hAnsi="黑体" w:eastAsia="黑体"/>
                <w:szCs w:val="21"/>
                <w:lang w:val="en-GB"/>
              </w:rPr>
            </w:pPr>
          </w:p>
        </w:tc>
        <w:tc>
          <w:tcPr>
            <w:tcW w:w="500" w:type="pct"/>
            <w:vAlign w:val="center"/>
          </w:tcPr>
          <w:p w14:paraId="6CA5422E">
            <w:pPr>
              <w:tabs>
                <w:tab w:val="left" w:pos="1260"/>
              </w:tabs>
              <w:ind w:left="-53" w:leftChars="-25" w:right="-53" w:rightChars="-25"/>
              <w:jc w:val="center"/>
              <w:rPr>
                <w:rFonts w:ascii="黑体" w:hAnsi="黑体" w:eastAsia="黑体"/>
                <w:szCs w:val="21"/>
                <w:lang w:val="en-GB"/>
              </w:rPr>
            </w:pPr>
          </w:p>
        </w:tc>
        <w:tc>
          <w:tcPr>
            <w:tcW w:w="495" w:type="pct"/>
            <w:vAlign w:val="center"/>
          </w:tcPr>
          <w:p w14:paraId="1AE8DA32">
            <w:pPr>
              <w:tabs>
                <w:tab w:val="left" w:pos="1260"/>
              </w:tabs>
              <w:ind w:left="-53" w:leftChars="-25" w:right="-53" w:rightChars="-25"/>
              <w:jc w:val="center"/>
              <w:rPr>
                <w:rFonts w:ascii="黑体" w:hAnsi="黑体" w:eastAsia="黑体"/>
                <w:szCs w:val="21"/>
                <w:lang w:val="en-GB"/>
              </w:rPr>
            </w:pPr>
          </w:p>
        </w:tc>
        <w:tc>
          <w:tcPr>
            <w:tcW w:w="946" w:type="pct"/>
            <w:vAlign w:val="center"/>
          </w:tcPr>
          <w:p w14:paraId="720770D3">
            <w:pPr>
              <w:tabs>
                <w:tab w:val="left" w:pos="1260"/>
              </w:tabs>
              <w:ind w:left="-53" w:leftChars="-25" w:right="-53" w:rightChars="-25"/>
              <w:jc w:val="center"/>
              <w:rPr>
                <w:rFonts w:ascii="黑体" w:hAnsi="黑体" w:eastAsia="黑体"/>
                <w:szCs w:val="21"/>
                <w:lang w:val="en-GB"/>
              </w:rPr>
            </w:pPr>
          </w:p>
        </w:tc>
      </w:tr>
      <w:tr w14:paraId="65537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2DF6A98C">
            <w:pPr>
              <w:tabs>
                <w:tab w:val="left" w:pos="1260"/>
              </w:tabs>
              <w:ind w:left="-53" w:leftChars="-25" w:right="-53" w:rightChars="-25"/>
              <w:jc w:val="center"/>
              <w:rPr>
                <w:rFonts w:ascii="黑体" w:hAnsi="黑体" w:eastAsia="黑体"/>
                <w:szCs w:val="21"/>
                <w:lang w:val="en-GB"/>
              </w:rPr>
            </w:pPr>
            <w:r>
              <w:rPr>
                <w:rFonts w:ascii="黑体" w:hAnsi="黑体" w:eastAsia="黑体"/>
                <w:szCs w:val="21"/>
                <w:lang w:val="en-GB"/>
              </w:rPr>
              <w:t>2</w:t>
            </w:r>
          </w:p>
        </w:tc>
        <w:tc>
          <w:tcPr>
            <w:tcW w:w="1246" w:type="pct"/>
            <w:vAlign w:val="center"/>
          </w:tcPr>
          <w:p w14:paraId="6AD3313B">
            <w:pPr>
              <w:tabs>
                <w:tab w:val="left" w:pos="1260"/>
              </w:tabs>
              <w:ind w:left="-53" w:leftChars="-25" w:right="-53" w:rightChars="-25"/>
              <w:jc w:val="center"/>
              <w:rPr>
                <w:rFonts w:ascii="黑体" w:hAnsi="黑体" w:eastAsia="黑体"/>
                <w:szCs w:val="21"/>
                <w:lang w:val="en-GB"/>
              </w:rPr>
            </w:pPr>
          </w:p>
        </w:tc>
        <w:tc>
          <w:tcPr>
            <w:tcW w:w="582" w:type="pct"/>
            <w:vAlign w:val="center"/>
          </w:tcPr>
          <w:p w14:paraId="43148850">
            <w:pPr>
              <w:tabs>
                <w:tab w:val="left" w:pos="1260"/>
              </w:tabs>
              <w:ind w:left="-53" w:leftChars="-25" w:right="-53" w:rightChars="-25"/>
              <w:jc w:val="center"/>
              <w:rPr>
                <w:rFonts w:ascii="黑体" w:hAnsi="黑体" w:eastAsia="黑体"/>
                <w:szCs w:val="21"/>
                <w:lang w:val="en-GB"/>
              </w:rPr>
            </w:pPr>
          </w:p>
        </w:tc>
        <w:tc>
          <w:tcPr>
            <w:tcW w:w="583" w:type="pct"/>
            <w:vAlign w:val="center"/>
          </w:tcPr>
          <w:p w14:paraId="05BE43DA">
            <w:pPr>
              <w:tabs>
                <w:tab w:val="left" w:pos="1260"/>
              </w:tabs>
              <w:ind w:left="-53" w:leftChars="-25" w:right="-53" w:rightChars="-25"/>
              <w:jc w:val="center"/>
              <w:rPr>
                <w:rFonts w:ascii="黑体" w:hAnsi="黑体" w:eastAsia="黑体"/>
                <w:szCs w:val="21"/>
                <w:lang w:val="en-GB"/>
              </w:rPr>
            </w:pPr>
          </w:p>
        </w:tc>
        <w:tc>
          <w:tcPr>
            <w:tcW w:w="418" w:type="pct"/>
            <w:vAlign w:val="center"/>
          </w:tcPr>
          <w:p w14:paraId="6F3DAD0D">
            <w:pPr>
              <w:tabs>
                <w:tab w:val="left" w:pos="1260"/>
              </w:tabs>
              <w:ind w:left="-53" w:leftChars="-25" w:right="-53" w:rightChars="-25"/>
              <w:jc w:val="center"/>
              <w:rPr>
                <w:rFonts w:ascii="黑体" w:hAnsi="黑体" w:eastAsia="黑体"/>
                <w:szCs w:val="21"/>
                <w:lang w:val="en-GB"/>
              </w:rPr>
            </w:pPr>
          </w:p>
        </w:tc>
        <w:tc>
          <w:tcPr>
            <w:tcW w:w="500" w:type="pct"/>
            <w:vAlign w:val="center"/>
          </w:tcPr>
          <w:p w14:paraId="2C24C808">
            <w:pPr>
              <w:tabs>
                <w:tab w:val="left" w:pos="1260"/>
              </w:tabs>
              <w:ind w:left="-53" w:leftChars="-25" w:right="-53" w:rightChars="-25"/>
              <w:jc w:val="center"/>
              <w:rPr>
                <w:rFonts w:ascii="黑体" w:hAnsi="黑体" w:eastAsia="黑体"/>
                <w:szCs w:val="21"/>
                <w:lang w:val="en-GB"/>
              </w:rPr>
            </w:pPr>
          </w:p>
        </w:tc>
        <w:tc>
          <w:tcPr>
            <w:tcW w:w="495" w:type="pct"/>
            <w:vAlign w:val="center"/>
          </w:tcPr>
          <w:p w14:paraId="1A1A9B92">
            <w:pPr>
              <w:tabs>
                <w:tab w:val="left" w:pos="1260"/>
              </w:tabs>
              <w:ind w:left="-53" w:leftChars="-25" w:right="-53" w:rightChars="-25"/>
              <w:jc w:val="center"/>
              <w:rPr>
                <w:rFonts w:ascii="黑体" w:hAnsi="黑体" w:eastAsia="黑体"/>
                <w:szCs w:val="21"/>
                <w:lang w:val="en-GB"/>
              </w:rPr>
            </w:pPr>
          </w:p>
        </w:tc>
        <w:tc>
          <w:tcPr>
            <w:tcW w:w="946" w:type="pct"/>
            <w:vAlign w:val="center"/>
          </w:tcPr>
          <w:p w14:paraId="09CF0084">
            <w:pPr>
              <w:tabs>
                <w:tab w:val="left" w:pos="1260"/>
              </w:tabs>
              <w:ind w:left="-53" w:leftChars="-25" w:right="-53" w:rightChars="-25"/>
              <w:jc w:val="center"/>
              <w:rPr>
                <w:rFonts w:ascii="黑体" w:hAnsi="黑体" w:eastAsia="黑体"/>
                <w:szCs w:val="21"/>
                <w:lang w:val="en-GB"/>
              </w:rPr>
            </w:pPr>
          </w:p>
        </w:tc>
      </w:tr>
      <w:tr w14:paraId="03619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4F2BB733">
            <w:pPr>
              <w:tabs>
                <w:tab w:val="left" w:pos="1260"/>
              </w:tabs>
              <w:ind w:left="-53" w:leftChars="-25" w:right="-53" w:rightChars="-25"/>
              <w:jc w:val="center"/>
              <w:rPr>
                <w:rFonts w:ascii="黑体" w:hAnsi="黑体" w:eastAsia="黑体"/>
                <w:szCs w:val="21"/>
                <w:lang w:val="en-GB"/>
              </w:rPr>
            </w:pPr>
            <w:r>
              <w:rPr>
                <w:rFonts w:ascii="黑体" w:hAnsi="黑体" w:eastAsia="黑体"/>
                <w:szCs w:val="21"/>
                <w:lang w:val="en-GB"/>
              </w:rPr>
              <w:t>3</w:t>
            </w:r>
          </w:p>
        </w:tc>
        <w:tc>
          <w:tcPr>
            <w:tcW w:w="1246" w:type="pct"/>
            <w:vAlign w:val="center"/>
          </w:tcPr>
          <w:p w14:paraId="5B200BA6">
            <w:pPr>
              <w:tabs>
                <w:tab w:val="left" w:pos="1260"/>
              </w:tabs>
              <w:ind w:left="-53" w:leftChars="-25" w:right="-53" w:rightChars="-25"/>
              <w:jc w:val="center"/>
              <w:rPr>
                <w:rFonts w:ascii="黑体" w:hAnsi="黑体" w:eastAsia="黑体"/>
                <w:szCs w:val="21"/>
                <w:lang w:val="en-GB"/>
              </w:rPr>
            </w:pPr>
          </w:p>
        </w:tc>
        <w:tc>
          <w:tcPr>
            <w:tcW w:w="582" w:type="pct"/>
            <w:vAlign w:val="center"/>
          </w:tcPr>
          <w:p w14:paraId="776BBD43">
            <w:pPr>
              <w:tabs>
                <w:tab w:val="left" w:pos="1260"/>
              </w:tabs>
              <w:ind w:left="-53" w:leftChars="-25" w:right="-53" w:rightChars="-25"/>
              <w:jc w:val="center"/>
              <w:rPr>
                <w:rFonts w:ascii="黑体" w:hAnsi="黑体" w:eastAsia="黑体"/>
                <w:szCs w:val="21"/>
                <w:lang w:val="en-GB"/>
              </w:rPr>
            </w:pPr>
          </w:p>
        </w:tc>
        <w:tc>
          <w:tcPr>
            <w:tcW w:w="583" w:type="pct"/>
            <w:vAlign w:val="center"/>
          </w:tcPr>
          <w:p w14:paraId="7B48AAFF">
            <w:pPr>
              <w:tabs>
                <w:tab w:val="left" w:pos="1260"/>
              </w:tabs>
              <w:ind w:left="-53" w:leftChars="-25" w:right="-53" w:rightChars="-25"/>
              <w:jc w:val="center"/>
              <w:rPr>
                <w:rFonts w:ascii="黑体" w:hAnsi="黑体" w:eastAsia="黑体"/>
                <w:szCs w:val="21"/>
                <w:lang w:val="en-GB"/>
              </w:rPr>
            </w:pPr>
          </w:p>
        </w:tc>
        <w:tc>
          <w:tcPr>
            <w:tcW w:w="418" w:type="pct"/>
            <w:vAlign w:val="center"/>
          </w:tcPr>
          <w:p w14:paraId="2DD4FBFD">
            <w:pPr>
              <w:tabs>
                <w:tab w:val="left" w:pos="1260"/>
              </w:tabs>
              <w:ind w:left="-53" w:leftChars="-25" w:right="-53" w:rightChars="-25"/>
              <w:jc w:val="center"/>
              <w:rPr>
                <w:rFonts w:ascii="黑体" w:hAnsi="黑体" w:eastAsia="黑体"/>
                <w:szCs w:val="21"/>
                <w:lang w:val="en-GB"/>
              </w:rPr>
            </w:pPr>
          </w:p>
        </w:tc>
        <w:tc>
          <w:tcPr>
            <w:tcW w:w="500" w:type="pct"/>
            <w:vAlign w:val="center"/>
          </w:tcPr>
          <w:p w14:paraId="5ED3DC6B">
            <w:pPr>
              <w:tabs>
                <w:tab w:val="left" w:pos="1260"/>
              </w:tabs>
              <w:ind w:left="-53" w:leftChars="-25" w:right="-53" w:rightChars="-25"/>
              <w:jc w:val="center"/>
              <w:rPr>
                <w:rFonts w:ascii="黑体" w:hAnsi="黑体" w:eastAsia="黑体"/>
                <w:szCs w:val="21"/>
                <w:lang w:val="en-GB"/>
              </w:rPr>
            </w:pPr>
          </w:p>
        </w:tc>
        <w:tc>
          <w:tcPr>
            <w:tcW w:w="495" w:type="pct"/>
            <w:vAlign w:val="center"/>
          </w:tcPr>
          <w:p w14:paraId="00BBE7F7">
            <w:pPr>
              <w:tabs>
                <w:tab w:val="left" w:pos="1260"/>
              </w:tabs>
              <w:ind w:left="-53" w:leftChars="-25" w:right="-53" w:rightChars="-25"/>
              <w:jc w:val="center"/>
              <w:rPr>
                <w:rFonts w:ascii="黑体" w:hAnsi="黑体" w:eastAsia="黑体"/>
                <w:szCs w:val="21"/>
                <w:lang w:val="en-GB"/>
              </w:rPr>
            </w:pPr>
          </w:p>
        </w:tc>
        <w:tc>
          <w:tcPr>
            <w:tcW w:w="946" w:type="pct"/>
            <w:vAlign w:val="center"/>
          </w:tcPr>
          <w:p w14:paraId="43BEA235">
            <w:pPr>
              <w:tabs>
                <w:tab w:val="left" w:pos="1260"/>
              </w:tabs>
              <w:ind w:left="-53" w:leftChars="-25" w:right="-53" w:rightChars="-25"/>
              <w:jc w:val="center"/>
              <w:rPr>
                <w:rFonts w:ascii="黑体" w:hAnsi="黑体" w:eastAsia="黑体"/>
                <w:szCs w:val="21"/>
                <w:lang w:val="en-GB"/>
              </w:rPr>
            </w:pPr>
          </w:p>
        </w:tc>
      </w:tr>
      <w:tr w14:paraId="5BC97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52CE14F3">
            <w:pPr>
              <w:tabs>
                <w:tab w:val="left" w:pos="1260"/>
              </w:tabs>
              <w:ind w:left="-53" w:leftChars="-25" w:right="-53" w:rightChars="-25"/>
              <w:jc w:val="center"/>
              <w:rPr>
                <w:rFonts w:ascii="黑体" w:hAnsi="黑体" w:eastAsia="黑体"/>
                <w:szCs w:val="21"/>
                <w:lang w:val="en-GB"/>
              </w:rPr>
            </w:pPr>
            <w:r>
              <w:rPr>
                <w:rFonts w:ascii="黑体" w:hAnsi="黑体" w:eastAsia="黑体"/>
                <w:szCs w:val="21"/>
                <w:lang w:val="en-GB"/>
              </w:rPr>
              <w:t>4</w:t>
            </w:r>
          </w:p>
        </w:tc>
        <w:tc>
          <w:tcPr>
            <w:tcW w:w="1246" w:type="pct"/>
            <w:vAlign w:val="center"/>
          </w:tcPr>
          <w:p w14:paraId="47069AD9">
            <w:pPr>
              <w:tabs>
                <w:tab w:val="left" w:pos="1260"/>
              </w:tabs>
              <w:ind w:left="-53" w:leftChars="-25" w:right="-53" w:rightChars="-25"/>
              <w:jc w:val="center"/>
              <w:rPr>
                <w:rFonts w:ascii="黑体" w:hAnsi="黑体" w:eastAsia="黑体"/>
                <w:szCs w:val="21"/>
                <w:lang w:val="en-GB"/>
              </w:rPr>
            </w:pPr>
          </w:p>
        </w:tc>
        <w:tc>
          <w:tcPr>
            <w:tcW w:w="582" w:type="pct"/>
            <w:vAlign w:val="center"/>
          </w:tcPr>
          <w:p w14:paraId="636F583D">
            <w:pPr>
              <w:tabs>
                <w:tab w:val="left" w:pos="1260"/>
              </w:tabs>
              <w:ind w:left="-53" w:leftChars="-25" w:right="-53" w:rightChars="-25"/>
              <w:jc w:val="center"/>
              <w:rPr>
                <w:rFonts w:ascii="黑体" w:hAnsi="黑体" w:eastAsia="黑体"/>
                <w:szCs w:val="21"/>
                <w:lang w:val="en-GB"/>
              </w:rPr>
            </w:pPr>
          </w:p>
        </w:tc>
        <w:tc>
          <w:tcPr>
            <w:tcW w:w="583" w:type="pct"/>
            <w:vAlign w:val="center"/>
          </w:tcPr>
          <w:p w14:paraId="4198FB18">
            <w:pPr>
              <w:tabs>
                <w:tab w:val="left" w:pos="1260"/>
              </w:tabs>
              <w:ind w:left="-53" w:leftChars="-25" w:right="-53" w:rightChars="-25"/>
              <w:jc w:val="center"/>
              <w:rPr>
                <w:rFonts w:ascii="黑体" w:hAnsi="黑体" w:eastAsia="黑体"/>
                <w:szCs w:val="21"/>
                <w:lang w:val="en-GB"/>
              </w:rPr>
            </w:pPr>
          </w:p>
        </w:tc>
        <w:tc>
          <w:tcPr>
            <w:tcW w:w="418" w:type="pct"/>
            <w:vAlign w:val="center"/>
          </w:tcPr>
          <w:p w14:paraId="24E5A6E1">
            <w:pPr>
              <w:tabs>
                <w:tab w:val="left" w:pos="1260"/>
              </w:tabs>
              <w:ind w:left="-53" w:leftChars="-25" w:right="-53" w:rightChars="-25"/>
              <w:jc w:val="center"/>
              <w:rPr>
                <w:rFonts w:ascii="黑体" w:hAnsi="黑体" w:eastAsia="黑体"/>
                <w:szCs w:val="21"/>
                <w:lang w:val="en-GB"/>
              </w:rPr>
            </w:pPr>
          </w:p>
        </w:tc>
        <w:tc>
          <w:tcPr>
            <w:tcW w:w="500" w:type="pct"/>
            <w:vAlign w:val="center"/>
          </w:tcPr>
          <w:p w14:paraId="193FD371">
            <w:pPr>
              <w:tabs>
                <w:tab w:val="left" w:pos="1260"/>
              </w:tabs>
              <w:ind w:left="-53" w:leftChars="-25" w:right="-53" w:rightChars="-25"/>
              <w:jc w:val="center"/>
              <w:rPr>
                <w:rFonts w:ascii="黑体" w:hAnsi="黑体" w:eastAsia="黑体"/>
                <w:szCs w:val="21"/>
                <w:lang w:val="en-GB"/>
              </w:rPr>
            </w:pPr>
          </w:p>
        </w:tc>
        <w:tc>
          <w:tcPr>
            <w:tcW w:w="495" w:type="pct"/>
            <w:vAlign w:val="center"/>
          </w:tcPr>
          <w:p w14:paraId="1CB0B61E">
            <w:pPr>
              <w:tabs>
                <w:tab w:val="left" w:pos="1260"/>
              </w:tabs>
              <w:ind w:left="-53" w:leftChars="-25" w:right="-53" w:rightChars="-25"/>
              <w:jc w:val="center"/>
              <w:rPr>
                <w:rFonts w:ascii="黑体" w:hAnsi="黑体" w:eastAsia="黑体"/>
                <w:szCs w:val="21"/>
                <w:lang w:val="en-GB"/>
              </w:rPr>
            </w:pPr>
          </w:p>
        </w:tc>
        <w:tc>
          <w:tcPr>
            <w:tcW w:w="946" w:type="pct"/>
            <w:vAlign w:val="center"/>
          </w:tcPr>
          <w:p w14:paraId="3BE859CA">
            <w:pPr>
              <w:tabs>
                <w:tab w:val="left" w:pos="1260"/>
              </w:tabs>
              <w:ind w:left="-53" w:leftChars="-25" w:right="-53" w:rightChars="-25"/>
              <w:jc w:val="center"/>
              <w:rPr>
                <w:rFonts w:ascii="黑体" w:hAnsi="黑体" w:eastAsia="黑体"/>
                <w:szCs w:val="21"/>
                <w:lang w:val="en-GB"/>
              </w:rPr>
            </w:pPr>
          </w:p>
        </w:tc>
      </w:tr>
      <w:tr w14:paraId="3A5BE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5B2618BF">
            <w:pPr>
              <w:tabs>
                <w:tab w:val="left" w:pos="1260"/>
              </w:tabs>
              <w:ind w:left="-53" w:leftChars="-25" w:right="-53" w:rightChars="-25"/>
              <w:jc w:val="center"/>
              <w:rPr>
                <w:rFonts w:ascii="黑体" w:hAnsi="黑体" w:eastAsia="黑体"/>
                <w:szCs w:val="21"/>
                <w:lang w:val="en-GB"/>
              </w:rPr>
            </w:pPr>
            <w:r>
              <w:rPr>
                <w:rFonts w:ascii="黑体" w:hAnsi="黑体" w:eastAsia="黑体"/>
                <w:szCs w:val="21"/>
                <w:lang w:val="en-GB"/>
              </w:rPr>
              <w:t>5</w:t>
            </w:r>
          </w:p>
        </w:tc>
        <w:tc>
          <w:tcPr>
            <w:tcW w:w="1246" w:type="pct"/>
            <w:vAlign w:val="center"/>
          </w:tcPr>
          <w:p w14:paraId="5F904A2D">
            <w:pPr>
              <w:tabs>
                <w:tab w:val="left" w:pos="1260"/>
              </w:tabs>
              <w:ind w:left="-53" w:leftChars="-25" w:right="-53" w:rightChars="-25"/>
              <w:jc w:val="center"/>
              <w:rPr>
                <w:rFonts w:ascii="黑体" w:hAnsi="黑体" w:eastAsia="黑体"/>
                <w:szCs w:val="21"/>
                <w:lang w:val="en-GB"/>
              </w:rPr>
            </w:pPr>
          </w:p>
        </w:tc>
        <w:tc>
          <w:tcPr>
            <w:tcW w:w="582" w:type="pct"/>
            <w:vAlign w:val="center"/>
          </w:tcPr>
          <w:p w14:paraId="3D7A84AD">
            <w:pPr>
              <w:tabs>
                <w:tab w:val="left" w:pos="1260"/>
              </w:tabs>
              <w:ind w:left="-53" w:leftChars="-25" w:right="-53" w:rightChars="-25"/>
              <w:jc w:val="center"/>
              <w:rPr>
                <w:rFonts w:ascii="黑体" w:hAnsi="黑体" w:eastAsia="黑体"/>
                <w:szCs w:val="21"/>
                <w:lang w:val="en-GB"/>
              </w:rPr>
            </w:pPr>
          </w:p>
        </w:tc>
        <w:tc>
          <w:tcPr>
            <w:tcW w:w="583" w:type="pct"/>
            <w:vAlign w:val="center"/>
          </w:tcPr>
          <w:p w14:paraId="2040C302">
            <w:pPr>
              <w:tabs>
                <w:tab w:val="left" w:pos="1260"/>
              </w:tabs>
              <w:ind w:left="-53" w:leftChars="-25" w:right="-53" w:rightChars="-25"/>
              <w:jc w:val="center"/>
              <w:rPr>
                <w:rFonts w:ascii="黑体" w:hAnsi="黑体" w:eastAsia="黑体"/>
                <w:szCs w:val="21"/>
                <w:lang w:val="en-GB"/>
              </w:rPr>
            </w:pPr>
          </w:p>
        </w:tc>
        <w:tc>
          <w:tcPr>
            <w:tcW w:w="418" w:type="pct"/>
            <w:vAlign w:val="center"/>
          </w:tcPr>
          <w:p w14:paraId="6F85D540">
            <w:pPr>
              <w:tabs>
                <w:tab w:val="left" w:pos="1260"/>
              </w:tabs>
              <w:ind w:left="-53" w:leftChars="-25" w:right="-53" w:rightChars="-25"/>
              <w:jc w:val="center"/>
              <w:rPr>
                <w:rFonts w:ascii="黑体" w:hAnsi="黑体" w:eastAsia="黑体"/>
                <w:szCs w:val="21"/>
                <w:lang w:val="en-GB"/>
              </w:rPr>
            </w:pPr>
          </w:p>
        </w:tc>
        <w:tc>
          <w:tcPr>
            <w:tcW w:w="500" w:type="pct"/>
            <w:vAlign w:val="center"/>
          </w:tcPr>
          <w:p w14:paraId="7C52FAEC">
            <w:pPr>
              <w:tabs>
                <w:tab w:val="left" w:pos="1260"/>
              </w:tabs>
              <w:ind w:left="-53" w:leftChars="-25" w:right="-53" w:rightChars="-25"/>
              <w:jc w:val="center"/>
              <w:rPr>
                <w:rFonts w:ascii="黑体" w:hAnsi="黑体" w:eastAsia="黑体"/>
                <w:szCs w:val="21"/>
                <w:lang w:val="en-GB"/>
              </w:rPr>
            </w:pPr>
          </w:p>
        </w:tc>
        <w:tc>
          <w:tcPr>
            <w:tcW w:w="495" w:type="pct"/>
            <w:vAlign w:val="center"/>
          </w:tcPr>
          <w:p w14:paraId="1671278C">
            <w:pPr>
              <w:tabs>
                <w:tab w:val="left" w:pos="1260"/>
              </w:tabs>
              <w:ind w:left="-53" w:leftChars="-25" w:right="-53" w:rightChars="-25"/>
              <w:jc w:val="center"/>
              <w:rPr>
                <w:rFonts w:ascii="黑体" w:hAnsi="黑体" w:eastAsia="黑体"/>
                <w:szCs w:val="21"/>
                <w:lang w:val="en-GB"/>
              </w:rPr>
            </w:pPr>
          </w:p>
        </w:tc>
        <w:tc>
          <w:tcPr>
            <w:tcW w:w="946" w:type="pct"/>
            <w:vAlign w:val="center"/>
          </w:tcPr>
          <w:p w14:paraId="0E06EA6C">
            <w:pPr>
              <w:tabs>
                <w:tab w:val="left" w:pos="1260"/>
              </w:tabs>
              <w:ind w:left="-53" w:leftChars="-25" w:right="-53" w:rightChars="-25"/>
              <w:jc w:val="center"/>
              <w:rPr>
                <w:rFonts w:ascii="黑体" w:hAnsi="黑体" w:eastAsia="黑体"/>
                <w:szCs w:val="21"/>
                <w:lang w:val="en-GB"/>
              </w:rPr>
            </w:pPr>
          </w:p>
        </w:tc>
      </w:tr>
      <w:tr w14:paraId="0FD6A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7389FE77">
            <w:pPr>
              <w:tabs>
                <w:tab w:val="left" w:pos="1260"/>
              </w:tabs>
              <w:ind w:left="-53" w:leftChars="-25" w:right="-53" w:rightChars="-25"/>
              <w:jc w:val="center"/>
              <w:rPr>
                <w:rFonts w:ascii="黑体" w:hAnsi="黑体" w:eastAsia="黑体"/>
                <w:szCs w:val="21"/>
                <w:lang w:val="en-GB"/>
              </w:rPr>
            </w:pPr>
            <w:r>
              <w:rPr>
                <w:rFonts w:ascii="黑体" w:hAnsi="黑体" w:eastAsia="黑体"/>
                <w:szCs w:val="21"/>
                <w:lang w:val="en-GB"/>
              </w:rPr>
              <w:t>…</w:t>
            </w:r>
          </w:p>
        </w:tc>
        <w:tc>
          <w:tcPr>
            <w:tcW w:w="1246" w:type="pct"/>
            <w:vAlign w:val="center"/>
          </w:tcPr>
          <w:p w14:paraId="0FF41884">
            <w:pPr>
              <w:tabs>
                <w:tab w:val="left" w:pos="1260"/>
              </w:tabs>
              <w:ind w:left="-53" w:leftChars="-25" w:right="-53" w:rightChars="-25"/>
              <w:jc w:val="center"/>
              <w:rPr>
                <w:rFonts w:ascii="黑体" w:hAnsi="黑体" w:eastAsia="黑体"/>
                <w:szCs w:val="21"/>
                <w:lang w:val="en-GB"/>
              </w:rPr>
            </w:pPr>
          </w:p>
        </w:tc>
        <w:tc>
          <w:tcPr>
            <w:tcW w:w="582" w:type="pct"/>
            <w:vAlign w:val="center"/>
          </w:tcPr>
          <w:p w14:paraId="225D280B">
            <w:pPr>
              <w:tabs>
                <w:tab w:val="left" w:pos="1260"/>
              </w:tabs>
              <w:ind w:left="-53" w:leftChars="-25" w:right="-53" w:rightChars="-25"/>
              <w:jc w:val="center"/>
              <w:rPr>
                <w:rFonts w:ascii="黑体" w:hAnsi="黑体" w:eastAsia="黑体"/>
                <w:szCs w:val="21"/>
                <w:lang w:val="en-GB"/>
              </w:rPr>
            </w:pPr>
          </w:p>
        </w:tc>
        <w:tc>
          <w:tcPr>
            <w:tcW w:w="583" w:type="pct"/>
            <w:vAlign w:val="center"/>
          </w:tcPr>
          <w:p w14:paraId="6AD5E84A">
            <w:pPr>
              <w:tabs>
                <w:tab w:val="left" w:pos="1260"/>
              </w:tabs>
              <w:ind w:left="-53" w:leftChars="-25" w:right="-53" w:rightChars="-25"/>
              <w:jc w:val="center"/>
              <w:rPr>
                <w:rFonts w:ascii="黑体" w:hAnsi="黑体" w:eastAsia="黑体"/>
                <w:szCs w:val="21"/>
                <w:lang w:val="en-GB"/>
              </w:rPr>
            </w:pPr>
          </w:p>
        </w:tc>
        <w:tc>
          <w:tcPr>
            <w:tcW w:w="418" w:type="pct"/>
            <w:vAlign w:val="center"/>
          </w:tcPr>
          <w:p w14:paraId="2B3D44DD">
            <w:pPr>
              <w:tabs>
                <w:tab w:val="left" w:pos="1260"/>
              </w:tabs>
              <w:ind w:left="-53" w:leftChars="-25" w:right="-53" w:rightChars="-25"/>
              <w:jc w:val="center"/>
              <w:rPr>
                <w:rFonts w:ascii="黑体" w:hAnsi="黑体" w:eastAsia="黑体"/>
                <w:szCs w:val="21"/>
                <w:lang w:val="en-GB"/>
              </w:rPr>
            </w:pPr>
          </w:p>
        </w:tc>
        <w:tc>
          <w:tcPr>
            <w:tcW w:w="500" w:type="pct"/>
            <w:vAlign w:val="center"/>
          </w:tcPr>
          <w:p w14:paraId="68878E00">
            <w:pPr>
              <w:tabs>
                <w:tab w:val="left" w:pos="1260"/>
              </w:tabs>
              <w:ind w:left="-53" w:leftChars="-25" w:right="-53" w:rightChars="-25"/>
              <w:jc w:val="center"/>
              <w:rPr>
                <w:rFonts w:ascii="黑体" w:hAnsi="黑体" w:eastAsia="黑体"/>
                <w:szCs w:val="21"/>
                <w:lang w:val="en-GB"/>
              </w:rPr>
            </w:pPr>
          </w:p>
        </w:tc>
        <w:tc>
          <w:tcPr>
            <w:tcW w:w="495" w:type="pct"/>
            <w:vAlign w:val="center"/>
          </w:tcPr>
          <w:p w14:paraId="335F8D49">
            <w:pPr>
              <w:tabs>
                <w:tab w:val="left" w:pos="1260"/>
              </w:tabs>
              <w:ind w:left="-53" w:leftChars="-25" w:right="-53" w:rightChars="-25"/>
              <w:jc w:val="center"/>
              <w:rPr>
                <w:rFonts w:ascii="黑体" w:hAnsi="黑体" w:eastAsia="黑体"/>
                <w:szCs w:val="21"/>
                <w:lang w:val="en-GB"/>
              </w:rPr>
            </w:pPr>
          </w:p>
        </w:tc>
        <w:tc>
          <w:tcPr>
            <w:tcW w:w="946" w:type="pct"/>
            <w:vAlign w:val="center"/>
          </w:tcPr>
          <w:p w14:paraId="73BC09F3">
            <w:pPr>
              <w:tabs>
                <w:tab w:val="left" w:pos="1260"/>
              </w:tabs>
              <w:ind w:left="-53" w:leftChars="-25" w:right="-53" w:rightChars="-25"/>
              <w:jc w:val="center"/>
              <w:rPr>
                <w:rFonts w:ascii="黑体" w:hAnsi="黑体" w:eastAsia="黑体"/>
                <w:szCs w:val="21"/>
                <w:lang w:val="en-GB"/>
              </w:rPr>
            </w:pPr>
          </w:p>
        </w:tc>
      </w:tr>
    </w:tbl>
    <w:p w14:paraId="38C682A3">
      <w:pPr>
        <w:spacing w:before="156" w:beforeLines="50" w:line="360" w:lineRule="auto"/>
        <w:rPr>
          <w:rFonts w:ascii="黑体" w:hAnsi="黑体" w:eastAsia="黑体"/>
          <w:bCs/>
          <w:szCs w:val="21"/>
          <w:lang w:val="en-GB"/>
        </w:rPr>
      </w:pPr>
      <w:r>
        <w:rPr>
          <w:rFonts w:hint="eastAsia" w:ascii="黑体" w:hAnsi="黑体" w:eastAsia="黑体"/>
          <w:bCs/>
          <w:szCs w:val="21"/>
          <w:lang w:val="en-GB"/>
        </w:rPr>
        <w:t>注明：</w:t>
      </w:r>
    </w:p>
    <w:p w14:paraId="328E7DFC">
      <w:pPr>
        <w:pStyle w:val="29"/>
        <w:numPr>
          <w:ilvl w:val="0"/>
          <w:numId w:val="117"/>
        </w:numPr>
        <w:spacing w:line="360" w:lineRule="auto"/>
        <w:ind w:left="284" w:hanging="284" w:firstLineChars="0"/>
        <w:rPr>
          <w:rFonts w:ascii="黑体" w:hAnsi="黑体" w:eastAsia="黑体"/>
          <w:bCs/>
          <w:szCs w:val="21"/>
          <w:lang w:val="en-GB"/>
        </w:rPr>
      </w:pPr>
      <w:r>
        <w:rPr>
          <w:rFonts w:hint="eastAsia" w:ascii="黑体" w:hAnsi="黑体" w:eastAsia="黑体"/>
          <w:bCs/>
          <w:szCs w:val="21"/>
          <w:lang w:val="en-GB"/>
        </w:rPr>
        <w:t>制造商为小型或微型企业时才需要填“制造商企业类型”栏，填写内容为“小型”或“微型”；</w:t>
      </w:r>
    </w:p>
    <w:p w14:paraId="1F83ED10">
      <w:pPr>
        <w:pStyle w:val="29"/>
        <w:numPr>
          <w:ilvl w:val="0"/>
          <w:numId w:val="117"/>
        </w:numPr>
        <w:tabs>
          <w:tab w:val="left" w:pos="142"/>
        </w:tabs>
        <w:spacing w:line="360" w:lineRule="auto"/>
        <w:ind w:left="272" w:leftChars="-1" w:hanging="274" w:hangingChars="136"/>
        <w:rPr>
          <w:rFonts w:ascii="黑体" w:hAnsi="黑体" w:eastAsia="黑体"/>
          <w:bCs/>
          <w:spacing w:val="-4"/>
          <w:szCs w:val="21"/>
          <w:lang w:val="en-GB"/>
        </w:rPr>
      </w:pPr>
      <w:r>
        <w:rPr>
          <w:rFonts w:hint="eastAsia" w:ascii="黑体" w:hAnsi="黑体" w:eastAsia="黑体"/>
          <w:bCs/>
          <w:spacing w:val="-4"/>
          <w:szCs w:val="21"/>
          <w:lang w:val="en-GB"/>
        </w:rPr>
        <w:t>节能产品须填写认证证书编号，并提供投标产品的节能产品认证证书复印件加盖投标人公章；</w:t>
      </w:r>
    </w:p>
    <w:p w14:paraId="232A415A">
      <w:pPr>
        <w:pStyle w:val="29"/>
        <w:numPr>
          <w:ilvl w:val="0"/>
          <w:numId w:val="117"/>
        </w:numPr>
        <w:spacing w:line="360" w:lineRule="auto"/>
        <w:ind w:left="284" w:hanging="284" w:firstLineChars="0"/>
        <w:rPr>
          <w:rFonts w:ascii="黑体" w:hAnsi="黑体" w:eastAsia="黑体"/>
          <w:bCs/>
          <w:szCs w:val="21"/>
          <w:lang w:val="en-GB"/>
        </w:rPr>
      </w:pPr>
      <w:r>
        <w:rPr>
          <w:rFonts w:hint="eastAsia" w:ascii="黑体" w:hAnsi="黑体" w:eastAsia="黑体"/>
          <w:bCs/>
          <w:szCs w:val="21"/>
          <w:lang w:val="en-GB"/>
        </w:rPr>
        <w:t>环保标志产品须填写认证证书编号，并提供投标产品的环保标志产品认证证书复印件加盖投标人公章。</w:t>
      </w:r>
    </w:p>
    <w:p w14:paraId="2719D890">
      <w:pPr>
        <w:pStyle w:val="29"/>
        <w:numPr>
          <w:ilvl w:val="0"/>
          <w:numId w:val="117"/>
        </w:numPr>
        <w:spacing w:line="360" w:lineRule="auto"/>
        <w:ind w:left="284" w:hanging="284" w:firstLineChars="0"/>
        <w:rPr>
          <w:rFonts w:ascii="黑体" w:hAnsi="黑体" w:eastAsia="黑体"/>
          <w:bCs/>
          <w:szCs w:val="21"/>
          <w:lang w:val="en-GB"/>
        </w:rPr>
      </w:pPr>
      <w:r>
        <w:rPr>
          <w:rFonts w:hint="eastAsia" w:ascii="黑体" w:hAnsi="黑体" w:eastAsia="黑体"/>
          <w:bCs/>
          <w:szCs w:val="21"/>
          <w:lang w:val="en-GB"/>
        </w:rPr>
        <w:t>以上证明资料未按要求提供或未提供完整的，视为未提供处理。</w:t>
      </w:r>
    </w:p>
    <w:p w14:paraId="2595CF00">
      <w:pPr>
        <w:spacing w:line="360" w:lineRule="auto"/>
        <w:rPr>
          <w:rFonts w:ascii="黑体" w:hAnsi="黑体" w:eastAsia="黑体"/>
          <w:bCs/>
          <w:szCs w:val="21"/>
          <w:lang w:val="en-GB"/>
        </w:rPr>
      </w:pPr>
    </w:p>
    <w:tbl>
      <w:tblPr>
        <w:tblStyle w:val="19"/>
        <w:tblW w:w="0" w:type="auto"/>
        <w:tblInd w:w="0" w:type="dxa"/>
        <w:tblLayout w:type="autofit"/>
        <w:tblCellMar>
          <w:top w:w="0" w:type="dxa"/>
          <w:left w:w="108" w:type="dxa"/>
          <w:bottom w:w="0" w:type="dxa"/>
          <w:right w:w="108" w:type="dxa"/>
        </w:tblCellMar>
      </w:tblPr>
      <w:tblGrid>
        <w:gridCol w:w="5991"/>
        <w:gridCol w:w="2537"/>
      </w:tblGrid>
      <w:tr w14:paraId="38F163B5">
        <w:tblPrEx>
          <w:tblCellMar>
            <w:top w:w="0" w:type="dxa"/>
            <w:left w:w="108" w:type="dxa"/>
            <w:bottom w:w="0" w:type="dxa"/>
            <w:right w:w="108" w:type="dxa"/>
          </w:tblCellMar>
        </w:tblPrEx>
        <w:tc>
          <w:tcPr>
            <w:tcW w:w="5991" w:type="dxa"/>
            <w:shd w:val="clear" w:color="auto" w:fill="auto"/>
          </w:tcPr>
          <w:p w14:paraId="7F32FFCC">
            <w:pPr>
              <w:overflowPunct w:val="0"/>
              <w:adjustRightInd w:val="0"/>
              <w:spacing w:line="360" w:lineRule="auto"/>
              <w:rPr>
                <w:rFonts w:ascii="黑体" w:hAnsi="黑体" w:eastAsia="黑体"/>
                <w:szCs w:val="21"/>
              </w:rPr>
            </w:pPr>
            <w:r>
              <w:rPr>
                <w:rFonts w:hint="eastAsia" w:ascii="黑体" w:hAnsi="黑体" w:eastAsia="黑体"/>
                <w:szCs w:val="21"/>
              </w:rPr>
              <w:t xml:space="preserve">投标人名称（加盖公章）： </w:t>
            </w:r>
            <w:r>
              <w:rPr>
                <w:rFonts w:ascii="黑体" w:hAnsi="黑体" w:eastAsia="黑体"/>
                <w:szCs w:val="21"/>
                <w:u w:val="single"/>
              </w:rPr>
              <w:t xml:space="preserve">                        </w:t>
            </w:r>
          </w:p>
        </w:tc>
        <w:tc>
          <w:tcPr>
            <w:tcW w:w="2537" w:type="dxa"/>
            <w:shd w:val="clear" w:color="auto" w:fill="auto"/>
          </w:tcPr>
          <w:p w14:paraId="628C3C47">
            <w:pPr>
              <w:overflowPunct w:val="0"/>
              <w:adjustRightInd w:val="0"/>
              <w:spacing w:line="360" w:lineRule="auto"/>
              <w:rPr>
                <w:rFonts w:ascii="黑体" w:hAnsi="黑体" w:eastAsia="黑体"/>
                <w:szCs w:val="21"/>
              </w:rPr>
            </w:pPr>
          </w:p>
        </w:tc>
      </w:tr>
      <w:tr w14:paraId="38AD4254">
        <w:tblPrEx>
          <w:tblCellMar>
            <w:top w:w="0" w:type="dxa"/>
            <w:left w:w="108" w:type="dxa"/>
            <w:bottom w:w="0" w:type="dxa"/>
            <w:right w:w="108" w:type="dxa"/>
          </w:tblCellMar>
        </w:tblPrEx>
        <w:tc>
          <w:tcPr>
            <w:tcW w:w="5991" w:type="dxa"/>
            <w:shd w:val="clear" w:color="auto" w:fill="auto"/>
          </w:tcPr>
          <w:p w14:paraId="1F8AF085">
            <w:pPr>
              <w:overflowPunct w:val="0"/>
              <w:adjustRightInd w:val="0"/>
              <w:spacing w:line="360" w:lineRule="auto"/>
              <w:rPr>
                <w:rFonts w:ascii="黑体" w:hAnsi="黑体" w:eastAsia="黑体"/>
                <w:szCs w:val="21"/>
                <w:u w:val="single"/>
              </w:rPr>
            </w:pPr>
            <w:r>
              <w:rPr>
                <w:rFonts w:hint="eastAsia" w:ascii="黑体" w:hAnsi="黑体" w:eastAsia="黑体"/>
                <w:szCs w:val="21"/>
              </w:rPr>
              <w:t>日期：</w:t>
            </w:r>
            <w:r>
              <w:rPr>
                <w:rFonts w:ascii="黑体" w:hAnsi="黑体" w:eastAsia="黑体"/>
                <w:szCs w:val="21"/>
              </w:rPr>
              <w:t xml:space="preserve"> </w:t>
            </w:r>
            <w:r>
              <w:rPr>
                <w:rFonts w:ascii="黑体" w:hAnsi="黑体" w:eastAsia="黑体"/>
                <w:szCs w:val="21"/>
                <w:u w:val="single"/>
              </w:rPr>
              <w:t xml:space="preserve">            年           月            日</w:t>
            </w:r>
          </w:p>
        </w:tc>
        <w:tc>
          <w:tcPr>
            <w:tcW w:w="2537" w:type="dxa"/>
            <w:shd w:val="clear" w:color="auto" w:fill="auto"/>
          </w:tcPr>
          <w:p w14:paraId="3039E905">
            <w:pPr>
              <w:overflowPunct w:val="0"/>
              <w:adjustRightInd w:val="0"/>
              <w:spacing w:line="360" w:lineRule="auto"/>
              <w:rPr>
                <w:rFonts w:ascii="黑体" w:hAnsi="黑体" w:eastAsia="黑体"/>
                <w:szCs w:val="21"/>
                <w:u w:val="single"/>
              </w:rPr>
            </w:pPr>
          </w:p>
        </w:tc>
      </w:tr>
    </w:tbl>
    <w:p w14:paraId="15AA7177">
      <w:pPr>
        <w:tabs>
          <w:tab w:val="left" w:pos="1180"/>
        </w:tabs>
        <w:rPr>
          <w:rFonts w:ascii="黑体" w:hAnsi="黑体" w:eastAsia="黑体"/>
          <w:color w:val="000000" w:themeColor="text1"/>
          <w:sz w:val="28"/>
          <w:szCs w:val="28"/>
          <w14:textFill>
            <w14:solidFill>
              <w14:schemeClr w14:val="tx1"/>
            </w14:solidFill>
          </w14:textFill>
        </w:rPr>
      </w:pPr>
    </w:p>
    <w:p w14:paraId="04BAD4E2">
      <w:pPr>
        <w:pStyle w:val="35"/>
        <w:spacing w:before="156" w:beforeLines="50" w:line="360" w:lineRule="auto"/>
        <w:ind w:firstLine="0" w:firstLineChars="0"/>
        <w:rPr>
          <w:rFonts w:ascii="黑体" w:hAnsi="黑体" w:eastAsia="黑体"/>
          <w:b/>
          <w:color w:val="000000" w:themeColor="text1"/>
          <w:sz w:val="21"/>
          <w:szCs w:val="21"/>
          <w14:textFill>
            <w14:solidFill>
              <w14:schemeClr w14:val="tx1"/>
            </w14:solidFill>
          </w14:textFill>
        </w:rPr>
      </w:pPr>
    </w:p>
    <w:p w14:paraId="6CB78603">
      <w:pPr>
        <w:pStyle w:val="35"/>
        <w:spacing w:before="156" w:beforeLines="50" w:line="360" w:lineRule="auto"/>
        <w:ind w:firstLine="0" w:firstLineChars="0"/>
        <w:rPr>
          <w:rFonts w:ascii="黑体" w:hAnsi="黑体" w:eastAsia="黑体"/>
          <w:b/>
          <w:color w:val="000000" w:themeColor="text1"/>
          <w:sz w:val="21"/>
          <w:szCs w:val="21"/>
          <w14:textFill>
            <w14:solidFill>
              <w14:schemeClr w14:val="tx1"/>
            </w14:solidFill>
          </w14:textFill>
        </w:rPr>
      </w:pPr>
    </w:p>
    <w:p w14:paraId="588201BE">
      <w:pPr>
        <w:pStyle w:val="29"/>
        <w:pageBreakBefore/>
        <w:numPr>
          <w:ilvl w:val="0"/>
          <w:numId w:val="112"/>
        </w:numPr>
        <w:tabs>
          <w:tab w:val="left" w:pos="284"/>
          <w:tab w:val="left" w:pos="567"/>
          <w:tab w:val="left" w:pos="709"/>
        </w:tabs>
        <w:ind w:left="1679" w:hanging="1537" w:firstLineChars="0"/>
        <w:jc w:val="left"/>
        <w:rPr>
          <w:rFonts w:ascii="黑体" w:hAnsi="黑体" w:eastAsia="黑体"/>
          <w:b/>
          <w:bCs/>
        </w:rPr>
      </w:pPr>
      <w:bookmarkStart w:id="75" w:name="_Toc405313961"/>
      <w:bookmarkStart w:id="76" w:name="_Toc391627757"/>
      <w:r>
        <w:rPr>
          <w:rFonts w:hint="eastAsia" w:ascii="黑体" w:hAnsi="黑体" w:eastAsia="黑体"/>
          <w:b/>
          <w:bCs/>
        </w:rPr>
        <w:t>投标函</w:t>
      </w:r>
      <w:bookmarkEnd w:id="75"/>
      <w:bookmarkEnd w:id="76"/>
    </w:p>
    <w:p w14:paraId="0E89C6DE">
      <w:pPr>
        <w:spacing w:before="156" w:beforeLines="50" w:after="156" w:afterLines="50" w:line="360" w:lineRule="auto"/>
        <w:jc w:val="center"/>
        <w:rPr>
          <w:rFonts w:ascii="黑体" w:hAnsi="黑体" w:eastAsia="黑体"/>
          <w:b/>
          <w:spacing w:val="20"/>
          <w:sz w:val="30"/>
          <w:szCs w:val="30"/>
        </w:rPr>
      </w:pPr>
      <w:r>
        <w:rPr>
          <w:rFonts w:hint="eastAsia" w:ascii="黑体" w:hAnsi="黑体" w:eastAsia="黑体"/>
          <w:b/>
          <w:spacing w:val="20"/>
          <w:sz w:val="30"/>
          <w:szCs w:val="30"/>
        </w:rPr>
        <w:t>投标函</w:t>
      </w:r>
    </w:p>
    <w:p w14:paraId="569EFB41">
      <w:pPr>
        <w:spacing w:before="156" w:beforeLines="50" w:after="156" w:afterLines="50" w:line="360" w:lineRule="auto"/>
        <w:rPr>
          <w:rFonts w:ascii="黑体" w:hAnsi="黑体" w:eastAsia="黑体"/>
          <w:b/>
        </w:rPr>
      </w:pPr>
      <w:r>
        <w:rPr>
          <w:rFonts w:hint="eastAsia" w:ascii="黑体" w:hAnsi="黑体" w:eastAsia="黑体"/>
          <w:b/>
        </w:rPr>
        <w:t>致：广东有德招标采购有限公司</w:t>
      </w:r>
    </w:p>
    <w:p w14:paraId="2C19C6D4">
      <w:pPr>
        <w:autoSpaceDE w:val="0"/>
        <w:autoSpaceDN w:val="0"/>
        <w:adjustRightInd w:val="0"/>
        <w:spacing w:line="360" w:lineRule="auto"/>
        <w:ind w:right="26" w:firstLine="420" w:firstLineChars="200"/>
        <w:rPr>
          <w:rFonts w:ascii="黑体" w:hAnsi="黑体" w:eastAsia="黑体"/>
          <w:kern w:val="0"/>
          <w:szCs w:val="21"/>
        </w:rPr>
      </w:pPr>
      <w:r>
        <w:rPr>
          <w:rFonts w:hint="eastAsia" w:ascii="黑体" w:hAnsi="黑体" w:eastAsia="黑体"/>
          <w:bCs/>
          <w:kern w:val="0"/>
          <w:szCs w:val="21"/>
        </w:rPr>
        <w:t>依据贵方</w:t>
      </w:r>
      <w:r>
        <w:rPr>
          <w:rFonts w:ascii="黑体" w:hAnsi="黑体" w:eastAsia="黑体"/>
          <w:bCs/>
          <w:kern w:val="0"/>
          <w:szCs w:val="21"/>
          <w:u w:val="single"/>
        </w:rPr>
        <w:t xml:space="preserve">    </w:t>
      </w:r>
      <w:r>
        <w:rPr>
          <w:rFonts w:hint="eastAsia" w:ascii="黑体" w:hAnsi="黑体" w:eastAsia="黑体"/>
          <w:b/>
          <w:bCs/>
          <w:szCs w:val="21"/>
          <w:u w:val="single"/>
        </w:rPr>
        <w:t>项目名称</w:t>
      </w:r>
      <w:r>
        <w:rPr>
          <w:rFonts w:ascii="黑体" w:hAnsi="黑体" w:eastAsia="黑体"/>
          <w:b/>
          <w:bCs/>
          <w:szCs w:val="21"/>
          <w:u w:val="single"/>
        </w:rPr>
        <w:t xml:space="preserve"> </w:t>
      </w:r>
      <w:r>
        <w:rPr>
          <w:rFonts w:ascii="黑体" w:hAnsi="黑体" w:eastAsia="黑体"/>
          <w:bCs/>
          <w:szCs w:val="21"/>
          <w:u w:val="single"/>
        </w:rPr>
        <w:t xml:space="preserve">    </w:t>
      </w:r>
      <w:r>
        <w:rPr>
          <w:rFonts w:hint="eastAsia" w:ascii="黑体" w:hAnsi="黑体" w:eastAsia="黑体"/>
          <w:bCs/>
          <w:kern w:val="0"/>
          <w:szCs w:val="21"/>
        </w:rPr>
        <w:t>项目</w:t>
      </w:r>
      <w:r>
        <w:rPr>
          <w:rFonts w:hint="eastAsia" w:ascii="黑体" w:hAnsi="黑体" w:eastAsia="黑体"/>
          <w:bCs/>
          <w:szCs w:val="21"/>
          <w:u w:val="single"/>
        </w:rPr>
        <w:t>（</w:t>
      </w:r>
      <w:r>
        <w:rPr>
          <w:rFonts w:hint="eastAsia" w:ascii="黑体" w:hAnsi="黑体" w:eastAsia="黑体"/>
          <w:b/>
          <w:bCs/>
          <w:szCs w:val="21"/>
          <w:u w:val="single"/>
        </w:rPr>
        <w:t>项目编号：</w:t>
      </w:r>
      <w:r>
        <w:rPr>
          <w:rFonts w:ascii="黑体" w:hAnsi="黑体" w:eastAsia="黑体"/>
          <w:bCs/>
          <w:szCs w:val="21"/>
          <w:u w:val="single"/>
        </w:rPr>
        <w:t xml:space="preserve">        )</w:t>
      </w:r>
      <w:r>
        <w:rPr>
          <w:rFonts w:hint="eastAsia" w:ascii="黑体" w:hAnsi="黑体" w:eastAsia="黑体"/>
          <w:bCs/>
          <w:kern w:val="0"/>
          <w:szCs w:val="21"/>
        </w:rPr>
        <w:t>的投标邀请，我方代表</w:t>
      </w:r>
      <w:r>
        <w:rPr>
          <w:rFonts w:ascii="黑体" w:hAnsi="黑体" w:eastAsia="黑体"/>
          <w:bCs/>
          <w:kern w:val="0"/>
          <w:szCs w:val="21"/>
          <w:u w:val="single"/>
        </w:rPr>
        <w:t xml:space="preserve"> </w:t>
      </w:r>
      <w:r>
        <w:rPr>
          <w:rFonts w:hint="eastAsia" w:ascii="黑体" w:hAnsi="黑体" w:eastAsia="黑体"/>
          <w:b/>
          <w:bCs/>
          <w:szCs w:val="21"/>
          <w:u w:val="single"/>
        </w:rPr>
        <w:t>（姓名、职务）</w:t>
      </w:r>
      <w:r>
        <w:rPr>
          <w:rFonts w:ascii="黑体" w:hAnsi="黑体" w:eastAsia="黑体"/>
          <w:bCs/>
          <w:szCs w:val="21"/>
          <w:u w:val="single"/>
        </w:rPr>
        <w:t xml:space="preserve"> </w:t>
      </w:r>
      <w:r>
        <w:rPr>
          <w:rFonts w:hint="eastAsia" w:ascii="黑体" w:hAnsi="黑体" w:eastAsia="黑体"/>
          <w:bCs/>
          <w:kern w:val="0"/>
          <w:szCs w:val="21"/>
        </w:rPr>
        <w:t>经正式授权并代表</w:t>
      </w:r>
      <w:r>
        <w:rPr>
          <w:rFonts w:ascii="黑体" w:hAnsi="黑体" w:eastAsia="黑体"/>
          <w:bCs/>
          <w:kern w:val="0"/>
          <w:szCs w:val="21"/>
          <w:u w:val="single"/>
        </w:rPr>
        <w:t xml:space="preserve"> </w:t>
      </w:r>
      <w:r>
        <w:rPr>
          <w:rFonts w:hint="eastAsia" w:ascii="黑体" w:hAnsi="黑体" w:eastAsia="黑体"/>
          <w:b/>
          <w:bCs/>
          <w:szCs w:val="21"/>
          <w:u w:val="single"/>
        </w:rPr>
        <w:t>（投标人名称）</w:t>
      </w:r>
      <w:r>
        <w:rPr>
          <w:rFonts w:ascii="黑体" w:hAnsi="黑体" w:eastAsia="黑体"/>
          <w:bCs/>
          <w:szCs w:val="21"/>
          <w:u w:val="single"/>
        </w:rPr>
        <w:t xml:space="preserve"> </w:t>
      </w:r>
      <w:r>
        <w:rPr>
          <w:rFonts w:hint="eastAsia" w:ascii="黑体" w:hAnsi="黑体" w:eastAsia="黑体"/>
          <w:bCs/>
          <w:szCs w:val="21"/>
        </w:rPr>
        <w:t>提交唱标信封一份、</w:t>
      </w:r>
      <w:r>
        <w:rPr>
          <w:rFonts w:hint="eastAsia" w:ascii="黑体" w:hAnsi="黑体" w:eastAsia="黑体"/>
          <w:bCs/>
          <w:kern w:val="0"/>
          <w:szCs w:val="21"/>
        </w:rPr>
        <w:t>投标文件</w:t>
      </w:r>
      <w:r>
        <w:rPr>
          <w:rFonts w:ascii="黑体" w:hAnsi="黑体" w:eastAsia="黑体"/>
          <w:bCs/>
          <w:kern w:val="0"/>
          <w:szCs w:val="21"/>
        </w:rPr>
        <w:t>正本一份，副本</w:t>
      </w:r>
      <w:r>
        <w:rPr>
          <w:rFonts w:ascii="黑体" w:hAnsi="黑体" w:eastAsia="黑体"/>
          <w:bCs/>
          <w:kern w:val="0"/>
          <w:szCs w:val="21"/>
          <w:u w:val="single"/>
        </w:rPr>
        <w:t xml:space="preserve"> （</w:t>
      </w:r>
      <w:r>
        <w:rPr>
          <w:rFonts w:hint="eastAsia" w:ascii="黑体" w:hAnsi="黑体" w:eastAsia="黑体"/>
          <w:b/>
          <w:bCs/>
          <w:kern w:val="0"/>
          <w:szCs w:val="21"/>
          <w:u w:val="single"/>
        </w:rPr>
        <w:t>详见投标人须知前附表</w:t>
      </w:r>
      <w:r>
        <w:rPr>
          <w:rFonts w:ascii="黑体" w:hAnsi="黑体" w:eastAsia="黑体"/>
          <w:b/>
          <w:bCs/>
          <w:kern w:val="0"/>
          <w:szCs w:val="21"/>
          <w:u w:val="single"/>
        </w:rPr>
        <w:t xml:space="preserve">） </w:t>
      </w:r>
      <w:r>
        <w:rPr>
          <w:rFonts w:ascii="黑体" w:hAnsi="黑体" w:eastAsia="黑体"/>
          <w:bCs/>
          <w:kern w:val="0"/>
          <w:szCs w:val="21"/>
          <w:u w:val="single"/>
        </w:rPr>
        <w:t xml:space="preserve"> </w:t>
      </w:r>
      <w:r>
        <w:rPr>
          <w:rFonts w:hint="eastAsia" w:ascii="黑体" w:hAnsi="黑体" w:eastAsia="黑体"/>
          <w:bCs/>
          <w:kern w:val="0"/>
          <w:szCs w:val="21"/>
        </w:rPr>
        <w:t>份。</w:t>
      </w:r>
    </w:p>
    <w:p w14:paraId="73ED812A">
      <w:pPr>
        <w:autoSpaceDE w:val="0"/>
        <w:autoSpaceDN w:val="0"/>
        <w:adjustRightInd w:val="0"/>
        <w:spacing w:line="360" w:lineRule="auto"/>
        <w:ind w:right="246"/>
        <w:rPr>
          <w:rFonts w:ascii="黑体" w:hAnsi="黑体" w:eastAsia="黑体"/>
          <w:kern w:val="0"/>
          <w:szCs w:val="21"/>
        </w:rPr>
      </w:pPr>
      <w:r>
        <w:rPr>
          <w:rFonts w:hint="eastAsia" w:ascii="黑体" w:hAnsi="黑体" w:eastAsia="黑体"/>
          <w:kern w:val="0"/>
          <w:szCs w:val="21"/>
        </w:rPr>
        <w:t>在此，我方声明如下：</w:t>
      </w:r>
    </w:p>
    <w:p w14:paraId="0D6598CE">
      <w:pPr>
        <w:pStyle w:val="29"/>
        <w:numPr>
          <w:ilvl w:val="0"/>
          <w:numId w:val="118"/>
        </w:numPr>
        <w:spacing w:line="360" w:lineRule="auto"/>
        <w:ind w:firstLineChars="0"/>
        <w:rPr>
          <w:rFonts w:ascii="黑体" w:hAnsi="黑体" w:eastAsia="黑体"/>
          <w:szCs w:val="21"/>
        </w:rPr>
      </w:pPr>
      <w:r>
        <w:rPr>
          <w:rFonts w:hint="eastAsia" w:ascii="黑体" w:hAnsi="黑体" w:eastAsia="黑体"/>
          <w:spacing w:val="-6"/>
          <w:szCs w:val="21"/>
        </w:rPr>
        <w:t>同意并接受招标文件的各项要求，遵守招标文件中的各项规定，按招标文件的要求提供报价</w:t>
      </w:r>
      <w:r>
        <w:rPr>
          <w:rFonts w:hint="eastAsia" w:ascii="黑体" w:hAnsi="黑体" w:eastAsia="黑体"/>
          <w:szCs w:val="21"/>
        </w:rPr>
        <w:t>。</w:t>
      </w:r>
    </w:p>
    <w:p w14:paraId="0DA3DBEC">
      <w:pPr>
        <w:pStyle w:val="29"/>
        <w:numPr>
          <w:ilvl w:val="0"/>
          <w:numId w:val="118"/>
        </w:numPr>
        <w:spacing w:line="360" w:lineRule="auto"/>
        <w:ind w:firstLineChars="0"/>
        <w:rPr>
          <w:rFonts w:ascii="黑体" w:hAnsi="黑体" w:eastAsia="黑体"/>
          <w:szCs w:val="21"/>
        </w:rPr>
      </w:pPr>
      <w:r>
        <w:rPr>
          <w:rFonts w:hint="eastAsia" w:ascii="黑体" w:hAnsi="黑体" w:eastAsia="黑体"/>
          <w:szCs w:val="21"/>
        </w:rPr>
        <w:t>投标有效期为递交投标文件截止日起</w:t>
      </w:r>
      <w:r>
        <w:rPr>
          <w:rFonts w:hint="eastAsia" w:ascii="黑体" w:hAnsi="黑体" w:eastAsia="黑体"/>
          <w:szCs w:val="21"/>
          <w:u w:val="single"/>
        </w:rPr>
        <w:t xml:space="preserve"> </w:t>
      </w:r>
      <w:r>
        <w:rPr>
          <w:rFonts w:ascii="黑体" w:hAnsi="黑体" w:eastAsia="黑体"/>
          <w:szCs w:val="21"/>
          <w:u w:val="single"/>
        </w:rPr>
        <w:t>90</w:t>
      </w:r>
      <w:r>
        <w:rPr>
          <w:rFonts w:hint="eastAsia" w:ascii="黑体" w:hAnsi="黑体" w:eastAsia="黑体"/>
          <w:szCs w:val="21"/>
          <w:u w:val="single"/>
        </w:rPr>
        <w:t xml:space="preserve"> </w:t>
      </w:r>
      <w:r>
        <w:rPr>
          <w:rFonts w:hint="eastAsia" w:ascii="黑体" w:hAnsi="黑体" w:eastAsia="黑体"/>
          <w:szCs w:val="21"/>
        </w:rPr>
        <w:t>天，如中标，有效期将延至合同终止日为止。</w:t>
      </w:r>
    </w:p>
    <w:p w14:paraId="6238B257">
      <w:pPr>
        <w:pStyle w:val="29"/>
        <w:numPr>
          <w:ilvl w:val="0"/>
          <w:numId w:val="118"/>
        </w:numPr>
        <w:spacing w:line="360" w:lineRule="auto"/>
        <w:ind w:firstLineChars="0"/>
        <w:rPr>
          <w:rFonts w:ascii="黑体" w:hAnsi="黑体" w:eastAsia="黑体"/>
          <w:szCs w:val="21"/>
        </w:rPr>
      </w:pPr>
      <w:r>
        <w:rPr>
          <w:rFonts w:hint="eastAsia" w:ascii="黑体" w:hAnsi="黑体" w:eastAsia="黑体"/>
          <w:szCs w:val="21"/>
        </w:rPr>
        <w:t>我方已经详细地阅读了全部招标文件及其附件，</w:t>
      </w:r>
      <w:bookmarkStart w:id="77" w:name="_Hlk90989655"/>
      <w:r>
        <w:rPr>
          <w:rFonts w:hint="eastAsia" w:ascii="黑体" w:hAnsi="黑体" w:eastAsia="黑体"/>
          <w:szCs w:val="21"/>
        </w:rPr>
        <w:t>包括澄清及参考文件</w:t>
      </w:r>
      <w:r>
        <w:rPr>
          <w:rFonts w:ascii="黑体" w:hAnsi="黑体" w:eastAsia="黑体"/>
          <w:szCs w:val="21"/>
        </w:rPr>
        <w:t>(如有)。我方已完全清晰理解招标文件的要求，不存在任何含糊不清和误解之处，同意放弃对这些文件所提出的</w:t>
      </w:r>
      <w:r>
        <w:rPr>
          <w:rFonts w:hint="eastAsia" w:ascii="黑体" w:hAnsi="黑体" w:eastAsia="黑体"/>
          <w:szCs w:val="21"/>
        </w:rPr>
        <w:t>询问</w:t>
      </w:r>
      <w:r>
        <w:rPr>
          <w:rFonts w:ascii="黑体" w:hAnsi="黑体" w:eastAsia="黑体"/>
          <w:szCs w:val="21"/>
        </w:rPr>
        <w:t>和质疑的权利。</w:t>
      </w:r>
      <w:bookmarkEnd w:id="77"/>
    </w:p>
    <w:p w14:paraId="341EA9FE">
      <w:pPr>
        <w:pStyle w:val="29"/>
        <w:numPr>
          <w:ilvl w:val="0"/>
          <w:numId w:val="118"/>
        </w:numPr>
        <w:spacing w:line="360" w:lineRule="auto"/>
        <w:ind w:firstLineChars="0"/>
        <w:rPr>
          <w:rFonts w:ascii="黑体" w:hAnsi="黑体" w:eastAsia="黑体"/>
          <w:szCs w:val="21"/>
        </w:rPr>
      </w:pPr>
      <w:r>
        <w:rPr>
          <w:rFonts w:hint="eastAsia" w:ascii="黑体" w:hAnsi="黑体" w:eastAsia="黑体"/>
          <w:szCs w:val="21"/>
        </w:rPr>
        <w:t>我方已毫无保留地向贵方提供一切所需的证明材料。</w:t>
      </w:r>
    </w:p>
    <w:p w14:paraId="176C4ED1">
      <w:pPr>
        <w:pStyle w:val="29"/>
        <w:numPr>
          <w:ilvl w:val="0"/>
          <w:numId w:val="118"/>
        </w:numPr>
        <w:spacing w:line="360" w:lineRule="auto"/>
        <w:ind w:firstLineChars="0"/>
        <w:rPr>
          <w:rFonts w:ascii="黑体" w:hAnsi="黑体" w:eastAsia="黑体"/>
          <w:szCs w:val="21"/>
        </w:rPr>
      </w:pPr>
      <w:r>
        <w:rPr>
          <w:rFonts w:hint="eastAsia" w:ascii="黑体" w:hAnsi="黑体" w:eastAsia="黑体"/>
          <w:szCs w:val="21"/>
        </w:rPr>
        <w:t>我方承诺在本次投标文件中提供的一切文件，无论是原件还是复印件均为真实和准确的，绝无任何虚假、伪造和夸大的成份，否则，愿承担相应的后果和法律责任。</w:t>
      </w:r>
    </w:p>
    <w:p w14:paraId="31185DBA">
      <w:pPr>
        <w:pStyle w:val="29"/>
        <w:numPr>
          <w:ilvl w:val="0"/>
          <w:numId w:val="118"/>
        </w:numPr>
        <w:spacing w:line="360" w:lineRule="auto"/>
        <w:ind w:firstLineChars="0"/>
        <w:rPr>
          <w:rFonts w:ascii="黑体" w:hAnsi="黑体" w:eastAsia="黑体"/>
          <w:szCs w:val="21"/>
        </w:rPr>
      </w:pPr>
      <w:r>
        <w:rPr>
          <w:rFonts w:hint="eastAsia" w:ascii="黑体" w:hAnsi="黑体" w:eastAsia="黑体"/>
          <w:szCs w:val="21"/>
        </w:rPr>
        <w:t>我方完全服从和尊重评委会所作的评定结果，同时清楚理解到报价最低并非意味着必定获得中标资格。</w:t>
      </w:r>
    </w:p>
    <w:p w14:paraId="0ED06C16">
      <w:pPr>
        <w:pStyle w:val="29"/>
        <w:numPr>
          <w:ilvl w:val="0"/>
          <w:numId w:val="118"/>
        </w:numPr>
        <w:spacing w:line="360" w:lineRule="auto"/>
        <w:ind w:firstLineChars="0"/>
        <w:rPr>
          <w:rFonts w:ascii="黑体" w:hAnsi="黑体" w:eastAsia="黑体"/>
          <w:szCs w:val="21"/>
        </w:rPr>
      </w:pPr>
      <w:r>
        <w:rPr>
          <w:rFonts w:hint="eastAsia" w:ascii="黑体" w:hAnsi="黑体" w:eastAsia="黑体"/>
          <w:szCs w:val="21"/>
        </w:rPr>
        <w:t>我方同意按招标文件规定向采购代理机构缴纳中标服务费。</w:t>
      </w:r>
    </w:p>
    <w:p w14:paraId="45475E4F">
      <w:pPr>
        <w:pStyle w:val="29"/>
        <w:numPr>
          <w:ilvl w:val="0"/>
          <w:numId w:val="118"/>
        </w:numPr>
        <w:tabs>
          <w:tab w:val="left" w:pos="567"/>
          <w:tab w:val="left" w:pos="709"/>
        </w:tabs>
        <w:spacing w:after="312" w:afterLines="100" w:line="360" w:lineRule="auto"/>
        <w:ind w:firstLineChars="0"/>
        <w:rPr>
          <w:rFonts w:ascii="黑体" w:hAnsi="黑体" w:eastAsia="黑体"/>
          <w:szCs w:val="21"/>
        </w:rPr>
      </w:pPr>
      <w:r>
        <w:rPr>
          <w:rFonts w:ascii="黑体" w:hAnsi="黑体" w:eastAsia="黑体"/>
          <w:szCs w:val="21"/>
        </w:rPr>
        <w:t>所有与本招标有关的函件请发往下列地址：</w:t>
      </w:r>
    </w:p>
    <w:tbl>
      <w:tblPr>
        <w:tblStyle w:val="2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83"/>
        <w:gridCol w:w="4384"/>
      </w:tblGrid>
      <w:tr w14:paraId="04CCB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14:paraId="00AAA373">
            <w:pPr>
              <w:spacing w:before="156" w:beforeLines="50" w:line="360" w:lineRule="auto"/>
              <w:rPr>
                <w:rFonts w:ascii="黑体" w:hAnsi="黑体" w:eastAsia="黑体"/>
                <w:szCs w:val="21"/>
              </w:rPr>
            </w:pPr>
            <w:r>
              <w:rPr>
                <w:rFonts w:hint="eastAsia" w:ascii="黑体" w:hAnsi="黑体" w:eastAsia="黑体"/>
                <w:szCs w:val="21"/>
              </w:rPr>
              <w:t>投标人地址：</w:t>
            </w:r>
            <w:r>
              <w:rPr>
                <w:rFonts w:ascii="黑体" w:hAnsi="黑体" w:eastAsia="黑体"/>
                <w:szCs w:val="21"/>
                <w:u w:val="single"/>
              </w:rPr>
              <w:t xml:space="preserve">                          </w:t>
            </w:r>
          </w:p>
        </w:tc>
        <w:tc>
          <w:tcPr>
            <w:tcW w:w="2500" w:type="pct"/>
          </w:tcPr>
          <w:p w14:paraId="2D4D2D39">
            <w:pPr>
              <w:spacing w:before="156" w:beforeLines="50" w:line="360" w:lineRule="auto"/>
              <w:rPr>
                <w:rFonts w:ascii="黑体" w:hAnsi="黑体" w:eastAsia="黑体"/>
                <w:szCs w:val="21"/>
              </w:rPr>
            </w:pPr>
            <w:r>
              <w:rPr>
                <w:rFonts w:hint="eastAsia" w:ascii="黑体" w:hAnsi="黑体" w:eastAsia="黑体"/>
                <w:szCs w:val="21"/>
              </w:rPr>
              <w:t>邮编：</w:t>
            </w:r>
            <w:r>
              <w:rPr>
                <w:rFonts w:ascii="黑体" w:hAnsi="黑体" w:eastAsia="黑体"/>
                <w:szCs w:val="21"/>
                <w:u w:val="single"/>
              </w:rPr>
              <w:t xml:space="preserve">                                </w:t>
            </w:r>
          </w:p>
        </w:tc>
      </w:tr>
      <w:tr w14:paraId="2EFB6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14:paraId="3BB9163E">
            <w:pPr>
              <w:spacing w:line="360" w:lineRule="auto"/>
              <w:rPr>
                <w:rFonts w:ascii="黑体" w:hAnsi="黑体" w:eastAsia="黑体"/>
                <w:szCs w:val="21"/>
              </w:rPr>
            </w:pPr>
            <w:r>
              <w:rPr>
                <w:rFonts w:hint="eastAsia" w:ascii="黑体" w:hAnsi="黑体" w:eastAsia="黑体"/>
                <w:szCs w:val="21"/>
              </w:rPr>
              <w:t>联系电话：</w:t>
            </w:r>
            <w:r>
              <w:rPr>
                <w:rFonts w:ascii="黑体" w:hAnsi="黑体" w:eastAsia="黑体"/>
                <w:szCs w:val="21"/>
                <w:u w:val="single"/>
              </w:rPr>
              <w:t xml:space="preserve">                            </w:t>
            </w:r>
          </w:p>
        </w:tc>
        <w:tc>
          <w:tcPr>
            <w:tcW w:w="2500" w:type="pct"/>
          </w:tcPr>
          <w:p w14:paraId="469721E0">
            <w:pPr>
              <w:spacing w:line="360" w:lineRule="auto"/>
              <w:rPr>
                <w:rFonts w:ascii="黑体" w:hAnsi="黑体" w:eastAsia="黑体"/>
                <w:szCs w:val="21"/>
              </w:rPr>
            </w:pPr>
            <w:r>
              <w:rPr>
                <w:rFonts w:hint="eastAsia" w:ascii="黑体" w:hAnsi="黑体" w:eastAsia="黑体"/>
                <w:szCs w:val="21"/>
              </w:rPr>
              <w:t>传真：</w:t>
            </w:r>
            <w:r>
              <w:rPr>
                <w:rFonts w:ascii="黑体" w:hAnsi="黑体" w:eastAsia="黑体"/>
                <w:szCs w:val="21"/>
                <w:u w:val="single"/>
              </w:rPr>
              <w:t xml:space="preserve">                                </w:t>
            </w:r>
          </w:p>
        </w:tc>
      </w:tr>
      <w:tr w14:paraId="593B7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14:paraId="7E77F089">
            <w:pPr>
              <w:spacing w:line="360" w:lineRule="auto"/>
              <w:rPr>
                <w:rFonts w:ascii="黑体" w:hAnsi="黑体" w:eastAsia="黑体"/>
                <w:szCs w:val="21"/>
              </w:rPr>
            </w:pPr>
            <w:r>
              <w:rPr>
                <w:rFonts w:hint="eastAsia" w:ascii="黑体" w:hAnsi="黑体" w:eastAsia="黑体"/>
                <w:szCs w:val="21"/>
              </w:rPr>
              <w:t>项目联系人：</w:t>
            </w:r>
            <w:r>
              <w:rPr>
                <w:rFonts w:ascii="黑体" w:hAnsi="黑体" w:eastAsia="黑体"/>
                <w:szCs w:val="21"/>
                <w:u w:val="single"/>
              </w:rPr>
              <w:t xml:space="preserve">                          </w:t>
            </w:r>
          </w:p>
        </w:tc>
        <w:tc>
          <w:tcPr>
            <w:tcW w:w="2500" w:type="pct"/>
          </w:tcPr>
          <w:p w14:paraId="5A53BB0B">
            <w:pPr>
              <w:spacing w:line="360" w:lineRule="auto"/>
              <w:rPr>
                <w:rFonts w:ascii="黑体" w:hAnsi="黑体" w:eastAsia="黑体"/>
                <w:szCs w:val="21"/>
              </w:rPr>
            </w:pPr>
            <w:r>
              <w:rPr>
                <w:rFonts w:hint="eastAsia" w:ascii="黑体" w:hAnsi="黑体" w:eastAsia="黑体"/>
                <w:szCs w:val="21"/>
              </w:rPr>
              <w:t>手机：</w:t>
            </w:r>
            <w:r>
              <w:rPr>
                <w:rFonts w:ascii="黑体" w:hAnsi="黑体" w:eastAsia="黑体"/>
                <w:szCs w:val="21"/>
                <w:u w:val="single"/>
              </w:rPr>
              <w:t xml:space="preserve">                                </w:t>
            </w:r>
          </w:p>
        </w:tc>
      </w:tr>
      <w:tr w14:paraId="56FE3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5970C9E5">
            <w:pPr>
              <w:spacing w:line="360" w:lineRule="auto"/>
              <w:rPr>
                <w:rFonts w:ascii="黑体" w:hAnsi="黑体" w:eastAsia="黑体"/>
                <w:szCs w:val="21"/>
              </w:rPr>
            </w:pPr>
            <w:r>
              <w:rPr>
                <w:rFonts w:hint="eastAsia" w:ascii="黑体" w:hAnsi="黑体" w:eastAsia="黑体"/>
                <w:szCs w:val="21"/>
              </w:rPr>
              <w:t>投标人名称（加盖公章）：</w:t>
            </w:r>
            <w:r>
              <w:rPr>
                <w:rFonts w:ascii="黑体" w:hAnsi="黑体" w:eastAsia="黑体"/>
                <w:szCs w:val="21"/>
                <w:u w:val="single"/>
              </w:rPr>
              <w:t xml:space="preserve">                                                       </w:t>
            </w:r>
          </w:p>
        </w:tc>
      </w:tr>
      <w:tr w14:paraId="5496D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71152E1C">
            <w:pPr>
              <w:spacing w:line="360" w:lineRule="auto"/>
              <w:jc w:val="left"/>
              <w:rPr>
                <w:rFonts w:ascii="黑体" w:hAnsi="黑体" w:eastAsia="黑体"/>
                <w:szCs w:val="21"/>
              </w:rPr>
            </w:pPr>
            <w:r>
              <w:rPr>
                <w:rFonts w:hint="eastAsia" w:ascii="黑体" w:hAnsi="黑体" w:eastAsia="黑体"/>
                <w:szCs w:val="21"/>
              </w:rPr>
              <w:t>投标人法定代表人或被授权人（签名或盖私章）：</w:t>
            </w:r>
            <w:r>
              <w:rPr>
                <w:rFonts w:ascii="黑体" w:hAnsi="黑体" w:eastAsia="黑体"/>
                <w:szCs w:val="21"/>
                <w:u w:val="single"/>
              </w:rPr>
              <w:t xml:space="preserve">                                   </w:t>
            </w:r>
          </w:p>
        </w:tc>
      </w:tr>
      <w:tr w14:paraId="7B99A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3A2A15F8">
            <w:pPr>
              <w:spacing w:line="360" w:lineRule="auto"/>
              <w:jc w:val="left"/>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w:t>
            </w:r>
            <w:r>
              <w:rPr>
                <w:rFonts w:hint="eastAsia" w:ascii="黑体" w:hAnsi="黑体" w:eastAsia="黑体"/>
                <w:szCs w:val="21"/>
                <w:u w:val="single"/>
              </w:rPr>
              <w:t>年</w:t>
            </w:r>
            <w:r>
              <w:rPr>
                <w:rFonts w:ascii="黑体" w:hAnsi="黑体" w:eastAsia="黑体"/>
                <w:szCs w:val="21"/>
                <w:u w:val="single"/>
              </w:rPr>
              <w:t xml:space="preserve">        </w:t>
            </w:r>
            <w:r>
              <w:rPr>
                <w:rFonts w:hint="eastAsia" w:ascii="黑体" w:hAnsi="黑体" w:eastAsia="黑体"/>
                <w:szCs w:val="21"/>
                <w:u w:val="single"/>
              </w:rPr>
              <w:t>月</w:t>
            </w:r>
            <w:r>
              <w:rPr>
                <w:rFonts w:ascii="黑体" w:hAnsi="黑体" w:eastAsia="黑体"/>
                <w:szCs w:val="21"/>
                <w:u w:val="single"/>
              </w:rPr>
              <w:t xml:space="preserve">         </w:t>
            </w:r>
            <w:r>
              <w:rPr>
                <w:rFonts w:hint="eastAsia" w:ascii="黑体" w:hAnsi="黑体" w:eastAsia="黑体"/>
                <w:szCs w:val="21"/>
                <w:u w:val="single"/>
              </w:rPr>
              <w:t>日</w:t>
            </w:r>
          </w:p>
        </w:tc>
      </w:tr>
    </w:tbl>
    <w:p w14:paraId="6CF4A0C4">
      <w:pPr>
        <w:pStyle w:val="29"/>
        <w:pageBreakBefore/>
        <w:numPr>
          <w:ilvl w:val="0"/>
          <w:numId w:val="112"/>
        </w:numPr>
        <w:tabs>
          <w:tab w:val="left" w:pos="284"/>
          <w:tab w:val="left" w:pos="567"/>
          <w:tab w:val="left" w:pos="709"/>
        </w:tabs>
        <w:ind w:left="1679" w:hanging="1537" w:firstLineChars="0"/>
        <w:jc w:val="left"/>
        <w:rPr>
          <w:rFonts w:ascii="黑体" w:hAnsi="黑体" w:eastAsia="黑体"/>
          <w:b/>
          <w:bCs/>
        </w:rPr>
      </w:pPr>
      <w:bookmarkStart w:id="78" w:name="_Toc405313969"/>
      <w:bookmarkStart w:id="79" w:name="_Toc391627764"/>
      <w:bookmarkStart w:id="80" w:name="_Toc75734373"/>
      <w:bookmarkStart w:id="81" w:name="_Toc405313962"/>
      <w:bookmarkStart w:id="82" w:name="_Toc391627758"/>
      <w:r>
        <w:rPr>
          <w:rFonts w:hint="eastAsia" w:ascii="黑体" w:hAnsi="黑体" w:eastAsia="黑体"/>
          <w:b/>
          <w:bCs/>
        </w:rPr>
        <w:t>资格</w:t>
      </w:r>
      <w:bookmarkEnd w:id="78"/>
      <w:bookmarkEnd w:id="79"/>
      <w:r>
        <w:rPr>
          <w:rFonts w:hint="eastAsia" w:ascii="黑体" w:hAnsi="黑体" w:eastAsia="黑体"/>
          <w:b/>
          <w:bCs/>
        </w:rPr>
        <w:t>声明函</w:t>
      </w:r>
      <w:bookmarkEnd w:id="80"/>
    </w:p>
    <w:p w14:paraId="7FC86062">
      <w:pPr>
        <w:spacing w:before="156" w:beforeLines="50" w:after="312" w:afterLines="100" w:line="360" w:lineRule="auto"/>
        <w:jc w:val="center"/>
        <w:rPr>
          <w:rFonts w:ascii="黑体" w:hAnsi="黑体" w:eastAsia="黑体"/>
          <w:b/>
          <w:color w:val="000000" w:themeColor="text1"/>
          <w:spacing w:val="20"/>
          <w:sz w:val="30"/>
          <w:szCs w:val="30"/>
          <w14:textFill>
            <w14:solidFill>
              <w14:schemeClr w14:val="tx1"/>
            </w14:solidFill>
          </w14:textFill>
        </w:rPr>
      </w:pPr>
      <w:bookmarkStart w:id="83" w:name="_Hlk81177964"/>
      <w:r>
        <w:rPr>
          <w:rFonts w:hint="eastAsia" w:ascii="黑体" w:hAnsi="黑体" w:eastAsia="黑体"/>
          <w:b/>
          <w:color w:val="000000" w:themeColor="text1"/>
          <w:spacing w:val="20"/>
          <w:sz w:val="30"/>
          <w:szCs w:val="30"/>
          <w14:textFill>
            <w14:solidFill>
              <w14:schemeClr w14:val="tx1"/>
            </w14:solidFill>
          </w14:textFill>
        </w:rPr>
        <w:t>资格声明函</w:t>
      </w:r>
    </w:p>
    <w:bookmarkEnd w:id="83"/>
    <w:p w14:paraId="45268012">
      <w:pPr>
        <w:adjustRightInd w:val="0"/>
        <w:snapToGrid w:val="0"/>
        <w:spacing w:after="156" w:afterLines="50" w:line="360" w:lineRule="auto"/>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广东有德招标采购有限公司：</w:t>
      </w:r>
    </w:p>
    <w:p w14:paraId="710BFEBD">
      <w:pPr>
        <w:adjustRightInd w:val="0"/>
        <w:snapToGrid w:val="0"/>
        <w:spacing w:line="360" w:lineRule="auto"/>
        <w:ind w:firstLine="424" w:firstLineChars="202"/>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 xml:space="preserve">关于贵公司 </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年</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月</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日发布</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项目（项目编号：</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）的采购公告，本单位愿意参加投标，并声明：</w:t>
      </w:r>
    </w:p>
    <w:p w14:paraId="3840B6F9">
      <w:pPr>
        <w:pStyle w:val="29"/>
        <w:widowControl/>
        <w:numPr>
          <w:ilvl w:val="0"/>
          <w:numId w:val="119"/>
        </w:numPr>
        <w:adjustRightInd w:val="0"/>
        <w:snapToGrid w:val="0"/>
        <w:spacing w:line="360" w:lineRule="auto"/>
        <w:ind w:firstLineChars="0"/>
        <w:rPr>
          <w:rFonts w:ascii="黑体" w:hAnsi="黑体" w:eastAsia="黑体" w:cs="宋体"/>
          <w:kern w:val="0"/>
          <w:szCs w:val="21"/>
        </w:rPr>
      </w:pPr>
      <w:r>
        <w:rPr>
          <w:rFonts w:hint="eastAsia" w:ascii="黑体" w:hAnsi="黑体" w:eastAsia="黑体" w:cs="宋体"/>
          <w:kern w:val="0"/>
          <w:szCs w:val="21"/>
        </w:rPr>
        <w:t>本单位具有依法缴纳税收和社会保障资金的良好记录。</w:t>
      </w:r>
    </w:p>
    <w:p w14:paraId="25B83C9C">
      <w:pPr>
        <w:pStyle w:val="29"/>
        <w:widowControl/>
        <w:numPr>
          <w:ilvl w:val="0"/>
          <w:numId w:val="119"/>
        </w:numPr>
        <w:adjustRightInd w:val="0"/>
        <w:snapToGrid w:val="0"/>
        <w:spacing w:line="360" w:lineRule="auto"/>
        <w:ind w:firstLineChars="0"/>
        <w:rPr>
          <w:rFonts w:ascii="黑体" w:hAnsi="黑体" w:eastAsia="黑体" w:cs="宋体"/>
          <w:kern w:val="0"/>
          <w:szCs w:val="21"/>
        </w:rPr>
      </w:pPr>
      <w:r>
        <w:rPr>
          <w:rFonts w:hint="eastAsia" w:ascii="黑体" w:hAnsi="黑体" w:eastAsia="黑体" w:cs="宋体"/>
          <w:kern w:val="0"/>
          <w:szCs w:val="21"/>
        </w:rPr>
        <w:t>本单位具有良好的商业信誉和健全的财务会计制度。</w:t>
      </w:r>
    </w:p>
    <w:p w14:paraId="248BEC9F">
      <w:pPr>
        <w:pStyle w:val="29"/>
        <w:widowControl/>
        <w:numPr>
          <w:ilvl w:val="0"/>
          <w:numId w:val="119"/>
        </w:numPr>
        <w:adjustRightInd w:val="0"/>
        <w:snapToGrid w:val="0"/>
        <w:spacing w:line="360" w:lineRule="auto"/>
        <w:ind w:firstLineChars="0"/>
        <w:rPr>
          <w:rFonts w:ascii="黑体" w:hAnsi="黑体" w:eastAsia="黑体" w:cs="宋体"/>
          <w:color w:val="auto"/>
          <w:kern w:val="0"/>
          <w:szCs w:val="21"/>
        </w:rPr>
      </w:pPr>
      <w:r>
        <w:rPr>
          <w:rFonts w:hint="eastAsia" w:ascii="黑体" w:hAnsi="黑体" w:eastAsia="黑体" w:cs="宋体"/>
          <w:color w:val="auto"/>
          <w:kern w:val="0"/>
          <w:szCs w:val="21"/>
        </w:rPr>
        <w:t>本单位具有履行合同所必需的设备和专业技术能力。</w:t>
      </w:r>
    </w:p>
    <w:p w14:paraId="7849ADC5">
      <w:pPr>
        <w:pStyle w:val="29"/>
        <w:widowControl/>
        <w:numPr>
          <w:ilvl w:val="0"/>
          <w:numId w:val="119"/>
        </w:numPr>
        <w:adjustRightInd w:val="0"/>
        <w:snapToGrid w:val="0"/>
        <w:spacing w:line="360" w:lineRule="auto"/>
        <w:ind w:firstLineChars="0"/>
        <w:rPr>
          <w:rFonts w:ascii="黑体" w:hAnsi="黑体" w:eastAsia="黑体" w:cs="宋体"/>
          <w:color w:val="auto"/>
          <w:kern w:val="0"/>
          <w:szCs w:val="21"/>
        </w:rPr>
      </w:pPr>
      <w:r>
        <w:rPr>
          <w:rFonts w:hint="eastAsia" w:ascii="黑体" w:hAnsi="黑体" w:eastAsia="黑体" w:cs="宋体"/>
          <w:color w:val="auto"/>
          <w:kern w:val="0"/>
          <w:szCs w:val="21"/>
        </w:rPr>
        <w:t>本单位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3D4A62A0">
      <w:pPr>
        <w:pStyle w:val="29"/>
        <w:widowControl/>
        <w:numPr>
          <w:ilvl w:val="0"/>
          <w:numId w:val="119"/>
        </w:numPr>
        <w:adjustRightInd w:val="0"/>
        <w:snapToGrid w:val="0"/>
        <w:spacing w:line="360" w:lineRule="auto"/>
        <w:ind w:firstLineChars="0"/>
        <w:rPr>
          <w:rFonts w:ascii="黑体" w:hAnsi="黑体" w:eastAsia="黑体" w:cs="宋体"/>
          <w:color w:val="auto"/>
          <w:kern w:val="0"/>
          <w:szCs w:val="21"/>
        </w:rPr>
      </w:pPr>
      <w:r>
        <w:rPr>
          <w:rFonts w:hint="eastAsia" w:ascii="黑体" w:hAnsi="黑体" w:eastAsia="黑体" w:cs="宋体"/>
          <w:color w:val="auto"/>
          <w:kern w:val="0"/>
          <w:szCs w:val="21"/>
        </w:rPr>
        <w:t>本单位具备法律、行政法规规定的其他条件。</w:t>
      </w:r>
    </w:p>
    <w:p w14:paraId="2FF49A68">
      <w:pPr>
        <w:pStyle w:val="29"/>
        <w:widowControl/>
        <w:numPr>
          <w:ilvl w:val="0"/>
          <w:numId w:val="119"/>
        </w:numPr>
        <w:adjustRightInd w:val="0"/>
        <w:snapToGrid w:val="0"/>
        <w:spacing w:line="360" w:lineRule="auto"/>
        <w:ind w:firstLineChars="0"/>
        <w:rPr>
          <w:rFonts w:ascii="黑体" w:hAnsi="黑体" w:eastAsia="黑体" w:cs="宋体"/>
          <w:kern w:val="0"/>
          <w:szCs w:val="21"/>
        </w:rPr>
      </w:pPr>
      <w:r>
        <w:rPr>
          <w:rFonts w:hint="eastAsia" w:ascii="黑体" w:hAnsi="黑体" w:eastAsia="黑体" w:cs="宋体"/>
          <w:color w:val="auto"/>
          <w:kern w:val="0"/>
          <w:szCs w:val="21"/>
        </w:rPr>
        <w:t>本单位承诺单位负责人为同一人或者存在直接控股、管理关系的不同供应商，不得同时参加本采购项目（或采购包）投标</w:t>
      </w:r>
      <w:r>
        <w:rPr>
          <w:rFonts w:hint="eastAsia" w:ascii="黑体" w:hAnsi="黑体" w:eastAsia="黑体" w:cs="宋体"/>
          <w:kern w:val="0"/>
          <w:szCs w:val="21"/>
        </w:rPr>
        <w:t>。</w:t>
      </w:r>
    </w:p>
    <w:p w14:paraId="4D03BCD4">
      <w:pPr>
        <w:pStyle w:val="29"/>
        <w:widowControl/>
        <w:numPr>
          <w:ilvl w:val="0"/>
          <w:numId w:val="119"/>
        </w:numPr>
        <w:adjustRightInd w:val="0"/>
        <w:snapToGrid w:val="0"/>
        <w:spacing w:line="360" w:lineRule="auto"/>
        <w:ind w:firstLineChars="0"/>
        <w:rPr>
          <w:rFonts w:ascii="黑体" w:hAnsi="黑体" w:eastAsia="黑体" w:cs="宋体"/>
          <w:kern w:val="0"/>
          <w:szCs w:val="21"/>
        </w:rPr>
      </w:pPr>
      <w:r>
        <w:rPr>
          <w:rFonts w:hint="eastAsia" w:ascii="黑体" w:hAnsi="黑体" w:eastAsia="黑体" w:cs="宋体"/>
          <w:kern w:val="0"/>
          <w:szCs w:val="21"/>
        </w:rPr>
        <w:t>本单位承诺为本项目提供整体设计、规范编制或者项目管理、监理、检测等服务的供应商，不得再参与本项目投标。</w:t>
      </w:r>
    </w:p>
    <w:p w14:paraId="4EA7566D">
      <w:pPr>
        <w:adjustRightInd w:val="0"/>
        <w:snapToGrid w:val="0"/>
        <w:spacing w:line="360" w:lineRule="auto"/>
        <w:ind w:firstLine="424" w:firstLineChars="202"/>
        <w:rPr>
          <w:rFonts w:ascii="黑体" w:hAnsi="黑体" w:eastAsia="黑体"/>
          <w:szCs w:val="21"/>
        </w:rPr>
      </w:pPr>
      <w:r>
        <w:rPr>
          <w:rFonts w:hint="eastAsia" w:ascii="黑体" w:hAnsi="黑体" w:eastAsia="黑体"/>
          <w:szCs w:val="21"/>
        </w:rPr>
        <w:t>本单位承诺在本次招标采购活动中，如有违法、违规、弄虚作假行为，所造成的损失、不良后果及法律责任，一律由本单位承担。</w:t>
      </w:r>
    </w:p>
    <w:p w14:paraId="04AB67AC">
      <w:pPr>
        <w:adjustRightInd w:val="0"/>
        <w:snapToGrid w:val="0"/>
        <w:spacing w:before="156" w:beforeLines="50" w:line="360" w:lineRule="auto"/>
        <w:ind w:firstLine="42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特此声明！</w:t>
      </w:r>
    </w:p>
    <w:p w14:paraId="3EB4DD51">
      <w:pPr>
        <w:tabs>
          <w:tab w:val="left" w:pos="851"/>
        </w:tabs>
        <w:adjustRightInd w:val="0"/>
        <w:snapToGrid w:val="0"/>
        <w:spacing w:before="312" w:beforeLines="100" w:line="360" w:lineRule="auto"/>
        <w:ind w:firstLine="42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备注： 1.本声明函必须提供且内容不得擅自删改，否则视为无效投标。</w:t>
      </w:r>
    </w:p>
    <w:p w14:paraId="3B9B503B">
      <w:pPr>
        <w:adjustRightInd w:val="0"/>
        <w:snapToGrid w:val="0"/>
        <w:spacing w:line="360" w:lineRule="auto"/>
        <w:ind w:firstLine="1132" w:firstLineChars="537"/>
        <w:rPr>
          <w:rFonts w:ascii="黑体" w:hAnsi="黑体" w:eastAsia="黑体"/>
          <w:b/>
          <w:color w:val="000000" w:themeColor="text1"/>
          <w:szCs w:val="21"/>
          <w14:textFill>
            <w14:solidFill>
              <w14:schemeClr w14:val="tx1"/>
            </w14:solidFill>
          </w14:textFill>
        </w:rPr>
      </w:pPr>
      <w:r>
        <w:rPr>
          <w:rFonts w:ascii="黑体" w:hAnsi="黑体" w:eastAsia="黑体"/>
          <w:b/>
          <w:color w:val="000000" w:themeColor="text1"/>
          <w:szCs w:val="21"/>
          <w14:textFill>
            <w14:solidFill>
              <w14:schemeClr w14:val="tx1"/>
            </w14:solidFill>
          </w14:textFill>
        </w:rPr>
        <w:t>2</w:t>
      </w:r>
      <w:r>
        <w:rPr>
          <w:rFonts w:hint="eastAsia" w:ascii="黑体" w:hAnsi="黑体" w:eastAsia="黑体"/>
          <w:b/>
          <w:color w:val="000000" w:themeColor="text1"/>
          <w:szCs w:val="21"/>
          <w14:textFill>
            <w14:solidFill>
              <w14:schemeClr w14:val="tx1"/>
            </w14:solidFill>
          </w14:textFill>
        </w:rPr>
        <w:t>.</w:t>
      </w:r>
      <w:r>
        <w:rPr>
          <w:rFonts w:ascii="黑体" w:hAnsi="黑体" w:eastAsia="黑体"/>
          <w:b/>
          <w:color w:val="000000" w:themeColor="text1"/>
          <w:szCs w:val="21"/>
          <w14:textFill>
            <w14:solidFill>
              <w14:schemeClr w14:val="tx1"/>
            </w14:solidFill>
          </w14:textFill>
        </w:rPr>
        <w:t>本</w:t>
      </w:r>
      <w:bookmarkStart w:id="84" w:name="_Hlk20518506"/>
      <w:r>
        <w:rPr>
          <w:rFonts w:ascii="黑体" w:hAnsi="黑体" w:eastAsia="黑体"/>
          <w:b/>
          <w:color w:val="000000" w:themeColor="text1"/>
          <w:szCs w:val="21"/>
          <w14:textFill>
            <w14:solidFill>
              <w14:schemeClr w14:val="tx1"/>
            </w14:solidFill>
          </w14:textFill>
        </w:rPr>
        <w:t>声明</w:t>
      </w:r>
      <w:bookmarkEnd w:id="84"/>
      <w:r>
        <w:rPr>
          <w:rFonts w:ascii="黑体" w:hAnsi="黑体" w:eastAsia="黑体"/>
          <w:b/>
          <w:color w:val="000000" w:themeColor="text1"/>
          <w:szCs w:val="21"/>
          <w14:textFill>
            <w14:solidFill>
              <w14:schemeClr w14:val="tx1"/>
            </w14:solidFill>
          </w14:textFill>
        </w:rPr>
        <w:t>函如有虚假或与事实不符的，作无效投标处理。</w:t>
      </w:r>
    </w:p>
    <w:p w14:paraId="5061BF2D">
      <w:pPr>
        <w:adjustRightInd w:val="0"/>
        <w:snapToGrid w:val="0"/>
        <w:spacing w:after="156" w:afterLines="50" w:line="360" w:lineRule="auto"/>
        <w:jc w:val="left"/>
        <w:rPr>
          <w:rFonts w:ascii="黑体" w:hAnsi="黑体" w:eastAsia="黑体"/>
          <w:b/>
          <w:color w:val="000000" w:themeColor="text1"/>
          <w:szCs w:val="21"/>
          <w14:textFill>
            <w14:solidFill>
              <w14:schemeClr w14:val="tx1"/>
            </w14:solidFill>
          </w14:textFill>
        </w:rPr>
      </w:pPr>
    </w:p>
    <w:p w14:paraId="50EFEFB9">
      <w:pPr>
        <w:adjustRightInd w:val="0"/>
        <w:snapToGrid w:val="0"/>
        <w:spacing w:after="156" w:afterLines="50" w:line="360" w:lineRule="auto"/>
        <w:jc w:val="left"/>
        <w:rPr>
          <w:rFonts w:ascii="黑体" w:hAnsi="黑体" w:eastAsia="黑体"/>
          <w:b/>
          <w:color w:val="000000" w:themeColor="text1"/>
          <w:szCs w:val="21"/>
          <w14:textFill>
            <w14:solidFill>
              <w14:schemeClr w14:val="tx1"/>
            </w14:solidFill>
          </w14:textFill>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370EB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FCC65E6">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投标人名称（加盖公章）：</w:t>
            </w:r>
            <w:r>
              <w:rPr>
                <w:rFonts w:ascii="黑体" w:hAnsi="黑体" w:eastAsia="黑体"/>
                <w:color w:val="000000" w:themeColor="text1"/>
                <w:szCs w:val="21"/>
                <w:u w:val="single"/>
                <w14:textFill>
                  <w14:solidFill>
                    <w14:schemeClr w14:val="tx1"/>
                  </w14:solidFill>
                </w14:textFill>
              </w:rPr>
              <w:t xml:space="preserve">                         </w:t>
            </w:r>
          </w:p>
        </w:tc>
        <w:tc>
          <w:tcPr>
            <w:tcW w:w="3175" w:type="dxa"/>
          </w:tcPr>
          <w:p w14:paraId="7F6DEC49">
            <w:pPr>
              <w:spacing w:line="360" w:lineRule="auto"/>
              <w:rPr>
                <w:rFonts w:ascii="黑体" w:hAnsi="黑体" w:eastAsia="黑体"/>
                <w:color w:val="000000" w:themeColor="text1"/>
                <w:szCs w:val="21"/>
                <w14:textFill>
                  <w14:solidFill>
                    <w14:schemeClr w14:val="tx1"/>
                  </w14:solidFill>
                </w14:textFill>
              </w:rPr>
            </w:pPr>
          </w:p>
        </w:tc>
      </w:tr>
      <w:tr w14:paraId="2E292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4A2FF981">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日期：</w:t>
            </w:r>
            <w:r>
              <w:rPr>
                <w:rFonts w:ascii="黑体" w:hAnsi="黑体" w:eastAsia="黑体"/>
                <w:color w:val="000000" w:themeColor="text1"/>
                <w:szCs w:val="21"/>
                <w:u w:val="single"/>
                <w14:textFill>
                  <w14:solidFill>
                    <w14:schemeClr w14:val="tx1"/>
                  </w14:solidFill>
                </w14:textFill>
              </w:rPr>
              <w:t xml:space="preserve">             年           月            日</w:t>
            </w:r>
          </w:p>
        </w:tc>
        <w:tc>
          <w:tcPr>
            <w:tcW w:w="3175" w:type="dxa"/>
          </w:tcPr>
          <w:p w14:paraId="2D83A3A1">
            <w:pPr>
              <w:spacing w:line="360" w:lineRule="auto"/>
              <w:rPr>
                <w:rFonts w:ascii="黑体" w:hAnsi="黑体" w:eastAsia="黑体"/>
                <w:color w:val="000000" w:themeColor="text1"/>
                <w:szCs w:val="21"/>
                <w14:textFill>
                  <w14:solidFill>
                    <w14:schemeClr w14:val="tx1"/>
                  </w14:solidFill>
                </w14:textFill>
              </w:rPr>
            </w:pPr>
          </w:p>
        </w:tc>
      </w:tr>
    </w:tbl>
    <w:p w14:paraId="51A3C79F">
      <w:pPr>
        <w:pStyle w:val="29"/>
        <w:pageBreakBefore/>
        <w:numPr>
          <w:ilvl w:val="0"/>
          <w:numId w:val="112"/>
        </w:numPr>
        <w:tabs>
          <w:tab w:val="left" w:pos="284"/>
          <w:tab w:val="left" w:pos="567"/>
          <w:tab w:val="left" w:pos="709"/>
        </w:tabs>
        <w:ind w:left="1679" w:hanging="1537" w:firstLineChars="0"/>
        <w:jc w:val="left"/>
        <w:rPr>
          <w:rFonts w:ascii="黑体" w:hAnsi="黑体" w:eastAsia="黑体"/>
          <w:b/>
          <w:bCs/>
        </w:rPr>
      </w:pPr>
      <w:r>
        <w:rPr>
          <w:rFonts w:hint="eastAsia" w:ascii="黑体" w:hAnsi="黑体" w:eastAsia="黑体"/>
          <w:b/>
          <w:bCs/>
        </w:rPr>
        <w:t>法定代表人身份证明书</w:t>
      </w:r>
      <w:bookmarkEnd w:id="81"/>
      <w:bookmarkEnd w:id="82"/>
    </w:p>
    <w:p w14:paraId="132E1108">
      <w:pPr>
        <w:spacing w:before="156" w:beforeLines="50" w:after="156" w:afterLines="50" w:line="360" w:lineRule="auto"/>
        <w:jc w:val="center"/>
        <w:rPr>
          <w:rFonts w:ascii="黑体" w:hAnsi="黑体" w:eastAsia="黑体"/>
          <w:b/>
          <w:color w:val="000000" w:themeColor="text1"/>
          <w:spacing w:val="20"/>
          <w:sz w:val="30"/>
          <w:szCs w:val="30"/>
          <w14:textFill>
            <w14:solidFill>
              <w14:schemeClr w14:val="tx1"/>
            </w14:solidFill>
          </w14:textFill>
        </w:rPr>
      </w:pPr>
      <w:r>
        <w:rPr>
          <w:rFonts w:hint="eastAsia" w:ascii="黑体" w:hAnsi="黑体" w:eastAsia="黑体"/>
          <w:b/>
          <w:color w:val="000000" w:themeColor="text1"/>
          <w:spacing w:val="20"/>
          <w:sz w:val="30"/>
          <w:szCs w:val="30"/>
          <w14:textFill>
            <w14:solidFill>
              <w14:schemeClr w14:val="tx1"/>
            </w14:solidFill>
          </w14:textFill>
        </w:rPr>
        <w:t>法定代表人身份证明书</w:t>
      </w:r>
    </w:p>
    <w:p w14:paraId="69501374">
      <w:pPr>
        <w:spacing w:before="312" w:beforeLines="100" w:after="156" w:afterLines="50" w:line="360" w:lineRule="auto"/>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致：广东有德招标采购有限公司</w:t>
      </w:r>
    </w:p>
    <w:tbl>
      <w:tblPr>
        <w:tblStyle w:val="2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81"/>
        <w:gridCol w:w="5886"/>
      </w:tblGrid>
      <w:tr w14:paraId="72678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40074825">
            <w:pPr>
              <w:spacing w:line="360" w:lineRule="auto"/>
              <w:rPr>
                <w:rFonts w:ascii="黑体" w:hAnsi="黑体" w:eastAsia="黑体"/>
                <w:szCs w:val="21"/>
              </w:rPr>
            </w:pPr>
            <w:r>
              <w:rPr>
                <w:rFonts w:ascii="黑体" w:hAnsi="黑体" w:eastAsia="黑体"/>
                <w:szCs w:val="21"/>
                <w:u w:val="single"/>
              </w:rPr>
              <w:t xml:space="preserve">                 </w:t>
            </w:r>
            <w:r>
              <w:rPr>
                <w:rFonts w:hint="eastAsia" w:ascii="黑体" w:hAnsi="黑体" w:eastAsia="黑体"/>
                <w:szCs w:val="21"/>
              </w:rPr>
              <w:t>同志，现任我单位</w:t>
            </w:r>
            <w:r>
              <w:rPr>
                <w:rFonts w:ascii="黑体" w:hAnsi="黑体" w:eastAsia="黑体"/>
                <w:szCs w:val="21"/>
                <w:u w:val="single"/>
              </w:rPr>
              <w:t xml:space="preserve">               </w:t>
            </w:r>
            <w:r>
              <w:rPr>
                <w:rFonts w:hint="eastAsia" w:ascii="黑体" w:hAnsi="黑体" w:eastAsia="黑体"/>
                <w:szCs w:val="21"/>
              </w:rPr>
              <w:t>职务，为法定代表人，特此证明。</w:t>
            </w:r>
          </w:p>
        </w:tc>
      </w:tr>
      <w:tr w14:paraId="46248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1" w:hRule="atLeast"/>
          <w:jc w:val="center"/>
        </w:trPr>
        <w:tc>
          <w:tcPr>
            <w:tcW w:w="5000" w:type="pct"/>
            <w:gridSpan w:val="2"/>
          </w:tcPr>
          <w:p w14:paraId="08F47CB8">
            <w:pPr>
              <w:spacing w:line="360" w:lineRule="auto"/>
              <w:rPr>
                <w:rFonts w:ascii="黑体" w:hAnsi="黑体" w:eastAsia="黑体"/>
                <w:szCs w:val="21"/>
              </w:rPr>
            </w:pPr>
          </w:p>
          <w:p w14:paraId="26616727">
            <w:pPr>
              <w:spacing w:line="360" w:lineRule="auto"/>
              <w:rPr>
                <w:rFonts w:ascii="黑体" w:hAnsi="黑体" w:eastAsia="黑体"/>
                <w:szCs w:val="21"/>
              </w:rPr>
            </w:pPr>
            <w:r>
              <w:rPr>
                <w:rFonts w:hint="eastAsia" w:ascii="黑体" w:hAnsi="黑体" w:eastAsia="黑体"/>
                <w:szCs w:val="21"/>
              </w:rPr>
              <w:t>附：</w:t>
            </w:r>
          </w:p>
          <w:p w14:paraId="01BF0183">
            <w:pPr>
              <w:spacing w:line="360" w:lineRule="auto"/>
              <w:rPr>
                <w:rFonts w:ascii="黑体" w:hAnsi="黑体" w:eastAsia="黑体"/>
                <w:szCs w:val="21"/>
              </w:rPr>
            </w:pPr>
            <w:r>
              <w:rPr>
                <w:rFonts w:hint="eastAsia" w:ascii="黑体" w:hAnsi="黑体" w:eastAsia="黑体"/>
                <w:szCs w:val="21"/>
              </w:rPr>
              <w:t xml:space="preserve">代表人性别：    </w:t>
            </w:r>
          </w:p>
          <w:p w14:paraId="17A9B6DD">
            <w:pPr>
              <w:spacing w:line="360" w:lineRule="auto"/>
              <w:rPr>
                <w:rFonts w:ascii="黑体" w:hAnsi="黑体" w:eastAsia="黑体"/>
                <w:szCs w:val="21"/>
              </w:rPr>
            </w:pPr>
            <w:r>
              <w:rPr>
                <w:rFonts w:hint="eastAsia" w:ascii="黑体" w:hAnsi="黑体" w:eastAsia="黑体"/>
                <w:szCs w:val="21"/>
              </w:rPr>
              <w:t xml:space="preserve">身份证号码： </w:t>
            </w:r>
          </w:p>
          <w:p w14:paraId="64D8FF92">
            <w:pPr>
              <w:spacing w:line="360" w:lineRule="auto"/>
              <w:rPr>
                <w:rFonts w:ascii="黑体" w:hAnsi="黑体" w:eastAsia="黑体"/>
                <w:szCs w:val="21"/>
              </w:rPr>
            </w:pPr>
            <w:r>
              <w:rPr>
                <w:rFonts w:hint="eastAsia" w:ascii="黑体" w:hAnsi="黑体" w:eastAsia="黑体"/>
                <w:szCs w:val="21"/>
              </w:rPr>
              <w:t xml:space="preserve">联系电话：  </w:t>
            </w:r>
          </w:p>
          <w:p w14:paraId="73D17939">
            <w:pPr>
              <w:spacing w:line="360" w:lineRule="auto"/>
              <w:rPr>
                <w:rFonts w:ascii="黑体" w:hAnsi="黑体" w:eastAsia="黑体"/>
                <w:szCs w:val="21"/>
              </w:rPr>
            </w:pPr>
            <w:r>
              <w:rPr>
                <w:rFonts w:hint="eastAsia" w:ascii="黑体" w:hAnsi="黑体" w:eastAsia="黑体"/>
                <w:szCs w:val="21"/>
              </w:rPr>
              <w:t xml:space="preserve">主营（产）：            </w:t>
            </w:r>
          </w:p>
        </w:tc>
      </w:tr>
      <w:tr w14:paraId="4AE01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jc w:val="center"/>
        </w:trPr>
        <w:tc>
          <w:tcPr>
            <w:tcW w:w="5000" w:type="pct"/>
            <w:gridSpan w:val="2"/>
          </w:tcPr>
          <w:p w14:paraId="01CA59B5">
            <w:pPr>
              <w:spacing w:line="360" w:lineRule="auto"/>
              <w:rPr>
                <w:rFonts w:ascii="黑体" w:hAnsi="黑体" w:eastAsia="黑体"/>
                <w:szCs w:val="21"/>
              </w:rPr>
            </w:pPr>
          </w:p>
        </w:tc>
      </w:tr>
      <w:tr w14:paraId="301A4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14:paraId="1140F5F8">
            <w:pPr>
              <w:spacing w:line="360" w:lineRule="auto"/>
              <w:rPr>
                <w:rFonts w:ascii="黑体" w:hAnsi="黑体" w:eastAsia="黑体"/>
                <w:szCs w:val="21"/>
              </w:rPr>
            </w:pPr>
          </w:p>
        </w:tc>
        <w:tc>
          <w:tcPr>
            <w:tcW w:w="3357" w:type="pct"/>
          </w:tcPr>
          <w:p w14:paraId="0428E65E">
            <w:pPr>
              <w:spacing w:line="360" w:lineRule="auto"/>
              <w:rPr>
                <w:rFonts w:ascii="黑体" w:hAnsi="黑体" w:eastAsia="黑体"/>
                <w:szCs w:val="21"/>
              </w:rPr>
            </w:pPr>
            <w:r>
              <w:rPr>
                <w:rFonts w:hint="eastAsia" w:ascii="黑体" w:hAnsi="黑体" w:eastAsia="黑体"/>
                <w:szCs w:val="21"/>
              </w:rPr>
              <w:t>投标人名称（加盖公章）：</w:t>
            </w:r>
            <w:r>
              <w:rPr>
                <w:rFonts w:ascii="黑体" w:hAnsi="黑体" w:eastAsia="黑体"/>
                <w:szCs w:val="21"/>
                <w:u w:val="single"/>
              </w:rPr>
              <w:t xml:space="preserve">                             </w:t>
            </w:r>
          </w:p>
        </w:tc>
      </w:tr>
      <w:tr w14:paraId="73D64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14:paraId="7BC61C22">
            <w:pPr>
              <w:spacing w:line="360" w:lineRule="auto"/>
              <w:rPr>
                <w:rFonts w:ascii="黑体" w:hAnsi="黑体" w:eastAsia="黑体"/>
                <w:szCs w:val="21"/>
              </w:rPr>
            </w:pPr>
          </w:p>
        </w:tc>
        <w:tc>
          <w:tcPr>
            <w:tcW w:w="3357" w:type="pct"/>
          </w:tcPr>
          <w:p w14:paraId="7A323989">
            <w:pPr>
              <w:spacing w:line="360" w:lineRule="auto"/>
              <w:rPr>
                <w:rFonts w:ascii="黑体" w:hAnsi="黑体" w:eastAsia="黑体"/>
                <w:szCs w:val="21"/>
              </w:rPr>
            </w:pPr>
            <w:r>
              <w:rPr>
                <w:rFonts w:hint="eastAsia" w:ascii="黑体" w:hAnsi="黑体" w:eastAsia="黑体"/>
                <w:szCs w:val="21"/>
              </w:rPr>
              <w:t>法定代表人（签名或盖私章）：</w:t>
            </w:r>
            <w:r>
              <w:rPr>
                <w:rFonts w:ascii="黑体" w:hAnsi="黑体" w:eastAsia="黑体"/>
                <w:szCs w:val="21"/>
                <w:u w:val="single"/>
              </w:rPr>
              <w:t xml:space="preserve">                         </w:t>
            </w:r>
          </w:p>
        </w:tc>
      </w:tr>
      <w:tr w14:paraId="65A10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14:paraId="7D6C6883">
            <w:pPr>
              <w:spacing w:line="360" w:lineRule="auto"/>
              <w:rPr>
                <w:rFonts w:ascii="黑体" w:hAnsi="黑体" w:eastAsia="黑体"/>
                <w:szCs w:val="21"/>
              </w:rPr>
            </w:pPr>
          </w:p>
        </w:tc>
        <w:tc>
          <w:tcPr>
            <w:tcW w:w="3357" w:type="pct"/>
          </w:tcPr>
          <w:p w14:paraId="42F25483">
            <w:pPr>
              <w:spacing w:after="312" w:afterLines="100"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r>
    </w:tbl>
    <w:p w14:paraId="6D9EE32E">
      <w:pPr>
        <w:spacing w:before="156" w:beforeLines="50" w:after="156" w:afterLines="50" w:line="360" w:lineRule="auto"/>
        <w:rPr>
          <w:rFonts w:ascii="黑体" w:hAnsi="黑体" w:eastAsia="黑体"/>
          <w:szCs w:val="21"/>
        </w:rPr>
      </w:pPr>
      <w:r>
        <w:rPr>
          <w:rFonts w:hint="eastAsia" w:ascii="黑体" w:hAnsi="黑体" w:eastAsia="黑体"/>
          <w:szCs w:val="21"/>
        </w:rPr>
        <w:t>须附：法定代表人有效期内身份证复印件</w:t>
      </w:r>
    </w:p>
    <w:tbl>
      <w:tblPr>
        <w:tblStyle w:val="19"/>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383"/>
        <w:gridCol w:w="4384"/>
      </w:tblGrid>
      <w:tr w14:paraId="05A477C1">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1833" w:hRule="atLeast"/>
          <w:jc w:val="center"/>
        </w:trPr>
        <w:tc>
          <w:tcPr>
            <w:tcW w:w="2500" w:type="pct"/>
            <w:vAlign w:val="center"/>
          </w:tcPr>
          <w:p w14:paraId="037E54E0">
            <w:pPr>
              <w:pStyle w:val="35"/>
              <w:spacing w:line="460" w:lineRule="exact"/>
              <w:ind w:firstLine="0" w:firstLineChars="0"/>
              <w:jc w:val="center"/>
              <w:rPr>
                <w:rFonts w:ascii="黑体" w:hAnsi="黑体" w:eastAsia="黑体"/>
                <w:sz w:val="22"/>
                <w:szCs w:val="22"/>
              </w:rPr>
            </w:pPr>
            <w:r>
              <w:rPr>
                <w:rFonts w:hint="eastAsia" w:ascii="黑体" w:hAnsi="黑体" w:eastAsia="黑体"/>
                <w:sz w:val="22"/>
                <w:szCs w:val="22"/>
              </w:rPr>
              <w:t>正面</w:t>
            </w:r>
          </w:p>
        </w:tc>
        <w:tc>
          <w:tcPr>
            <w:tcW w:w="2500" w:type="pct"/>
            <w:vAlign w:val="center"/>
          </w:tcPr>
          <w:p w14:paraId="208ABDEA">
            <w:pPr>
              <w:pStyle w:val="35"/>
              <w:spacing w:line="460" w:lineRule="exact"/>
              <w:ind w:firstLine="0" w:firstLineChars="0"/>
              <w:jc w:val="center"/>
              <w:rPr>
                <w:rFonts w:ascii="黑体" w:hAnsi="黑体" w:eastAsia="黑体"/>
                <w:sz w:val="22"/>
                <w:szCs w:val="22"/>
              </w:rPr>
            </w:pPr>
            <w:r>
              <w:rPr>
                <w:rFonts w:hint="eastAsia" w:ascii="黑体" w:hAnsi="黑体" w:eastAsia="黑体"/>
                <w:sz w:val="22"/>
                <w:szCs w:val="22"/>
              </w:rPr>
              <w:t>背面</w:t>
            </w:r>
          </w:p>
        </w:tc>
      </w:tr>
    </w:tbl>
    <w:p w14:paraId="1192CE01">
      <w:pPr>
        <w:spacing w:before="156" w:beforeLines="50" w:after="93" w:afterLines="30" w:line="360" w:lineRule="auto"/>
        <w:rPr>
          <w:rFonts w:ascii="黑体" w:hAnsi="黑体" w:eastAsia="黑体"/>
          <w:color w:val="000000" w:themeColor="text1"/>
          <w:szCs w:val="21"/>
          <w14:textFill>
            <w14:solidFill>
              <w14:schemeClr w14:val="tx1"/>
            </w14:solidFill>
          </w14:textFill>
        </w:rPr>
      </w:pPr>
    </w:p>
    <w:p w14:paraId="47F5BA41">
      <w:pPr>
        <w:pStyle w:val="29"/>
        <w:pageBreakBefore/>
        <w:numPr>
          <w:ilvl w:val="0"/>
          <w:numId w:val="112"/>
        </w:numPr>
        <w:tabs>
          <w:tab w:val="left" w:pos="284"/>
          <w:tab w:val="left" w:pos="567"/>
          <w:tab w:val="left" w:pos="709"/>
        </w:tabs>
        <w:ind w:left="1679" w:hanging="1537" w:firstLineChars="0"/>
        <w:jc w:val="left"/>
        <w:rPr>
          <w:rFonts w:ascii="黑体" w:hAnsi="黑体" w:eastAsia="黑体"/>
          <w:b/>
          <w:bCs/>
        </w:rPr>
      </w:pPr>
      <w:bookmarkStart w:id="85" w:name="_Toc405313963"/>
      <w:bookmarkStart w:id="86" w:name="_Toc391627759"/>
      <w:r>
        <w:rPr>
          <w:rFonts w:hint="eastAsia" w:ascii="黑体" w:hAnsi="黑体" w:eastAsia="黑体"/>
          <w:b/>
          <w:bCs/>
        </w:rPr>
        <w:t>法定代表人授权委托书</w:t>
      </w:r>
      <w:bookmarkEnd w:id="85"/>
      <w:bookmarkEnd w:id="86"/>
    </w:p>
    <w:p w14:paraId="38F72ACD">
      <w:pPr>
        <w:spacing w:before="156" w:beforeLines="50" w:after="156" w:afterLines="50" w:line="360" w:lineRule="auto"/>
        <w:jc w:val="center"/>
        <w:rPr>
          <w:rFonts w:ascii="黑体" w:hAnsi="黑体" w:eastAsia="黑体"/>
          <w:b/>
          <w:color w:val="000000" w:themeColor="text1"/>
          <w:spacing w:val="20"/>
          <w:sz w:val="30"/>
          <w:szCs w:val="30"/>
          <w14:textFill>
            <w14:solidFill>
              <w14:schemeClr w14:val="tx1"/>
            </w14:solidFill>
          </w14:textFill>
        </w:rPr>
      </w:pPr>
      <w:r>
        <w:rPr>
          <w:rFonts w:hint="eastAsia" w:ascii="黑体" w:hAnsi="黑体" w:eastAsia="黑体"/>
          <w:b/>
          <w:color w:val="000000" w:themeColor="text1"/>
          <w:spacing w:val="20"/>
          <w:sz w:val="30"/>
          <w:szCs w:val="30"/>
          <w14:textFill>
            <w14:solidFill>
              <w14:schemeClr w14:val="tx1"/>
            </w14:solidFill>
          </w14:textFill>
        </w:rPr>
        <w:t>法定代表人授权委托书</w:t>
      </w:r>
    </w:p>
    <w:p w14:paraId="7D31D67B">
      <w:pPr>
        <w:spacing w:before="468" w:beforeLines="150" w:after="312" w:afterLines="100" w:line="360" w:lineRule="auto"/>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致：广东有德招标采购有限公司</w:t>
      </w:r>
    </w:p>
    <w:p w14:paraId="7BFE2EFB">
      <w:pPr>
        <w:pStyle w:val="35"/>
        <w:spacing w:line="360" w:lineRule="auto"/>
        <w:ind w:firstLine="450" w:firstLineChars="0"/>
        <w:rPr>
          <w:rFonts w:ascii="黑体" w:hAnsi="黑体" w:eastAsia="黑体"/>
          <w:color w:val="000000" w:themeColor="text1"/>
          <w:sz w:val="21"/>
          <w:szCs w:val="21"/>
          <w14:textFill>
            <w14:solidFill>
              <w14:schemeClr w14:val="tx1"/>
            </w14:solidFill>
          </w14:textFill>
        </w:rPr>
      </w:pPr>
      <w:r>
        <w:rPr>
          <w:rFonts w:hint="eastAsia" w:ascii="黑体" w:hAnsi="黑体" w:eastAsia="黑体"/>
          <w:color w:val="000000" w:themeColor="text1"/>
          <w:sz w:val="21"/>
          <w:szCs w:val="21"/>
          <w14:textFill>
            <w14:solidFill>
              <w14:schemeClr w14:val="tx1"/>
            </w14:solidFill>
          </w14:textFill>
        </w:rPr>
        <w:t>本人</w:t>
      </w:r>
      <w:r>
        <w:rPr>
          <w:rFonts w:ascii="黑体" w:hAnsi="黑体" w:eastAsia="黑体"/>
          <w:color w:val="000000" w:themeColor="text1"/>
          <w:sz w:val="21"/>
          <w:szCs w:val="21"/>
          <w:u w:val="single"/>
          <w14:textFill>
            <w14:solidFill>
              <w14:schemeClr w14:val="tx1"/>
            </w14:solidFill>
          </w14:textFill>
        </w:rPr>
        <w:t xml:space="preserve">   </w:t>
      </w:r>
      <w:r>
        <w:rPr>
          <w:rFonts w:hint="eastAsia" w:ascii="黑体" w:hAnsi="黑体" w:eastAsia="黑体"/>
          <w:color w:val="000000" w:themeColor="text1"/>
          <w:sz w:val="21"/>
          <w:szCs w:val="21"/>
          <w:u w:val="single"/>
          <w14:textFill>
            <w14:solidFill>
              <w14:schemeClr w14:val="tx1"/>
            </w14:solidFill>
          </w14:textFill>
        </w:rPr>
        <w:t>（姓名）</w:t>
      </w:r>
      <w:r>
        <w:rPr>
          <w:rFonts w:ascii="黑体" w:hAnsi="黑体" w:eastAsia="黑体"/>
          <w:color w:val="000000" w:themeColor="text1"/>
          <w:sz w:val="21"/>
          <w:szCs w:val="21"/>
          <w:u w:val="single"/>
          <w14:textFill>
            <w14:solidFill>
              <w14:schemeClr w14:val="tx1"/>
            </w14:solidFill>
          </w14:textFill>
        </w:rPr>
        <w:t xml:space="preserve">  </w:t>
      </w:r>
      <w:r>
        <w:rPr>
          <w:rFonts w:hint="eastAsia" w:ascii="黑体" w:hAnsi="黑体" w:eastAsia="黑体"/>
          <w:color w:val="000000" w:themeColor="text1"/>
          <w:sz w:val="21"/>
          <w:szCs w:val="21"/>
          <w14:textFill>
            <w14:solidFill>
              <w14:schemeClr w14:val="tx1"/>
            </w14:solidFill>
          </w14:textFill>
        </w:rPr>
        <w:t>系</w:t>
      </w:r>
      <w:r>
        <w:rPr>
          <w:rFonts w:ascii="黑体" w:hAnsi="黑体" w:eastAsia="黑体"/>
          <w:color w:val="000000" w:themeColor="text1"/>
          <w:sz w:val="21"/>
          <w:szCs w:val="21"/>
          <w:u w:val="single"/>
          <w14:textFill>
            <w14:solidFill>
              <w14:schemeClr w14:val="tx1"/>
            </w14:solidFill>
          </w14:textFill>
        </w:rPr>
        <w:t xml:space="preserve">     （投标人名称）    </w:t>
      </w:r>
      <w:r>
        <w:rPr>
          <w:rFonts w:hint="eastAsia" w:ascii="黑体" w:hAnsi="黑体" w:eastAsia="黑体"/>
          <w:color w:val="000000" w:themeColor="text1"/>
          <w:sz w:val="21"/>
          <w:szCs w:val="21"/>
          <w14:textFill>
            <w14:solidFill>
              <w14:schemeClr w14:val="tx1"/>
            </w14:solidFill>
          </w14:textFill>
        </w:rPr>
        <w:t>的法定代表人，现委托</w:t>
      </w:r>
      <w:r>
        <w:rPr>
          <w:rFonts w:ascii="黑体" w:hAnsi="黑体" w:eastAsia="黑体"/>
          <w:color w:val="000000" w:themeColor="text1"/>
          <w:sz w:val="21"/>
          <w:szCs w:val="21"/>
          <w:u w:val="single"/>
          <w14:textFill>
            <w14:solidFill>
              <w14:schemeClr w14:val="tx1"/>
            </w14:solidFill>
          </w14:textFill>
        </w:rPr>
        <w:t xml:space="preserve"> （姓名） </w:t>
      </w:r>
      <w:r>
        <w:rPr>
          <w:rFonts w:hint="eastAsia" w:ascii="黑体" w:hAnsi="黑体" w:eastAsia="黑体"/>
          <w:color w:val="000000" w:themeColor="text1"/>
          <w:sz w:val="21"/>
          <w:szCs w:val="21"/>
          <w14:textFill>
            <w14:solidFill>
              <w14:schemeClr w14:val="tx1"/>
            </w14:solidFill>
          </w14:textFill>
        </w:rPr>
        <w:t>为我方合法代理人。代理人根据授权，以我方名义签署、澄清、说明、补正、递交、撤回、修改</w:t>
      </w:r>
      <w:r>
        <w:rPr>
          <w:rFonts w:ascii="黑体" w:hAnsi="黑体" w:eastAsia="黑体"/>
          <w:color w:val="000000" w:themeColor="text1"/>
          <w:sz w:val="21"/>
          <w:szCs w:val="21"/>
          <w:u w:val="single"/>
          <w14:textFill>
            <w14:solidFill>
              <w14:schemeClr w14:val="tx1"/>
            </w14:solidFill>
          </w14:textFill>
        </w:rPr>
        <w:t xml:space="preserve">          （项目名称）      </w:t>
      </w:r>
      <w:r>
        <w:rPr>
          <w:rFonts w:hint="eastAsia" w:ascii="黑体" w:hAnsi="黑体" w:eastAsia="黑体"/>
          <w:color w:val="000000" w:themeColor="text1"/>
          <w:sz w:val="21"/>
          <w:szCs w:val="21"/>
          <w14:textFill>
            <w14:solidFill>
              <w14:schemeClr w14:val="tx1"/>
            </w14:solidFill>
          </w14:textFill>
        </w:rPr>
        <w:t>（项目编号：</w:t>
      </w:r>
      <w:r>
        <w:rPr>
          <w:rFonts w:hint="eastAsia" w:ascii="黑体" w:hAnsi="黑体" w:eastAsia="黑体"/>
          <w:color w:val="000000" w:themeColor="text1"/>
          <w:sz w:val="21"/>
          <w:szCs w:val="21"/>
          <w:u w:val="single"/>
          <w14:textFill>
            <w14:solidFill>
              <w14:schemeClr w14:val="tx1"/>
            </w14:solidFill>
          </w14:textFill>
        </w:rPr>
        <w:t>　　</w:t>
      </w:r>
      <w:r>
        <w:rPr>
          <w:rFonts w:ascii="黑体" w:hAnsi="黑体" w:eastAsia="黑体"/>
          <w:color w:val="000000" w:themeColor="text1"/>
          <w:sz w:val="21"/>
          <w:szCs w:val="21"/>
          <w:u w:val="single"/>
          <w14:textFill>
            <w14:solidFill>
              <w14:schemeClr w14:val="tx1"/>
            </w14:solidFill>
          </w14:textFill>
        </w:rPr>
        <w:t xml:space="preserve">     </w:t>
      </w:r>
      <w:r>
        <w:rPr>
          <w:rFonts w:hint="eastAsia" w:ascii="黑体" w:hAnsi="黑体" w:eastAsia="黑体"/>
          <w:color w:val="000000" w:themeColor="text1"/>
          <w:sz w:val="21"/>
          <w:szCs w:val="21"/>
          <w:u w:val="single"/>
          <w14:textFill>
            <w14:solidFill>
              <w14:schemeClr w14:val="tx1"/>
            </w14:solidFill>
          </w14:textFill>
        </w:rPr>
        <w:t>　</w:t>
      </w:r>
      <w:r>
        <w:rPr>
          <w:rFonts w:hint="eastAsia" w:ascii="黑体" w:hAnsi="黑体" w:eastAsia="黑体"/>
          <w:color w:val="000000" w:themeColor="text1"/>
          <w:sz w:val="21"/>
          <w:szCs w:val="21"/>
          <w14:textFill>
            <w14:solidFill>
              <w14:schemeClr w14:val="tx1"/>
            </w14:solidFill>
          </w14:textFill>
        </w:rPr>
        <w:t>）投标文件、签订合同和处理有关事宜，其法律后果由我方承担。</w:t>
      </w:r>
    </w:p>
    <w:p w14:paraId="615D4E97">
      <w:pPr>
        <w:pStyle w:val="35"/>
        <w:spacing w:line="360" w:lineRule="auto"/>
        <w:ind w:firstLine="428" w:firstLineChars="204"/>
        <w:rPr>
          <w:rFonts w:ascii="黑体" w:hAnsi="黑体" w:eastAsia="黑体"/>
          <w:color w:val="000000" w:themeColor="text1"/>
          <w:sz w:val="21"/>
          <w:szCs w:val="21"/>
          <w14:textFill>
            <w14:solidFill>
              <w14:schemeClr w14:val="tx1"/>
            </w14:solidFill>
          </w14:textFill>
        </w:rPr>
      </w:pPr>
      <w:r>
        <w:rPr>
          <w:rFonts w:hint="eastAsia" w:ascii="黑体" w:hAnsi="黑体" w:eastAsia="黑体"/>
          <w:color w:val="000000" w:themeColor="text1"/>
          <w:sz w:val="21"/>
          <w:szCs w:val="21"/>
          <w14:textFill>
            <w14:solidFill>
              <w14:schemeClr w14:val="tx1"/>
            </w14:solidFill>
          </w14:textFill>
        </w:rPr>
        <w:t>本委托书于</w:t>
      </w:r>
      <w:r>
        <w:rPr>
          <w:rFonts w:hint="eastAsia" w:ascii="黑体" w:hAnsi="黑体" w:eastAsia="黑体"/>
          <w:color w:val="000000" w:themeColor="text1"/>
          <w:sz w:val="21"/>
          <w:szCs w:val="21"/>
          <w:u w:val="single"/>
          <w14:textFill>
            <w14:solidFill>
              <w14:schemeClr w14:val="tx1"/>
            </w14:solidFill>
          </w14:textFill>
        </w:rPr>
        <w:t>　</w:t>
      </w:r>
      <w:r>
        <w:rPr>
          <w:rFonts w:ascii="黑体" w:hAnsi="黑体" w:eastAsia="黑体"/>
          <w:color w:val="000000" w:themeColor="text1"/>
          <w:sz w:val="21"/>
          <w:szCs w:val="21"/>
          <w:u w:val="single"/>
          <w14:textFill>
            <w14:solidFill>
              <w14:schemeClr w14:val="tx1"/>
            </w14:solidFill>
          </w14:textFill>
        </w:rPr>
        <w:t xml:space="preserve">    </w:t>
      </w:r>
      <w:r>
        <w:rPr>
          <w:rFonts w:hint="eastAsia" w:ascii="黑体" w:hAnsi="黑体" w:eastAsia="黑体"/>
          <w:color w:val="000000" w:themeColor="text1"/>
          <w:sz w:val="21"/>
          <w:szCs w:val="21"/>
          <w14:textFill>
            <w14:solidFill>
              <w14:schemeClr w14:val="tx1"/>
            </w14:solidFill>
          </w14:textFill>
        </w:rPr>
        <w:t>年</w:t>
      </w:r>
      <w:r>
        <w:rPr>
          <w:rFonts w:hint="eastAsia" w:ascii="黑体" w:hAnsi="黑体" w:eastAsia="黑体"/>
          <w:color w:val="000000" w:themeColor="text1"/>
          <w:sz w:val="21"/>
          <w:szCs w:val="21"/>
          <w:u w:val="single"/>
          <w14:textFill>
            <w14:solidFill>
              <w14:schemeClr w14:val="tx1"/>
            </w14:solidFill>
          </w14:textFill>
        </w:rPr>
        <w:t>　</w:t>
      </w:r>
      <w:r>
        <w:rPr>
          <w:rFonts w:ascii="黑体" w:hAnsi="黑体" w:eastAsia="黑体"/>
          <w:color w:val="000000" w:themeColor="text1"/>
          <w:sz w:val="21"/>
          <w:szCs w:val="21"/>
          <w:u w:val="single"/>
          <w14:textFill>
            <w14:solidFill>
              <w14:schemeClr w14:val="tx1"/>
            </w14:solidFill>
          </w14:textFill>
        </w:rPr>
        <w:t xml:space="preserve"> </w:t>
      </w:r>
      <w:r>
        <w:rPr>
          <w:rFonts w:hint="eastAsia" w:ascii="黑体" w:hAnsi="黑体" w:eastAsia="黑体"/>
          <w:color w:val="000000" w:themeColor="text1"/>
          <w:sz w:val="21"/>
          <w:szCs w:val="21"/>
          <w14:textFill>
            <w14:solidFill>
              <w14:schemeClr w14:val="tx1"/>
            </w14:solidFill>
          </w14:textFill>
        </w:rPr>
        <w:t>月</w:t>
      </w:r>
      <w:r>
        <w:rPr>
          <w:rFonts w:hint="eastAsia" w:ascii="黑体" w:hAnsi="黑体" w:eastAsia="黑体"/>
          <w:color w:val="000000" w:themeColor="text1"/>
          <w:sz w:val="21"/>
          <w:szCs w:val="21"/>
          <w:u w:val="single"/>
          <w14:textFill>
            <w14:solidFill>
              <w14:schemeClr w14:val="tx1"/>
            </w14:solidFill>
          </w14:textFill>
        </w:rPr>
        <w:t>　</w:t>
      </w:r>
      <w:r>
        <w:rPr>
          <w:rFonts w:ascii="黑体" w:hAnsi="黑体" w:eastAsia="黑体"/>
          <w:color w:val="000000" w:themeColor="text1"/>
          <w:sz w:val="21"/>
          <w:szCs w:val="21"/>
          <w:u w:val="single"/>
          <w14:textFill>
            <w14:solidFill>
              <w14:schemeClr w14:val="tx1"/>
            </w14:solidFill>
          </w14:textFill>
        </w:rPr>
        <w:t xml:space="preserve"> </w:t>
      </w:r>
      <w:r>
        <w:rPr>
          <w:rFonts w:hint="eastAsia" w:ascii="黑体" w:hAnsi="黑体" w:eastAsia="黑体"/>
          <w:color w:val="000000" w:themeColor="text1"/>
          <w:sz w:val="21"/>
          <w:szCs w:val="21"/>
          <w14:textFill>
            <w14:solidFill>
              <w14:schemeClr w14:val="tx1"/>
            </w14:solidFill>
          </w14:textFill>
        </w:rPr>
        <w:t>日签字生效，特此证明。</w:t>
      </w:r>
    </w:p>
    <w:p w14:paraId="539CD6FD">
      <w:pPr>
        <w:pStyle w:val="35"/>
        <w:spacing w:line="360" w:lineRule="auto"/>
        <w:ind w:firstLine="428" w:firstLineChars="204"/>
        <w:rPr>
          <w:rFonts w:ascii="黑体" w:hAnsi="黑体" w:eastAsia="黑体"/>
          <w:color w:val="000000" w:themeColor="text1"/>
          <w:sz w:val="21"/>
          <w:szCs w:val="21"/>
          <w14:textFill>
            <w14:solidFill>
              <w14:schemeClr w14:val="tx1"/>
            </w14:solidFill>
          </w14:textFill>
        </w:rPr>
      </w:pPr>
    </w:p>
    <w:p w14:paraId="42F08379">
      <w:pPr>
        <w:pStyle w:val="35"/>
        <w:spacing w:line="360" w:lineRule="auto"/>
        <w:ind w:firstLine="0" w:firstLineChars="0"/>
        <w:rPr>
          <w:rFonts w:ascii="黑体" w:hAnsi="黑体" w:eastAsia="黑体"/>
          <w:color w:val="000000" w:themeColor="text1"/>
          <w:sz w:val="21"/>
          <w:szCs w:val="21"/>
          <w14:textFill>
            <w14:solidFill>
              <w14:schemeClr w14:val="tx1"/>
            </w14:solidFill>
          </w14:textFill>
        </w:rPr>
      </w:pPr>
    </w:p>
    <w:p w14:paraId="1FF09173">
      <w:pPr>
        <w:pStyle w:val="35"/>
        <w:spacing w:line="360" w:lineRule="auto"/>
        <w:ind w:firstLine="0" w:firstLineChars="0"/>
        <w:rPr>
          <w:rFonts w:ascii="黑体" w:hAnsi="黑体" w:eastAsia="黑体"/>
          <w:color w:val="000000" w:themeColor="text1"/>
          <w:sz w:val="21"/>
          <w:szCs w:val="21"/>
          <w14:textFill>
            <w14:solidFill>
              <w14:schemeClr w14:val="tx1"/>
            </w14:solidFill>
          </w14:textFill>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2"/>
        <w:gridCol w:w="5726"/>
      </w:tblGrid>
      <w:tr w14:paraId="3B55D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6B08B01B">
            <w:pPr>
              <w:pStyle w:val="35"/>
              <w:spacing w:line="360" w:lineRule="auto"/>
              <w:ind w:firstLine="0" w:firstLineChars="0"/>
              <w:rPr>
                <w:rFonts w:ascii="黑体" w:hAnsi="黑体" w:eastAsia="黑体"/>
                <w:color w:val="000000" w:themeColor="text1"/>
                <w:sz w:val="21"/>
                <w:szCs w:val="21"/>
                <w14:textFill>
                  <w14:solidFill>
                    <w14:schemeClr w14:val="tx1"/>
                  </w14:solidFill>
                </w14:textFill>
              </w:rPr>
            </w:pPr>
          </w:p>
        </w:tc>
        <w:tc>
          <w:tcPr>
            <w:tcW w:w="5726" w:type="dxa"/>
          </w:tcPr>
          <w:p w14:paraId="4758F903">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投标人名称（加盖公章）：</w:t>
            </w:r>
            <w:r>
              <w:rPr>
                <w:rFonts w:ascii="黑体" w:hAnsi="黑体" w:eastAsia="黑体"/>
                <w:color w:val="000000" w:themeColor="text1"/>
                <w:szCs w:val="21"/>
                <w:u w:val="single"/>
                <w14:textFill>
                  <w14:solidFill>
                    <w14:schemeClr w14:val="tx1"/>
                  </w14:solidFill>
                </w14:textFill>
              </w:rPr>
              <w:t xml:space="preserve">                             </w:t>
            </w:r>
          </w:p>
        </w:tc>
      </w:tr>
      <w:tr w14:paraId="7169E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66FFF679">
            <w:pPr>
              <w:pStyle w:val="35"/>
              <w:spacing w:line="360" w:lineRule="auto"/>
              <w:ind w:firstLine="0" w:firstLineChars="0"/>
              <w:rPr>
                <w:rFonts w:ascii="黑体" w:hAnsi="黑体" w:eastAsia="黑体"/>
                <w:color w:val="000000" w:themeColor="text1"/>
                <w:sz w:val="21"/>
                <w:szCs w:val="21"/>
                <w14:textFill>
                  <w14:solidFill>
                    <w14:schemeClr w14:val="tx1"/>
                  </w14:solidFill>
                </w14:textFill>
              </w:rPr>
            </w:pPr>
          </w:p>
        </w:tc>
        <w:tc>
          <w:tcPr>
            <w:tcW w:w="5726" w:type="dxa"/>
          </w:tcPr>
          <w:p w14:paraId="049F6171">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法定代表人（签名或盖私章）：</w:t>
            </w:r>
            <w:r>
              <w:rPr>
                <w:rFonts w:ascii="黑体" w:hAnsi="黑体" w:eastAsia="黑体"/>
                <w:color w:val="000000" w:themeColor="text1"/>
                <w:szCs w:val="21"/>
                <w:u w:val="single"/>
                <w14:textFill>
                  <w14:solidFill>
                    <w14:schemeClr w14:val="tx1"/>
                  </w14:solidFill>
                </w14:textFill>
              </w:rPr>
              <w:t xml:space="preserve">                         </w:t>
            </w:r>
          </w:p>
        </w:tc>
      </w:tr>
      <w:tr w14:paraId="67266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077FDAE6">
            <w:pPr>
              <w:pStyle w:val="35"/>
              <w:spacing w:line="360" w:lineRule="auto"/>
              <w:ind w:firstLine="0" w:firstLineChars="0"/>
              <w:rPr>
                <w:rFonts w:ascii="黑体" w:hAnsi="黑体" w:eastAsia="黑体"/>
                <w:color w:val="000000" w:themeColor="text1"/>
                <w:sz w:val="21"/>
                <w:szCs w:val="21"/>
                <w14:textFill>
                  <w14:solidFill>
                    <w14:schemeClr w14:val="tx1"/>
                  </w14:solidFill>
                </w14:textFill>
              </w:rPr>
            </w:pPr>
          </w:p>
        </w:tc>
        <w:tc>
          <w:tcPr>
            <w:tcW w:w="5726" w:type="dxa"/>
          </w:tcPr>
          <w:p w14:paraId="4EFD5157">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职务：</w:t>
            </w:r>
            <w:r>
              <w:rPr>
                <w:rFonts w:ascii="黑体" w:hAnsi="黑体" w:eastAsia="黑体"/>
                <w:color w:val="000000" w:themeColor="text1"/>
                <w:szCs w:val="21"/>
                <w:u w:val="single"/>
                <w14:textFill>
                  <w14:solidFill>
                    <w14:schemeClr w14:val="tx1"/>
                  </w14:solidFill>
                </w14:textFill>
              </w:rPr>
              <w:t xml:space="preserve">                                              </w:t>
            </w:r>
          </w:p>
        </w:tc>
      </w:tr>
      <w:tr w14:paraId="68983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4680F936">
            <w:pPr>
              <w:pStyle w:val="35"/>
              <w:spacing w:line="360" w:lineRule="auto"/>
              <w:ind w:firstLine="0" w:firstLineChars="0"/>
              <w:rPr>
                <w:rFonts w:ascii="黑体" w:hAnsi="黑体" w:eastAsia="黑体"/>
                <w:color w:val="000000" w:themeColor="text1"/>
                <w:sz w:val="21"/>
                <w:szCs w:val="21"/>
                <w14:textFill>
                  <w14:solidFill>
                    <w14:schemeClr w14:val="tx1"/>
                  </w14:solidFill>
                </w14:textFill>
              </w:rPr>
            </w:pPr>
          </w:p>
        </w:tc>
        <w:tc>
          <w:tcPr>
            <w:tcW w:w="5726" w:type="dxa"/>
          </w:tcPr>
          <w:p w14:paraId="5CE56D20">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被授权人（签名或盖私章）：</w:t>
            </w:r>
            <w:r>
              <w:rPr>
                <w:rFonts w:ascii="黑体" w:hAnsi="黑体" w:eastAsia="黑体"/>
                <w:color w:val="000000" w:themeColor="text1"/>
                <w:szCs w:val="21"/>
                <w:u w:val="single"/>
                <w14:textFill>
                  <w14:solidFill>
                    <w14:schemeClr w14:val="tx1"/>
                  </w14:solidFill>
                </w14:textFill>
              </w:rPr>
              <w:t xml:space="preserve">                           </w:t>
            </w:r>
          </w:p>
        </w:tc>
      </w:tr>
      <w:tr w14:paraId="12E0E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335C3002">
            <w:pPr>
              <w:pStyle w:val="35"/>
              <w:spacing w:line="360" w:lineRule="auto"/>
              <w:ind w:firstLine="0" w:firstLineChars="0"/>
              <w:rPr>
                <w:rFonts w:ascii="黑体" w:hAnsi="黑体" w:eastAsia="黑体"/>
                <w:color w:val="000000" w:themeColor="text1"/>
                <w:sz w:val="21"/>
                <w:szCs w:val="21"/>
                <w14:textFill>
                  <w14:solidFill>
                    <w14:schemeClr w14:val="tx1"/>
                  </w14:solidFill>
                </w14:textFill>
              </w:rPr>
            </w:pPr>
          </w:p>
        </w:tc>
        <w:tc>
          <w:tcPr>
            <w:tcW w:w="5726" w:type="dxa"/>
          </w:tcPr>
          <w:p w14:paraId="72AA85EE">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职务：</w:t>
            </w:r>
            <w:r>
              <w:rPr>
                <w:rFonts w:ascii="黑体" w:hAnsi="黑体" w:eastAsia="黑体"/>
                <w:color w:val="000000" w:themeColor="text1"/>
                <w:szCs w:val="21"/>
                <w:u w:val="single"/>
                <w14:textFill>
                  <w14:solidFill>
                    <w14:schemeClr w14:val="tx1"/>
                  </w14:solidFill>
                </w14:textFill>
              </w:rPr>
              <w:t xml:space="preserve">                                              </w:t>
            </w:r>
          </w:p>
        </w:tc>
      </w:tr>
      <w:tr w14:paraId="5352C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590CFDFE">
            <w:pPr>
              <w:pStyle w:val="35"/>
              <w:spacing w:line="360" w:lineRule="auto"/>
              <w:ind w:firstLine="0" w:firstLineChars="0"/>
              <w:rPr>
                <w:rFonts w:ascii="黑体" w:hAnsi="黑体" w:eastAsia="黑体"/>
                <w:color w:val="000000" w:themeColor="text1"/>
                <w:sz w:val="21"/>
                <w:szCs w:val="21"/>
                <w14:textFill>
                  <w14:solidFill>
                    <w14:schemeClr w14:val="tx1"/>
                  </w14:solidFill>
                </w14:textFill>
              </w:rPr>
            </w:pPr>
          </w:p>
        </w:tc>
        <w:tc>
          <w:tcPr>
            <w:tcW w:w="5726" w:type="dxa"/>
          </w:tcPr>
          <w:p w14:paraId="6278E76B">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日期：</w:t>
            </w:r>
            <w:r>
              <w:rPr>
                <w:rFonts w:ascii="黑体" w:hAnsi="黑体" w:eastAsia="黑体"/>
                <w:color w:val="000000" w:themeColor="text1"/>
                <w:szCs w:val="21"/>
                <w:u w:val="single"/>
                <w14:textFill>
                  <w14:solidFill>
                    <w14:schemeClr w14:val="tx1"/>
                  </w14:solidFill>
                </w14:textFill>
              </w:rPr>
              <w:t xml:space="preserve">         年         月         日</w:t>
            </w:r>
          </w:p>
        </w:tc>
      </w:tr>
    </w:tbl>
    <w:p w14:paraId="2ABBD004">
      <w:pPr>
        <w:pStyle w:val="35"/>
        <w:spacing w:line="360" w:lineRule="auto"/>
        <w:ind w:firstLine="0" w:firstLineChars="0"/>
        <w:rPr>
          <w:rFonts w:ascii="黑体" w:hAnsi="黑体" w:eastAsia="黑体"/>
          <w:color w:val="000000" w:themeColor="text1"/>
          <w:sz w:val="21"/>
          <w:szCs w:val="21"/>
          <w14:textFill>
            <w14:solidFill>
              <w14:schemeClr w14:val="tx1"/>
            </w14:solidFill>
          </w14:textFill>
        </w:rPr>
      </w:pPr>
    </w:p>
    <w:p w14:paraId="0227EA1F">
      <w:pPr>
        <w:pStyle w:val="35"/>
        <w:spacing w:line="360" w:lineRule="auto"/>
        <w:ind w:firstLine="0" w:firstLineChars="0"/>
        <w:rPr>
          <w:rFonts w:ascii="黑体" w:hAnsi="黑体" w:eastAsia="黑体"/>
          <w:color w:val="000000" w:themeColor="text1"/>
          <w:sz w:val="21"/>
          <w:szCs w:val="21"/>
          <w14:textFill>
            <w14:solidFill>
              <w14:schemeClr w14:val="tx1"/>
            </w14:solidFill>
          </w14:textFill>
        </w:rPr>
      </w:pPr>
    </w:p>
    <w:p w14:paraId="504D515F">
      <w:pPr>
        <w:spacing w:after="156" w:afterLines="50"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须附：被授权人有效期内身份证复印件</w:t>
      </w:r>
    </w:p>
    <w:tbl>
      <w:tblPr>
        <w:tblStyle w:val="19"/>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383"/>
        <w:gridCol w:w="4384"/>
      </w:tblGrid>
      <w:tr w14:paraId="6389F83E">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2500" w:type="pct"/>
            <w:vAlign w:val="center"/>
          </w:tcPr>
          <w:p w14:paraId="41378680">
            <w:pPr>
              <w:pStyle w:val="35"/>
              <w:spacing w:line="460" w:lineRule="exact"/>
              <w:ind w:firstLine="0" w:firstLineChars="0"/>
              <w:jc w:val="center"/>
              <w:rPr>
                <w:rFonts w:ascii="黑体" w:hAnsi="黑体" w:eastAsia="黑体"/>
                <w:color w:val="000000" w:themeColor="text1"/>
                <w:sz w:val="22"/>
                <w:szCs w:val="22"/>
                <w14:textFill>
                  <w14:solidFill>
                    <w14:schemeClr w14:val="tx1"/>
                  </w14:solidFill>
                </w14:textFill>
              </w:rPr>
            </w:pPr>
            <w:r>
              <w:rPr>
                <w:rFonts w:hint="eastAsia" w:ascii="黑体" w:hAnsi="黑体" w:eastAsia="黑体"/>
                <w:color w:val="000000" w:themeColor="text1"/>
                <w:sz w:val="22"/>
                <w:szCs w:val="22"/>
                <w14:textFill>
                  <w14:solidFill>
                    <w14:schemeClr w14:val="tx1"/>
                  </w14:solidFill>
                </w14:textFill>
              </w:rPr>
              <w:t>正面</w:t>
            </w:r>
          </w:p>
        </w:tc>
        <w:tc>
          <w:tcPr>
            <w:tcW w:w="2500" w:type="pct"/>
            <w:vAlign w:val="center"/>
          </w:tcPr>
          <w:p w14:paraId="0A2FB6F1">
            <w:pPr>
              <w:pStyle w:val="35"/>
              <w:spacing w:line="460" w:lineRule="exact"/>
              <w:ind w:firstLine="0" w:firstLineChars="0"/>
              <w:jc w:val="center"/>
              <w:rPr>
                <w:rFonts w:ascii="黑体" w:hAnsi="黑体" w:eastAsia="黑体"/>
                <w:color w:val="000000" w:themeColor="text1"/>
                <w:sz w:val="22"/>
                <w:szCs w:val="22"/>
                <w14:textFill>
                  <w14:solidFill>
                    <w14:schemeClr w14:val="tx1"/>
                  </w14:solidFill>
                </w14:textFill>
              </w:rPr>
            </w:pPr>
            <w:r>
              <w:rPr>
                <w:rFonts w:hint="eastAsia" w:ascii="黑体" w:hAnsi="黑体" w:eastAsia="黑体"/>
                <w:color w:val="000000" w:themeColor="text1"/>
                <w:sz w:val="22"/>
                <w:szCs w:val="22"/>
                <w14:textFill>
                  <w14:solidFill>
                    <w14:schemeClr w14:val="tx1"/>
                  </w14:solidFill>
                </w14:textFill>
              </w:rPr>
              <w:t>背面</w:t>
            </w:r>
          </w:p>
        </w:tc>
      </w:tr>
    </w:tbl>
    <w:p w14:paraId="3F05414F">
      <w:pPr>
        <w:pStyle w:val="29"/>
        <w:pageBreakBefore/>
        <w:numPr>
          <w:ilvl w:val="0"/>
          <w:numId w:val="112"/>
        </w:numPr>
        <w:tabs>
          <w:tab w:val="left" w:pos="284"/>
          <w:tab w:val="left" w:pos="426"/>
        </w:tabs>
        <w:ind w:left="1679" w:hanging="1679" w:firstLineChars="0"/>
        <w:jc w:val="left"/>
        <w:rPr>
          <w:rFonts w:ascii="黑体" w:hAnsi="黑体" w:eastAsia="黑体"/>
          <w:b/>
          <w:bCs/>
        </w:rPr>
      </w:pPr>
      <w:bookmarkStart w:id="87" w:name="_Toc405313964"/>
      <w:bookmarkStart w:id="88" w:name="_Toc391627760"/>
      <w:r>
        <w:rPr>
          <w:rFonts w:hint="eastAsia" w:ascii="黑体" w:hAnsi="黑体" w:eastAsia="黑体"/>
          <w:b/>
          <w:bCs/>
        </w:rPr>
        <w:t>投标人基本情况说明</w:t>
      </w:r>
      <w:bookmarkEnd w:id="87"/>
      <w:bookmarkEnd w:id="88"/>
    </w:p>
    <w:p w14:paraId="47A744EC">
      <w:pPr>
        <w:spacing w:before="156" w:beforeLines="50" w:after="156" w:afterLines="50" w:line="360" w:lineRule="auto"/>
        <w:jc w:val="center"/>
        <w:rPr>
          <w:rFonts w:ascii="黑体" w:hAnsi="黑体" w:eastAsia="黑体"/>
          <w:b/>
          <w:color w:val="000000" w:themeColor="text1"/>
          <w:spacing w:val="20"/>
          <w:sz w:val="30"/>
          <w:szCs w:val="30"/>
          <w14:textFill>
            <w14:solidFill>
              <w14:schemeClr w14:val="tx1"/>
            </w14:solidFill>
          </w14:textFill>
        </w:rPr>
      </w:pPr>
      <w:r>
        <w:rPr>
          <w:rFonts w:hint="eastAsia" w:ascii="黑体" w:hAnsi="黑体" w:eastAsia="黑体"/>
          <w:b/>
          <w:color w:val="000000" w:themeColor="text1"/>
          <w:spacing w:val="20"/>
          <w:sz w:val="30"/>
          <w:szCs w:val="30"/>
          <w14:textFill>
            <w14:solidFill>
              <w14:schemeClr w14:val="tx1"/>
            </w14:solidFill>
          </w14:textFill>
        </w:rPr>
        <w:t>投标人基本情况说明</w:t>
      </w:r>
    </w:p>
    <w:p w14:paraId="770BE7AD">
      <w:pPr>
        <w:pStyle w:val="29"/>
        <w:numPr>
          <w:ilvl w:val="0"/>
          <w:numId w:val="120"/>
        </w:numPr>
        <w:spacing w:after="156" w:afterLines="50" w:line="360" w:lineRule="auto"/>
        <w:ind w:firstLineChars="0"/>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公司基本情况</w:t>
      </w:r>
    </w:p>
    <w:tbl>
      <w:tblPr>
        <w:tblStyle w:val="2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53"/>
        <w:gridCol w:w="2439"/>
        <w:gridCol w:w="1068"/>
        <w:gridCol w:w="1410"/>
        <w:gridCol w:w="2097"/>
      </w:tblGrid>
      <w:tr w14:paraId="5C222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1EC3BECD">
            <w:pPr>
              <w:spacing w:line="360" w:lineRule="auto"/>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公司名称：</w:t>
            </w:r>
            <w:r>
              <w:rPr>
                <w:rFonts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u w:val="single"/>
                <w14:textFill>
                  <w14:solidFill>
                    <w14:schemeClr w14:val="tx1"/>
                  </w14:solidFill>
                </w14:textFill>
              </w:rPr>
              <w:t xml:space="preserve">                    </w:t>
            </w:r>
            <w:r>
              <w:rPr>
                <w:rFonts w:ascii="黑体" w:hAnsi="黑体" w:eastAsia="黑体"/>
                <w:color w:val="000000" w:themeColor="text1"/>
                <w:szCs w:val="21"/>
                <w:u w:val="single"/>
                <w14:textFill>
                  <w14:solidFill>
                    <w14:schemeClr w14:val="tx1"/>
                  </w14:solidFill>
                </w14:textFill>
              </w:rPr>
              <w:t xml:space="preserve">    </w:t>
            </w:r>
            <w:r>
              <w:rPr>
                <w:rFonts w:ascii="黑体" w:hAnsi="黑体" w:eastAsia="黑体"/>
                <w:color w:val="000000" w:themeColor="text1"/>
                <w:szCs w:val="21"/>
                <w14:textFill>
                  <w14:solidFill>
                    <w14:schemeClr w14:val="tx1"/>
                  </w14:solidFill>
                </w14:textFill>
              </w:rPr>
              <w:t xml:space="preserve"> </w:t>
            </w:r>
          </w:p>
        </w:tc>
        <w:tc>
          <w:tcPr>
            <w:tcW w:w="2000" w:type="pct"/>
            <w:gridSpan w:val="2"/>
          </w:tcPr>
          <w:p w14:paraId="567B8820">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公司固话：</w:t>
            </w:r>
            <w:r>
              <w:rPr>
                <w:rFonts w:hint="eastAsia" w:ascii="黑体" w:hAnsi="黑体" w:eastAsia="黑体"/>
                <w:color w:val="000000" w:themeColor="text1"/>
                <w:szCs w:val="21"/>
                <w:u w:val="single"/>
                <w14:textFill>
                  <w14:solidFill>
                    <w14:schemeClr w14:val="tx1"/>
                  </w14:solidFill>
                </w14:textFill>
              </w:rPr>
              <w:t xml:space="preserve">                    </w:t>
            </w:r>
          </w:p>
        </w:tc>
      </w:tr>
      <w:tr w14:paraId="0FCE2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2498DB4E">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单位地址：</w:t>
            </w:r>
            <w:r>
              <w:rPr>
                <w:rFonts w:hint="eastAsia" w:ascii="黑体" w:hAnsi="黑体" w:eastAsia="黑体"/>
                <w:color w:val="000000" w:themeColor="text1"/>
                <w:szCs w:val="21"/>
                <w:u w:val="single"/>
                <w14:textFill>
                  <w14:solidFill>
                    <w14:schemeClr w14:val="tx1"/>
                  </w14:solidFill>
                </w14:textFill>
              </w:rPr>
              <w:t xml:space="preserve">                                    </w:t>
            </w:r>
          </w:p>
        </w:tc>
        <w:tc>
          <w:tcPr>
            <w:tcW w:w="2000" w:type="pct"/>
            <w:gridSpan w:val="2"/>
          </w:tcPr>
          <w:p w14:paraId="1722095E">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公司传真：</w:t>
            </w:r>
            <w:r>
              <w:rPr>
                <w:rFonts w:hint="eastAsia" w:ascii="黑体" w:hAnsi="黑体" w:eastAsia="黑体"/>
                <w:color w:val="000000" w:themeColor="text1"/>
                <w:szCs w:val="21"/>
                <w:u w:val="single"/>
                <w14:textFill>
                  <w14:solidFill>
                    <w14:schemeClr w14:val="tx1"/>
                  </w14:solidFill>
                </w14:textFill>
              </w:rPr>
              <w:t xml:space="preserve">                    </w:t>
            </w:r>
          </w:p>
        </w:tc>
      </w:tr>
      <w:tr w14:paraId="38DA74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71BA4346">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注册资金：</w:t>
            </w:r>
            <w:r>
              <w:rPr>
                <w:rFonts w:hint="eastAsia" w:ascii="黑体" w:hAnsi="黑体" w:eastAsia="黑体"/>
                <w:color w:val="000000" w:themeColor="text1"/>
                <w:szCs w:val="21"/>
                <w:u w:val="single"/>
                <w14:textFill>
                  <w14:solidFill>
                    <w14:schemeClr w14:val="tx1"/>
                  </w14:solidFill>
                </w14:textFill>
              </w:rPr>
              <w:t xml:space="preserve">                                    </w:t>
            </w:r>
          </w:p>
        </w:tc>
        <w:tc>
          <w:tcPr>
            <w:tcW w:w="2000" w:type="pct"/>
            <w:gridSpan w:val="2"/>
          </w:tcPr>
          <w:p w14:paraId="11B3C6B3">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单位性质：</w:t>
            </w:r>
            <w:r>
              <w:rPr>
                <w:rFonts w:hint="eastAsia" w:ascii="黑体" w:hAnsi="黑体" w:eastAsia="黑体"/>
                <w:color w:val="000000" w:themeColor="text1"/>
                <w:szCs w:val="21"/>
                <w:u w:val="single"/>
                <w14:textFill>
                  <w14:solidFill>
                    <w14:schemeClr w14:val="tx1"/>
                  </w14:solidFill>
                </w14:textFill>
              </w:rPr>
              <w:t xml:space="preserve">                    </w:t>
            </w:r>
          </w:p>
        </w:tc>
      </w:tr>
      <w:tr w14:paraId="3661E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2FBA0A47">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公司开户银行名称：</w:t>
            </w:r>
            <w:r>
              <w:rPr>
                <w:rFonts w:hint="eastAsia" w:ascii="黑体" w:hAnsi="黑体" w:eastAsia="黑体"/>
                <w:color w:val="000000" w:themeColor="text1"/>
                <w:szCs w:val="21"/>
                <w:u w:val="single"/>
                <w14:textFill>
                  <w14:solidFill>
                    <w14:schemeClr w14:val="tx1"/>
                  </w14:solidFill>
                </w14:textFill>
              </w:rPr>
              <w:t xml:space="preserve">                            </w:t>
            </w:r>
          </w:p>
        </w:tc>
        <w:tc>
          <w:tcPr>
            <w:tcW w:w="2000" w:type="pct"/>
            <w:gridSpan w:val="2"/>
          </w:tcPr>
          <w:p w14:paraId="0F2916F2">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开户账号：</w:t>
            </w:r>
            <w:r>
              <w:rPr>
                <w:rFonts w:hint="eastAsia" w:ascii="黑体" w:hAnsi="黑体" w:eastAsia="黑体"/>
                <w:color w:val="000000" w:themeColor="text1"/>
                <w:szCs w:val="21"/>
                <w:u w:val="single"/>
                <w14:textFill>
                  <w14:solidFill>
                    <w14:schemeClr w14:val="tx1"/>
                  </w14:solidFill>
                </w14:textFill>
              </w:rPr>
              <w:t xml:space="preserve">                    </w:t>
            </w:r>
          </w:p>
        </w:tc>
      </w:tr>
      <w:tr w14:paraId="6EA312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5"/>
          </w:tcPr>
          <w:p w14:paraId="656F01C0">
            <w:pPr>
              <w:spacing w:line="360" w:lineRule="auto"/>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营业注册执照</w:t>
            </w:r>
            <w:r>
              <w:rPr>
                <w:rFonts w:hint="eastAsia" w:ascii="黑体" w:hAnsi="黑体" w:eastAsia="黑体"/>
                <w:color w:val="000000" w:themeColor="text1"/>
                <w:szCs w:val="21"/>
                <w14:textFill>
                  <w14:solidFill>
                    <w14:schemeClr w14:val="tx1"/>
                  </w14:solidFill>
                </w14:textFill>
              </w:rPr>
              <w:t>或事业单位法人证书</w:t>
            </w:r>
            <w:r>
              <w:rPr>
                <w:rFonts w:ascii="黑体" w:hAnsi="黑体" w:eastAsia="黑体"/>
                <w:color w:val="000000" w:themeColor="text1"/>
                <w:szCs w:val="21"/>
                <w14:textFill>
                  <w14:solidFill>
                    <w14:schemeClr w14:val="tx1"/>
                  </w14:solidFill>
                </w14:textFill>
              </w:rPr>
              <w:t>号</w:t>
            </w:r>
            <w:r>
              <w:rPr>
                <w:rFonts w:hint="eastAsia" w:ascii="黑体" w:hAnsi="黑体" w:eastAsia="黑体"/>
                <w:color w:val="000000" w:themeColor="text1"/>
                <w:szCs w:val="21"/>
                <w14:textFill>
                  <w14:solidFill>
                    <w14:schemeClr w14:val="tx1"/>
                  </w14:solidFill>
                </w14:textFill>
              </w:rPr>
              <w:t>：</w:t>
            </w:r>
            <w:r>
              <w:rPr>
                <w:rFonts w:hint="eastAsia" w:ascii="黑体" w:hAnsi="黑体" w:eastAsia="黑体"/>
                <w:color w:val="000000" w:themeColor="text1"/>
                <w:szCs w:val="21"/>
                <w:u w:val="single"/>
                <w14:textFill>
                  <w14:solidFill>
                    <w14:schemeClr w14:val="tx1"/>
                  </w14:solidFill>
                </w14:textFill>
              </w:rPr>
              <w:t xml:space="preserve">                                             </w:t>
            </w:r>
          </w:p>
        </w:tc>
      </w:tr>
      <w:tr w14:paraId="6D6EE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jc w:val="center"/>
        </w:trPr>
        <w:tc>
          <w:tcPr>
            <w:tcW w:w="5000" w:type="pct"/>
            <w:gridSpan w:val="5"/>
          </w:tcPr>
          <w:p w14:paraId="00FFB928">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公司财务状况：（如有）                                  【价格单位：（人民币）元】</w:t>
            </w:r>
          </w:p>
        </w:tc>
      </w:tr>
      <w:tr w14:paraId="34C7F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vAlign w:val="center"/>
          </w:tcPr>
          <w:p w14:paraId="52508D05">
            <w:pPr>
              <w:spacing w:line="360" w:lineRule="auto"/>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年  度</w:t>
            </w:r>
          </w:p>
        </w:tc>
        <w:tc>
          <w:tcPr>
            <w:tcW w:w="1391" w:type="pct"/>
            <w:tcBorders>
              <w:top w:val="single" w:color="auto" w:sz="6" w:space="0"/>
              <w:left w:val="single" w:color="auto" w:sz="6" w:space="0"/>
              <w:bottom w:val="single" w:color="auto" w:sz="6" w:space="0"/>
              <w:right w:val="single" w:color="auto" w:sz="6" w:space="0"/>
            </w:tcBorders>
            <w:vAlign w:val="center"/>
          </w:tcPr>
          <w:p w14:paraId="773EDE0B">
            <w:pPr>
              <w:spacing w:line="360" w:lineRule="auto"/>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总资产（元）</w:t>
            </w:r>
          </w:p>
        </w:tc>
        <w:tc>
          <w:tcPr>
            <w:tcW w:w="1413" w:type="pct"/>
            <w:gridSpan w:val="2"/>
            <w:tcBorders>
              <w:top w:val="single" w:color="auto" w:sz="6" w:space="0"/>
              <w:left w:val="single" w:color="auto" w:sz="6" w:space="0"/>
              <w:bottom w:val="single" w:color="auto" w:sz="6" w:space="0"/>
              <w:right w:val="single" w:color="auto" w:sz="6" w:space="0"/>
            </w:tcBorders>
            <w:vAlign w:val="center"/>
          </w:tcPr>
          <w:p w14:paraId="41D9350C">
            <w:pPr>
              <w:spacing w:line="360" w:lineRule="auto"/>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年营业额（元）</w:t>
            </w:r>
          </w:p>
        </w:tc>
        <w:tc>
          <w:tcPr>
            <w:tcW w:w="1197" w:type="pct"/>
            <w:tcBorders>
              <w:top w:val="single" w:color="auto" w:sz="6" w:space="0"/>
              <w:left w:val="single" w:color="auto" w:sz="6" w:space="0"/>
              <w:bottom w:val="single" w:color="auto" w:sz="6" w:space="0"/>
              <w:right w:val="single" w:color="auto" w:sz="6" w:space="0"/>
            </w:tcBorders>
            <w:vAlign w:val="center"/>
          </w:tcPr>
          <w:p w14:paraId="44D4DA50">
            <w:pPr>
              <w:spacing w:line="360" w:lineRule="auto"/>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年净利润（元）</w:t>
            </w:r>
          </w:p>
        </w:tc>
      </w:tr>
      <w:tr w14:paraId="7004F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14:paraId="766C95B8">
            <w:pPr>
              <w:spacing w:line="360" w:lineRule="auto"/>
              <w:rPr>
                <w:rFonts w:ascii="黑体" w:hAnsi="黑体" w:eastAsia="黑体"/>
                <w:color w:val="000000" w:themeColor="text1"/>
                <w:szCs w:val="21"/>
                <w14:textFill>
                  <w14:solidFill>
                    <w14:schemeClr w14:val="tx1"/>
                  </w14:solidFill>
                </w14:textFill>
              </w:rPr>
            </w:pPr>
          </w:p>
        </w:tc>
        <w:tc>
          <w:tcPr>
            <w:tcW w:w="1391" w:type="pct"/>
            <w:tcBorders>
              <w:top w:val="single" w:color="auto" w:sz="6" w:space="0"/>
              <w:left w:val="single" w:color="auto" w:sz="6" w:space="0"/>
              <w:bottom w:val="single" w:color="auto" w:sz="6" w:space="0"/>
              <w:right w:val="single" w:color="auto" w:sz="6" w:space="0"/>
            </w:tcBorders>
          </w:tcPr>
          <w:p w14:paraId="3EB8B4B9">
            <w:pPr>
              <w:spacing w:line="360" w:lineRule="auto"/>
              <w:rPr>
                <w:rFonts w:ascii="黑体" w:hAnsi="黑体" w:eastAsia="黑体"/>
                <w:color w:val="000000" w:themeColor="text1"/>
                <w:szCs w:val="21"/>
                <w14:textFill>
                  <w14:solidFill>
                    <w14:schemeClr w14:val="tx1"/>
                  </w14:solidFill>
                </w14:textFill>
              </w:rPr>
            </w:pPr>
          </w:p>
        </w:tc>
        <w:tc>
          <w:tcPr>
            <w:tcW w:w="1413" w:type="pct"/>
            <w:gridSpan w:val="2"/>
            <w:tcBorders>
              <w:top w:val="single" w:color="auto" w:sz="6" w:space="0"/>
              <w:left w:val="single" w:color="auto" w:sz="6" w:space="0"/>
              <w:bottom w:val="single" w:color="auto" w:sz="6" w:space="0"/>
              <w:right w:val="single" w:color="auto" w:sz="6" w:space="0"/>
            </w:tcBorders>
          </w:tcPr>
          <w:p w14:paraId="4EF9E0DE">
            <w:pPr>
              <w:spacing w:line="360" w:lineRule="auto"/>
              <w:rPr>
                <w:rFonts w:ascii="黑体" w:hAnsi="黑体" w:eastAsia="黑体"/>
                <w:color w:val="000000" w:themeColor="text1"/>
                <w:szCs w:val="21"/>
                <w14:textFill>
                  <w14:solidFill>
                    <w14:schemeClr w14:val="tx1"/>
                  </w14:solidFill>
                </w14:textFill>
              </w:rPr>
            </w:pPr>
          </w:p>
        </w:tc>
        <w:tc>
          <w:tcPr>
            <w:tcW w:w="1197" w:type="pct"/>
            <w:tcBorders>
              <w:top w:val="single" w:color="auto" w:sz="6" w:space="0"/>
              <w:left w:val="single" w:color="auto" w:sz="6" w:space="0"/>
              <w:bottom w:val="single" w:color="auto" w:sz="6" w:space="0"/>
              <w:right w:val="single" w:color="auto" w:sz="6" w:space="0"/>
            </w:tcBorders>
          </w:tcPr>
          <w:p w14:paraId="63347F4F">
            <w:pPr>
              <w:spacing w:line="360" w:lineRule="auto"/>
              <w:rPr>
                <w:rFonts w:ascii="黑体" w:hAnsi="黑体" w:eastAsia="黑体"/>
                <w:color w:val="000000" w:themeColor="text1"/>
                <w:szCs w:val="21"/>
                <w14:textFill>
                  <w14:solidFill>
                    <w14:schemeClr w14:val="tx1"/>
                  </w14:solidFill>
                </w14:textFill>
              </w:rPr>
            </w:pPr>
          </w:p>
        </w:tc>
      </w:tr>
      <w:tr w14:paraId="1F8E3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14:paraId="08B7B2D2">
            <w:pPr>
              <w:spacing w:line="360" w:lineRule="auto"/>
              <w:rPr>
                <w:rFonts w:ascii="黑体" w:hAnsi="黑体" w:eastAsia="黑体"/>
                <w:color w:val="000000" w:themeColor="text1"/>
                <w:szCs w:val="21"/>
                <w14:textFill>
                  <w14:solidFill>
                    <w14:schemeClr w14:val="tx1"/>
                  </w14:solidFill>
                </w14:textFill>
              </w:rPr>
            </w:pPr>
          </w:p>
        </w:tc>
        <w:tc>
          <w:tcPr>
            <w:tcW w:w="1391" w:type="pct"/>
            <w:tcBorders>
              <w:top w:val="single" w:color="auto" w:sz="6" w:space="0"/>
              <w:left w:val="single" w:color="auto" w:sz="6" w:space="0"/>
              <w:bottom w:val="single" w:color="auto" w:sz="6" w:space="0"/>
              <w:right w:val="single" w:color="auto" w:sz="6" w:space="0"/>
            </w:tcBorders>
          </w:tcPr>
          <w:p w14:paraId="0A53CE47">
            <w:pPr>
              <w:spacing w:line="360" w:lineRule="auto"/>
              <w:rPr>
                <w:rFonts w:ascii="黑体" w:hAnsi="黑体" w:eastAsia="黑体"/>
                <w:color w:val="000000" w:themeColor="text1"/>
                <w:szCs w:val="21"/>
                <w14:textFill>
                  <w14:solidFill>
                    <w14:schemeClr w14:val="tx1"/>
                  </w14:solidFill>
                </w14:textFill>
              </w:rPr>
            </w:pPr>
          </w:p>
        </w:tc>
        <w:tc>
          <w:tcPr>
            <w:tcW w:w="1413" w:type="pct"/>
            <w:gridSpan w:val="2"/>
            <w:tcBorders>
              <w:top w:val="single" w:color="auto" w:sz="6" w:space="0"/>
              <w:left w:val="single" w:color="auto" w:sz="6" w:space="0"/>
              <w:bottom w:val="single" w:color="auto" w:sz="6" w:space="0"/>
              <w:right w:val="single" w:color="auto" w:sz="6" w:space="0"/>
            </w:tcBorders>
          </w:tcPr>
          <w:p w14:paraId="4C1D1ECF">
            <w:pPr>
              <w:spacing w:line="360" w:lineRule="auto"/>
              <w:rPr>
                <w:rFonts w:ascii="黑体" w:hAnsi="黑体" w:eastAsia="黑体"/>
                <w:color w:val="000000" w:themeColor="text1"/>
                <w:szCs w:val="21"/>
                <w14:textFill>
                  <w14:solidFill>
                    <w14:schemeClr w14:val="tx1"/>
                  </w14:solidFill>
                </w14:textFill>
              </w:rPr>
            </w:pPr>
          </w:p>
        </w:tc>
        <w:tc>
          <w:tcPr>
            <w:tcW w:w="1197" w:type="pct"/>
            <w:tcBorders>
              <w:top w:val="single" w:color="auto" w:sz="6" w:space="0"/>
              <w:left w:val="single" w:color="auto" w:sz="6" w:space="0"/>
              <w:bottom w:val="single" w:color="auto" w:sz="6" w:space="0"/>
              <w:right w:val="single" w:color="auto" w:sz="6" w:space="0"/>
            </w:tcBorders>
          </w:tcPr>
          <w:p w14:paraId="1433BAB3">
            <w:pPr>
              <w:spacing w:line="360" w:lineRule="auto"/>
              <w:rPr>
                <w:rFonts w:ascii="黑体" w:hAnsi="黑体" w:eastAsia="黑体"/>
                <w:color w:val="000000" w:themeColor="text1"/>
                <w:szCs w:val="21"/>
                <w14:textFill>
                  <w14:solidFill>
                    <w14:schemeClr w14:val="tx1"/>
                  </w14:solidFill>
                </w14:textFill>
              </w:rPr>
            </w:pPr>
          </w:p>
        </w:tc>
      </w:tr>
    </w:tbl>
    <w:p w14:paraId="2D738ED1">
      <w:pPr>
        <w:pStyle w:val="29"/>
        <w:numPr>
          <w:ilvl w:val="0"/>
          <w:numId w:val="120"/>
        </w:numPr>
        <w:spacing w:after="156" w:afterLines="50" w:line="360" w:lineRule="auto"/>
        <w:ind w:firstLineChars="0"/>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投标人获得国家有关部门颁发的资质证明</w:t>
      </w:r>
      <w:r>
        <w:rPr>
          <w:rFonts w:hint="eastAsia" w:ascii="黑体" w:hAnsi="黑体" w:eastAsia="黑体"/>
          <w:color w:val="000000" w:themeColor="text1"/>
          <w:szCs w:val="21"/>
          <w14:textFill>
            <w14:solidFill>
              <w14:schemeClr w14:val="tx1"/>
            </w14:solidFill>
          </w14:textFill>
        </w:rPr>
        <w:t>或荣誉</w:t>
      </w:r>
      <w:r>
        <w:rPr>
          <w:rFonts w:ascii="黑体" w:hAnsi="黑体" w:eastAsia="黑体"/>
          <w:color w:val="000000" w:themeColor="text1"/>
          <w:szCs w:val="21"/>
          <w14:textFill>
            <w14:solidFill>
              <w14:schemeClr w14:val="tx1"/>
            </w14:solidFill>
          </w14:textFill>
        </w:rPr>
        <w:t>：</w:t>
      </w:r>
      <w:r>
        <w:rPr>
          <w:rFonts w:hint="eastAsia" w:ascii="黑体" w:hAnsi="黑体" w:eastAsia="黑体"/>
          <w:color w:val="000000" w:themeColor="text1"/>
          <w:szCs w:val="21"/>
          <w14:textFill>
            <w14:solidFill>
              <w14:schemeClr w14:val="tx1"/>
            </w14:solidFill>
          </w14:textFill>
        </w:rPr>
        <w:t>（如有）</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1"/>
        <w:gridCol w:w="2192"/>
        <w:gridCol w:w="2192"/>
        <w:gridCol w:w="2192"/>
      </w:tblGrid>
      <w:tr w14:paraId="248A3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vAlign w:val="center"/>
          </w:tcPr>
          <w:p w14:paraId="453AA8D0">
            <w:pPr>
              <w:spacing w:line="360" w:lineRule="auto"/>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证书名称</w:t>
            </w:r>
          </w:p>
        </w:tc>
        <w:tc>
          <w:tcPr>
            <w:tcW w:w="1250" w:type="pct"/>
            <w:vAlign w:val="center"/>
          </w:tcPr>
          <w:p w14:paraId="766B18F0">
            <w:pPr>
              <w:spacing w:line="360" w:lineRule="auto"/>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发证单位</w:t>
            </w:r>
          </w:p>
        </w:tc>
        <w:tc>
          <w:tcPr>
            <w:tcW w:w="1250" w:type="pct"/>
            <w:vAlign w:val="center"/>
          </w:tcPr>
          <w:p w14:paraId="05A8A62D">
            <w:pPr>
              <w:spacing w:line="360" w:lineRule="auto"/>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证书等级</w:t>
            </w:r>
          </w:p>
        </w:tc>
        <w:tc>
          <w:tcPr>
            <w:tcW w:w="1250" w:type="pct"/>
            <w:vAlign w:val="center"/>
          </w:tcPr>
          <w:p w14:paraId="31FBD0E9">
            <w:pPr>
              <w:spacing w:line="360" w:lineRule="auto"/>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证书有效期</w:t>
            </w:r>
          </w:p>
        </w:tc>
      </w:tr>
      <w:tr w14:paraId="04613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14:paraId="65403F9C">
            <w:pPr>
              <w:spacing w:line="360" w:lineRule="auto"/>
              <w:rPr>
                <w:rFonts w:ascii="黑体" w:hAnsi="黑体" w:eastAsia="黑体"/>
                <w:color w:val="000000" w:themeColor="text1"/>
                <w:szCs w:val="21"/>
                <w14:textFill>
                  <w14:solidFill>
                    <w14:schemeClr w14:val="tx1"/>
                  </w14:solidFill>
                </w14:textFill>
              </w:rPr>
            </w:pPr>
          </w:p>
        </w:tc>
        <w:tc>
          <w:tcPr>
            <w:tcW w:w="1250" w:type="pct"/>
          </w:tcPr>
          <w:p w14:paraId="6CD540F3">
            <w:pPr>
              <w:spacing w:line="360" w:lineRule="auto"/>
              <w:rPr>
                <w:rFonts w:ascii="黑体" w:hAnsi="黑体" w:eastAsia="黑体"/>
                <w:color w:val="000000" w:themeColor="text1"/>
                <w:szCs w:val="21"/>
                <w14:textFill>
                  <w14:solidFill>
                    <w14:schemeClr w14:val="tx1"/>
                  </w14:solidFill>
                </w14:textFill>
              </w:rPr>
            </w:pPr>
          </w:p>
        </w:tc>
        <w:tc>
          <w:tcPr>
            <w:tcW w:w="1250" w:type="pct"/>
          </w:tcPr>
          <w:p w14:paraId="4C299F17">
            <w:pPr>
              <w:spacing w:line="360" w:lineRule="auto"/>
              <w:rPr>
                <w:rFonts w:ascii="黑体" w:hAnsi="黑体" w:eastAsia="黑体"/>
                <w:color w:val="000000" w:themeColor="text1"/>
                <w:szCs w:val="21"/>
                <w14:textFill>
                  <w14:solidFill>
                    <w14:schemeClr w14:val="tx1"/>
                  </w14:solidFill>
                </w14:textFill>
              </w:rPr>
            </w:pPr>
          </w:p>
        </w:tc>
        <w:tc>
          <w:tcPr>
            <w:tcW w:w="1250" w:type="pct"/>
          </w:tcPr>
          <w:p w14:paraId="73C91616">
            <w:pPr>
              <w:spacing w:line="360" w:lineRule="auto"/>
              <w:rPr>
                <w:rFonts w:ascii="黑体" w:hAnsi="黑体" w:eastAsia="黑体"/>
                <w:color w:val="000000" w:themeColor="text1"/>
                <w:szCs w:val="21"/>
                <w14:textFill>
                  <w14:solidFill>
                    <w14:schemeClr w14:val="tx1"/>
                  </w14:solidFill>
                </w14:textFill>
              </w:rPr>
            </w:pPr>
          </w:p>
        </w:tc>
      </w:tr>
      <w:tr w14:paraId="5C7EE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14:paraId="2085733A">
            <w:pPr>
              <w:spacing w:line="360" w:lineRule="auto"/>
              <w:rPr>
                <w:rFonts w:ascii="黑体" w:hAnsi="黑体" w:eastAsia="黑体"/>
                <w:color w:val="000000" w:themeColor="text1"/>
                <w:szCs w:val="21"/>
                <w14:textFill>
                  <w14:solidFill>
                    <w14:schemeClr w14:val="tx1"/>
                  </w14:solidFill>
                </w14:textFill>
              </w:rPr>
            </w:pPr>
          </w:p>
        </w:tc>
        <w:tc>
          <w:tcPr>
            <w:tcW w:w="1250" w:type="pct"/>
          </w:tcPr>
          <w:p w14:paraId="3AA229F9">
            <w:pPr>
              <w:spacing w:line="360" w:lineRule="auto"/>
              <w:rPr>
                <w:rFonts w:ascii="黑体" w:hAnsi="黑体" w:eastAsia="黑体"/>
                <w:color w:val="000000" w:themeColor="text1"/>
                <w:szCs w:val="21"/>
                <w14:textFill>
                  <w14:solidFill>
                    <w14:schemeClr w14:val="tx1"/>
                  </w14:solidFill>
                </w14:textFill>
              </w:rPr>
            </w:pPr>
          </w:p>
        </w:tc>
        <w:tc>
          <w:tcPr>
            <w:tcW w:w="1250" w:type="pct"/>
          </w:tcPr>
          <w:p w14:paraId="7A310E3E">
            <w:pPr>
              <w:spacing w:line="360" w:lineRule="auto"/>
              <w:rPr>
                <w:rFonts w:ascii="黑体" w:hAnsi="黑体" w:eastAsia="黑体"/>
                <w:color w:val="000000" w:themeColor="text1"/>
                <w:szCs w:val="21"/>
                <w14:textFill>
                  <w14:solidFill>
                    <w14:schemeClr w14:val="tx1"/>
                  </w14:solidFill>
                </w14:textFill>
              </w:rPr>
            </w:pPr>
          </w:p>
        </w:tc>
        <w:tc>
          <w:tcPr>
            <w:tcW w:w="1250" w:type="pct"/>
          </w:tcPr>
          <w:p w14:paraId="46FC6A17">
            <w:pPr>
              <w:spacing w:line="360" w:lineRule="auto"/>
              <w:rPr>
                <w:rFonts w:ascii="黑体" w:hAnsi="黑体" w:eastAsia="黑体"/>
                <w:color w:val="000000" w:themeColor="text1"/>
                <w:szCs w:val="21"/>
                <w14:textFill>
                  <w14:solidFill>
                    <w14:schemeClr w14:val="tx1"/>
                  </w14:solidFill>
                </w14:textFill>
              </w:rPr>
            </w:pPr>
          </w:p>
        </w:tc>
      </w:tr>
    </w:tbl>
    <w:p w14:paraId="0A8D8540">
      <w:pPr>
        <w:spacing w:before="156" w:beforeLines="50" w:after="624" w:afterLines="200" w:line="360" w:lineRule="auto"/>
        <w:rPr>
          <w:rFonts w:ascii="黑体" w:hAnsi="黑体" w:eastAsia="黑体" w:cs="Times New Roman"/>
          <w:color w:val="000000" w:themeColor="text1"/>
          <w:szCs w:val="21"/>
          <w14:textFill>
            <w14:solidFill>
              <w14:schemeClr w14:val="tx1"/>
            </w14:solidFill>
          </w14:textFill>
        </w:rPr>
      </w:pPr>
      <w:r>
        <w:rPr>
          <w:rFonts w:hint="eastAsia" w:ascii="黑体" w:hAnsi="黑体" w:eastAsia="黑体" w:cs="Times New Roman"/>
          <w:color w:val="000000" w:themeColor="text1"/>
          <w:szCs w:val="21"/>
          <w14:textFill>
            <w14:solidFill>
              <w14:schemeClr w14:val="tx1"/>
            </w14:solidFill>
          </w14:textFill>
        </w:rPr>
        <w:t>兹证明上述声明是真实、正确的，并提供了全部能提供的资料和数据，我方同意遵照贵方要求出示有关证明文件。</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3E64C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723D9893">
            <w:pPr>
              <w:overflowPunct w:val="0"/>
              <w:adjustRightInd w:val="0"/>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投标人名称（加盖公章）：</w:t>
            </w:r>
            <w:r>
              <w:rPr>
                <w:rFonts w:hint="eastAsia" w:ascii="黑体" w:hAnsi="黑体" w:eastAsia="黑体"/>
                <w:color w:val="000000" w:themeColor="text1"/>
                <w:szCs w:val="21"/>
                <w:u w:val="single"/>
                <w14:textFill>
                  <w14:solidFill>
                    <w14:schemeClr w14:val="tx1"/>
                  </w14:solidFill>
                </w14:textFill>
              </w:rPr>
              <w:t xml:space="preserve">                         </w:t>
            </w:r>
          </w:p>
        </w:tc>
        <w:tc>
          <w:tcPr>
            <w:tcW w:w="3175" w:type="dxa"/>
          </w:tcPr>
          <w:p w14:paraId="401345AD">
            <w:pPr>
              <w:spacing w:line="360" w:lineRule="auto"/>
              <w:rPr>
                <w:rFonts w:ascii="黑体" w:hAnsi="黑体" w:eastAsia="黑体"/>
                <w:color w:val="000000" w:themeColor="text1"/>
                <w:szCs w:val="21"/>
                <w14:textFill>
                  <w14:solidFill>
                    <w14:schemeClr w14:val="tx1"/>
                  </w14:solidFill>
                </w14:textFill>
              </w:rPr>
            </w:pPr>
          </w:p>
        </w:tc>
      </w:tr>
      <w:tr w14:paraId="1066BE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3AD36DB8">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日期：</w:t>
            </w:r>
            <w:r>
              <w:rPr>
                <w:rFonts w:hint="eastAsia" w:ascii="黑体" w:hAnsi="黑体" w:eastAsia="黑体"/>
                <w:color w:val="000000" w:themeColor="text1"/>
                <w:szCs w:val="21"/>
                <w:u w:val="single"/>
                <w14:textFill>
                  <w14:solidFill>
                    <w14:schemeClr w14:val="tx1"/>
                  </w14:solidFill>
                </w14:textFill>
              </w:rPr>
              <w:t xml:space="preserve">             年           月            日</w:t>
            </w:r>
          </w:p>
        </w:tc>
        <w:tc>
          <w:tcPr>
            <w:tcW w:w="3175" w:type="dxa"/>
          </w:tcPr>
          <w:p w14:paraId="5C24F20D">
            <w:pPr>
              <w:spacing w:line="360" w:lineRule="auto"/>
              <w:rPr>
                <w:rFonts w:ascii="黑体" w:hAnsi="黑体" w:eastAsia="黑体"/>
                <w:color w:val="000000" w:themeColor="text1"/>
                <w:szCs w:val="21"/>
                <w14:textFill>
                  <w14:solidFill>
                    <w14:schemeClr w14:val="tx1"/>
                  </w14:solidFill>
                </w14:textFill>
              </w:rPr>
            </w:pPr>
          </w:p>
        </w:tc>
      </w:tr>
    </w:tbl>
    <w:p w14:paraId="19D441DA">
      <w:pPr>
        <w:pageBreakBefore/>
        <w:rPr>
          <w:rFonts w:ascii="黑体" w:hAnsi="黑体" w:eastAsia="黑体"/>
          <w:b/>
          <w:bCs/>
        </w:rPr>
      </w:pPr>
      <w:bookmarkStart w:id="89" w:name="_Toc391627761"/>
      <w:bookmarkStart w:id="90" w:name="_Toc405313965"/>
      <w:r>
        <w:rPr>
          <w:rFonts w:hint="eastAsia" w:ascii="黑体" w:hAnsi="黑体" w:eastAsia="黑体"/>
          <w:b/>
          <w:bCs/>
        </w:rPr>
        <w:t>1</w:t>
      </w:r>
      <w:r>
        <w:rPr>
          <w:rFonts w:ascii="黑体" w:hAnsi="黑体" w:eastAsia="黑体"/>
          <w:b/>
          <w:bCs/>
        </w:rPr>
        <w:t>4.1</w:t>
      </w:r>
      <w:r>
        <w:rPr>
          <w:rFonts w:hint="eastAsia" w:ascii="黑体" w:hAnsi="黑体" w:eastAsia="黑体"/>
          <w:b/>
          <w:bCs/>
        </w:rPr>
        <w:t>投标人资格证明文件</w:t>
      </w:r>
    </w:p>
    <w:bookmarkEnd w:id="89"/>
    <w:bookmarkEnd w:id="90"/>
    <w:p w14:paraId="2B519E02">
      <w:pPr>
        <w:spacing w:line="360" w:lineRule="auto"/>
        <w:rPr>
          <w:rFonts w:ascii="黑体" w:hAnsi="黑体" w:eastAsia="黑体"/>
          <w:color w:val="000000" w:themeColor="text1"/>
          <w:szCs w:val="21"/>
          <w14:textFill>
            <w14:solidFill>
              <w14:schemeClr w14:val="tx1"/>
            </w14:solidFill>
          </w14:textFill>
        </w:rPr>
      </w:pPr>
    </w:p>
    <w:p w14:paraId="752783DF">
      <w:pPr>
        <w:pStyle w:val="29"/>
        <w:pageBreakBefore/>
        <w:numPr>
          <w:ilvl w:val="0"/>
          <w:numId w:val="112"/>
        </w:numPr>
        <w:tabs>
          <w:tab w:val="left" w:pos="284"/>
          <w:tab w:val="left" w:pos="567"/>
          <w:tab w:val="left" w:pos="709"/>
        </w:tabs>
        <w:ind w:left="1679" w:hanging="1537" w:firstLineChars="0"/>
        <w:jc w:val="left"/>
        <w:rPr>
          <w:rFonts w:ascii="黑体" w:hAnsi="黑体" w:eastAsia="黑体"/>
          <w:b/>
          <w:bCs/>
        </w:rPr>
      </w:pPr>
      <w:bookmarkStart w:id="91" w:name="_Toc391627765"/>
      <w:bookmarkStart w:id="92" w:name="_Toc405313968"/>
      <w:r>
        <w:rPr>
          <w:rFonts w:ascii="黑体" w:hAnsi="黑体" w:eastAsia="黑体"/>
          <w:b/>
          <w:bCs/>
        </w:rPr>
        <w:t>业绩表</w:t>
      </w:r>
      <w:bookmarkEnd w:id="91"/>
      <w:bookmarkEnd w:id="92"/>
    </w:p>
    <w:p w14:paraId="07FAF75A">
      <w:pPr>
        <w:spacing w:before="312" w:beforeLines="100" w:after="468" w:afterLines="150" w:line="360" w:lineRule="auto"/>
        <w:jc w:val="center"/>
        <w:rPr>
          <w:rFonts w:ascii="黑体" w:hAnsi="黑体" w:eastAsia="黑体"/>
          <w:b/>
          <w:color w:val="000000" w:themeColor="text1"/>
          <w:spacing w:val="20"/>
          <w:sz w:val="30"/>
          <w:szCs w:val="30"/>
          <w14:textFill>
            <w14:solidFill>
              <w14:schemeClr w14:val="tx1"/>
            </w14:solidFill>
          </w14:textFill>
        </w:rPr>
      </w:pPr>
      <w:r>
        <w:rPr>
          <w:rFonts w:hint="eastAsia" w:ascii="黑体" w:hAnsi="黑体" w:eastAsia="黑体"/>
          <w:b/>
          <w:color w:val="000000" w:themeColor="text1"/>
          <w:spacing w:val="20"/>
          <w:sz w:val="30"/>
          <w:szCs w:val="30"/>
          <w14:textFill>
            <w14:solidFill>
              <w14:schemeClr w14:val="tx1"/>
            </w14:solidFill>
          </w14:textFill>
        </w:rPr>
        <w:t>业绩表</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2362"/>
        <w:gridCol w:w="1606"/>
        <w:gridCol w:w="1601"/>
        <w:gridCol w:w="1456"/>
        <w:gridCol w:w="1079"/>
      </w:tblGrid>
      <w:tr w14:paraId="02235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1" w:hRule="atLeast"/>
          <w:jc w:val="center"/>
        </w:trPr>
        <w:tc>
          <w:tcPr>
            <w:tcW w:w="378" w:type="pct"/>
            <w:vAlign w:val="center"/>
          </w:tcPr>
          <w:p w14:paraId="7D77A50D">
            <w:pPr>
              <w:spacing w:before="156" w:after="156" w:line="240" w:lineRule="exact"/>
              <w:jc w:val="center"/>
              <w:rPr>
                <w:rFonts w:ascii="黑体" w:hAnsi="黑体" w:eastAsia="黑体"/>
                <w:b/>
                <w:bCs/>
                <w:szCs w:val="21"/>
              </w:rPr>
            </w:pPr>
            <w:r>
              <w:rPr>
                <w:rFonts w:ascii="黑体" w:hAnsi="黑体" w:eastAsia="黑体"/>
                <w:b/>
                <w:bCs/>
                <w:szCs w:val="21"/>
              </w:rPr>
              <w:t>序号</w:t>
            </w:r>
          </w:p>
        </w:tc>
        <w:tc>
          <w:tcPr>
            <w:tcW w:w="1347" w:type="pct"/>
            <w:vAlign w:val="center"/>
          </w:tcPr>
          <w:p w14:paraId="7203E280">
            <w:pPr>
              <w:spacing w:before="156" w:after="156" w:line="240" w:lineRule="exact"/>
              <w:jc w:val="center"/>
              <w:rPr>
                <w:rFonts w:ascii="黑体" w:hAnsi="黑体" w:eastAsia="黑体"/>
                <w:b/>
                <w:bCs/>
                <w:szCs w:val="21"/>
              </w:rPr>
            </w:pPr>
            <w:r>
              <w:rPr>
                <w:rFonts w:hint="eastAsia" w:ascii="黑体" w:hAnsi="黑体" w:eastAsia="黑体"/>
                <w:b/>
                <w:bCs/>
                <w:szCs w:val="21"/>
              </w:rPr>
              <w:t>项目名称</w:t>
            </w:r>
          </w:p>
        </w:tc>
        <w:tc>
          <w:tcPr>
            <w:tcW w:w="916" w:type="pct"/>
            <w:vAlign w:val="center"/>
          </w:tcPr>
          <w:p w14:paraId="1A152F3B">
            <w:pPr>
              <w:spacing w:before="156" w:after="156" w:line="240" w:lineRule="exact"/>
              <w:jc w:val="center"/>
              <w:rPr>
                <w:rFonts w:ascii="黑体" w:hAnsi="黑体" w:eastAsia="黑体"/>
                <w:b/>
                <w:bCs/>
                <w:szCs w:val="21"/>
              </w:rPr>
            </w:pPr>
            <w:r>
              <w:rPr>
                <w:rFonts w:hint="eastAsia" w:ascii="黑体" w:hAnsi="黑体" w:eastAsia="黑体"/>
                <w:b/>
                <w:bCs/>
                <w:szCs w:val="21"/>
              </w:rPr>
              <w:t>合同金额</w:t>
            </w:r>
          </w:p>
        </w:tc>
        <w:tc>
          <w:tcPr>
            <w:tcW w:w="913" w:type="pct"/>
            <w:vAlign w:val="center"/>
          </w:tcPr>
          <w:p w14:paraId="39C19F1C">
            <w:pPr>
              <w:spacing w:before="156" w:after="156" w:line="240" w:lineRule="exact"/>
              <w:jc w:val="center"/>
              <w:rPr>
                <w:rFonts w:ascii="黑体" w:hAnsi="黑体" w:eastAsia="黑体"/>
                <w:b/>
                <w:bCs/>
                <w:szCs w:val="21"/>
              </w:rPr>
            </w:pPr>
            <w:r>
              <w:rPr>
                <w:rFonts w:hint="eastAsia" w:ascii="黑体" w:hAnsi="黑体" w:eastAsia="黑体"/>
                <w:b/>
                <w:bCs/>
                <w:szCs w:val="21"/>
              </w:rPr>
              <w:t>签约时间</w:t>
            </w:r>
          </w:p>
        </w:tc>
        <w:tc>
          <w:tcPr>
            <w:tcW w:w="830" w:type="pct"/>
            <w:vAlign w:val="center"/>
          </w:tcPr>
          <w:p w14:paraId="5401C33F">
            <w:pPr>
              <w:spacing w:before="156" w:after="156" w:line="240" w:lineRule="exact"/>
              <w:jc w:val="center"/>
              <w:rPr>
                <w:rFonts w:ascii="黑体" w:hAnsi="黑体" w:eastAsia="黑体"/>
                <w:b/>
                <w:bCs/>
                <w:szCs w:val="21"/>
              </w:rPr>
            </w:pPr>
            <w:r>
              <w:rPr>
                <w:rFonts w:hint="eastAsia" w:ascii="黑体" w:hAnsi="黑体" w:eastAsia="黑体"/>
                <w:b/>
                <w:bCs/>
                <w:szCs w:val="21"/>
              </w:rPr>
              <w:t>完成情况</w:t>
            </w:r>
          </w:p>
        </w:tc>
        <w:tc>
          <w:tcPr>
            <w:tcW w:w="615" w:type="pct"/>
            <w:vAlign w:val="center"/>
          </w:tcPr>
          <w:p w14:paraId="62AC2C10">
            <w:pPr>
              <w:spacing w:before="156" w:after="156" w:line="240" w:lineRule="exact"/>
              <w:jc w:val="center"/>
              <w:rPr>
                <w:rFonts w:ascii="黑体" w:hAnsi="黑体" w:eastAsia="黑体"/>
                <w:b/>
                <w:bCs/>
                <w:szCs w:val="21"/>
              </w:rPr>
            </w:pPr>
            <w:r>
              <w:rPr>
                <w:rFonts w:hint="eastAsia" w:ascii="黑体" w:hAnsi="黑体" w:eastAsia="黑体"/>
                <w:b/>
                <w:bCs/>
                <w:szCs w:val="21"/>
              </w:rPr>
              <w:t>备注</w:t>
            </w:r>
          </w:p>
        </w:tc>
      </w:tr>
      <w:tr w14:paraId="0D611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219C6ED4">
            <w:pPr>
              <w:spacing w:before="156" w:after="156" w:line="240" w:lineRule="exact"/>
              <w:jc w:val="center"/>
              <w:rPr>
                <w:rFonts w:ascii="黑体" w:hAnsi="黑体" w:eastAsia="黑体"/>
                <w:szCs w:val="21"/>
              </w:rPr>
            </w:pPr>
          </w:p>
        </w:tc>
        <w:tc>
          <w:tcPr>
            <w:tcW w:w="1347" w:type="pct"/>
            <w:vAlign w:val="center"/>
          </w:tcPr>
          <w:p w14:paraId="09547039">
            <w:pPr>
              <w:spacing w:before="156" w:after="156" w:line="240" w:lineRule="exact"/>
              <w:jc w:val="center"/>
              <w:rPr>
                <w:rFonts w:ascii="黑体" w:hAnsi="黑体" w:eastAsia="黑体"/>
                <w:szCs w:val="21"/>
              </w:rPr>
            </w:pPr>
          </w:p>
        </w:tc>
        <w:tc>
          <w:tcPr>
            <w:tcW w:w="916" w:type="pct"/>
            <w:vAlign w:val="center"/>
          </w:tcPr>
          <w:p w14:paraId="0761DD7A">
            <w:pPr>
              <w:spacing w:before="156" w:after="156" w:line="240" w:lineRule="exact"/>
              <w:jc w:val="center"/>
              <w:rPr>
                <w:rFonts w:ascii="黑体" w:hAnsi="黑体" w:eastAsia="黑体"/>
                <w:szCs w:val="21"/>
              </w:rPr>
            </w:pPr>
          </w:p>
        </w:tc>
        <w:tc>
          <w:tcPr>
            <w:tcW w:w="913" w:type="pct"/>
            <w:vAlign w:val="center"/>
          </w:tcPr>
          <w:p w14:paraId="507A4F96">
            <w:pPr>
              <w:spacing w:before="156" w:after="156" w:line="240" w:lineRule="exact"/>
              <w:jc w:val="center"/>
              <w:rPr>
                <w:rFonts w:ascii="黑体" w:hAnsi="黑体" w:eastAsia="黑体"/>
                <w:szCs w:val="21"/>
              </w:rPr>
            </w:pPr>
          </w:p>
        </w:tc>
        <w:tc>
          <w:tcPr>
            <w:tcW w:w="830" w:type="pct"/>
            <w:vAlign w:val="center"/>
          </w:tcPr>
          <w:p w14:paraId="7F4C0528">
            <w:pPr>
              <w:spacing w:before="156" w:after="156" w:line="240" w:lineRule="exact"/>
              <w:jc w:val="center"/>
              <w:rPr>
                <w:rFonts w:ascii="黑体" w:hAnsi="黑体" w:eastAsia="黑体"/>
                <w:szCs w:val="21"/>
              </w:rPr>
            </w:pPr>
          </w:p>
        </w:tc>
        <w:tc>
          <w:tcPr>
            <w:tcW w:w="615" w:type="pct"/>
            <w:vAlign w:val="center"/>
          </w:tcPr>
          <w:p w14:paraId="226EBD4E">
            <w:pPr>
              <w:spacing w:before="156" w:after="156" w:line="240" w:lineRule="exact"/>
              <w:jc w:val="center"/>
              <w:rPr>
                <w:rFonts w:ascii="黑体" w:hAnsi="黑体" w:eastAsia="黑体"/>
                <w:szCs w:val="21"/>
              </w:rPr>
            </w:pPr>
          </w:p>
        </w:tc>
      </w:tr>
      <w:tr w14:paraId="616F5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FD09240">
            <w:pPr>
              <w:spacing w:before="156" w:after="156" w:line="240" w:lineRule="exact"/>
              <w:jc w:val="center"/>
              <w:rPr>
                <w:rFonts w:ascii="黑体" w:hAnsi="黑体" w:eastAsia="黑体"/>
                <w:szCs w:val="21"/>
              </w:rPr>
            </w:pPr>
          </w:p>
        </w:tc>
        <w:tc>
          <w:tcPr>
            <w:tcW w:w="1347" w:type="pct"/>
            <w:vAlign w:val="center"/>
          </w:tcPr>
          <w:p w14:paraId="5F878248">
            <w:pPr>
              <w:spacing w:before="156" w:after="156" w:line="240" w:lineRule="exact"/>
              <w:jc w:val="center"/>
              <w:rPr>
                <w:rFonts w:ascii="黑体" w:hAnsi="黑体" w:eastAsia="黑体"/>
                <w:szCs w:val="21"/>
              </w:rPr>
            </w:pPr>
          </w:p>
        </w:tc>
        <w:tc>
          <w:tcPr>
            <w:tcW w:w="916" w:type="pct"/>
            <w:vAlign w:val="center"/>
          </w:tcPr>
          <w:p w14:paraId="6C9DE69C">
            <w:pPr>
              <w:spacing w:before="156" w:after="156" w:line="240" w:lineRule="exact"/>
              <w:jc w:val="center"/>
              <w:rPr>
                <w:rFonts w:ascii="黑体" w:hAnsi="黑体" w:eastAsia="黑体"/>
                <w:szCs w:val="21"/>
              </w:rPr>
            </w:pPr>
          </w:p>
        </w:tc>
        <w:tc>
          <w:tcPr>
            <w:tcW w:w="913" w:type="pct"/>
            <w:vAlign w:val="center"/>
          </w:tcPr>
          <w:p w14:paraId="00A4E271">
            <w:pPr>
              <w:spacing w:before="156" w:after="156" w:line="240" w:lineRule="exact"/>
              <w:jc w:val="center"/>
              <w:rPr>
                <w:rFonts w:ascii="黑体" w:hAnsi="黑体" w:eastAsia="黑体"/>
                <w:szCs w:val="21"/>
              </w:rPr>
            </w:pPr>
          </w:p>
        </w:tc>
        <w:tc>
          <w:tcPr>
            <w:tcW w:w="830" w:type="pct"/>
            <w:vAlign w:val="center"/>
          </w:tcPr>
          <w:p w14:paraId="508FAE97">
            <w:pPr>
              <w:spacing w:before="156" w:after="156" w:line="240" w:lineRule="exact"/>
              <w:jc w:val="center"/>
              <w:rPr>
                <w:rFonts w:ascii="黑体" w:hAnsi="黑体" w:eastAsia="黑体"/>
                <w:szCs w:val="21"/>
              </w:rPr>
            </w:pPr>
          </w:p>
        </w:tc>
        <w:tc>
          <w:tcPr>
            <w:tcW w:w="615" w:type="pct"/>
            <w:vAlign w:val="center"/>
          </w:tcPr>
          <w:p w14:paraId="3329B0C6">
            <w:pPr>
              <w:spacing w:before="156" w:after="156" w:line="240" w:lineRule="exact"/>
              <w:jc w:val="center"/>
              <w:rPr>
                <w:rFonts w:ascii="黑体" w:hAnsi="黑体" w:eastAsia="黑体"/>
                <w:szCs w:val="21"/>
              </w:rPr>
            </w:pPr>
          </w:p>
        </w:tc>
      </w:tr>
      <w:tr w14:paraId="38F65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07CFE8BD">
            <w:pPr>
              <w:spacing w:before="156" w:after="156" w:line="240" w:lineRule="exact"/>
              <w:jc w:val="center"/>
              <w:rPr>
                <w:rFonts w:ascii="黑体" w:hAnsi="黑体" w:eastAsia="黑体"/>
                <w:szCs w:val="21"/>
              </w:rPr>
            </w:pPr>
          </w:p>
        </w:tc>
        <w:tc>
          <w:tcPr>
            <w:tcW w:w="1347" w:type="pct"/>
            <w:vAlign w:val="center"/>
          </w:tcPr>
          <w:p w14:paraId="4E20588D">
            <w:pPr>
              <w:spacing w:before="156" w:after="156" w:line="240" w:lineRule="exact"/>
              <w:jc w:val="center"/>
              <w:rPr>
                <w:rFonts w:ascii="黑体" w:hAnsi="黑体" w:eastAsia="黑体"/>
                <w:szCs w:val="21"/>
              </w:rPr>
            </w:pPr>
          </w:p>
        </w:tc>
        <w:tc>
          <w:tcPr>
            <w:tcW w:w="916" w:type="pct"/>
            <w:vAlign w:val="center"/>
          </w:tcPr>
          <w:p w14:paraId="49F1F469">
            <w:pPr>
              <w:spacing w:before="156" w:after="156" w:line="240" w:lineRule="exact"/>
              <w:jc w:val="center"/>
              <w:rPr>
                <w:rFonts w:ascii="黑体" w:hAnsi="黑体" w:eastAsia="黑体"/>
                <w:szCs w:val="21"/>
              </w:rPr>
            </w:pPr>
          </w:p>
        </w:tc>
        <w:tc>
          <w:tcPr>
            <w:tcW w:w="913" w:type="pct"/>
            <w:vAlign w:val="center"/>
          </w:tcPr>
          <w:p w14:paraId="623A3C28">
            <w:pPr>
              <w:spacing w:before="156" w:after="156" w:line="240" w:lineRule="exact"/>
              <w:jc w:val="center"/>
              <w:rPr>
                <w:rFonts w:ascii="黑体" w:hAnsi="黑体" w:eastAsia="黑体"/>
                <w:szCs w:val="21"/>
              </w:rPr>
            </w:pPr>
          </w:p>
        </w:tc>
        <w:tc>
          <w:tcPr>
            <w:tcW w:w="830" w:type="pct"/>
            <w:vAlign w:val="center"/>
          </w:tcPr>
          <w:p w14:paraId="6F22A677">
            <w:pPr>
              <w:spacing w:before="156" w:after="156" w:line="240" w:lineRule="exact"/>
              <w:jc w:val="center"/>
              <w:rPr>
                <w:rFonts w:ascii="黑体" w:hAnsi="黑体" w:eastAsia="黑体"/>
                <w:szCs w:val="21"/>
              </w:rPr>
            </w:pPr>
          </w:p>
        </w:tc>
        <w:tc>
          <w:tcPr>
            <w:tcW w:w="615" w:type="pct"/>
            <w:vAlign w:val="center"/>
          </w:tcPr>
          <w:p w14:paraId="1F591E91">
            <w:pPr>
              <w:spacing w:before="156" w:after="156" w:line="240" w:lineRule="exact"/>
              <w:jc w:val="center"/>
              <w:rPr>
                <w:rFonts w:ascii="黑体" w:hAnsi="黑体" w:eastAsia="黑体"/>
                <w:szCs w:val="21"/>
              </w:rPr>
            </w:pPr>
          </w:p>
        </w:tc>
      </w:tr>
      <w:tr w14:paraId="72662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CF02EDF">
            <w:pPr>
              <w:spacing w:before="156" w:after="156" w:line="240" w:lineRule="exact"/>
              <w:jc w:val="center"/>
              <w:rPr>
                <w:rFonts w:ascii="黑体" w:hAnsi="黑体" w:eastAsia="黑体"/>
                <w:szCs w:val="21"/>
              </w:rPr>
            </w:pPr>
          </w:p>
        </w:tc>
        <w:tc>
          <w:tcPr>
            <w:tcW w:w="1347" w:type="pct"/>
            <w:vAlign w:val="center"/>
          </w:tcPr>
          <w:p w14:paraId="05431B60">
            <w:pPr>
              <w:spacing w:before="156" w:after="156" w:line="240" w:lineRule="exact"/>
              <w:jc w:val="center"/>
              <w:rPr>
                <w:rFonts w:ascii="黑体" w:hAnsi="黑体" w:eastAsia="黑体"/>
                <w:szCs w:val="21"/>
              </w:rPr>
            </w:pPr>
          </w:p>
        </w:tc>
        <w:tc>
          <w:tcPr>
            <w:tcW w:w="916" w:type="pct"/>
            <w:vAlign w:val="center"/>
          </w:tcPr>
          <w:p w14:paraId="7A7DD6BD">
            <w:pPr>
              <w:spacing w:before="156" w:after="156" w:line="240" w:lineRule="exact"/>
              <w:jc w:val="center"/>
              <w:rPr>
                <w:rFonts w:ascii="黑体" w:hAnsi="黑体" w:eastAsia="黑体"/>
                <w:szCs w:val="21"/>
              </w:rPr>
            </w:pPr>
          </w:p>
        </w:tc>
        <w:tc>
          <w:tcPr>
            <w:tcW w:w="913" w:type="pct"/>
            <w:vAlign w:val="center"/>
          </w:tcPr>
          <w:p w14:paraId="48A3F896">
            <w:pPr>
              <w:spacing w:before="156" w:after="156" w:line="240" w:lineRule="exact"/>
              <w:jc w:val="center"/>
              <w:rPr>
                <w:rFonts w:ascii="黑体" w:hAnsi="黑体" w:eastAsia="黑体"/>
                <w:szCs w:val="21"/>
              </w:rPr>
            </w:pPr>
          </w:p>
        </w:tc>
        <w:tc>
          <w:tcPr>
            <w:tcW w:w="830" w:type="pct"/>
            <w:vAlign w:val="center"/>
          </w:tcPr>
          <w:p w14:paraId="558469EF">
            <w:pPr>
              <w:spacing w:before="156" w:after="156" w:line="240" w:lineRule="exact"/>
              <w:jc w:val="center"/>
              <w:rPr>
                <w:rFonts w:ascii="黑体" w:hAnsi="黑体" w:eastAsia="黑体"/>
                <w:szCs w:val="21"/>
              </w:rPr>
            </w:pPr>
          </w:p>
        </w:tc>
        <w:tc>
          <w:tcPr>
            <w:tcW w:w="615" w:type="pct"/>
            <w:vAlign w:val="center"/>
          </w:tcPr>
          <w:p w14:paraId="53E0CEB0">
            <w:pPr>
              <w:spacing w:before="156" w:after="156" w:line="240" w:lineRule="exact"/>
              <w:jc w:val="center"/>
              <w:rPr>
                <w:rFonts w:ascii="黑体" w:hAnsi="黑体" w:eastAsia="黑体"/>
                <w:szCs w:val="21"/>
              </w:rPr>
            </w:pPr>
          </w:p>
        </w:tc>
      </w:tr>
      <w:tr w14:paraId="574D8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2EABAC5">
            <w:pPr>
              <w:spacing w:before="156" w:after="156" w:line="240" w:lineRule="exact"/>
              <w:jc w:val="center"/>
              <w:rPr>
                <w:rFonts w:ascii="黑体" w:hAnsi="黑体" w:eastAsia="黑体"/>
                <w:szCs w:val="21"/>
              </w:rPr>
            </w:pPr>
          </w:p>
        </w:tc>
        <w:tc>
          <w:tcPr>
            <w:tcW w:w="1347" w:type="pct"/>
            <w:vAlign w:val="center"/>
          </w:tcPr>
          <w:p w14:paraId="120C074A">
            <w:pPr>
              <w:spacing w:before="156" w:after="156" w:line="240" w:lineRule="exact"/>
              <w:jc w:val="center"/>
              <w:rPr>
                <w:rFonts w:ascii="黑体" w:hAnsi="黑体" w:eastAsia="黑体"/>
                <w:szCs w:val="21"/>
              </w:rPr>
            </w:pPr>
          </w:p>
        </w:tc>
        <w:tc>
          <w:tcPr>
            <w:tcW w:w="916" w:type="pct"/>
            <w:vAlign w:val="center"/>
          </w:tcPr>
          <w:p w14:paraId="72804EB0">
            <w:pPr>
              <w:spacing w:before="156" w:after="156" w:line="240" w:lineRule="exact"/>
              <w:jc w:val="center"/>
              <w:rPr>
                <w:rFonts w:ascii="黑体" w:hAnsi="黑体" w:eastAsia="黑体"/>
                <w:szCs w:val="21"/>
              </w:rPr>
            </w:pPr>
          </w:p>
        </w:tc>
        <w:tc>
          <w:tcPr>
            <w:tcW w:w="913" w:type="pct"/>
            <w:vAlign w:val="center"/>
          </w:tcPr>
          <w:p w14:paraId="3F57A79B">
            <w:pPr>
              <w:spacing w:before="156" w:after="156" w:line="240" w:lineRule="exact"/>
              <w:jc w:val="center"/>
              <w:rPr>
                <w:rFonts w:ascii="黑体" w:hAnsi="黑体" w:eastAsia="黑体"/>
                <w:szCs w:val="21"/>
              </w:rPr>
            </w:pPr>
          </w:p>
        </w:tc>
        <w:tc>
          <w:tcPr>
            <w:tcW w:w="830" w:type="pct"/>
            <w:vAlign w:val="center"/>
          </w:tcPr>
          <w:p w14:paraId="20C5ADEB">
            <w:pPr>
              <w:spacing w:before="156" w:after="156" w:line="240" w:lineRule="exact"/>
              <w:jc w:val="center"/>
              <w:rPr>
                <w:rFonts w:ascii="黑体" w:hAnsi="黑体" w:eastAsia="黑体"/>
                <w:szCs w:val="21"/>
              </w:rPr>
            </w:pPr>
          </w:p>
        </w:tc>
        <w:tc>
          <w:tcPr>
            <w:tcW w:w="615" w:type="pct"/>
            <w:vAlign w:val="center"/>
          </w:tcPr>
          <w:p w14:paraId="5AADC438">
            <w:pPr>
              <w:spacing w:before="156" w:after="156" w:line="240" w:lineRule="exact"/>
              <w:jc w:val="center"/>
              <w:rPr>
                <w:rFonts w:ascii="黑体" w:hAnsi="黑体" w:eastAsia="黑体"/>
                <w:szCs w:val="21"/>
              </w:rPr>
            </w:pPr>
          </w:p>
        </w:tc>
      </w:tr>
      <w:tr w14:paraId="5819E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52198B5">
            <w:pPr>
              <w:spacing w:before="156" w:after="156" w:line="240" w:lineRule="exact"/>
              <w:jc w:val="center"/>
              <w:rPr>
                <w:rFonts w:ascii="黑体" w:hAnsi="黑体" w:eastAsia="黑体"/>
                <w:szCs w:val="21"/>
              </w:rPr>
            </w:pPr>
          </w:p>
        </w:tc>
        <w:tc>
          <w:tcPr>
            <w:tcW w:w="1347" w:type="pct"/>
            <w:vAlign w:val="center"/>
          </w:tcPr>
          <w:p w14:paraId="04EC27DB">
            <w:pPr>
              <w:spacing w:before="156" w:after="156" w:line="240" w:lineRule="exact"/>
              <w:jc w:val="center"/>
              <w:rPr>
                <w:rFonts w:ascii="黑体" w:hAnsi="黑体" w:eastAsia="黑体"/>
                <w:szCs w:val="21"/>
              </w:rPr>
            </w:pPr>
          </w:p>
        </w:tc>
        <w:tc>
          <w:tcPr>
            <w:tcW w:w="916" w:type="pct"/>
            <w:vAlign w:val="center"/>
          </w:tcPr>
          <w:p w14:paraId="72C1B6B3">
            <w:pPr>
              <w:spacing w:before="156" w:after="156" w:line="240" w:lineRule="exact"/>
              <w:jc w:val="center"/>
              <w:rPr>
                <w:rFonts w:ascii="黑体" w:hAnsi="黑体" w:eastAsia="黑体"/>
                <w:szCs w:val="21"/>
              </w:rPr>
            </w:pPr>
          </w:p>
        </w:tc>
        <w:tc>
          <w:tcPr>
            <w:tcW w:w="913" w:type="pct"/>
            <w:vAlign w:val="center"/>
          </w:tcPr>
          <w:p w14:paraId="0C8AEF6F">
            <w:pPr>
              <w:spacing w:before="156" w:after="156" w:line="240" w:lineRule="exact"/>
              <w:jc w:val="center"/>
              <w:rPr>
                <w:rFonts w:ascii="黑体" w:hAnsi="黑体" w:eastAsia="黑体"/>
                <w:szCs w:val="21"/>
              </w:rPr>
            </w:pPr>
          </w:p>
        </w:tc>
        <w:tc>
          <w:tcPr>
            <w:tcW w:w="830" w:type="pct"/>
            <w:vAlign w:val="center"/>
          </w:tcPr>
          <w:p w14:paraId="49103949">
            <w:pPr>
              <w:spacing w:before="156" w:after="156" w:line="240" w:lineRule="exact"/>
              <w:jc w:val="center"/>
              <w:rPr>
                <w:rFonts w:ascii="黑体" w:hAnsi="黑体" w:eastAsia="黑体"/>
                <w:szCs w:val="21"/>
              </w:rPr>
            </w:pPr>
          </w:p>
        </w:tc>
        <w:tc>
          <w:tcPr>
            <w:tcW w:w="615" w:type="pct"/>
            <w:vAlign w:val="center"/>
          </w:tcPr>
          <w:p w14:paraId="0E7275B2">
            <w:pPr>
              <w:spacing w:before="156" w:after="156" w:line="240" w:lineRule="exact"/>
              <w:jc w:val="center"/>
              <w:rPr>
                <w:rFonts w:ascii="黑体" w:hAnsi="黑体" w:eastAsia="黑体"/>
                <w:szCs w:val="21"/>
              </w:rPr>
            </w:pPr>
          </w:p>
        </w:tc>
      </w:tr>
      <w:tr w14:paraId="4A4F8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75EA1C36">
            <w:pPr>
              <w:spacing w:before="156" w:after="156" w:line="240" w:lineRule="exact"/>
              <w:jc w:val="center"/>
              <w:rPr>
                <w:rFonts w:ascii="黑体" w:hAnsi="黑体" w:eastAsia="黑体"/>
                <w:szCs w:val="21"/>
              </w:rPr>
            </w:pPr>
          </w:p>
        </w:tc>
        <w:tc>
          <w:tcPr>
            <w:tcW w:w="1347" w:type="pct"/>
            <w:vAlign w:val="center"/>
          </w:tcPr>
          <w:p w14:paraId="31492E3E">
            <w:pPr>
              <w:spacing w:before="156" w:after="156" w:line="240" w:lineRule="exact"/>
              <w:jc w:val="center"/>
              <w:rPr>
                <w:rFonts w:ascii="黑体" w:hAnsi="黑体" w:eastAsia="黑体"/>
                <w:szCs w:val="21"/>
              </w:rPr>
            </w:pPr>
          </w:p>
        </w:tc>
        <w:tc>
          <w:tcPr>
            <w:tcW w:w="916" w:type="pct"/>
            <w:vAlign w:val="center"/>
          </w:tcPr>
          <w:p w14:paraId="5F7FC648">
            <w:pPr>
              <w:spacing w:before="156" w:after="156" w:line="240" w:lineRule="exact"/>
              <w:jc w:val="center"/>
              <w:rPr>
                <w:rFonts w:ascii="黑体" w:hAnsi="黑体" w:eastAsia="黑体"/>
                <w:szCs w:val="21"/>
              </w:rPr>
            </w:pPr>
          </w:p>
        </w:tc>
        <w:tc>
          <w:tcPr>
            <w:tcW w:w="913" w:type="pct"/>
            <w:vAlign w:val="center"/>
          </w:tcPr>
          <w:p w14:paraId="43E6961E">
            <w:pPr>
              <w:spacing w:before="156" w:after="156" w:line="240" w:lineRule="exact"/>
              <w:jc w:val="center"/>
              <w:rPr>
                <w:rFonts w:ascii="黑体" w:hAnsi="黑体" w:eastAsia="黑体"/>
                <w:szCs w:val="21"/>
              </w:rPr>
            </w:pPr>
          </w:p>
        </w:tc>
        <w:tc>
          <w:tcPr>
            <w:tcW w:w="830" w:type="pct"/>
            <w:vAlign w:val="center"/>
          </w:tcPr>
          <w:p w14:paraId="0019CE33">
            <w:pPr>
              <w:spacing w:before="156" w:after="156" w:line="240" w:lineRule="exact"/>
              <w:jc w:val="center"/>
              <w:rPr>
                <w:rFonts w:ascii="黑体" w:hAnsi="黑体" w:eastAsia="黑体"/>
                <w:szCs w:val="21"/>
              </w:rPr>
            </w:pPr>
          </w:p>
        </w:tc>
        <w:tc>
          <w:tcPr>
            <w:tcW w:w="615" w:type="pct"/>
            <w:vAlign w:val="center"/>
          </w:tcPr>
          <w:p w14:paraId="79083112">
            <w:pPr>
              <w:spacing w:before="156" w:after="156" w:line="240" w:lineRule="exact"/>
              <w:jc w:val="center"/>
              <w:rPr>
                <w:rFonts w:ascii="黑体" w:hAnsi="黑体" w:eastAsia="黑体"/>
                <w:szCs w:val="21"/>
              </w:rPr>
            </w:pPr>
          </w:p>
        </w:tc>
      </w:tr>
      <w:tr w14:paraId="4F9C8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683D6BE3">
            <w:pPr>
              <w:spacing w:before="156" w:after="156" w:line="240" w:lineRule="exact"/>
              <w:jc w:val="center"/>
              <w:rPr>
                <w:rFonts w:ascii="黑体" w:hAnsi="黑体" w:eastAsia="黑体"/>
                <w:szCs w:val="21"/>
              </w:rPr>
            </w:pPr>
          </w:p>
        </w:tc>
        <w:tc>
          <w:tcPr>
            <w:tcW w:w="1347" w:type="pct"/>
            <w:vAlign w:val="center"/>
          </w:tcPr>
          <w:p w14:paraId="1760CA45">
            <w:pPr>
              <w:spacing w:before="156" w:after="156" w:line="240" w:lineRule="exact"/>
              <w:jc w:val="center"/>
              <w:rPr>
                <w:rFonts w:ascii="黑体" w:hAnsi="黑体" w:eastAsia="黑体"/>
                <w:szCs w:val="21"/>
              </w:rPr>
            </w:pPr>
          </w:p>
        </w:tc>
        <w:tc>
          <w:tcPr>
            <w:tcW w:w="916" w:type="pct"/>
            <w:vAlign w:val="center"/>
          </w:tcPr>
          <w:p w14:paraId="773C74A2">
            <w:pPr>
              <w:spacing w:before="156" w:after="156" w:line="240" w:lineRule="exact"/>
              <w:jc w:val="center"/>
              <w:rPr>
                <w:rFonts w:ascii="黑体" w:hAnsi="黑体" w:eastAsia="黑体"/>
                <w:szCs w:val="21"/>
              </w:rPr>
            </w:pPr>
          </w:p>
        </w:tc>
        <w:tc>
          <w:tcPr>
            <w:tcW w:w="913" w:type="pct"/>
            <w:vAlign w:val="center"/>
          </w:tcPr>
          <w:p w14:paraId="65535433">
            <w:pPr>
              <w:spacing w:before="156" w:after="156" w:line="240" w:lineRule="exact"/>
              <w:jc w:val="center"/>
              <w:rPr>
                <w:rFonts w:ascii="黑体" w:hAnsi="黑体" w:eastAsia="黑体"/>
                <w:szCs w:val="21"/>
              </w:rPr>
            </w:pPr>
          </w:p>
        </w:tc>
        <w:tc>
          <w:tcPr>
            <w:tcW w:w="830" w:type="pct"/>
            <w:vAlign w:val="center"/>
          </w:tcPr>
          <w:p w14:paraId="48D2115A">
            <w:pPr>
              <w:spacing w:before="156" w:after="156" w:line="240" w:lineRule="exact"/>
              <w:jc w:val="center"/>
              <w:rPr>
                <w:rFonts w:ascii="黑体" w:hAnsi="黑体" w:eastAsia="黑体"/>
                <w:szCs w:val="21"/>
              </w:rPr>
            </w:pPr>
          </w:p>
        </w:tc>
        <w:tc>
          <w:tcPr>
            <w:tcW w:w="615" w:type="pct"/>
            <w:vAlign w:val="center"/>
          </w:tcPr>
          <w:p w14:paraId="3DF087F5">
            <w:pPr>
              <w:spacing w:before="156" w:after="156" w:line="240" w:lineRule="exact"/>
              <w:jc w:val="center"/>
              <w:rPr>
                <w:rFonts w:ascii="黑体" w:hAnsi="黑体" w:eastAsia="黑体"/>
                <w:szCs w:val="21"/>
              </w:rPr>
            </w:pPr>
          </w:p>
        </w:tc>
      </w:tr>
      <w:tr w14:paraId="40530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43395FFD">
            <w:pPr>
              <w:spacing w:before="156" w:after="156" w:line="240" w:lineRule="exact"/>
              <w:jc w:val="center"/>
              <w:rPr>
                <w:rFonts w:ascii="黑体" w:hAnsi="黑体" w:eastAsia="黑体"/>
                <w:szCs w:val="21"/>
              </w:rPr>
            </w:pPr>
          </w:p>
        </w:tc>
        <w:tc>
          <w:tcPr>
            <w:tcW w:w="1347" w:type="pct"/>
            <w:vAlign w:val="center"/>
          </w:tcPr>
          <w:p w14:paraId="0B24513E">
            <w:pPr>
              <w:spacing w:before="156" w:after="156" w:line="240" w:lineRule="exact"/>
              <w:jc w:val="center"/>
              <w:rPr>
                <w:rFonts w:ascii="黑体" w:hAnsi="黑体" w:eastAsia="黑体"/>
                <w:szCs w:val="21"/>
              </w:rPr>
            </w:pPr>
          </w:p>
        </w:tc>
        <w:tc>
          <w:tcPr>
            <w:tcW w:w="916" w:type="pct"/>
            <w:vAlign w:val="center"/>
          </w:tcPr>
          <w:p w14:paraId="0B4D7352">
            <w:pPr>
              <w:spacing w:before="156" w:after="156" w:line="240" w:lineRule="exact"/>
              <w:jc w:val="center"/>
              <w:rPr>
                <w:rFonts w:ascii="黑体" w:hAnsi="黑体" w:eastAsia="黑体"/>
                <w:szCs w:val="21"/>
              </w:rPr>
            </w:pPr>
          </w:p>
        </w:tc>
        <w:tc>
          <w:tcPr>
            <w:tcW w:w="913" w:type="pct"/>
            <w:vAlign w:val="center"/>
          </w:tcPr>
          <w:p w14:paraId="354DC251">
            <w:pPr>
              <w:spacing w:before="156" w:after="156" w:line="240" w:lineRule="exact"/>
              <w:jc w:val="center"/>
              <w:rPr>
                <w:rFonts w:ascii="黑体" w:hAnsi="黑体" w:eastAsia="黑体"/>
                <w:szCs w:val="21"/>
              </w:rPr>
            </w:pPr>
          </w:p>
        </w:tc>
        <w:tc>
          <w:tcPr>
            <w:tcW w:w="830" w:type="pct"/>
            <w:vAlign w:val="center"/>
          </w:tcPr>
          <w:p w14:paraId="032479BE">
            <w:pPr>
              <w:spacing w:before="156" w:after="156" w:line="240" w:lineRule="exact"/>
              <w:jc w:val="center"/>
              <w:rPr>
                <w:rFonts w:ascii="黑体" w:hAnsi="黑体" w:eastAsia="黑体"/>
                <w:szCs w:val="21"/>
              </w:rPr>
            </w:pPr>
          </w:p>
        </w:tc>
        <w:tc>
          <w:tcPr>
            <w:tcW w:w="615" w:type="pct"/>
            <w:vAlign w:val="center"/>
          </w:tcPr>
          <w:p w14:paraId="295F191C">
            <w:pPr>
              <w:spacing w:before="156" w:after="156" w:line="240" w:lineRule="exact"/>
              <w:jc w:val="center"/>
              <w:rPr>
                <w:rFonts w:ascii="黑体" w:hAnsi="黑体" w:eastAsia="黑体"/>
                <w:szCs w:val="21"/>
              </w:rPr>
            </w:pPr>
          </w:p>
        </w:tc>
      </w:tr>
    </w:tbl>
    <w:p w14:paraId="4CF31D9F">
      <w:pPr>
        <w:spacing w:before="156" w:beforeLines="50" w:line="360" w:lineRule="auto"/>
        <w:rPr>
          <w:rFonts w:ascii="黑体" w:hAnsi="黑体" w:eastAsia="黑体"/>
          <w:szCs w:val="21"/>
        </w:rPr>
      </w:pPr>
      <w:r>
        <w:rPr>
          <w:rFonts w:hint="eastAsia" w:ascii="黑体" w:hAnsi="黑体" w:eastAsia="黑体"/>
          <w:szCs w:val="21"/>
        </w:rPr>
        <w:t>注明：需提供证明资料内容详见</w:t>
      </w:r>
      <w:r>
        <w:rPr>
          <w:rFonts w:hint="eastAsia" w:ascii="黑体" w:hAnsi="黑体" w:eastAsia="黑体"/>
          <w:szCs w:val="21"/>
          <w:u w:val="single"/>
        </w:rPr>
        <w:t>（招标文件第五部分</w:t>
      </w:r>
      <w:r>
        <w:rPr>
          <w:rFonts w:ascii="黑体" w:hAnsi="黑体" w:eastAsia="黑体"/>
          <w:szCs w:val="21"/>
          <w:u w:val="single"/>
        </w:rPr>
        <w:t xml:space="preserve"> </w:t>
      </w:r>
      <w:r>
        <w:rPr>
          <w:rFonts w:hint="eastAsia" w:ascii="黑体" w:hAnsi="黑体" w:eastAsia="黑体"/>
          <w:szCs w:val="21"/>
          <w:u w:val="single"/>
        </w:rPr>
        <w:t>评标方法、步骤、标准之</w:t>
      </w:r>
      <w:r>
        <w:rPr>
          <w:rFonts w:hint="eastAsia" w:ascii="黑体" w:hAnsi="黑体" w:eastAsia="黑体"/>
          <w:kern w:val="0"/>
          <w:szCs w:val="21"/>
          <w:u w:val="single"/>
        </w:rPr>
        <w:t>附表三</w:t>
      </w:r>
      <w:r>
        <w:rPr>
          <w:rFonts w:hint="eastAsia" w:ascii="黑体" w:hAnsi="黑体" w:eastAsia="黑体"/>
          <w:szCs w:val="21"/>
          <w:u w:val="single"/>
        </w:rPr>
        <w:t>详细评审表相对应条款）</w:t>
      </w:r>
      <w:r>
        <w:rPr>
          <w:rFonts w:ascii="黑体" w:hAnsi="黑体" w:eastAsia="黑体"/>
          <w:szCs w:val="21"/>
          <w:u w:val="single"/>
        </w:rPr>
        <w:t xml:space="preserve"> </w:t>
      </w:r>
      <w:r>
        <w:rPr>
          <w:rFonts w:hint="eastAsia" w:ascii="黑体" w:hAnsi="黑体" w:eastAsia="黑体"/>
          <w:szCs w:val="21"/>
        </w:rPr>
        <w:t>。</w:t>
      </w:r>
    </w:p>
    <w:p w14:paraId="25C444B0">
      <w:pPr>
        <w:spacing w:line="360" w:lineRule="auto"/>
        <w:rPr>
          <w:rFonts w:ascii="黑体" w:hAnsi="黑体" w:eastAsia="黑体"/>
          <w:szCs w:val="21"/>
        </w:rPr>
      </w:pPr>
    </w:p>
    <w:p w14:paraId="758BEB4D">
      <w:pPr>
        <w:spacing w:line="360" w:lineRule="auto"/>
        <w:rPr>
          <w:rFonts w:ascii="黑体" w:hAnsi="黑体" w:eastAsia="黑体"/>
          <w:szCs w:val="21"/>
        </w:rPr>
      </w:pPr>
    </w:p>
    <w:p w14:paraId="13CEE13C">
      <w:pPr>
        <w:spacing w:line="360" w:lineRule="auto"/>
        <w:rPr>
          <w:rFonts w:ascii="黑体" w:hAnsi="黑体" w:eastAsia="黑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3C272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02A382CF">
            <w:pPr>
              <w:overflowPunct w:val="0"/>
              <w:adjustRightInd w:val="0"/>
              <w:spacing w:line="360" w:lineRule="auto"/>
              <w:rPr>
                <w:rFonts w:ascii="黑体" w:hAnsi="黑体" w:eastAsia="黑体"/>
                <w:szCs w:val="21"/>
              </w:rPr>
            </w:pPr>
            <w:r>
              <w:rPr>
                <w:rFonts w:hint="eastAsia" w:ascii="黑体" w:hAnsi="黑体" w:eastAsia="黑体"/>
                <w:szCs w:val="21"/>
              </w:rPr>
              <w:t>投标人名称（加盖公章）：</w:t>
            </w:r>
            <w:r>
              <w:rPr>
                <w:rFonts w:ascii="黑体" w:hAnsi="黑体" w:eastAsia="黑体"/>
                <w:szCs w:val="21"/>
                <w:u w:val="single"/>
              </w:rPr>
              <w:t xml:space="preserve">                         </w:t>
            </w:r>
          </w:p>
        </w:tc>
        <w:tc>
          <w:tcPr>
            <w:tcW w:w="3175" w:type="dxa"/>
          </w:tcPr>
          <w:p w14:paraId="55DDE1AA">
            <w:pPr>
              <w:spacing w:line="360" w:lineRule="auto"/>
              <w:rPr>
                <w:rFonts w:ascii="黑体" w:hAnsi="黑体" w:eastAsia="黑体"/>
                <w:szCs w:val="21"/>
              </w:rPr>
            </w:pPr>
          </w:p>
        </w:tc>
      </w:tr>
      <w:tr w14:paraId="491D0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44E50187">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5" w:type="dxa"/>
          </w:tcPr>
          <w:p w14:paraId="20787B40">
            <w:pPr>
              <w:spacing w:line="360" w:lineRule="auto"/>
              <w:rPr>
                <w:rFonts w:ascii="黑体" w:hAnsi="黑体" w:eastAsia="黑体"/>
                <w:szCs w:val="21"/>
              </w:rPr>
            </w:pPr>
          </w:p>
        </w:tc>
      </w:tr>
    </w:tbl>
    <w:p w14:paraId="7A7985A6">
      <w:pPr>
        <w:spacing w:line="360" w:lineRule="auto"/>
        <w:rPr>
          <w:rFonts w:ascii="黑体" w:hAnsi="黑体" w:eastAsia="黑体"/>
          <w:szCs w:val="21"/>
        </w:rPr>
      </w:pPr>
    </w:p>
    <w:p w14:paraId="2253C87C">
      <w:pPr>
        <w:spacing w:line="360" w:lineRule="auto"/>
        <w:rPr>
          <w:rFonts w:ascii="黑体" w:hAnsi="黑体" w:eastAsia="黑体"/>
          <w:szCs w:val="21"/>
        </w:rPr>
      </w:pPr>
    </w:p>
    <w:p w14:paraId="033EF52C">
      <w:pPr>
        <w:spacing w:line="360" w:lineRule="auto"/>
        <w:rPr>
          <w:rFonts w:ascii="黑体" w:hAnsi="黑体" w:eastAsia="黑体"/>
          <w:szCs w:val="21"/>
        </w:rPr>
      </w:pPr>
    </w:p>
    <w:p w14:paraId="21504E56">
      <w:pPr>
        <w:pStyle w:val="29"/>
        <w:pageBreakBefore/>
        <w:numPr>
          <w:ilvl w:val="0"/>
          <w:numId w:val="112"/>
        </w:numPr>
        <w:tabs>
          <w:tab w:val="left" w:pos="284"/>
          <w:tab w:val="left" w:pos="567"/>
          <w:tab w:val="left" w:pos="709"/>
        </w:tabs>
        <w:ind w:left="1679" w:hanging="1537" w:firstLineChars="0"/>
        <w:jc w:val="left"/>
        <w:rPr>
          <w:rFonts w:ascii="黑体" w:hAnsi="黑体" w:eastAsia="黑体"/>
          <w:b/>
          <w:bCs/>
        </w:rPr>
      </w:pPr>
      <w:r>
        <w:rPr>
          <w:rFonts w:hint="eastAsia" w:ascii="黑体" w:hAnsi="黑体" w:eastAsia="黑体"/>
          <w:b/>
          <w:bCs/>
        </w:rPr>
        <w:t>商务要求偏离表</w:t>
      </w:r>
    </w:p>
    <w:p w14:paraId="20D9F94F">
      <w:pPr>
        <w:spacing w:before="468" w:beforeLines="150" w:after="468" w:afterLines="150" w:line="360" w:lineRule="auto"/>
        <w:jc w:val="center"/>
        <w:rPr>
          <w:rFonts w:ascii="黑体" w:hAnsi="黑体" w:eastAsia="黑体"/>
          <w:b/>
          <w:spacing w:val="20"/>
          <w:sz w:val="30"/>
          <w:szCs w:val="30"/>
        </w:rPr>
      </w:pPr>
      <w:r>
        <w:rPr>
          <w:rFonts w:hint="eastAsia" w:ascii="黑体" w:hAnsi="黑体" w:eastAsia="黑体"/>
          <w:b/>
          <w:spacing w:val="20"/>
          <w:sz w:val="30"/>
          <w:szCs w:val="30"/>
        </w:rPr>
        <w:t>商务要求偏离表</w:t>
      </w:r>
    </w:p>
    <w:tbl>
      <w:tblPr>
        <w:tblStyle w:val="19"/>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14:paraId="0B8F1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14:paraId="5F8C39B1">
            <w:pPr>
              <w:jc w:val="center"/>
              <w:rPr>
                <w:rFonts w:ascii="黑体" w:hAnsi="黑体" w:eastAsia="黑体"/>
                <w:b/>
                <w:szCs w:val="21"/>
              </w:rPr>
            </w:pPr>
            <w:r>
              <w:rPr>
                <w:rFonts w:hint="eastAsia" w:ascii="黑体" w:hAnsi="黑体" w:eastAsia="黑体"/>
                <w:b/>
                <w:szCs w:val="21"/>
              </w:rPr>
              <w:t>序号</w:t>
            </w:r>
          </w:p>
        </w:tc>
        <w:tc>
          <w:tcPr>
            <w:tcW w:w="2352" w:type="dxa"/>
            <w:vAlign w:val="center"/>
          </w:tcPr>
          <w:p w14:paraId="218E1D29">
            <w:pPr>
              <w:jc w:val="center"/>
              <w:rPr>
                <w:rFonts w:ascii="黑体" w:hAnsi="黑体" w:eastAsia="黑体"/>
                <w:b/>
                <w:szCs w:val="21"/>
              </w:rPr>
            </w:pPr>
            <w:r>
              <w:rPr>
                <w:rFonts w:hint="eastAsia" w:ascii="黑体" w:hAnsi="黑体" w:eastAsia="黑体"/>
                <w:b/>
                <w:szCs w:val="21"/>
              </w:rPr>
              <w:t>招标文件要求</w:t>
            </w:r>
          </w:p>
        </w:tc>
        <w:tc>
          <w:tcPr>
            <w:tcW w:w="2126" w:type="dxa"/>
            <w:vAlign w:val="center"/>
          </w:tcPr>
          <w:p w14:paraId="640169E9">
            <w:pPr>
              <w:jc w:val="center"/>
              <w:rPr>
                <w:rFonts w:ascii="黑体" w:hAnsi="黑体" w:eastAsia="黑体"/>
                <w:b/>
                <w:szCs w:val="21"/>
              </w:rPr>
            </w:pPr>
            <w:r>
              <w:rPr>
                <w:rFonts w:hint="eastAsia" w:ascii="黑体" w:hAnsi="黑体" w:eastAsia="黑体"/>
                <w:b/>
                <w:bCs/>
                <w:szCs w:val="21"/>
              </w:rPr>
              <w:t>投标文件响应内容</w:t>
            </w:r>
          </w:p>
        </w:tc>
        <w:tc>
          <w:tcPr>
            <w:tcW w:w="1644" w:type="dxa"/>
            <w:vAlign w:val="center"/>
          </w:tcPr>
          <w:p w14:paraId="2548FC71">
            <w:pPr>
              <w:ind w:left="293" w:hanging="293" w:hangingChars="139"/>
              <w:jc w:val="center"/>
              <w:rPr>
                <w:rFonts w:ascii="黑体" w:hAnsi="黑体" w:eastAsia="黑体"/>
                <w:b/>
                <w:szCs w:val="21"/>
              </w:rPr>
            </w:pPr>
            <w:r>
              <w:rPr>
                <w:rFonts w:hint="eastAsia" w:ascii="黑体" w:hAnsi="黑体" w:eastAsia="黑体"/>
                <w:b/>
                <w:szCs w:val="21"/>
              </w:rPr>
              <w:t>偏离情况</w:t>
            </w:r>
          </w:p>
        </w:tc>
        <w:tc>
          <w:tcPr>
            <w:tcW w:w="1575" w:type="dxa"/>
            <w:vAlign w:val="center"/>
          </w:tcPr>
          <w:p w14:paraId="7C094AFF">
            <w:pPr>
              <w:jc w:val="center"/>
              <w:rPr>
                <w:rFonts w:ascii="黑体" w:hAnsi="黑体" w:eastAsia="黑体"/>
                <w:b/>
                <w:szCs w:val="21"/>
              </w:rPr>
            </w:pPr>
            <w:r>
              <w:rPr>
                <w:rFonts w:hint="eastAsia" w:ascii="黑体" w:hAnsi="黑体" w:eastAsia="黑体"/>
                <w:b/>
                <w:szCs w:val="21"/>
              </w:rPr>
              <w:t>说明</w:t>
            </w:r>
          </w:p>
        </w:tc>
      </w:tr>
      <w:tr w14:paraId="3C56E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14:paraId="0AA1EE7A">
            <w:pPr>
              <w:spacing w:line="360" w:lineRule="auto"/>
              <w:jc w:val="center"/>
              <w:rPr>
                <w:rFonts w:ascii="黑体" w:hAnsi="黑体" w:eastAsia="黑体"/>
                <w:szCs w:val="21"/>
              </w:rPr>
            </w:pPr>
          </w:p>
        </w:tc>
        <w:tc>
          <w:tcPr>
            <w:tcW w:w="2352" w:type="dxa"/>
            <w:vAlign w:val="center"/>
          </w:tcPr>
          <w:p w14:paraId="01466909">
            <w:pPr>
              <w:spacing w:line="360" w:lineRule="auto"/>
              <w:jc w:val="center"/>
              <w:rPr>
                <w:rFonts w:ascii="黑体" w:hAnsi="黑体" w:eastAsia="黑体"/>
                <w:szCs w:val="21"/>
              </w:rPr>
            </w:pPr>
          </w:p>
        </w:tc>
        <w:tc>
          <w:tcPr>
            <w:tcW w:w="2126" w:type="dxa"/>
            <w:vAlign w:val="center"/>
          </w:tcPr>
          <w:p w14:paraId="05381FEB">
            <w:pPr>
              <w:spacing w:line="360" w:lineRule="auto"/>
              <w:jc w:val="center"/>
              <w:rPr>
                <w:rFonts w:ascii="黑体" w:hAnsi="黑体" w:eastAsia="黑体"/>
                <w:szCs w:val="21"/>
              </w:rPr>
            </w:pPr>
          </w:p>
        </w:tc>
        <w:tc>
          <w:tcPr>
            <w:tcW w:w="1644" w:type="dxa"/>
            <w:vAlign w:val="center"/>
          </w:tcPr>
          <w:p w14:paraId="552D1CD7">
            <w:pPr>
              <w:spacing w:line="360" w:lineRule="auto"/>
              <w:jc w:val="center"/>
              <w:rPr>
                <w:rFonts w:ascii="黑体" w:hAnsi="黑体" w:eastAsia="黑体"/>
                <w:szCs w:val="21"/>
              </w:rPr>
            </w:pPr>
          </w:p>
        </w:tc>
        <w:tc>
          <w:tcPr>
            <w:tcW w:w="1575" w:type="dxa"/>
            <w:vAlign w:val="center"/>
          </w:tcPr>
          <w:p w14:paraId="3EB8385C">
            <w:pPr>
              <w:spacing w:line="360" w:lineRule="auto"/>
              <w:jc w:val="center"/>
              <w:rPr>
                <w:rFonts w:ascii="黑体" w:hAnsi="黑体" w:eastAsia="黑体"/>
                <w:szCs w:val="21"/>
              </w:rPr>
            </w:pPr>
          </w:p>
        </w:tc>
      </w:tr>
      <w:tr w14:paraId="7BBFA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14:paraId="6D65885E">
            <w:pPr>
              <w:spacing w:line="360" w:lineRule="auto"/>
              <w:jc w:val="center"/>
              <w:rPr>
                <w:rFonts w:ascii="黑体" w:hAnsi="黑体" w:eastAsia="黑体"/>
                <w:szCs w:val="21"/>
              </w:rPr>
            </w:pPr>
          </w:p>
        </w:tc>
        <w:tc>
          <w:tcPr>
            <w:tcW w:w="2352" w:type="dxa"/>
            <w:vAlign w:val="center"/>
          </w:tcPr>
          <w:p w14:paraId="6B2D664C">
            <w:pPr>
              <w:spacing w:line="360" w:lineRule="auto"/>
              <w:jc w:val="center"/>
              <w:rPr>
                <w:rFonts w:ascii="黑体" w:hAnsi="黑体" w:eastAsia="黑体"/>
                <w:szCs w:val="21"/>
              </w:rPr>
            </w:pPr>
          </w:p>
        </w:tc>
        <w:tc>
          <w:tcPr>
            <w:tcW w:w="2126" w:type="dxa"/>
            <w:vAlign w:val="center"/>
          </w:tcPr>
          <w:p w14:paraId="47BA5E08">
            <w:pPr>
              <w:spacing w:line="360" w:lineRule="auto"/>
              <w:jc w:val="center"/>
              <w:rPr>
                <w:rFonts w:ascii="黑体" w:hAnsi="黑体" w:eastAsia="黑体"/>
                <w:szCs w:val="21"/>
              </w:rPr>
            </w:pPr>
          </w:p>
        </w:tc>
        <w:tc>
          <w:tcPr>
            <w:tcW w:w="1644" w:type="dxa"/>
            <w:vAlign w:val="center"/>
          </w:tcPr>
          <w:p w14:paraId="53B62C73">
            <w:pPr>
              <w:spacing w:line="360" w:lineRule="auto"/>
              <w:jc w:val="center"/>
              <w:rPr>
                <w:rFonts w:ascii="黑体" w:hAnsi="黑体" w:eastAsia="黑体"/>
                <w:szCs w:val="21"/>
              </w:rPr>
            </w:pPr>
          </w:p>
        </w:tc>
        <w:tc>
          <w:tcPr>
            <w:tcW w:w="1575" w:type="dxa"/>
            <w:vAlign w:val="center"/>
          </w:tcPr>
          <w:p w14:paraId="0ED425ED">
            <w:pPr>
              <w:spacing w:line="360" w:lineRule="auto"/>
              <w:jc w:val="center"/>
              <w:rPr>
                <w:rFonts w:ascii="黑体" w:hAnsi="黑体" w:eastAsia="黑体"/>
                <w:szCs w:val="21"/>
              </w:rPr>
            </w:pPr>
          </w:p>
        </w:tc>
      </w:tr>
      <w:tr w14:paraId="53CE6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14:paraId="02C4204D">
            <w:pPr>
              <w:spacing w:line="360" w:lineRule="auto"/>
              <w:jc w:val="center"/>
              <w:rPr>
                <w:rFonts w:ascii="黑体" w:hAnsi="黑体" w:eastAsia="黑体"/>
                <w:szCs w:val="21"/>
              </w:rPr>
            </w:pPr>
          </w:p>
        </w:tc>
        <w:tc>
          <w:tcPr>
            <w:tcW w:w="2352" w:type="dxa"/>
            <w:vAlign w:val="center"/>
          </w:tcPr>
          <w:p w14:paraId="3917EAA3">
            <w:pPr>
              <w:spacing w:line="360" w:lineRule="auto"/>
              <w:jc w:val="center"/>
              <w:rPr>
                <w:rFonts w:ascii="黑体" w:hAnsi="黑体" w:eastAsia="黑体"/>
                <w:szCs w:val="21"/>
              </w:rPr>
            </w:pPr>
          </w:p>
        </w:tc>
        <w:tc>
          <w:tcPr>
            <w:tcW w:w="2126" w:type="dxa"/>
            <w:vAlign w:val="center"/>
          </w:tcPr>
          <w:p w14:paraId="65913FB0">
            <w:pPr>
              <w:spacing w:line="360" w:lineRule="auto"/>
              <w:jc w:val="center"/>
              <w:rPr>
                <w:rFonts w:ascii="黑体" w:hAnsi="黑体" w:eastAsia="黑体"/>
                <w:szCs w:val="21"/>
              </w:rPr>
            </w:pPr>
          </w:p>
        </w:tc>
        <w:tc>
          <w:tcPr>
            <w:tcW w:w="1644" w:type="dxa"/>
            <w:vAlign w:val="center"/>
          </w:tcPr>
          <w:p w14:paraId="104536EE">
            <w:pPr>
              <w:spacing w:line="360" w:lineRule="auto"/>
              <w:jc w:val="center"/>
              <w:rPr>
                <w:rFonts w:ascii="黑体" w:hAnsi="黑体" w:eastAsia="黑体"/>
                <w:szCs w:val="21"/>
              </w:rPr>
            </w:pPr>
          </w:p>
        </w:tc>
        <w:tc>
          <w:tcPr>
            <w:tcW w:w="1575" w:type="dxa"/>
            <w:vAlign w:val="center"/>
          </w:tcPr>
          <w:p w14:paraId="4A5902D4">
            <w:pPr>
              <w:spacing w:line="360" w:lineRule="auto"/>
              <w:jc w:val="center"/>
              <w:rPr>
                <w:rFonts w:ascii="黑体" w:hAnsi="黑体" w:eastAsia="黑体"/>
                <w:szCs w:val="21"/>
              </w:rPr>
            </w:pPr>
          </w:p>
        </w:tc>
      </w:tr>
      <w:tr w14:paraId="4AA3C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14:paraId="31109A41">
            <w:pPr>
              <w:spacing w:line="360" w:lineRule="auto"/>
              <w:jc w:val="center"/>
              <w:rPr>
                <w:rFonts w:ascii="黑体" w:hAnsi="黑体" w:eastAsia="黑体"/>
                <w:szCs w:val="21"/>
              </w:rPr>
            </w:pPr>
          </w:p>
        </w:tc>
        <w:tc>
          <w:tcPr>
            <w:tcW w:w="2352" w:type="dxa"/>
            <w:vAlign w:val="center"/>
          </w:tcPr>
          <w:p w14:paraId="64FA79F1">
            <w:pPr>
              <w:spacing w:line="360" w:lineRule="auto"/>
              <w:jc w:val="center"/>
              <w:rPr>
                <w:rFonts w:ascii="黑体" w:hAnsi="黑体" w:eastAsia="黑体"/>
                <w:szCs w:val="21"/>
              </w:rPr>
            </w:pPr>
          </w:p>
        </w:tc>
        <w:tc>
          <w:tcPr>
            <w:tcW w:w="2126" w:type="dxa"/>
            <w:vAlign w:val="center"/>
          </w:tcPr>
          <w:p w14:paraId="7824F394">
            <w:pPr>
              <w:spacing w:line="360" w:lineRule="auto"/>
              <w:jc w:val="center"/>
              <w:rPr>
                <w:rFonts w:ascii="黑体" w:hAnsi="黑体" w:eastAsia="黑体"/>
                <w:szCs w:val="21"/>
              </w:rPr>
            </w:pPr>
          </w:p>
        </w:tc>
        <w:tc>
          <w:tcPr>
            <w:tcW w:w="1644" w:type="dxa"/>
            <w:vAlign w:val="center"/>
          </w:tcPr>
          <w:p w14:paraId="3CA17D96">
            <w:pPr>
              <w:spacing w:line="360" w:lineRule="auto"/>
              <w:jc w:val="center"/>
              <w:rPr>
                <w:rFonts w:ascii="黑体" w:hAnsi="黑体" w:eastAsia="黑体"/>
                <w:szCs w:val="21"/>
              </w:rPr>
            </w:pPr>
          </w:p>
        </w:tc>
        <w:tc>
          <w:tcPr>
            <w:tcW w:w="1575" w:type="dxa"/>
            <w:vAlign w:val="center"/>
          </w:tcPr>
          <w:p w14:paraId="1A5BB10C">
            <w:pPr>
              <w:spacing w:line="360" w:lineRule="auto"/>
              <w:jc w:val="center"/>
              <w:rPr>
                <w:rFonts w:ascii="黑体" w:hAnsi="黑体" w:eastAsia="黑体"/>
                <w:szCs w:val="21"/>
              </w:rPr>
            </w:pPr>
          </w:p>
        </w:tc>
      </w:tr>
      <w:tr w14:paraId="729F9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14:paraId="08F31F8C">
            <w:pPr>
              <w:spacing w:line="360" w:lineRule="auto"/>
              <w:jc w:val="center"/>
              <w:rPr>
                <w:rFonts w:ascii="黑体" w:hAnsi="黑体" w:eastAsia="黑体"/>
                <w:szCs w:val="21"/>
              </w:rPr>
            </w:pPr>
          </w:p>
        </w:tc>
        <w:tc>
          <w:tcPr>
            <w:tcW w:w="2352" w:type="dxa"/>
            <w:vAlign w:val="center"/>
          </w:tcPr>
          <w:p w14:paraId="720DF501">
            <w:pPr>
              <w:spacing w:line="360" w:lineRule="auto"/>
              <w:jc w:val="center"/>
              <w:rPr>
                <w:rFonts w:ascii="黑体" w:hAnsi="黑体" w:eastAsia="黑体"/>
                <w:szCs w:val="21"/>
              </w:rPr>
            </w:pPr>
          </w:p>
        </w:tc>
        <w:tc>
          <w:tcPr>
            <w:tcW w:w="2126" w:type="dxa"/>
            <w:vAlign w:val="center"/>
          </w:tcPr>
          <w:p w14:paraId="1C7D1B94">
            <w:pPr>
              <w:spacing w:line="360" w:lineRule="auto"/>
              <w:jc w:val="center"/>
              <w:rPr>
                <w:rFonts w:ascii="黑体" w:hAnsi="黑体" w:eastAsia="黑体"/>
                <w:szCs w:val="21"/>
              </w:rPr>
            </w:pPr>
          </w:p>
        </w:tc>
        <w:tc>
          <w:tcPr>
            <w:tcW w:w="1644" w:type="dxa"/>
            <w:vAlign w:val="center"/>
          </w:tcPr>
          <w:p w14:paraId="0697CC1E">
            <w:pPr>
              <w:spacing w:line="360" w:lineRule="auto"/>
              <w:jc w:val="center"/>
              <w:rPr>
                <w:rFonts w:ascii="黑体" w:hAnsi="黑体" w:eastAsia="黑体"/>
                <w:szCs w:val="21"/>
              </w:rPr>
            </w:pPr>
          </w:p>
        </w:tc>
        <w:tc>
          <w:tcPr>
            <w:tcW w:w="1575" w:type="dxa"/>
            <w:vAlign w:val="center"/>
          </w:tcPr>
          <w:p w14:paraId="087E5C17">
            <w:pPr>
              <w:spacing w:line="360" w:lineRule="auto"/>
              <w:jc w:val="center"/>
              <w:rPr>
                <w:rFonts w:ascii="黑体" w:hAnsi="黑体" w:eastAsia="黑体"/>
                <w:szCs w:val="21"/>
              </w:rPr>
            </w:pPr>
          </w:p>
        </w:tc>
      </w:tr>
    </w:tbl>
    <w:p w14:paraId="6ED2A83D">
      <w:pPr>
        <w:spacing w:before="156" w:beforeLines="50" w:line="360" w:lineRule="auto"/>
        <w:rPr>
          <w:rFonts w:ascii="黑体" w:hAnsi="黑体" w:eastAsia="黑体"/>
          <w:szCs w:val="21"/>
        </w:rPr>
      </w:pPr>
      <w:r>
        <w:rPr>
          <w:rFonts w:hint="eastAsia" w:ascii="黑体" w:hAnsi="黑体" w:eastAsia="黑体"/>
          <w:szCs w:val="21"/>
        </w:rPr>
        <w:t>注明：</w:t>
      </w:r>
    </w:p>
    <w:p w14:paraId="228D1895">
      <w:pPr>
        <w:pStyle w:val="29"/>
        <w:numPr>
          <w:ilvl w:val="0"/>
          <w:numId w:val="121"/>
        </w:numPr>
        <w:spacing w:line="360" w:lineRule="auto"/>
        <w:ind w:firstLineChars="0"/>
        <w:rPr>
          <w:rFonts w:ascii="黑体" w:hAnsi="黑体" w:eastAsia="黑体"/>
          <w:szCs w:val="21"/>
        </w:rPr>
      </w:pPr>
      <w:r>
        <w:rPr>
          <w:rFonts w:hint="eastAsia" w:ascii="黑体" w:hAnsi="黑体" w:eastAsia="黑体"/>
          <w:szCs w:val="21"/>
        </w:rPr>
        <w:t>偏离情况项填写“正”、“负”或“无”，说明项中填写原因。</w:t>
      </w:r>
    </w:p>
    <w:p w14:paraId="19F4DFAD">
      <w:pPr>
        <w:pStyle w:val="29"/>
        <w:numPr>
          <w:ilvl w:val="0"/>
          <w:numId w:val="121"/>
        </w:numPr>
        <w:spacing w:line="360" w:lineRule="auto"/>
        <w:ind w:firstLineChars="0"/>
        <w:rPr>
          <w:rFonts w:ascii="黑体" w:hAnsi="黑体" w:eastAsia="黑体"/>
          <w:szCs w:val="21"/>
        </w:rPr>
      </w:pPr>
      <w:r>
        <w:rPr>
          <w:rFonts w:hint="eastAsia" w:ascii="黑体" w:hAnsi="黑体" w:eastAsia="黑体"/>
          <w:szCs w:val="21"/>
        </w:rPr>
        <w:t>投标人应按照招标文件要求，根据“采购需求”内容作出全面响应。对响应有偏离的，则说明偏离的内容。</w:t>
      </w:r>
      <w:r>
        <w:rPr>
          <w:rFonts w:hint="eastAsia" w:ascii="黑体" w:hAnsi="黑体" w:eastAsia="黑体" w:cs="Times New Roman"/>
          <w:szCs w:val="21"/>
        </w:rPr>
        <w:t>“采购需求”内容中若有要求提供相关证明资料的，须按要求提供，否则视为负偏离</w:t>
      </w:r>
      <w:r>
        <w:rPr>
          <w:rFonts w:hint="eastAsia" w:ascii="黑体" w:hAnsi="黑体" w:eastAsia="黑体"/>
          <w:szCs w:val="21"/>
        </w:rPr>
        <w:t>。</w:t>
      </w:r>
    </w:p>
    <w:p w14:paraId="6235B7A1">
      <w:pPr>
        <w:spacing w:line="360" w:lineRule="auto"/>
        <w:rPr>
          <w:rFonts w:ascii="黑体" w:hAnsi="黑体" w:eastAsia="黑体"/>
          <w:szCs w:val="21"/>
        </w:rPr>
      </w:pPr>
    </w:p>
    <w:p w14:paraId="41D275C7">
      <w:pPr>
        <w:spacing w:line="360" w:lineRule="auto"/>
        <w:rPr>
          <w:rFonts w:ascii="黑体" w:hAnsi="黑体" w:eastAsia="黑体"/>
          <w:szCs w:val="21"/>
        </w:rPr>
      </w:pPr>
    </w:p>
    <w:p w14:paraId="41FD2869">
      <w:pPr>
        <w:spacing w:line="360" w:lineRule="auto"/>
        <w:rPr>
          <w:rFonts w:ascii="黑体" w:hAnsi="黑体" w:eastAsia="黑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669FF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28042B2C">
            <w:pPr>
              <w:overflowPunct w:val="0"/>
              <w:adjustRightInd w:val="0"/>
              <w:spacing w:line="360" w:lineRule="auto"/>
              <w:rPr>
                <w:rFonts w:ascii="黑体" w:hAnsi="黑体" w:eastAsia="黑体"/>
                <w:szCs w:val="21"/>
              </w:rPr>
            </w:pPr>
            <w:r>
              <w:rPr>
                <w:rFonts w:hint="eastAsia" w:ascii="黑体" w:hAnsi="黑体" w:eastAsia="黑体"/>
                <w:szCs w:val="21"/>
              </w:rPr>
              <w:t>投标人名称（加盖公章）：</w:t>
            </w:r>
            <w:r>
              <w:rPr>
                <w:rFonts w:ascii="黑体" w:hAnsi="黑体" w:eastAsia="黑体"/>
                <w:szCs w:val="21"/>
                <w:u w:val="single"/>
              </w:rPr>
              <w:t xml:space="preserve">                         </w:t>
            </w:r>
          </w:p>
        </w:tc>
        <w:tc>
          <w:tcPr>
            <w:tcW w:w="3175" w:type="dxa"/>
          </w:tcPr>
          <w:p w14:paraId="42F90775">
            <w:pPr>
              <w:spacing w:line="360" w:lineRule="auto"/>
              <w:rPr>
                <w:rFonts w:ascii="黑体" w:hAnsi="黑体" w:eastAsia="黑体"/>
                <w:szCs w:val="21"/>
              </w:rPr>
            </w:pPr>
          </w:p>
        </w:tc>
      </w:tr>
      <w:tr w14:paraId="12C6C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20D9D536">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5" w:type="dxa"/>
          </w:tcPr>
          <w:p w14:paraId="5FD53E60">
            <w:pPr>
              <w:spacing w:line="360" w:lineRule="auto"/>
              <w:rPr>
                <w:rFonts w:ascii="黑体" w:hAnsi="黑体" w:eastAsia="黑体"/>
                <w:szCs w:val="21"/>
              </w:rPr>
            </w:pPr>
          </w:p>
        </w:tc>
      </w:tr>
    </w:tbl>
    <w:p w14:paraId="6EC6D109">
      <w:pPr>
        <w:spacing w:line="360" w:lineRule="auto"/>
        <w:rPr>
          <w:rFonts w:ascii="黑体" w:hAnsi="黑体" w:eastAsia="黑体"/>
          <w:szCs w:val="21"/>
        </w:rPr>
      </w:pPr>
    </w:p>
    <w:p w14:paraId="5C4E498B">
      <w:pPr>
        <w:spacing w:line="360" w:lineRule="auto"/>
        <w:rPr>
          <w:rFonts w:ascii="黑体" w:hAnsi="黑体" w:eastAsia="黑体"/>
          <w:szCs w:val="21"/>
        </w:rPr>
      </w:pPr>
    </w:p>
    <w:p w14:paraId="280E505D">
      <w:pPr>
        <w:pStyle w:val="29"/>
        <w:pageBreakBefore/>
        <w:numPr>
          <w:ilvl w:val="0"/>
          <w:numId w:val="112"/>
        </w:numPr>
        <w:tabs>
          <w:tab w:val="left" w:pos="284"/>
          <w:tab w:val="left" w:pos="567"/>
          <w:tab w:val="left" w:pos="709"/>
        </w:tabs>
        <w:ind w:left="1679" w:hanging="1537" w:firstLineChars="0"/>
        <w:jc w:val="left"/>
        <w:rPr>
          <w:rFonts w:ascii="黑体" w:hAnsi="黑体" w:eastAsia="黑体"/>
          <w:b/>
          <w:bCs/>
        </w:rPr>
      </w:pPr>
      <w:bookmarkStart w:id="93" w:name="_Toc82414662"/>
      <w:bookmarkStart w:id="94" w:name="_Toc90980524"/>
      <w:bookmarkStart w:id="95" w:name="_Hlk82386912"/>
      <w:r>
        <w:rPr>
          <w:rFonts w:hint="eastAsia" w:ascii="黑体" w:hAnsi="黑体" w:eastAsia="黑体"/>
          <w:b/>
          <w:bCs/>
        </w:rPr>
        <w:t>投标货物详细说明</w:t>
      </w:r>
      <w:bookmarkEnd w:id="93"/>
      <w:bookmarkEnd w:id="94"/>
    </w:p>
    <w:p w14:paraId="1C907F86">
      <w:pPr>
        <w:spacing w:before="156" w:beforeLines="50" w:after="312" w:afterLines="100" w:line="360" w:lineRule="auto"/>
        <w:jc w:val="center"/>
        <w:rPr>
          <w:rFonts w:ascii="黑体" w:hAnsi="黑体" w:eastAsia="黑体"/>
          <w:b/>
          <w:spacing w:val="20"/>
          <w:sz w:val="30"/>
          <w:szCs w:val="30"/>
        </w:rPr>
      </w:pPr>
      <w:r>
        <w:rPr>
          <w:rFonts w:hint="eastAsia" w:ascii="黑体" w:hAnsi="黑体" w:eastAsia="黑体"/>
          <w:b/>
          <w:spacing w:val="20"/>
          <w:sz w:val="30"/>
          <w:szCs w:val="30"/>
        </w:rPr>
        <w:t>投标货物详细说明</w:t>
      </w:r>
    </w:p>
    <w:tbl>
      <w:tblPr>
        <w:tblStyle w:val="19"/>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3"/>
        <w:gridCol w:w="1329"/>
        <w:gridCol w:w="800"/>
        <w:gridCol w:w="1077"/>
        <w:gridCol w:w="1604"/>
        <w:gridCol w:w="875"/>
        <w:gridCol w:w="1433"/>
        <w:gridCol w:w="956"/>
      </w:tblGrid>
      <w:tr w14:paraId="58133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396" w:type="pct"/>
            <w:vAlign w:val="center"/>
          </w:tcPr>
          <w:p w14:paraId="6E78EE86">
            <w:pPr>
              <w:jc w:val="center"/>
              <w:rPr>
                <w:rFonts w:ascii="黑体" w:hAnsi="黑体" w:eastAsia="黑体"/>
                <w:b/>
                <w:bCs/>
              </w:rPr>
            </w:pPr>
            <w:r>
              <w:rPr>
                <w:rFonts w:hint="eastAsia" w:ascii="黑体" w:hAnsi="黑体" w:eastAsia="黑体"/>
                <w:b/>
                <w:bCs/>
              </w:rPr>
              <w:t>序号</w:t>
            </w:r>
          </w:p>
        </w:tc>
        <w:tc>
          <w:tcPr>
            <w:tcW w:w="758" w:type="pct"/>
            <w:vAlign w:val="center"/>
          </w:tcPr>
          <w:p w14:paraId="30638962">
            <w:pPr>
              <w:jc w:val="center"/>
              <w:rPr>
                <w:rFonts w:ascii="黑体" w:hAnsi="黑体" w:eastAsia="黑体"/>
                <w:b/>
                <w:bCs/>
              </w:rPr>
            </w:pPr>
            <w:r>
              <w:rPr>
                <w:rFonts w:hint="eastAsia" w:ascii="黑体" w:hAnsi="黑体" w:eastAsia="黑体"/>
                <w:b/>
                <w:bCs/>
              </w:rPr>
              <w:t>货物名称</w:t>
            </w:r>
          </w:p>
        </w:tc>
        <w:tc>
          <w:tcPr>
            <w:tcW w:w="456" w:type="pct"/>
            <w:vAlign w:val="center"/>
          </w:tcPr>
          <w:p w14:paraId="759A546F">
            <w:pPr>
              <w:jc w:val="center"/>
              <w:rPr>
                <w:rFonts w:ascii="黑体" w:hAnsi="黑体" w:eastAsia="黑体"/>
                <w:b/>
                <w:bCs/>
              </w:rPr>
            </w:pPr>
            <w:r>
              <w:rPr>
                <w:rFonts w:hint="eastAsia" w:ascii="黑体" w:hAnsi="黑体" w:eastAsia="黑体"/>
                <w:b/>
                <w:bCs/>
              </w:rPr>
              <w:t>数量</w:t>
            </w:r>
          </w:p>
        </w:tc>
        <w:tc>
          <w:tcPr>
            <w:tcW w:w="614" w:type="pct"/>
            <w:vAlign w:val="center"/>
          </w:tcPr>
          <w:p w14:paraId="3CA60C61">
            <w:pPr>
              <w:jc w:val="center"/>
              <w:rPr>
                <w:rFonts w:ascii="黑体" w:hAnsi="黑体" w:eastAsia="黑体"/>
                <w:b/>
                <w:bCs/>
              </w:rPr>
            </w:pPr>
            <w:r>
              <w:rPr>
                <w:rFonts w:hint="eastAsia" w:ascii="黑体" w:hAnsi="黑体" w:eastAsia="黑体"/>
                <w:b/>
                <w:bCs/>
              </w:rPr>
              <w:t>品牌</w:t>
            </w:r>
          </w:p>
        </w:tc>
        <w:tc>
          <w:tcPr>
            <w:tcW w:w="915" w:type="pct"/>
            <w:vAlign w:val="center"/>
          </w:tcPr>
          <w:p w14:paraId="4935A800">
            <w:pPr>
              <w:jc w:val="center"/>
              <w:rPr>
                <w:rFonts w:ascii="黑体" w:hAnsi="黑体" w:eastAsia="黑体"/>
                <w:b/>
                <w:bCs/>
              </w:rPr>
            </w:pPr>
            <w:r>
              <w:rPr>
                <w:rFonts w:hint="eastAsia" w:ascii="黑体" w:hAnsi="黑体" w:eastAsia="黑体"/>
                <w:b/>
                <w:bCs/>
              </w:rPr>
              <w:t>规格型号</w:t>
            </w:r>
          </w:p>
        </w:tc>
        <w:tc>
          <w:tcPr>
            <w:tcW w:w="499" w:type="pct"/>
            <w:vAlign w:val="center"/>
          </w:tcPr>
          <w:p w14:paraId="2A7ADBC5">
            <w:pPr>
              <w:jc w:val="center"/>
              <w:rPr>
                <w:rFonts w:ascii="黑体" w:hAnsi="黑体" w:eastAsia="黑体"/>
                <w:b/>
                <w:bCs/>
              </w:rPr>
            </w:pPr>
            <w:r>
              <w:rPr>
                <w:rFonts w:hint="eastAsia" w:ascii="黑体" w:hAnsi="黑体" w:eastAsia="黑体"/>
                <w:b/>
                <w:bCs/>
              </w:rPr>
              <w:t>产地</w:t>
            </w:r>
          </w:p>
        </w:tc>
        <w:tc>
          <w:tcPr>
            <w:tcW w:w="817" w:type="pct"/>
            <w:vAlign w:val="center"/>
          </w:tcPr>
          <w:p w14:paraId="464DF141">
            <w:pPr>
              <w:jc w:val="center"/>
              <w:rPr>
                <w:rFonts w:ascii="黑体" w:hAnsi="黑体" w:eastAsia="黑体"/>
                <w:b/>
                <w:bCs/>
              </w:rPr>
            </w:pPr>
            <w:r>
              <w:rPr>
                <w:rFonts w:hint="eastAsia" w:ascii="黑体" w:hAnsi="黑体" w:eastAsia="黑体"/>
                <w:b/>
                <w:bCs/>
              </w:rPr>
              <w:t>性能及技术参数</w:t>
            </w:r>
          </w:p>
        </w:tc>
        <w:tc>
          <w:tcPr>
            <w:tcW w:w="545" w:type="pct"/>
            <w:vAlign w:val="center"/>
          </w:tcPr>
          <w:p w14:paraId="372D188A">
            <w:pPr>
              <w:jc w:val="center"/>
              <w:rPr>
                <w:rFonts w:ascii="黑体" w:hAnsi="黑体" w:eastAsia="黑体"/>
                <w:b/>
                <w:bCs/>
              </w:rPr>
            </w:pPr>
            <w:r>
              <w:rPr>
                <w:rFonts w:hint="eastAsia" w:ascii="黑体" w:hAnsi="黑体" w:eastAsia="黑体"/>
                <w:b/>
                <w:bCs/>
              </w:rPr>
              <w:t>备注</w:t>
            </w:r>
          </w:p>
        </w:tc>
      </w:tr>
      <w:tr w14:paraId="0AD1D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75000B55">
            <w:pPr>
              <w:spacing w:line="480" w:lineRule="auto"/>
              <w:jc w:val="center"/>
              <w:rPr>
                <w:rFonts w:ascii="黑体" w:hAnsi="黑体" w:eastAsia="黑体"/>
                <w:szCs w:val="21"/>
              </w:rPr>
            </w:pPr>
          </w:p>
        </w:tc>
        <w:tc>
          <w:tcPr>
            <w:tcW w:w="758" w:type="pct"/>
            <w:vAlign w:val="center"/>
          </w:tcPr>
          <w:p w14:paraId="1DBFC1A1">
            <w:pPr>
              <w:spacing w:line="480" w:lineRule="auto"/>
              <w:jc w:val="center"/>
              <w:rPr>
                <w:rFonts w:ascii="黑体" w:hAnsi="黑体" w:eastAsia="黑体"/>
                <w:szCs w:val="21"/>
              </w:rPr>
            </w:pPr>
          </w:p>
        </w:tc>
        <w:tc>
          <w:tcPr>
            <w:tcW w:w="456" w:type="pct"/>
            <w:vAlign w:val="center"/>
          </w:tcPr>
          <w:p w14:paraId="6073F9CE">
            <w:pPr>
              <w:spacing w:line="480" w:lineRule="auto"/>
              <w:jc w:val="center"/>
              <w:rPr>
                <w:rFonts w:ascii="黑体" w:hAnsi="黑体" w:eastAsia="黑体"/>
                <w:szCs w:val="21"/>
              </w:rPr>
            </w:pPr>
          </w:p>
        </w:tc>
        <w:tc>
          <w:tcPr>
            <w:tcW w:w="614" w:type="pct"/>
            <w:vAlign w:val="center"/>
          </w:tcPr>
          <w:p w14:paraId="5C433624">
            <w:pPr>
              <w:spacing w:line="480" w:lineRule="auto"/>
              <w:jc w:val="center"/>
              <w:rPr>
                <w:rFonts w:ascii="黑体" w:hAnsi="黑体" w:eastAsia="黑体"/>
                <w:szCs w:val="21"/>
              </w:rPr>
            </w:pPr>
          </w:p>
        </w:tc>
        <w:tc>
          <w:tcPr>
            <w:tcW w:w="915" w:type="pct"/>
            <w:vAlign w:val="center"/>
          </w:tcPr>
          <w:p w14:paraId="1980E8E9">
            <w:pPr>
              <w:spacing w:line="480" w:lineRule="auto"/>
              <w:jc w:val="center"/>
              <w:rPr>
                <w:rFonts w:ascii="黑体" w:hAnsi="黑体" w:eastAsia="黑体"/>
                <w:szCs w:val="21"/>
              </w:rPr>
            </w:pPr>
          </w:p>
        </w:tc>
        <w:tc>
          <w:tcPr>
            <w:tcW w:w="499" w:type="pct"/>
            <w:vAlign w:val="center"/>
          </w:tcPr>
          <w:p w14:paraId="0173E05B">
            <w:pPr>
              <w:spacing w:line="480" w:lineRule="auto"/>
              <w:jc w:val="center"/>
              <w:rPr>
                <w:rFonts w:ascii="黑体" w:hAnsi="黑体" w:eastAsia="黑体"/>
                <w:szCs w:val="21"/>
              </w:rPr>
            </w:pPr>
          </w:p>
        </w:tc>
        <w:tc>
          <w:tcPr>
            <w:tcW w:w="817" w:type="pct"/>
          </w:tcPr>
          <w:p w14:paraId="5572AEE4">
            <w:pPr>
              <w:spacing w:line="480" w:lineRule="auto"/>
              <w:jc w:val="center"/>
              <w:rPr>
                <w:rFonts w:ascii="黑体" w:hAnsi="黑体" w:eastAsia="黑体"/>
                <w:szCs w:val="21"/>
              </w:rPr>
            </w:pPr>
          </w:p>
        </w:tc>
        <w:tc>
          <w:tcPr>
            <w:tcW w:w="545" w:type="pct"/>
          </w:tcPr>
          <w:p w14:paraId="2BAC44A3">
            <w:pPr>
              <w:spacing w:line="480" w:lineRule="auto"/>
              <w:jc w:val="center"/>
              <w:rPr>
                <w:rFonts w:ascii="黑体" w:hAnsi="黑体" w:eastAsia="黑体"/>
                <w:szCs w:val="21"/>
              </w:rPr>
            </w:pPr>
          </w:p>
        </w:tc>
      </w:tr>
      <w:tr w14:paraId="208A1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3040ABCF">
            <w:pPr>
              <w:spacing w:line="480" w:lineRule="auto"/>
              <w:jc w:val="center"/>
              <w:rPr>
                <w:rFonts w:ascii="黑体" w:hAnsi="黑体" w:eastAsia="黑体"/>
                <w:szCs w:val="21"/>
              </w:rPr>
            </w:pPr>
          </w:p>
        </w:tc>
        <w:tc>
          <w:tcPr>
            <w:tcW w:w="758" w:type="pct"/>
            <w:vAlign w:val="center"/>
          </w:tcPr>
          <w:p w14:paraId="3C0BED2E">
            <w:pPr>
              <w:spacing w:line="480" w:lineRule="auto"/>
              <w:jc w:val="center"/>
              <w:rPr>
                <w:rFonts w:ascii="黑体" w:hAnsi="黑体" w:eastAsia="黑体"/>
                <w:szCs w:val="21"/>
              </w:rPr>
            </w:pPr>
          </w:p>
        </w:tc>
        <w:tc>
          <w:tcPr>
            <w:tcW w:w="456" w:type="pct"/>
            <w:vAlign w:val="center"/>
          </w:tcPr>
          <w:p w14:paraId="3096D467">
            <w:pPr>
              <w:spacing w:line="480" w:lineRule="auto"/>
              <w:jc w:val="center"/>
              <w:rPr>
                <w:rFonts w:ascii="黑体" w:hAnsi="黑体" w:eastAsia="黑体"/>
                <w:szCs w:val="21"/>
              </w:rPr>
            </w:pPr>
          </w:p>
        </w:tc>
        <w:tc>
          <w:tcPr>
            <w:tcW w:w="614" w:type="pct"/>
            <w:vAlign w:val="center"/>
          </w:tcPr>
          <w:p w14:paraId="255F5354">
            <w:pPr>
              <w:spacing w:line="480" w:lineRule="auto"/>
              <w:jc w:val="center"/>
              <w:rPr>
                <w:rFonts w:ascii="黑体" w:hAnsi="黑体" w:eastAsia="黑体"/>
                <w:szCs w:val="21"/>
              </w:rPr>
            </w:pPr>
          </w:p>
        </w:tc>
        <w:tc>
          <w:tcPr>
            <w:tcW w:w="915" w:type="pct"/>
            <w:vAlign w:val="center"/>
          </w:tcPr>
          <w:p w14:paraId="550C842C">
            <w:pPr>
              <w:spacing w:line="480" w:lineRule="auto"/>
              <w:jc w:val="center"/>
              <w:rPr>
                <w:rFonts w:ascii="黑体" w:hAnsi="黑体" w:eastAsia="黑体"/>
                <w:szCs w:val="21"/>
              </w:rPr>
            </w:pPr>
          </w:p>
        </w:tc>
        <w:tc>
          <w:tcPr>
            <w:tcW w:w="499" w:type="pct"/>
            <w:vAlign w:val="center"/>
          </w:tcPr>
          <w:p w14:paraId="5C3770D6">
            <w:pPr>
              <w:spacing w:line="480" w:lineRule="auto"/>
              <w:jc w:val="center"/>
              <w:rPr>
                <w:rFonts w:ascii="黑体" w:hAnsi="黑体" w:eastAsia="黑体"/>
                <w:szCs w:val="21"/>
              </w:rPr>
            </w:pPr>
          </w:p>
        </w:tc>
        <w:tc>
          <w:tcPr>
            <w:tcW w:w="817" w:type="pct"/>
          </w:tcPr>
          <w:p w14:paraId="55F0AE50">
            <w:pPr>
              <w:spacing w:line="480" w:lineRule="auto"/>
              <w:jc w:val="center"/>
              <w:rPr>
                <w:rFonts w:ascii="黑体" w:hAnsi="黑体" w:eastAsia="黑体"/>
                <w:szCs w:val="21"/>
              </w:rPr>
            </w:pPr>
          </w:p>
        </w:tc>
        <w:tc>
          <w:tcPr>
            <w:tcW w:w="545" w:type="pct"/>
          </w:tcPr>
          <w:p w14:paraId="0D5C1479">
            <w:pPr>
              <w:spacing w:line="480" w:lineRule="auto"/>
              <w:jc w:val="center"/>
              <w:rPr>
                <w:rFonts w:ascii="黑体" w:hAnsi="黑体" w:eastAsia="黑体"/>
                <w:szCs w:val="21"/>
              </w:rPr>
            </w:pPr>
          </w:p>
        </w:tc>
      </w:tr>
      <w:tr w14:paraId="74259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6DC20033">
            <w:pPr>
              <w:spacing w:line="480" w:lineRule="auto"/>
              <w:jc w:val="center"/>
              <w:rPr>
                <w:rFonts w:ascii="黑体" w:hAnsi="黑体" w:eastAsia="黑体"/>
                <w:szCs w:val="21"/>
              </w:rPr>
            </w:pPr>
          </w:p>
        </w:tc>
        <w:tc>
          <w:tcPr>
            <w:tcW w:w="758" w:type="pct"/>
            <w:vAlign w:val="center"/>
          </w:tcPr>
          <w:p w14:paraId="468E9897">
            <w:pPr>
              <w:spacing w:line="480" w:lineRule="auto"/>
              <w:jc w:val="center"/>
              <w:rPr>
                <w:rFonts w:ascii="黑体" w:hAnsi="黑体" w:eastAsia="黑体"/>
                <w:szCs w:val="21"/>
              </w:rPr>
            </w:pPr>
          </w:p>
        </w:tc>
        <w:tc>
          <w:tcPr>
            <w:tcW w:w="456" w:type="pct"/>
            <w:vAlign w:val="center"/>
          </w:tcPr>
          <w:p w14:paraId="6780C0A1">
            <w:pPr>
              <w:spacing w:line="480" w:lineRule="auto"/>
              <w:jc w:val="center"/>
              <w:rPr>
                <w:rFonts w:ascii="黑体" w:hAnsi="黑体" w:eastAsia="黑体"/>
                <w:szCs w:val="21"/>
              </w:rPr>
            </w:pPr>
          </w:p>
        </w:tc>
        <w:tc>
          <w:tcPr>
            <w:tcW w:w="614" w:type="pct"/>
            <w:vAlign w:val="center"/>
          </w:tcPr>
          <w:p w14:paraId="516AD048">
            <w:pPr>
              <w:spacing w:line="480" w:lineRule="auto"/>
              <w:jc w:val="center"/>
              <w:rPr>
                <w:rFonts w:ascii="黑体" w:hAnsi="黑体" w:eastAsia="黑体"/>
                <w:szCs w:val="21"/>
              </w:rPr>
            </w:pPr>
          </w:p>
        </w:tc>
        <w:tc>
          <w:tcPr>
            <w:tcW w:w="915" w:type="pct"/>
            <w:vAlign w:val="center"/>
          </w:tcPr>
          <w:p w14:paraId="09C5344C">
            <w:pPr>
              <w:spacing w:line="480" w:lineRule="auto"/>
              <w:jc w:val="center"/>
              <w:rPr>
                <w:rFonts w:ascii="黑体" w:hAnsi="黑体" w:eastAsia="黑体"/>
                <w:szCs w:val="21"/>
              </w:rPr>
            </w:pPr>
          </w:p>
        </w:tc>
        <w:tc>
          <w:tcPr>
            <w:tcW w:w="499" w:type="pct"/>
            <w:vAlign w:val="center"/>
          </w:tcPr>
          <w:p w14:paraId="6D740ECA">
            <w:pPr>
              <w:spacing w:line="480" w:lineRule="auto"/>
              <w:jc w:val="center"/>
              <w:rPr>
                <w:rFonts w:ascii="黑体" w:hAnsi="黑体" w:eastAsia="黑体"/>
                <w:szCs w:val="21"/>
              </w:rPr>
            </w:pPr>
          </w:p>
        </w:tc>
        <w:tc>
          <w:tcPr>
            <w:tcW w:w="817" w:type="pct"/>
          </w:tcPr>
          <w:p w14:paraId="18684AA7">
            <w:pPr>
              <w:spacing w:line="480" w:lineRule="auto"/>
              <w:jc w:val="center"/>
              <w:rPr>
                <w:rFonts w:ascii="黑体" w:hAnsi="黑体" w:eastAsia="黑体"/>
                <w:szCs w:val="21"/>
              </w:rPr>
            </w:pPr>
          </w:p>
        </w:tc>
        <w:tc>
          <w:tcPr>
            <w:tcW w:w="545" w:type="pct"/>
          </w:tcPr>
          <w:p w14:paraId="7404B877">
            <w:pPr>
              <w:spacing w:line="480" w:lineRule="auto"/>
              <w:jc w:val="center"/>
              <w:rPr>
                <w:rFonts w:ascii="黑体" w:hAnsi="黑体" w:eastAsia="黑体"/>
                <w:szCs w:val="21"/>
              </w:rPr>
            </w:pPr>
          </w:p>
        </w:tc>
      </w:tr>
      <w:tr w14:paraId="2208B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614DD198">
            <w:pPr>
              <w:spacing w:line="480" w:lineRule="auto"/>
              <w:jc w:val="center"/>
              <w:rPr>
                <w:rFonts w:ascii="黑体" w:hAnsi="黑体" w:eastAsia="黑体"/>
                <w:szCs w:val="21"/>
              </w:rPr>
            </w:pPr>
          </w:p>
        </w:tc>
        <w:tc>
          <w:tcPr>
            <w:tcW w:w="758" w:type="pct"/>
            <w:vAlign w:val="center"/>
          </w:tcPr>
          <w:p w14:paraId="016E9D0C">
            <w:pPr>
              <w:spacing w:line="480" w:lineRule="auto"/>
              <w:jc w:val="center"/>
              <w:rPr>
                <w:rFonts w:ascii="黑体" w:hAnsi="黑体" w:eastAsia="黑体"/>
                <w:szCs w:val="21"/>
              </w:rPr>
            </w:pPr>
          </w:p>
        </w:tc>
        <w:tc>
          <w:tcPr>
            <w:tcW w:w="456" w:type="pct"/>
            <w:vAlign w:val="center"/>
          </w:tcPr>
          <w:p w14:paraId="0B8B8D42">
            <w:pPr>
              <w:spacing w:line="480" w:lineRule="auto"/>
              <w:jc w:val="center"/>
              <w:rPr>
                <w:rFonts w:ascii="黑体" w:hAnsi="黑体" w:eastAsia="黑体"/>
                <w:szCs w:val="21"/>
              </w:rPr>
            </w:pPr>
          </w:p>
        </w:tc>
        <w:tc>
          <w:tcPr>
            <w:tcW w:w="614" w:type="pct"/>
            <w:vAlign w:val="center"/>
          </w:tcPr>
          <w:p w14:paraId="03B6E3CA">
            <w:pPr>
              <w:spacing w:line="480" w:lineRule="auto"/>
              <w:jc w:val="center"/>
              <w:rPr>
                <w:rFonts w:ascii="黑体" w:hAnsi="黑体" w:eastAsia="黑体"/>
                <w:szCs w:val="21"/>
              </w:rPr>
            </w:pPr>
          </w:p>
        </w:tc>
        <w:tc>
          <w:tcPr>
            <w:tcW w:w="915" w:type="pct"/>
            <w:vAlign w:val="center"/>
          </w:tcPr>
          <w:p w14:paraId="1A4D6DF3">
            <w:pPr>
              <w:spacing w:line="480" w:lineRule="auto"/>
              <w:jc w:val="center"/>
              <w:rPr>
                <w:rFonts w:ascii="黑体" w:hAnsi="黑体" w:eastAsia="黑体"/>
                <w:szCs w:val="21"/>
              </w:rPr>
            </w:pPr>
          </w:p>
        </w:tc>
        <w:tc>
          <w:tcPr>
            <w:tcW w:w="499" w:type="pct"/>
            <w:vAlign w:val="center"/>
          </w:tcPr>
          <w:p w14:paraId="277FCFE5">
            <w:pPr>
              <w:spacing w:line="480" w:lineRule="auto"/>
              <w:jc w:val="center"/>
              <w:rPr>
                <w:rFonts w:ascii="黑体" w:hAnsi="黑体" w:eastAsia="黑体"/>
                <w:szCs w:val="21"/>
              </w:rPr>
            </w:pPr>
          </w:p>
        </w:tc>
        <w:tc>
          <w:tcPr>
            <w:tcW w:w="817" w:type="pct"/>
          </w:tcPr>
          <w:p w14:paraId="6D574065">
            <w:pPr>
              <w:spacing w:line="480" w:lineRule="auto"/>
              <w:jc w:val="center"/>
              <w:rPr>
                <w:rFonts w:ascii="黑体" w:hAnsi="黑体" w:eastAsia="黑体"/>
                <w:szCs w:val="21"/>
              </w:rPr>
            </w:pPr>
          </w:p>
        </w:tc>
        <w:tc>
          <w:tcPr>
            <w:tcW w:w="545" w:type="pct"/>
          </w:tcPr>
          <w:p w14:paraId="474E4DBA">
            <w:pPr>
              <w:spacing w:line="480" w:lineRule="auto"/>
              <w:jc w:val="center"/>
              <w:rPr>
                <w:rFonts w:ascii="黑体" w:hAnsi="黑体" w:eastAsia="黑体"/>
                <w:szCs w:val="21"/>
              </w:rPr>
            </w:pPr>
          </w:p>
        </w:tc>
      </w:tr>
      <w:tr w14:paraId="28D9D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428EB95E">
            <w:pPr>
              <w:spacing w:line="480" w:lineRule="auto"/>
              <w:jc w:val="center"/>
              <w:rPr>
                <w:rFonts w:ascii="黑体" w:hAnsi="黑体" w:eastAsia="黑体"/>
                <w:szCs w:val="21"/>
              </w:rPr>
            </w:pPr>
          </w:p>
        </w:tc>
        <w:tc>
          <w:tcPr>
            <w:tcW w:w="758" w:type="pct"/>
            <w:vAlign w:val="center"/>
          </w:tcPr>
          <w:p w14:paraId="786A2FA0">
            <w:pPr>
              <w:spacing w:line="480" w:lineRule="auto"/>
              <w:jc w:val="center"/>
              <w:rPr>
                <w:rFonts w:ascii="黑体" w:hAnsi="黑体" w:eastAsia="黑体"/>
                <w:szCs w:val="21"/>
              </w:rPr>
            </w:pPr>
          </w:p>
        </w:tc>
        <w:tc>
          <w:tcPr>
            <w:tcW w:w="456" w:type="pct"/>
            <w:vAlign w:val="center"/>
          </w:tcPr>
          <w:p w14:paraId="1CB1FD38">
            <w:pPr>
              <w:spacing w:line="480" w:lineRule="auto"/>
              <w:jc w:val="center"/>
              <w:rPr>
                <w:rFonts w:ascii="黑体" w:hAnsi="黑体" w:eastAsia="黑体"/>
                <w:szCs w:val="21"/>
              </w:rPr>
            </w:pPr>
          </w:p>
        </w:tc>
        <w:tc>
          <w:tcPr>
            <w:tcW w:w="614" w:type="pct"/>
            <w:vAlign w:val="center"/>
          </w:tcPr>
          <w:p w14:paraId="734C1CFD">
            <w:pPr>
              <w:spacing w:line="480" w:lineRule="auto"/>
              <w:jc w:val="center"/>
              <w:rPr>
                <w:rFonts w:ascii="黑体" w:hAnsi="黑体" w:eastAsia="黑体"/>
                <w:szCs w:val="21"/>
              </w:rPr>
            </w:pPr>
          </w:p>
        </w:tc>
        <w:tc>
          <w:tcPr>
            <w:tcW w:w="915" w:type="pct"/>
            <w:vAlign w:val="center"/>
          </w:tcPr>
          <w:p w14:paraId="4A011956">
            <w:pPr>
              <w:spacing w:line="480" w:lineRule="auto"/>
              <w:jc w:val="center"/>
              <w:rPr>
                <w:rFonts w:ascii="黑体" w:hAnsi="黑体" w:eastAsia="黑体"/>
                <w:szCs w:val="21"/>
              </w:rPr>
            </w:pPr>
          </w:p>
        </w:tc>
        <w:tc>
          <w:tcPr>
            <w:tcW w:w="499" w:type="pct"/>
            <w:vAlign w:val="center"/>
          </w:tcPr>
          <w:p w14:paraId="2735C2CC">
            <w:pPr>
              <w:spacing w:line="480" w:lineRule="auto"/>
              <w:jc w:val="center"/>
              <w:rPr>
                <w:rFonts w:ascii="黑体" w:hAnsi="黑体" w:eastAsia="黑体"/>
                <w:szCs w:val="21"/>
              </w:rPr>
            </w:pPr>
          </w:p>
        </w:tc>
        <w:tc>
          <w:tcPr>
            <w:tcW w:w="817" w:type="pct"/>
          </w:tcPr>
          <w:p w14:paraId="547EDBAF">
            <w:pPr>
              <w:spacing w:line="480" w:lineRule="auto"/>
              <w:jc w:val="center"/>
              <w:rPr>
                <w:rFonts w:ascii="黑体" w:hAnsi="黑体" w:eastAsia="黑体"/>
                <w:szCs w:val="21"/>
              </w:rPr>
            </w:pPr>
          </w:p>
        </w:tc>
        <w:tc>
          <w:tcPr>
            <w:tcW w:w="545" w:type="pct"/>
          </w:tcPr>
          <w:p w14:paraId="21BE9EAB">
            <w:pPr>
              <w:spacing w:line="480" w:lineRule="auto"/>
              <w:jc w:val="center"/>
              <w:rPr>
                <w:rFonts w:ascii="黑体" w:hAnsi="黑体" w:eastAsia="黑体"/>
                <w:szCs w:val="21"/>
              </w:rPr>
            </w:pPr>
          </w:p>
        </w:tc>
      </w:tr>
      <w:tr w14:paraId="34EA0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47BFA591">
            <w:pPr>
              <w:spacing w:line="480" w:lineRule="auto"/>
              <w:jc w:val="center"/>
              <w:rPr>
                <w:rFonts w:ascii="黑体" w:hAnsi="黑体" w:eastAsia="黑体"/>
                <w:szCs w:val="21"/>
              </w:rPr>
            </w:pPr>
          </w:p>
        </w:tc>
        <w:tc>
          <w:tcPr>
            <w:tcW w:w="758" w:type="pct"/>
            <w:vAlign w:val="center"/>
          </w:tcPr>
          <w:p w14:paraId="1E3F8D89">
            <w:pPr>
              <w:spacing w:line="480" w:lineRule="auto"/>
              <w:jc w:val="center"/>
              <w:rPr>
                <w:rFonts w:ascii="黑体" w:hAnsi="黑体" w:eastAsia="黑体"/>
                <w:szCs w:val="21"/>
              </w:rPr>
            </w:pPr>
          </w:p>
        </w:tc>
        <w:tc>
          <w:tcPr>
            <w:tcW w:w="456" w:type="pct"/>
            <w:vAlign w:val="center"/>
          </w:tcPr>
          <w:p w14:paraId="07257CCA">
            <w:pPr>
              <w:spacing w:line="480" w:lineRule="auto"/>
              <w:jc w:val="center"/>
              <w:rPr>
                <w:rFonts w:ascii="黑体" w:hAnsi="黑体" w:eastAsia="黑体"/>
                <w:szCs w:val="21"/>
              </w:rPr>
            </w:pPr>
          </w:p>
        </w:tc>
        <w:tc>
          <w:tcPr>
            <w:tcW w:w="614" w:type="pct"/>
            <w:vAlign w:val="center"/>
          </w:tcPr>
          <w:p w14:paraId="443117D1">
            <w:pPr>
              <w:spacing w:line="480" w:lineRule="auto"/>
              <w:jc w:val="center"/>
              <w:rPr>
                <w:rFonts w:ascii="黑体" w:hAnsi="黑体" w:eastAsia="黑体"/>
                <w:szCs w:val="21"/>
              </w:rPr>
            </w:pPr>
          </w:p>
        </w:tc>
        <w:tc>
          <w:tcPr>
            <w:tcW w:w="915" w:type="pct"/>
            <w:vAlign w:val="center"/>
          </w:tcPr>
          <w:p w14:paraId="2A6B7CE0">
            <w:pPr>
              <w:spacing w:line="480" w:lineRule="auto"/>
              <w:jc w:val="center"/>
              <w:rPr>
                <w:rFonts w:ascii="黑体" w:hAnsi="黑体" w:eastAsia="黑体"/>
                <w:szCs w:val="21"/>
              </w:rPr>
            </w:pPr>
          </w:p>
        </w:tc>
        <w:tc>
          <w:tcPr>
            <w:tcW w:w="499" w:type="pct"/>
            <w:vAlign w:val="center"/>
          </w:tcPr>
          <w:p w14:paraId="78A26FF1">
            <w:pPr>
              <w:spacing w:line="480" w:lineRule="auto"/>
              <w:jc w:val="center"/>
              <w:rPr>
                <w:rFonts w:ascii="黑体" w:hAnsi="黑体" w:eastAsia="黑体"/>
                <w:szCs w:val="21"/>
              </w:rPr>
            </w:pPr>
          </w:p>
        </w:tc>
        <w:tc>
          <w:tcPr>
            <w:tcW w:w="817" w:type="pct"/>
          </w:tcPr>
          <w:p w14:paraId="0AAD7733">
            <w:pPr>
              <w:spacing w:line="480" w:lineRule="auto"/>
              <w:jc w:val="center"/>
              <w:rPr>
                <w:rFonts w:ascii="黑体" w:hAnsi="黑体" w:eastAsia="黑体"/>
                <w:szCs w:val="21"/>
              </w:rPr>
            </w:pPr>
          </w:p>
        </w:tc>
        <w:tc>
          <w:tcPr>
            <w:tcW w:w="545" w:type="pct"/>
          </w:tcPr>
          <w:p w14:paraId="3BC2A2BD">
            <w:pPr>
              <w:spacing w:line="480" w:lineRule="auto"/>
              <w:jc w:val="center"/>
              <w:rPr>
                <w:rFonts w:ascii="黑体" w:hAnsi="黑体" w:eastAsia="黑体"/>
                <w:szCs w:val="21"/>
              </w:rPr>
            </w:pPr>
          </w:p>
        </w:tc>
      </w:tr>
      <w:tr w14:paraId="011E8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10A392B4">
            <w:pPr>
              <w:spacing w:line="480" w:lineRule="auto"/>
              <w:jc w:val="center"/>
              <w:rPr>
                <w:rFonts w:ascii="黑体" w:hAnsi="黑体" w:eastAsia="黑体"/>
                <w:szCs w:val="21"/>
              </w:rPr>
            </w:pPr>
          </w:p>
        </w:tc>
        <w:tc>
          <w:tcPr>
            <w:tcW w:w="758" w:type="pct"/>
            <w:vAlign w:val="center"/>
          </w:tcPr>
          <w:p w14:paraId="6E3FAD33">
            <w:pPr>
              <w:spacing w:line="480" w:lineRule="auto"/>
              <w:jc w:val="center"/>
              <w:rPr>
                <w:rFonts w:ascii="黑体" w:hAnsi="黑体" w:eastAsia="黑体"/>
                <w:szCs w:val="21"/>
              </w:rPr>
            </w:pPr>
          </w:p>
        </w:tc>
        <w:tc>
          <w:tcPr>
            <w:tcW w:w="456" w:type="pct"/>
            <w:vAlign w:val="center"/>
          </w:tcPr>
          <w:p w14:paraId="1BE46501">
            <w:pPr>
              <w:spacing w:line="480" w:lineRule="auto"/>
              <w:jc w:val="center"/>
              <w:rPr>
                <w:rFonts w:ascii="黑体" w:hAnsi="黑体" w:eastAsia="黑体"/>
                <w:szCs w:val="21"/>
              </w:rPr>
            </w:pPr>
          </w:p>
        </w:tc>
        <w:tc>
          <w:tcPr>
            <w:tcW w:w="614" w:type="pct"/>
            <w:vAlign w:val="center"/>
          </w:tcPr>
          <w:p w14:paraId="2403AB5C">
            <w:pPr>
              <w:spacing w:line="480" w:lineRule="auto"/>
              <w:jc w:val="center"/>
              <w:rPr>
                <w:rFonts w:ascii="黑体" w:hAnsi="黑体" w:eastAsia="黑体"/>
                <w:szCs w:val="21"/>
              </w:rPr>
            </w:pPr>
          </w:p>
        </w:tc>
        <w:tc>
          <w:tcPr>
            <w:tcW w:w="915" w:type="pct"/>
            <w:vAlign w:val="center"/>
          </w:tcPr>
          <w:p w14:paraId="3BD1B3A7">
            <w:pPr>
              <w:spacing w:line="480" w:lineRule="auto"/>
              <w:jc w:val="center"/>
              <w:rPr>
                <w:rFonts w:ascii="黑体" w:hAnsi="黑体" w:eastAsia="黑体"/>
                <w:szCs w:val="21"/>
              </w:rPr>
            </w:pPr>
          </w:p>
        </w:tc>
        <w:tc>
          <w:tcPr>
            <w:tcW w:w="499" w:type="pct"/>
            <w:vAlign w:val="center"/>
          </w:tcPr>
          <w:p w14:paraId="76E5CF3A">
            <w:pPr>
              <w:spacing w:line="480" w:lineRule="auto"/>
              <w:jc w:val="center"/>
              <w:rPr>
                <w:rFonts w:ascii="黑体" w:hAnsi="黑体" w:eastAsia="黑体"/>
                <w:szCs w:val="21"/>
              </w:rPr>
            </w:pPr>
          </w:p>
        </w:tc>
        <w:tc>
          <w:tcPr>
            <w:tcW w:w="817" w:type="pct"/>
          </w:tcPr>
          <w:p w14:paraId="694BE1CC">
            <w:pPr>
              <w:spacing w:line="480" w:lineRule="auto"/>
              <w:jc w:val="center"/>
              <w:rPr>
                <w:rFonts w:ascii="黑体" w:hAnsi="黑体" w:eastAsia="黑体"/>
                <w:szCs w:val="21"/>
              </w:rPr>
            </w:pPr>
          </w:p>
        </w:tc>
        <w:tc>
          <w:tcPr>
            <w:tcW w:w="545" w:type="pct"/>
          </w:tcPr>
          <w:p w14:paraId="1F224785">
            <w:pPr>
              <w:spacing w:line="480" w:lineRule="auto"/>
              <w:jc w:val="center"/>
              <w:rPr>
                <w:rFonts w:ascii="黑体" w:hAnsi="黑体" w:eastAsia="黑体"/>
                <w:szCs w:val="21"/>
              </w:rPr>
            </w:pPr>
          </w:p>
        </w:tc>
      </w:tr>
      <w:tr w14:paraId="57436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0C67DE10">
            <w:pPr>
              <w:spacing w:line="480" w:lineRule="auto"/>
              <w:jc w:val="center"/>
              <w:rPr>
                <w:rFonts w:ascii="黑体" w:hAnsi="黑体" w:eastAsia="黑体"/>
                <w:szCs w:val="21"/>
              </w:rPr>
            </w:pPr>
          </w:p>
        </w:tc>
        <w:tc>
          <w:tcPr>
            <w:tcW w:w="758" w:type="pct"/>
            <w:vAlign w:val="center"/>
          </w:tcPr>
          <w:p w14:paraId="07BEB314">
            <w:pPr>
              <w:spacing w:line="480" w:lineRule="auto"/>
              <w:jc w:val="center"/>
              <w:rPr>
                <w:rFonts w:ascii="黑体" w:hAnsi="黑体" w:eastAsia="黑体"/>
                <w:szCs w:val="21"/>
              </w:rPr>
            </w:pPr>
          </w:p>
        </w:tc>
        <w:tc>
          <w:tcPr>
            <w:tcW w:w="456" w:type="pct"/>
            <w:vAlign w:val="center"/>
          </w:tcPr>
          <w:p w14:paraId="39E8CC23">
            <w:pPr>
              <w:spacing w:line="480" w:lineRule="auto"/>
              <w:jc w:val="center"/>
              <w:rPr>
                <w:rFonts w:ascii="黑体" w:hAnsi="黑体" w:eastAsia="黑体"/>
                <w:szCs w:val="21"/>
              </w:rPr>
            </w:pPr>
          </w:p>
        </w:tc>
        <w:tc>
          <w:tcPr>
            <w:tcW w:w="614" w:type="pct"/>
            <w:vAlign w:val="center"/>
          </w:tcPr>
          <w:p w14:paraId="32EC2FF2">
            <w:pPr>
              <w:spacing w:line="480" w:lineRule="auto"/>
              <w:jc w:val="center"/>
              <w:rPr>
                <w:rFonts w:ascii="黑体" w:hAnsi="黑体" w:eastAsia="黑体"/>
                <w:szCs w:val="21"/>
              </w:rPr>
            </w:pPr>
          </w:p>
        </w:tc>
        <w:tc>
          <w:tcPr>
            <w:tcW w:w="915" w:type="pct"/>
            <w:vAlign w:val="center"/>
          </w:tcPr>
          <w:p w14:paraId="29F8352D">
            <w:pPr>
              <w:spacing w:line="480" w:lineRule="auto"/>
              <w:jc w:val="center"/>
              <w:rPr>
                <w:rFonts w:ascii="黑体" w:hAnsi="黑体" w:eastAsia="黑体"/>
                <w:szCs w:val="21"/>
              </w:rPr>
            </w:pPr>
          </w:p>
        </w:tc>
        <w:tc>
          <w:tcPr>
            <w:tcW w:w="499" w:type="pct"/>
            <w:vAlign w:val="center"/>
          </w:tcPr>
          <w:p w14:paraId="321CC628">
            <w:pPr>
              <w:spacing w:line="480" w:lineRule="auto"/>
              <w:jc w:val="center"/>
              <w:rPr>
                <w:rFonts w:ascii="黑体" w:hAnsi="黑体" w:eastAsia="黑体"/>
                <w:szCs w:val="21"/>
              </w:rPr>
            </w:pPr>
          </w:p>
        </w:tc>
        <w:tc>
          <w:tcPr>
            <w:tcW w:w="817" w:type="pct"/>
          </w:tcPr>
          <w:p w14:paraId="14EAB8F6">
            <w:pPr>
              <w:spacing w:line="480" w:lineRule="auto"/>
              <w:jc w:val="center"/>
              <w:rPr>
                <w:rFonts w:ascii="黑体" w:hAnsi="黑体" w:eastAsia="黑体"/>
                <w:szCs w:val="21"/>
              </w:rPr>
            </w:pPr>
          </w:p>
        </w:tc>
        <w:tc>
          <w:tcPr>
            <w:tcW w:w="545" w:type="pct"/>
          </w:tcPr>
          <w:p w14:paraId="0BC67356">
            <w:pPr>
              <w:spacing w:line="480" w:lineRule="auto"/>
              <w:jc w:val="center"/>
              <w:rPr>
                <w:rFonts w:ascii="黑体" w:hAnsi="黑体" w:eastAsia="黑体"/>
                <w:szCs w:val="21"/>
              </w:rPr>
            </w:pPr>
          </w:p>
        </w:tc>
      </w:tr>
    </w:tbl>
    <w:p w14:paraId="4FAE3F29">
      <w:pPr>
        <w:spacing w:line="360" w:lineRule="auto"/>
        <w:rPr>
          <w:rFonts w:ascii="黑体" w:hAnsi="黑体" w:eastAsia="黑体"/>
          <w:szCs w:val="21"/>
        </w:rPr>
      </w:pPr>
    </w:p>
    <w:p w14:paraId="6AB9E434">
      <w:pPr>
        <w:spacing w:line="360" w:lineRule="auto"/>
        <w:rPr>
          <w:rFonts w:ascii="黑体" w:hAnsi="黑体" w:eastAsia="黑体"/>
          <w:szCs w:val="21"/>
        </w:rPr>
      </w:pPr>
    </w:p>
    <w:p w14:paraId="6EF3DB1C">
      <w:pPr>
        <w:spacing w:line="360" w:lineRule="auto"/>
        <w:rPr>
          <w:rFonts w:ascii="黑体" w:hAnsi="黑体" w:eastAsia="黑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1A59F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C29C01A">
            <w:pPr>
              <w:overflowPunct w:val="0"/>
              <w:adjustRightInd w:val="0"/>
              <w:spacing w:line="360" w:lineRule="auto"/>
              <w:rPr>
                <w:rFonts w:ascii="黑体" w:hAnsi="黑体" w:eastAsia="黑体"/>
                <w:szCs w:val="21"/>
              </w:rPr>
            </w:pPr>
            <w:r>
              <w:rPr>
                <w:rFonts w:hint="eastAsia" w:ascii="黑体" w:hAnsi="黑体" w:eastAsia="黑体"/>
                <w:szCs w:val="21"/>
              </w:rPr>
              <w:t>投标人名称（加盖公章）：</w:t>
            </w:r>
            <w:r>
              <w:rPr>
                <w:rFonts w:ascii="黑体" w:hAnsi="黑体" w:eastAsia="黑体"/>
                <w:szCs w:val="21"/>
                <w:u w:val="single"/>
              </w:rPr>
              <w:t xml:space="preserve">                         </w:t>
            </w:r>
          </w:p>
        </w:tc>
        <w:tc>
          <w:tcPr>
            <w:tcW w:w="3175" w:type="dxa"/>
          </w:tcPr>
          <w:p w14:paraId="08BB73E6">
            <w:pPr>
              <w:spacing w:line="360" w:lineRule="auto"/>
              <w:rPr>
                <w:rFonts w:ascii="黑体" w:hAnsi="黑体" w:eastAsia="黑体"/>
                <w:szCs w:val="21"/>
              </w:rPr>
            </w:pPr>
          </w:p>
        </w:tc>
      </w:tr>
      <w:tr w14:paraId="27BDB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08AC82D0">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5" w:type="dxa"/>
          </w:tcPr>
          <w:p w14:paraId="5D232134">
            <w:pPr>
              <w:spacing w:line="360" w:lineRule="auto"/>
              <w:rPr>
                <w:rFonts w:ascii="黑体" w:hAnsi="黑体" w:eastAsia="黑体"/>
                <w:szCs w:val="21"/>
              </w:rPr>
            </w:pPr>
          </w:p>
        </w:tc>
      </w:tr>
    </w:tbl>
    <w:p w14:paraId="3450ADCF">
      <w:pPr>
        <w:rPr>
          <w:rFonts w:ascii="黑体" w:hAnsi="黑体" w:eastAsia="黑体"/>
        </w:rPr>
      </w:pPr>
    </w:p>
    <w:bookmarkEnd w:id="95"/>
    <w:p w14:paraId="569998C9">
      <w:pPr>
        <w:spacing w:line="360" w:lineRule="auto"/>
        <w:rPr>
          <w:rFonts w:ascii="黑体" w:hAnsi="黑体" w:eastAsia="黑体"/>
          <w:szCs w:val="21"/>
        </w:rPr>
      </w:pPr>
    </w:p>
    <w:p w14:paraId="42683C54">
      <w:pPr>
        <w:pStyle w:val="29"/>
        <w:pageBreakBefore/>
        <w:numPr>
          <w:ilvl w:val="0"/>
          <w:numId w:val="112"/>
        </w:numPr>
        <w:tabs>
          <w:tab w:val="left" w:pos="284"/>
          <w:tab w:val="left" w:pos="567"/>
          <w:tab w:val="left" w:pos="709"/>
        </w:tabs>
        <w:ind w:left="1679" w:hanging="1537" w:firstLineChars="0"/>
        <w:jc w:val="left"/>
        <w:rPr>
          <w:rFonts w:ascii="黑体" w:hAnsi="黑体" w:eastAsia="黑体"/>
          <w:b/>
          <w:bCs/>
        </w:rPr>
      </w:pPr>
      <w:bookmarkStart w:id="96" w:name="_Toc494567328"/>
      <w:bookmarkStart w:id="97" w:name="_Toc391627770"/>
      <w:bookmarkStart w:id="98" w:name="_Toc405313974"/>
      <w:r>
        <w:rPr>
          <w:rFonts w:ascii="黑体" w:hAnsi="黑体" w:eastAsia="黑体"/>
          <w:b/>
          <w:bCs/>
        </w:rPr>
        <w:t>拟投入本项目</w:t>
      </w:r>
      <w:bookmarkEnd w:id="96"/>
      <w:r>
        <w:rPr>
          <w:rFonts w:hint="eastAsia" w:ascii="黑体" w:hAnsi="黑体" w:eastAsia="黑体"/>
          <w:b/>
          <w:bCs/>
        </w:rPr>
        <w:t>设备情况表</w:t>
      </w:r>
    </w:p>
    <w:p w14:paraId="33DF2C65">
      <w:pPr>
        <w:spacing w:before="624" w:beforeLines="200" w:after="312" w:afterLines="100" w:line="360" w:lineRule="auto"/>
        <w:jc w:val="center"/>
        <w:rPr>
          <w:rFonts w:ascii="黑体" w:hAnsi="黑体" w:eastAsia="黑体"/>
          <w:b/>
          <w:spacing w:val="10"/>
          <w:sz w:val="30"/>
          <w:szCs w:val="30"/>
        </w:rPr>
      </w:pPr>
      <w:r>
        <w:rPr>
          <w:rFonts w:hint="eastAsia" w:ascii="黑体" w:hAnsi="黑体" w:eastAsia="黑体"/>
          <w:b/>
          <w:spacing w:val="10"/>
          <w:sz w:val="30"/>
          <w:szCs w:val="30"/>
        </w:rPr>
        <w:t>拟投入本项目设备情况表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2741"/>
        <w:gridCol w:w="2041"/>
        <w:gridCol w:w="1283"/>
        <w:gridCol w:w="1769"/>
      </w:tblGrid>
      <w:tr w14:paraId="1FA30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0532C631">
            <w:pPr>
              <w:spacing w:line="360" w:lineRule="auto"/>
              <w:jc w:val="center"/>
              <w:rPr>
                <w:rFonts w:ascii="黑体" w:hAnsi="黑体" w:eastAsia="黑体"/>
                <w:b/>
                <w:bCs/>
                <w:szCs w:val="21"/>
              </w:rPr>
            </w:pPr>
            <w:r>
              <w:rPr>
                <w:rFonts w:hint="eastAsia" w:ascii="黑体" w:hAnsi="黑体" w:eastAsia="黑体"/>
                <w:b/>
                <w:bCs/>
                <w:szCs w:val="21"/>
              </w:rPr>
              <w:t>序号</w:t>
            </w:r>
          </w:p>
        </w:tc>
        <w:tc>
          <w:tcPr>
            <w:tcW w:w="1563" w:type="pct"/>
            <w:vAlign w:val="center"/>
          </w:tcPr>
          <w:p w14:paraId="07EA0079">
            <w:pPr>
              <w:spacing w:line="360" w:lineRule="auto"/>
              <w:jc w:val="center"/>
              <w:rPr>
                <w:rFonts w:ascii="黑体" w:hAnsi="黑体" w:eastAsia="黑体"/>
                <w:b/>
                <w:bCs/>
                <w:szCs w:val="21"/>
              </w:rPr>
            </w:pPr>
            <w:r>
              <w:rPr>
                <w:rFonts w:hint="eastAsia" w:ascii="黑体" w:hAnsi="黑体" w:eastAsia="黑体"/>
                <w:b/>
                <w:bCs/>
                <w:szCs w:val="21"/>
              </w:rPr>
              <w:t>名称</w:t>
            </w:r>
          </w:p>
        </w:tc>
        <w:tc>
          <w:tcPr>
            <w:tcW w:w="1164" w:type="pct"/>
            <w:vAlign w:val="center"/>
          </w:tcPr>
          <w:p w14:paraId="3720DE0D">
            <w:pPr>
              <w:spacing w:line="360" w:lineRule="auto"/>
              <w:jc w:val="center"/>
              <w:rPr>
                <w:rFonts w:ascii="黑体" w:hAnsi="黑体" w:eastAsia="黑体"/>
                <w:b/>
                <w:bCs/>
                <w:szCs w:val="21"/>
              </w:rPr>
            </w:pPr>
            <w:r>
              <w:rPr>
                <w:rFonts w:hint="eastAsia" w:ascii="黑体" w:hAnsi="黑体" w:eastAsia="黑体"/>
                <w:b/>
                <w:bCs/>
                <w:szCs w:val="21"/>
              </w:rPr>
              <w:t>规格型号</w:t>
            </w:r>
          </w:p>
        </w:tc>
        <w:tc>
          <w:tcPr>
            <w:tcW w:w="732" w:type="pct"/>
            <w:vAlign w:val="center"/>
          </w:tcPr>
          <w:p w14:paraId="02F36621">
            <w:pPr>
              <w:spacing w:line="360" w:lineRule="auto"/>
              <w:jc w:val="center"/>
              <w:rPr>
                <w:rFonts w:ascii="黑体" w:hAnsi="黑体" w:eastAsia="黑体"/>
                <w:b/>
                <w:bCs/>
                <w:szCs w:val="21"/>
              </w:rPr>
            </w:pPr>
            <w:r>
              <w:rPr>
                <w:rFonts w:hint="eastAsia" w:ascii="黑体" w:hAnsi="黑体" w:eastAsia="黑体"/>
                <w:b/>
                <w:bCs/>
                <w:szCs w:val="21"/>
              </w:rPr>
              <w:t>数量</w:t>
            </w:r>
          </w:p>
        </w:tc>
        <w:tc>
          <w:tcPr>
            <w:tcW w:w="1009" w:type="pct"/>
            <w:vAlign w:val="center"/>
          </w:tcPr>
          <w:p w14:paraId="2A552617">
            <w:pPr>
              <w:spacing w:line="360" w:lineRule="auto"/>
              <w:jc w:val="center"/>
              <w:rPr>
                <w:rFonts w:ascii="黑体" w:hAnsi="黑体" w:eastAsia="黑体"/>
                <w:b/>
                <w:bCs/>
                <w:szCs w:val="21"/>
              </w:rPr>
            </w:pPr>
            <w:r>
              <w:rPr>
                <w:rFonts w:hint="eastAsia" w:ascii="黑体" w:hAnsi="黑体" w:eastAsia="黑体"/>
                <w:b/>
                <w:bCs/>
                <w:szCs w:val="21"/>
              </w:rPr>
              <w:t>备注</w:t>
            </w:r>
          </w:p>
        </w:tc>
      </w:tr>
      <w:tr w14:paraId="363CA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4D53974E">
            <w:pPr>
              <w:spacing w:line="360" w:lineRule="auto"/>
              <w:jc w:val="center"/>
              <w:rPr>
                <w:rFonts w:ascii="黑体" w:hAnsi="黑体" w:eastAsia="黑体"/>
                <w:szCs w:val="21"/>
              </w:rPr>
            </w:pPr>
          </w:p>
        </w:tc>
        <w:tc>
          <w:tcPr>
            <w:tcW w:w="1563" w:type="pct"/>
            <w:vAlign w:val="center"/>
          </w:tcPr>
          <w:p w14:paraId="1AE05E49">
            <w:pPr>
              <w:spacing w:line="360" w:lineRule="auto"/>
              <w:jc w:val="center"/>
              <w:rPr>
                <w:rFonts w:ascii="黑体" w:hAnsi="黑体" w:eastAsia="黑体"/>
                <w:szCs w:val="21"/>
              </w:rPr>
            </w:pPr>
          </w:p>
        </w:tc>
        <w:tc>
          <w:tcPr>
            <w:tcW w:w="1164" w:type="pct"/>
            <w:vAlign w:val="center"/>
          </w:tcPr>
          <w:p w14:paraId="2C8DCCEB">
            <w:pPr>
              <w:spacing w:line="360" w:lineRule="auto"/>
              <w:jc w:val="center"/>
              <w:rPr>
                <w:rFonts w:ascii="黑体" w:hAnsi="黑体" w:eastAsia="黑体"/>
                <w:szCs w:val="21"/>
              </w:rPr>
            </w:pPr>
          </w:p>
        </w:tc>
        <w:tc>
          <w:tcPr>
            <w:tcW w:w="732" w:type="pct"/>
            <w:vAlign w:val="center"/>
          </w:tcPr>
          <w:p w14:paraId="56FB2844">
            <w:pPr>
              <w:spacing w:line="360" w:lineRule="auto"/>
              <w:jc w:val="center"/>
              <w:rPr>
                <w:rFonts w:ascii="黑体" w:hAnsi="黑体" w:eastAsia="黑体"/>
                <w:szCs w:val="21"/>
              </w:rPr>
            </w:pPr>
          </w:p>
        </w:tc>
        <w:tc>
          <w:tcPr>
            <w:tcW w:w="1009" w:type="pct"/>
            <w:vAlign w:val="center"/>
          </w:tcPr>
          <w:p w14:paraId="6C8E9D7C">
            <w:pPr>
              <w:spacing w:line="360" w:lineRule="auto"/>
              <w:jc w:val="center"/>
              <w:rPr>
                <w:rFonts w:ascii="黑体" w:hAnsi="黑体" w:eastAsia="黑体"/>
                <w:szCs w:val="21"/>
              </w:rPr>
            </w:pPr>
          </w:p>
        </w:tc>
      </w:tr>
      <w:tr w14:paraId="128D7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4EE04B60">
            <w:pPr>
              <w:spacing w:line="360" w:lineRule="auto"/>
              <w:jc w:val="center"/>
              <w:rPr>
                <w:rFonts w:ascii="黑体" w:hAnsi="黑体" w:eastAsia="黑体"/>
                <w:szCs w:val="21"/>
              </w:rPr>
            </w:pPr>
          </w:p>
        </w:tc>
        <w:tc>
          <w:tcPr>
            <w:tcW w:w="1563" w:type="pct"/>
            <w:vAlign w:val="center"/>
          </w:tcPr>
          <w:p w14:paraId="0DB881F0">
            <w:pPr>
              <w:spacing w:line="360" w:lineRule="auto"/>
              <w:jc w:val="center"/>
              <w:rPr>
                <w:rFonts w:ascii="黑体" w:hAnsi="黑体" w:eastAsia="黑体"/>
                <w:szCs w:val="21"/>
              </w:rPr>
            </w:pPr>
          </w:p>
        </w:tc>
        <w:tc>
          <w:tcPr>
            <w:tcW w:w="1164" w:type="pct"/>
            <w:vAlign w:val="center"/>
          </w:tcPr>
          <w:p w14:paraId="7A5D826A">
            <w:pPr>
              <w:spacing w:line="360" w:lineRule="auto"/>
              <w:jc w:val="center"/>
              <w:rPr>
                <w:rFonts w:ascii="黑体" w:hAnsi="黑体" w:eastAsia="黑体"/>
                <w:szCs w:val="21"/>
              </w:rPr>
            </w:pPr>
          </w:p>
        </w:tc>
        <w:tc>
          <w:tcPr>
            <w:tcW w:w="732" w:type="pct"/>
            <w:vAlign w:val="center"/>
          </w:tcPr>
          <w:p w14:paraId="70611F7B">
            <w:pPr>
              <w:spacing w:line="360" w:lineRule="auto"/>
              <w:jc w:val="center"/>
              <w:rPr>
                <w:rFonts w:ascii="黑体" w:hAnsi="黑体" w:eastAsia="黑体"/>
                <w:szCs w:val="21"/>
              </w:rPr>
            </w:pPr>
          </w:p>
        </w:tc>
        <w:tc>
          <w:tcPr>
            <w:tcW w:w="1009" w:type="pct"/>
            <w:vAlign w:val="center"/>
          </w:tcPr>
          <w:p w14:paraId="2E3DC3CE">
            <w:pPr>
              <w:spacing w:line="360" w:lineRule="auto"/>
              <w:jc w:val="center"/>
              <w:rPr>
                <w:rFonts w:ascii="黑体" w:hAnsi="黑体" w:eastAsia="黑体"/>
                <w:szCs w:val="21"/>
              </w:rPr>
            </w:pPr>
          </w:p>
        </w:tc>
      </w:tr>
      <w:tr w14:paraId="0EDDE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76F83D3">
            <w:pPr>
              <w:spacing w:line="360" w:lineRule="auto"/>
              <w:jc w:val="center"/>
              <w:rPr>
                <w:rFonts w:ascii="黑体" w:hAnsi="黑体" w:eastAsia="黑体"/>
                <w:szCs w:val="21"/>
              </w:rPr>
            </w:pPr>
          </w:p>
        </w:tc>
        <w:tc>
          <w:tcPr>
            <w:tcW w:w="1563" w:type="pct"/>
            <w:vAlign w:val="center"/>
          </w:tcPr>
          <w:p w14:paraId="6C212D3C">
            <w:pPr>
              <w:spacing w:line="360" w:lineRule="auto"/>
              <w:jc w:val="center"/>
              <w:rPr>
                <w:rFonts w:ascii="黑体" w:hAnsi="黑体" w:eastAsia="黑体"/>
                <w:szCs w:val="21"/>
              </w:rPr>
            </w:pPr>
          </w:p>
        </w:tc>
        <w:tc>
          <w:tcPr>
            <w:tcW w:w="1164" w:type="pct"/>
            <w:vAlign w:val="center"/>
          </w:tcPr>
          <w:p w14:paraId="4FD1531A">
            <w:pPr>
              <w:spacing w:line="360" w:lineRule="auto"/>
              <w:jc w:val="center"/>
              <w:rPr>
                <w:rFonts w:ascii="黑体" w:hAnsi="黑体" w:eastAsia="黑体"/>
                <w:szCs w:val="21"/>
              </w:rPr>
            </w:pPr>
          </w:p>
        </w:tc>
        <w:tc>
          <w:tcPr>
            <w:tcW w:w="732" w:type="pct"/>
            <w:vAlign w:val="center"/>
          </w:tcPr>
          <w:p w14:paraId="2C6DF379">
            <w:pPr>
              <w:spacing w:line="360" w:lineRule="auto"/>
              <w:jc w:val="center"/>
              <w:rPr>
                <w:rFonts w:ascii="黑体" w:hAnsi="黑体" w:eastAsia="黑体"/>
                <w:szCs w:val="21"/>
              </w:rPr>
            </w:pPr>
          </w:p>
        </w:tc>
        <w:tc>
          <w:tcPr>
            <w:tcW w:w="1009" w:type="pct"/>
            <w:vAlign w:val="center"/>
          </w:tcPr>
          <w:p w14:paraId="69020DF2">
            <w:pPr>
              <w:spacing w:line="360" w:lineRule="auto"/>
              <w:jc w:val="center"/>
              <w:rPr>
                <w:rFonts w:ascii="黑体" w:hAnsi="黑体" w:eastAsia="黑体"/>
                <w:szCs w:val="21"/>
              </w:rPr>
            </w:pPr>
          </w:p>
        </w:tc>
      </w:tr>
      <w:tr w14:paraId="5234E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1E8C03C">
            <w:pPr>
              <w:spacing w:line="360" w:lineRule="auto"/>
              <w:jc w:val="center"/>
              <w:rPr>
                <w:rFonts w:ascii="黑体" w:hAnsi="黑体" w:eastAsia="黑体"/>
                <w:szCs w:val="21"/>
              </w:rPr>
            </w:pPr>
          </w:p>
        </w:tc>
        <w:tc>
          <w:tcPr>
            <w:tcW w:w="1563" w:type="pct"/>
            <w:vAlign w:val="center"/>
          </w:tcPr>
          <w:p w14:paraId="0923C220">
            <w:pPr>
              <w:spacing w:line="360" w:lineRule="auto"/>
              <w:jc w:val="center"/>
              <w:rPr>
                <w:rFonts w:ascii="黑体" w:hAnsi="黑体" w:eastAsia="黑体"/>
                <w:szCs w:val="21"/>
              </w:rPr>
            </w:pPr>
          </w:p>
        </w:tc>
        <w:tc>
          <w:tcPr>
            <w:tcW w:w="1164" w:type="pct"/>
            <w:vAlign w:val="center"/>
          </w:tcPr>
          <w:p w14:paraId="3BDAF0B6">
            <w:pPr>
              <w:spacing w:line="360" w:lineRule="auto"/>
              <w:jc w:val="center"/>
              <w:rPr>
                <w:rFonts w:ascii="黑体" w:hAnsi="黑体" w:eastAsia="黑体"/>
                <w:szCs w:val="21"/>
              </w:rPr>
            </w:pPr>
          </w:p>
        </w:tc>
        <w:tc>
          <w:tcPr>
            <w:tcW w:w="732" w:type="pct"/>
            <w:vAlign w:val="center"/>
          </w:tcPr>
          <w:p w14:paraId="59513A9A">
            <w:pPr>
              <w:spacing w:line="360" w:lineRule="auto"/>
              <w:jc w:val="center"/>
              <w:rPr>
                <w:rFonts w:ascii="黑体" w:hAnsi="黑体" w:eastAsia="黑体"/>
                <w:szCs w:val="21"/>
              </w:rPr>
            </w:pPr>
          </w:p>
        </w:tc>
        <w:tc>
          <w:tcPr>
            <w:tcW w:w="1009" w:type="pct"/>
            <w:vAlign w:val="center"/>
          </w:tcPr>
          <w:p w14:paraId="2B1B5266">
            <w:pPr>
              <w:spacing w:line="360" w:lineRule="auto"/>
              <w:jc w:val="center"/>
              <w:rPr>
                <w:rFonts w:ascii="黑体" w:hAnsi="黑体" w:eastAsia="黑体"/>
                <w:szCs w:val="21"/>
              </w:rPr>
            </w:pPr>
          </w:p>
        </w:tc>
      </w:tr>
      <w:tr w14:paraId="26364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2F2648E">
            <w:pPr>
              <w:spacing w:line="360" w:lineRule="auto"/>
              <w:jc w:val="center"/>
              <w:rPr>
                <w:rFonts w:ascii="黑体" w:hAnsi="黑体" w:eastAsia="黑体"/>
                <w:szCs w:val="21"/>
              </w:rPr>
            </w:pPr>
          </w:p>
        </w:tc>
        <w:tc>
          <w:tcPr>
            <w:tcW w:w="1563" w:type="pct"/>
            <w:vAlign w:val="center"/>
          </w:tcPr>
          <w:p w14:paraId="38086A7C">
            <w:pPr>
              <w:spacing w:line="360" w:lineRule="auto"/>
              <w:jc w:val="center"/>
              <w:rPr>
                <w:rFonts w:ascii="黑体" w:hAnsi="黑体" w:eastAsia="黑体"/>
                <w:szCs w:val="21"/>
              </w:rPr>
            </w:pPr>
          </w:p>
        </w:tc>
        <w:tc>
          <w:tcPr>
            <w:tcW w:w="1164" w:type="pct"/>
            <w:vAlign w:val="center"/>
          </w:tcPr>
          <w:p w14:paraId="35E9FB27">
            <w:pPr>
              <w:spacing w:line="360" w:lineRule="auto"/>
              <w:jc w:val="center"/>
              <w:rPr>
                <w:rFonts w:ascii="黑体" w:hAnsi="黑体" w:eastAsia="黑体"/>
                <w:szCs w:val="21"/>
              </w:rPr>
            </w:pPr>
          </w:p>
        </w:tc>
        <w:tc>
          <w:tcPr>
            <w:tcW w:w="732" w:type="pct"/>
            <w:vAlign w:val="center"/>
          </w:tcPr>
          <w:p w14:paraId="6C54D46B">
            <w:pPr>
              <w:spacing w:line="360" w:lineRule="auto"/>
              <w:jc w:val="center"/>
              <w:rPr>
                <w:rFonts w:ascii="黑体" w:hAnsi="黑体" w:eastAsia="黑体"/>
                <w:szCs w:val="21"/>
              </w:rPr>
            </w:pPr>
          </w:p>
        </w:tc>
        <w:tc>
          <w:tcPr>
            <w:tcW w:w="1009" w:type="pct"/>
            <w:vAlign w:val="center"/>
          </w:tcPr>
          <w:p w14:paraId="1AE033F7">
            <w:pPr>
              <w:spacing w:line="360" w:lineRule="auto"/>
              <w:jc w:val="center"/>
              <w:rPr>
                <w:rFonts w:ascii="黑体" w:hAnsi="黑体" w:eastAsia="黑体"/>
                <w:szCs w:val="21"/>
              </w:rPr>
            </w:pPr>
          </w:p>
        </w:tc>
      </w:tr>
      <w:tr w14:paraId="4CD29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C674D20">
            <w:pPr>
              <w:spacing w:line="360" w:lineRule="auto"/>
              <w:jc w:val="center"/>
              <w:rPr>
                <w:rFonts w:ascii="黑体" w:hAnsi="黑体" w:eastAsia="黑体"/>
                <w:szCs w:val="21"/>
              </w:rPr>
            </w:pPr>
          </w:p>
        </w:tc>
        <w:tc>
          <w:tcPr>
            <w:tcW w:w="1563" w:type="pct"/>
            <w:vAlign w:val="center"/>
          </w:tcPr>
          <w:p w14:paraId="720673FA">
            <w:pPr>
              <w:spacing w:line="360" w:lineRule="auto"/>
              <w:jc w:val="center"/>
              <w:rPr>
                <w:rFonts w:ascii="黑体" w:hAnsi="黑体" w:eastAsia="黑体"/>
                <w:szCs w:val="21"/>
              </w:rPr>
            </w:pPr>
          </w:p>
        </w:tc>
        <w:tc>
          <w:tcPr>
            <w:tcW w:w="1164" w:type="pct"/>
            <w:vAlign w:val="center"/>
          </w:tcPr>
          <w:p w14:paraId="7C9C363A">
            <w:pPr>
              <w:spacing w:line="360" w:lineRule="auto"/>
              <w:jc w:val="center"/>
              <w:rPr>
                <w:rFonts w:ascii="黑体" w:hAnsi="黑体" w:eastAsia="黑体"/>
                <w:szCs w:val="21"/>
              </w:rPr>
            </w:pPr>
          </w:p>
        </w:tc>
        <w:tc>
          <w:tcPr>
            <w:tcW w:w="732" w:type="pct"/>
            <w:vAlign w:val="center"/>
          </w:tcPr>
          <w:p w14:paraId="0FD94B61">
            <w:pPr>
              <w:spacing w:line="360" w:lineRule="auto"/>
              <w:jc w:val="center"/>
              <w:rPr>
                <w:rFonts w:ascii="黑体" w:hAnsi="黑体" w:eastAsia="黑体"/>
                <w:szCs w:val="21"/>
              </w:rPr>
            </w:pPr>
          </w:p>
        </w:tc>
        <w:tc>
          <w:tcPr>
            <w:tcW w:w="1009" w:type="pct"/>
            <w:vAlign w:val="center"/>
          </w:tcPr>
          <w:p w14:paraId="53E9D664">
            <w:pPr>
              <w:spacing w:line="360" w:lineRule="auto"/>
              <w:jc w:val="center"/>
              <w:rPr>
                <w:rFonts w:ascii="黑体" w:hAnsi="黑体" w:eastAsia="黑体"/>
                <w:szCs w:val="21"/>
              </w:rPr>
            </w:pPr>
          </w:p>
        </w:tc>
      </w:tr>
      <w:tr w14:paraId="6C01F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603C1DC">
            <w:pPr>
              <w:spacing w:line="360" w:lineRule="auto"/>
              <w:jc w:val="center"/>
              <w:rPr>
                <w:rFonts w:ascii="黑体" w:hAnsi="黑体" w:eastAsia="黑体"/>
                <w:szCs w:val="21"/>
              </w:rPr>
            </w:pPr>
          </w:p>
        </w:tc>
        <w:tc>
          <w:tcPr>
            <w:tcW w:w="1563" w:type="pct"/>
            <w:vAlign w:val="center"/>
          </w:tcPr>
          <w:p w14:paraId="1931010C">
            <w:pPr>
              <w:spacing w:line="360" w:lineRule="auto"/>
              <w:jc w:val="center"/>
              <w:rPr>
                <w:rFonts w:ascii="黑体" w:hAnsi="黑体" w:eastAsia="黑体"/>
                <w:szCs w:val="21"/>
              </w:rPr>
            </w:pPr>
          </w:p>
        </w:tc>
        <w:tc>
          <w:tcPr>
            <w:tcW w:w="1164" w:type="pct"/>
            <w:vAlign w:val="center"/>
          </w:tcPr>
          <w:p w14:paraId="0801E0F6">
            <w:pPr>
              <w:spacing w:line="360" w:lineRule="auto"/>
              <w:jc w:val="center"/>
              <w:rPr>
                <w:rFonts w:ascii="黑体" w:hAnsi="黑体" w:eastAsia="黑体"/>
                <w:szCs w:val="21"/>
              </w:rPr>
            </w:pPr>
          </w:p>
        </w:tc>
        <w:tc>
          <w:tcPr>
            <w:tcW w:w="732" w:type="pct"/>
            <w:vAlign w:val="center"/>
          </w:tcPr>
          <w:p w14:paraId="4B1FE84D">
            <w:pPr>
              <w:spacing w:line="360" w:lineRule="auto"/>
              <w:jc w:val="center"/>
              <w:rPr>
                <w:rFonts w:ascii="黑体" w:hAnsi="黑体" w:eastAsia="黑体"/>
                <w:szCs w:val="21"/>
              </w:rPr>
            </w:pPr>
          </w:p>
        </w:tc>
        <w:tc>
          <w:tcPr>
            <w:tcW w:w="1009" w:type="pct"/>
            <w:vAlign w:val="center"/>
          </w:tcPr>
          <w:p w14:paraId="3484F6EF">
            <w:pPr>
              <w:spacing w:line="360" w:lineRule="auto"/>
              <w:jc w:val="center"/>
              <w:rPr>
                <w:rFonts w:ascii="黑体" w:hAnsi="黑体" w:eastAsia="黑体"/>
                <w:szCs w:val="21"/>
              </w:rPr>
            </w:pPr>
          </w:p>
        </w:tc>
      </w:tr>
      <w:tr w14:paraId="3A22B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22AEEEFA">
            <w:pPr>
              <w:spacing w:line="360" w:lineRule="auto"/>
              <w:jc w:val="center"/>
              <w:rPr>
                <w:rFonts w:ascii="黑体" w:hAnsi="黑体" w:eastAsia="黑体"/>
                <w:szCs w:val="21"/>
              </w:rPr>
            </w:pPr>
          </w:p>
        </w:tc>
        <w:tc>
          <w:tcPr>
            <w:tcW w:w="1563" w:type="pct"/>
            <w:vAlign w:val="center"/>
          </w:tcPr>
          <w:p w14:paraId="2C12C1B7">
            <w:pPr>
              <w:spacing w:line="360" w:lineRule="auto"/>
              <w:jc w:val="center"/>
              <w:rPr>
                <w:rFonts w:ascii="黑体" w:hAnsi="黑体" w:eastAsia="黑体"/>
                <w:szCs w:val="21"/>
              </w:rPr>
            </w:pPr>
          </w:p>
        </w:tc>
        <w:tc>
          <w:tcPr>
            <w:tcW w:w="1164" w:type="pct"/>
            <w:vAlign w:val="center"/>
          </w:tcPr>
          <w:p w14:paraId="669E5B9A">
            <w:pPr>
              <w:spacing w:line="360" w:lineRule="auto"/>
              <w:jc w:val="center"/>
              <w:rPr>
                <w:rFonts w:ascii="黑体" w:hAnsi="黑体" w:eastAsia="黑体"/>
                <w:szCs w:val="21"/>
              </w:rPr>
            </w:pPr>
          </w:p>
        </w:tc>
        <w:tc>
          <w:tcPr>
            <w:tcW w:w="732" w:type="pct"/>
            <w:vAlign w:val="center"/>
          </w:tcPr>
          <w:p w14:paraId="642CFFC8">
            <w:pPr>
              <w:spacing w:line="360" w:lineRule="auto"/>
              <w:jc w:val="center"/>
              <w:rPr>
                <w:rFonts w:ascii="黑体" w:hAnsi="黑体" w:eastAsia="黑体"/>
                <w:szCs w:val="21"/>
              </w:rPr>
            </w:pPr>
          </w:p>
        </w:tc>
        <w:tc>
          <w:tcPr>
            <w:tcW w:w="1009" w:type="pct"/>
            <w:vAlign w:val="center"/>
          </w:tcPr>
          <w:p w14:paraId="75BEF750">
            <w:pPr>
              <w:spacing w:line="360" w:lineRule="auto"/>
              <w:jc w:val="center"/>
              <w:rPr>
                <w:rFonts w:ascii="黑体" w:hAnsi="黑体" w:eastAsia="黑体"/>
                <w:szCs w:val="21"/>
              </w:rPr>
            </w:pPr>
          </w:p>
        </w:tc>
      </w:tr>
    </w:tbl>
    <w:p w14:paraId="6185348E">
      <w:pPr>
        <w:spacing w:before="156" w:beforeLines="50" w:line="360" w:lineRule="auto"/>
        <w:rPr>
          <w:rFonts w:ascii="黑体" w:hAnsi="黑体" w:eastAsia="黑体"/>
          <w:szCs w:val="21"/>
        </w:rPr>
      </w:pPr>
      <w:r>
        <w:rPr>
          <w:rFonts w:hint="eastAsia" w:ascii="黑体" w:hAnsi="黑体" w:eastAsia="黑体"/>
          <w:szCs w:val="21"/>
        </w:rPr>
        <w:t>注明：需提供证明资料内容详见</w:t>
      </w:r>
      <w:r>
        <w:rPr>
          <w:rFonts w:hint="eastAsia" w:ascii="黑体" w:hAnsi="黑体" w:eastAsia="黑体"/>
          <w:szCs w:val="21"/>
          <w:u w:val="single"/>
        </w:rPr>
        <w:t xml:space="preserve">（招标文件第五部分 评标方法、步骤、标准之附表三详细评审表相对应条款） </w:t>
      </w:r>
      <w:r>
        <w:rPr>
          <w:rFonts w:hint="eastAsia" w:ascii="黑体" w:hAnsi="黑体" w:eastAsia="黑体"/>
          <w:szCs w:val="21"/>
        </w:rPr>
        <w:t>。</w:t>
      </w:r>
    </w:p>
    <w:p w14:paraId="4E3E0B58">
      <w:pPr>
        <w:spacing w:line="360" w:lineRule="auto"/>
        <w:rPr>
          <w:rFonts w:ascii="黑体" w:hAnsi="黑体" w:eastAsia="黑体"/>
          <w:szCs w:val="21"/>
        </w:rPr>
      </w:pPr>
    </w:p>
    <w:p w14:paraId="3D460E0E">
      <w:pPr>
        <w:spacing w:line="360" w:lineRule="auto"/>
        <w:rPr>
          <w:rFonts w:ascii="黑体" w:hAnsi="黑体" w:eastAsia="黑体"/>
          <w:szCs w:val="21"/>
        </w:rPr>
      </w:pPr>
    </w:p>
    <w:p w14:paraId="4395F5D1">
      <w:pPr>
        <w:spacing w:line="360" w:lineRule="auto"/>
        <w:rPr>
          <w:rFonts w:ascii="黑体" w:hAnsi="黑体" w:eastAsia="黑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0D67A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6B043EBF">
            <w:pPr>
              <w:overflowPunct w:val="0"/>
              <w:adjustRightInd w:val="0"/>
              <w:spacing w:line="360" w:lineRule="auto"/>
              <w:rPr>
                <w:rFonts w:ascii="黑体" w:hAnsi="黑体" w:eastAsia="黑体"/>
                <w:szCs w:val="21"/>
              </w:rPr>
            </w:pPr>
            <w:r>
              <w:rPr>
                <w:rFonts w:hint="eastAsia" w:ascii="黑体" w:hAnsi="黑体" w:eastAsia="黑体"/>
                <w:szCs w:val="21"/>
              </w:rPr>
              <w:t>投标人名称（加盖公章）：</w:t>
            </w:r>
            <w:r>
              <w:rPr>
                <w:rFonts w:hint="eastAsia" w:ascii="黑体" w:hAnsi="黑体" w:eastAsia="黑体"/>
                <w:szCs w:val="21"/>
                <w:u w:val="single"/>
              </w:rPr>
              <w:t xml:space="preserve">                         </w:t>
            </w:r>
          </w:p>
        </w:tc>
        <w:tc>
          <w:tcPr>
            <w:tcW w:w="3175" w:type="dxa"/>
          </w:tcPr>
          <w:p w14:paraId="1CE80DD7">
            <w:pPr>
              <w:spacing w:line="360" w:lineRule="auto"/>
              <w:rPr>
                <w:rFonts w:ascii="黑体" w:hAnsi="黑体" w:eastAsia="黑体"/>
                <w:szCs w:val="21"/>
              </w:rPr>
            </w:pPr>
          </w:p>
        </w:tc>
      </w:tr>
      <w:tr w14:paraId="18C8B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5D582BD5">
            <w:pPr>
              <w:spacing w:line="360" w:lineRule="auto"/>
              <w:rPr>
                <w:rFonts w:ascii="黑体" w:hAnsi="黑体" w:eastAsia="黑体"/>
                <w:szCs w:val="21"/>
              </w:rPr>
            </w:pPr>
            <w:r>
              <w:rPr>
                <w:rFonts w:hint="eastAsia" w:ascii="黑体" w:hAnsi="黑体" w:eastAsia="黑体"/>
                <w:szCs w:val="21"/>
              </w:rPr>
              <w:t>日期：</w:t>
            </w:r>
            <w:r>
              <w:rPr>
                <w:rFonts w:hint="eastAsia" w:ascii="黑体" w:hAnsi="黑体" w:eastAsia="黑体"/>
                <w:szCs w:val="21"/>
                <w:u w:val="single"/>
              </w:rPr>
              <w:t xml:space="preserve">             年           月            日</w:t>
            </w:r>
          </w:p>
        </w:tc>
        <w:tc>
          <w:tcPr>
            <w:tcW w:w="3175" w:type="dxa"/>
          </w:tcPr>
          <w:p w14:paraId="1A96730E">
            <w:pPr>
              <w:spacing w:line="360" w:lineRule="auto"/>
              <w:rPr>
                <w:rFonts w:ascii="黑体" w:hAnsi="黑体" w:eastAsia="黑体"/>
                <w:szCs w:val="21"/>
              </w:rPr>
            </w:pPr>
          </w:p>
        </w:tc>
      </w:tr>
    </w:tbl>
    <w:p w14:paraId="66247B31">
      <w:pPr>
        <w:spacing w:line="360" w:lineRule="auto"/>
        <w:rPr>
          <w:rFonts w:ascii="黑体" w:hAnsi="黑体" w:eastAsia="黑体"/>
          <w:szCs w:val="21"/>
        </w:rPr>
      </w:pPr>
    </w:p>
    <w:bookmarkEnd w:id="97"/>
    <w:bookmarkEnd w:id="98"/>
    <w:p w14:paraId="2096F8D8">
      <w:pPr>
        <w:pStyle w:val="29"/>
        <w:pageBreakBefore/>
        <w:numPr>
          <w:ilvl w:val="0"/>
          <w:numId w:val="112"/>
        </w:numPr>
        <w:tabs>
          <w:tab w:val="left" w:pos="284"/>
          <w:tab w:val="left" w:pos="567"/>
          <w:tab w:val="left" w:pos="709"/>
        </w:tabs>
        <w:ind w:left="1679" w:hanging="1537" w:firstLineChars="0"/>
        <w:jc w:val="left"/>
        <w:rPr>
          <w:rFonts w:ascii="黑体" w:hAnsi="黑体" w:eastAsia="黑体"/>
          <w:b/>
          <w:bCs/>
        </w:rPr>
      </w:pPr>
      <w:r>
        <w:rPr>
          <w:rFonts w:hint="eastAsia" w:ascii="黑体" w:hAnsi="黑体" w:eastAsia="黑体"/>
          <w:b/>
          <w:bCs/>
        </w:rPr>
        <w:t>项目技术服务人员情况表</w:t>
      </w:r>
    </w:p>
    <w:p w14:paraId="5AD53B7A">
      <w:pPr>
        <w:spacing w:before="624" w:beforeLines="200" w:after="312" w:afterLines="100" w:line="360" w:lineRule="auto"/>
        <w:jc w:val="center"/>
        <w:rPr>
          <w:rFonts w:ascii="黑体" w:hAnsi="黑体" w:eastAsia="黑体"/>
          <w:b/>
          <w:spacing w:val="20"/>
          <w:sz w:val="30"/>
          <w:szCs w:val="30"/>
        </w:rPr>
      </w:pPr>
      <w:r>
        <w:rPr>
          <w:rFonts w:hint="eastAsia" w:ascii="黑体" w:hAnsi="黑体" w:eastAsia="黑体"/>
          <w:b/>
          <w:spacing w:val="20"/>
          <w:sz w:val="30"/>
          <w:szCs w:val="30"/>
        </w:rPr>
        <w:t>项目技术服务人员情况表</w:t>
      </w:r>
    </w:p>
    <w:tbl>
      <w:tblPr>
        <w:tblStyle w:val="19"/>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9"/>
        <w:gridCol w:w="1145"/>
        <w:gridCol w:w="1296"/>
        <w:gridCol w:w="1895"/>
        <w:gridCol w:w="1455"/>
        <w:gridCol w:w="1020"/>
        <w:gridCol w:w="1227"/>
      </w:tblGrid>
      <w:tr w14:paraId="2405B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3536CC7">
            <w:pPr>
              <w:jc w:val="center"/>
              <w:rPr>
                <w:rFonts w:ascii="黑体" w:hAnsi="黑体" w:eastAsia="黑体"/>
                <w:b/>
                <w:bCs/>
                <w:szCs w:val="21"/>
              </w:rPr>
            </w:pPr>
            <w:r>
              <w:rPr>
                <w:rFonts w:hint="eastAsia" w:ascii="黑体" w:hAnsi="黑体" w:eastAsia="黑体"/>
                <w:b/>
                <w:bCs/>
                <w:szCs w:val="21"/>
              </w:rPr>
              <w:t>序号</w:t>
            </w:r>
          </w:p>
        </w:tc>
        <w:tc>
          <w:tcPr>
            <w:tcW w:w="653" w:type="pct"/>
            <w:vAlign w:val="center"/>
          </w:tcPr>
          <w:p w14:paraId="0280C79E">
            <w:pPr>
              <w:jc w:val="center"/>
              <w:rPr>
                <w:rFonts w:ascii="黑体" w:hAnsi="黑体" w:eastAsia="黑体"/>
                <w:b/>
                <w:bCs/>
                <w:szCs w:val="21"/>
              </w:rPr>
            </w:pPr>
            <w:r>
              <w:rPr>
                <w:rFonts w:hint="eastAsia" w:ascii="黑体" w:hAnsi="黑体" w:eastAsia="黑体"/>
                <w:b/>
                <w:bCs/>
                <w:szCs w:val="21"/>
              </w:rPr>
              <w:t>姓名</w:t>
            </w:r>
          </w:p>
        </w:tc>
        <w:tc>
          <w:tcPr>
            <w:tcW w:w="739" w:type="pct"/>
            <w:vAlign w:val="center"/>
          </w:tcPr>
          <w:p w14:paraId="2176AA27">
            <w:pPr>
              <w:jc w:val="center"/>
              <w:rPr>
                <w:rFonts w:ascii="黑体" w:hAnsi="黑体" w:eastAsia="黑体"/>
                <w:b/>
                <w:bCs/>
                <w:szCs w:val="21"/>
              </w:rPr>
            </w:pPr>
            <w:r>
              <w:rPr>
                <w:rFonts w:hint="eastAsia" w:ascii="黑体" w:hAnsi="黑体" w:eastAsia="黑体"/>
                <w:b/>
                <w:bCs/>
                <w:szCs w:val="21"/>
              </w:rPr>
              <w:t>职位</w:t>
            </w:r>
          </w:p>
        </w:tc>
        <w:tc>
          <w:tcPr>
            <w:tcW w:w="1081" w:type="pct"/>
            <w:vAlign w:val="center"/>
          </w:tcPr>
          <w:p w14:paraId="606A6506">
            <w:pPr>
              <w:jc w:val="center"/>
              <w:rPr>
                <w:rFonts w:ascii="黑体" w:hAnsi="黑体" w:eastAsia="黑体"/>
                <w:b/>
                <w:bCs/>
                <w:szCs w:val="21"/>
              </w:rPr>
            </w:pPr>
            <w:r>
              <w:rPr>
                <w:rFonts w:hint="eastAsia" w:ascii="黑体" w:hAnsi="黑体" w:eastAsia="黑体"/>
                <w:b/>
                <w:bCs/>
                <w:szCs w:val="21"/>
              </w:rPr>
              <w:t>持何种资格证件</w:t>
            </w:r>
          </w:p>
        </w:tc>
        <w:tc>
          <w:tcPr>
            <w:tcW w:w="830" w:type="pct"/>
            <w:vAlign w:val="center"/>
          </w:tcPr>
          <w:p w14:paraId="6CB27344">
            <w:pPr>
              <w:jc w:val="center"/>
              <w:rPr>
                <w:rFonts w:ascii="黑体" w:hAnsi="黑体" w:eastAsia="黑体"/>
                <w:b/>
                <w:bCs/>
                <w:szCs w:val="21"/>
              </w:rPr>
            </w:pPr>
            <w:r>
              <w:rPr>
                <w:rFonts w:hint="eastAsia" w:ascii="黑体" w:hAnsi="黑体" w:eastAsia="黑体"/>
                <w:b/>
                <w:bCs/>
                <w:szCs w:val="21"/>
              </w:rPr>
              <w:t>发证时间</w:t>
            </w:r>
          </w:p>
        </w:tc>
        <w:tc>
          <w:tcPr>
            <w:tcW w:w="582" w:type="pct"/>
            <w:vAlign w:val="center"/>
          </w:tcPr>
          <w:p w14:paraId="14FCDA9D">
            <w:pPr>
              <w:jc w:val="center"/>
              <w:rPr>
                <w:rFonts w:ascii="黑体" w:hAnsi="黑体" w:eastAsia="黑体"/>
                <w:b/>
                <w:bCs/>
                <w:szCs w:val="21"/>
              </w:rPr>
            </w:pPr>
            <w:r>
              <w:rPr>
                <w:rFonts w:hint="eastAsia" w:ascii="黑体" w:hAnsi="黑体" w:eastAsia="黑体"/>
                <w:b/>
                <w:bCs/>
                <w:szCs w:val="21"/>
              </w:rPr>
              <w:t>学历</w:t>
            </w:r>
          </w:p>
        </w:tc>
        <w:tc>
          <w:tcPr>
            <w:tcW w:w="699" w:type="pct"/>
            <w:vAlign w:val="center"/>
          </w:tcPr>
          <w:p w14:paraId="435B6385">
            <w:pPr>
              <w:jc w:val="center"/>
              <w:rPr>
                <w:rFonts w:ascii="黑体" w:hAnsi="黑体" w:eastAsia="黑体"/>
                <w:b/>
                <w:bCs/>
                <w:szCs w:val="21"/>
              </w:rPr>
            </w:pPr>
            <w:r>
              <w:rPr>
                <w:rFonts w:hint="eastAsia" w:ascii="黑体" w:hAnsi="黑体" w:eastAsia="黑体"/>
                <w:b/>
                <w:bCs/>
                <w:szCs w:val="21"/>
              </w:rPr>
              <w:t>经验年限</w:t>
            </w:r>
          </w:p>
        </w:tc>
      </w:tr>
      <w:tr w14:paraId="304FA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B74D3DA">
            <w:pPr>
              <w:spacing w:line="480" w:lineRule="auto"/>
              <w:jc w:val="center"/>
              <w:rPr>
                <w:rFonts w:ascii="黑体" w:hAnsi="黑体" w:eastAsia="黑体"/>
                <w:szCs w:val="21"/>
              </w:rPr>
            </w:pPr>
          </w:p>
        </w:tc>
        <w:tc>
          <w:tcPr>
            <w:tcW w:w="653" w:type="pct"/>
            <w:vAlign w:val="center"/>
          </w:tcPr>
          <w:p w14:paraId="1BF019D4">
            <w:pPr>
              <w:spacing w:line="480" w:lineRule="auto"/>
              <w:jc w:val="center"/>
              <w:rPr>
                <w:rFonts w:ascii="黑体" w:hAnsi="黑体" w:eastAsia="黑体"/>
                <w:szCs w:val="21"/>
              </w:rPr>
            </w:pPr>
          </w:p>
        </w:tc>
        <w:tc>
          <w:tcPr>
            <w:tcW w:w="739" w:type="pct"/>
            <w:vAlign w:val="center"/>
          </w:tcPr>
          <w:p w14:paraId="651BA65E">
            <w:pPr>
              <w:spacing w:line="480" w:lineRule="auto"/>
              <w:jc w:val="center"/>
              <w:rPr>
                <w:rFonts w:ascii="黑体" w:hAnsi="黑体" w:eastAsia="黑体"/>
                <w:szCs w:val="21"/>
              </w:rPr>
            </w:pPr>
          </w:p>
        </w:tc>
        <w:tc>
          <w:tcPr>
            <w:tcW w:w="1081" w:type="pct"/>
            <w:vAlign w:val="center"/>
          </w:tcPr>
          <w:p w14:paraId="70CA4182">
            <w:pPr>
              <w:spacing w:line="480" w:lineRule="auto"/>
              <w:jc w:val="center"/>
              <w:rPr>
                <w:rFonts w:ascii="黑体" w:hAnsi="黑体" w:eastAsia="黑体"/>
                <w:szCs w:val="21"/>
              </w:rPr>
            </w:pPr>
          </w:p>
        </w:tc>
        <w:tc>
          <w:tcPr>
            <w:tcW w:w="830" w:type="pct"/>
          </w:tcPr>
          <w:p w14:paraId="1A3FFE82">
            <w:pPr>
              <w:spacing w:line="480" w:lineRule="auto"/>
              <w:jc w:val="center"/>
              <w:rPr>
                <w:rFonts w:ascii="黑体" w:hAnsi="黑体" w:eastAsia="黑体"/>
                <w:szCs w:val="21"/>
              </w:rPr>
            </w:pPr>
          </w:p>
        </w:tc>
        <w:tc>
          <w:tcPr>
            <w:tcW w:w="582" w:type="pct"/>
            <w:vAlign w:val="center"/>
          </w:tcPr>
          <w:p w14:paraId="24137275">
            <w:pPr>
              <w:spacing w:line="480" w:lineRule="auto"/>
              <w:jc w:val="center"/>
              <w:rPr>
                <w:rFonts w:ascii="黑体" w:hAnsi="黑体" w:eastAsia="黑体"/>
                <w:szCs w:val="21"/>
              </w:rPr>
            </w:pPr>
          </w:p>
        </w:tc>
        <w:tc>
          <w:tcPr>
            <w:tcW w:w="699" w:type="pct"/>
          </w:tcPr>
          <w:p w14:paraId="191AB2F2">
            <w:pPr>
              <w:spacing w:line="480" w:lineRule="auto"/>
              <w:jc w:val="center"/>
              <w:rPr>
                <w:rFonts w:ascii="黑体" w:hAnsi="黑体" w:eastAsia="黑体"/>
                <w:szCs w:val="21"/>
              </w:rPr>
            </w:pPr>
          </w:p>
        </w:tc>
      </w:tr>
      <w:tr w14:paraId="4E47B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B25BD08">
            <w:pPr>
              <w:spacing w:line="480" w:lineRule="auto"/>
              <w:jc w:val="center"/>
              <w:rPr>
                <w:rFonts w:ascii="黑体" w:hAnsi="黑体" w:eastAsia="黑体"/>
                <w:szCs w:val="21"/>
              </w:rPr>
            </w:pPr>
          </w:p>
        </w:tc>
        <w:tc>
          <w:tcPr>
            <w:tcW w:w="653" w:type="pct"/>
            <w:vAlign w:val="center"/>
          </w:tcPr>
          <w:p w14:paraId="71D1C494">
            <w:pPr>
              <w:spacing w:line="480" w:lineRule="auto"/>
              <w:jc w:val="center"/>
              <w:rPr>
                <w:rFonts w:ascii="黑体" w:hAnsi="黑体" w:eastAsia="黑体"/>
                <w:szCs w:val="21"/>
              </w:rPr>
            </w:pPr>
          </w:p>
        </w:tc>
        <w:tc>
          <w:tcPr>
            <w:tcW w:w="739" w:type="pct"/>
            <w:vAlign w:val="center"/>
          </w:tcPr>
          <w:p w14:paraId="176F5888">
            <w:pPr>
              <w:spacing w:line="480" w:lineRule="auto"/>
              <w:jc w:val="center"/>
              <w:rPr>
                <w:rFonts w:ascii="黑体" w:hAnsi="黑体" w:eastAsia="黑体"/>
                <w:szCs w:val="21"/>
              </w:rPr>
            </w:pPr>
          </w:p>
        </w:tc>
        <w:tc>
          <w:tcPr>
            <w:tcW w:w="1081" w:type="pct"/>
            <w:vAlign w:val="center"/>
          </w:tcPr>
          <w:p w14:paraId="25A40923">
            <w:pPr>
              <w:spacing w:line="480" w:lineRule="auto"/>
              <w:jc w:val="center"/>
              <w:rPr>
                <w:rFonts w:ascii="黑体" w:hAnsi="黑体" w:eastAsia="黑体"/>
                <w:szCs w:val="21"/>
              </w:rPr>
            </w:pPr>
          </w:p>
        </w:tc>
        <w:tc>
          <w:tcPr>
            <w:tcW w:w="830" w:type="pct"/>
          </w:tcPr>
          <w:p w14:paraId="20FF523E">
            <w:pPr>
              <w:spacing w:line="480" w:lineRule="auto"/>
              <w:jc w:val="center"/>
              <w:rPr>
                <w:rFonts w:ascii="黑体" w:hAnsi="黑体" w:eastAsia="黑体"/>
                <w:szCs w:val="21"/>
              </w:rPr>
            </w:pPr>
          </w:p>
        </w:tc>
        <w:tc>
          <w:tcPr>
            <w:tcW w:w="582" w:type="pct"/>
            <w:vAlign w:val="center"/>
          </w:tcPr>
          <w:p w14:paraId="7E02D5C8">
            <w:pPr>
              <w:spacing w:line="480" w:lineRule="auto"/>
              <w:jc w:val="center"/>
              <w:rPr>
                <w:rFonts w:ascii="黑体" w:hAnsi="黑体" w:eastAsia="黑体"/>
                <w:szCs w:val="21"/>
              </w:rPr>
            </w:pPr>
          </w:p>
        </w:tc>
        <w:tc>
          <w:tcPr>
            <w:tcW w:w="699" w:type="pct"/>
          </w:tcPr>
          <w:p w14:paraId="4DD061E0">
            <w:pPr>
              <w:spacing w:line="480" w:lineRule="auto"/>
              <w:jc w:val="center"/>
              <w:rPr>
                <w:rFonts w:ascii="黑体" w:hAnsi="黑体" w:eastAsia="黑体"/>
                <w:szCs w:val="21"/>
              </w:rPr>
            </w:pPr>
          </w:p>
        </w:tc>
      </w:tr>
      <w:tr w14:paraId="4D411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2F5A88A7">
            <w:pPr>
              <w:spacing w:line="480" w:lineRule="auto"/>
              <w:jc w:val="center"/>
              <w:rPr>
                <w:rFonts w:ascii="黑体" w:hAnsi="黑体" w:eastAsia="黑体"/>
                <w:szCs w:val="21"/>
              </w:rPr>
            </w:pPr>
          </w:p>
        </w:tc>
        <w:tc>
          <w:tcPr>
            <w:tcW w:w="653" w:type="pct"/>
            <w:vAlign w:val="center"/>
          </w:tcPr>
          <w:p w14:paraId="3F393660">
            <w:pPr>
              <w:spacing w:line="480" w:lineRule="auto"/>
              <w:jc w:val="center"/>
              <w:rPr>
                <w:rFonts w:ascii="黑体" w:hAnsi="黑体" w:eastAsia="黑体"/>
                <w:szCs w:val="21"/>
              </w:rPr>
            </w:pPr>
          </w:p>
        </w:tc>
        <w:tc>
          <w:tcPr>
            <w:tcW w:w="739" w:type="pct"/>
            <w:vAlign w:val="center"/>
          </w:tcPr>
          <w:p w14:paraId="10E7D433">
            <w:pPr>
              <w:spacing w:line="480" w:lineRule="auto"/>
              <w:jc w:val="center"/>
              <w:rPr>
                <w:rFonts w:ascii="黑体" w:hAnsi="黑体" w:eastAsia="黑体"/>
                <w:szCs w:val="21"/>
              </w:rPr>
            </w:pPr>
          </w:p>
        </w:tc>
        <w:tc>
          <w:tcPr>
            <w:tcW w:w="1081" w:type="pct"/>
            <w:vAlign w:val="center"/>
          </w:tcPr>
          <w:p w14:paraId="28C45B68">
            <w:pPr>
              <w:spacing w:line="480" w:lineRule="auto"/>
              <w:jc w:val="center"/>
              <w:rPr>
                <w:rFonts w:ascii="黑体" w:hAnsi="黑体" w:eastAsia="黑体"/>
                <w:szCs w:val="21"/>
              </w:rPr>
            </w:pPr>
          </w:p>
        </w:tc>
        <w:tc>
          <w:tcPr>
            <w:tcW w:w="830" w:type="pct"/>
          </w:tcPr>
          <w:p w14:paraId="0FF36513">
            <w:pPr>
              <w:spacing w:line="480" w:lineRule="auto"/>
              <w:jc w:val="center"/>
              <w:rPr>
                <w:rFonts w:ascii="黑体" w:hAnsi="黑体" w:eastAsia="黑体"/>
                <w:szCs w:val="21"/>
              </w:rPr>
            </w:pPr>
          </w:p>
        </w:tc>
        <w:tc>
          <w:tcPr>
            <w:tcW w:w="582" w:type="pct"/>
            <w:vAlign w:val="center"/>
          </w:tcPr>
          <w:p w14:paraId="0779378A">
            <w:pPr>
              <w:spacing w:line="480" w:lineRule="auto"/>
              <w:jc w:val="center"/>
              <w:rPr>
                <w:rFonts w:ascii="黑体" w:hAnsi="黑体" w:eastAsia="黑体"/>
                <w:szCs w:val="21"/>
              </w:rPr>
            </w:pPr>
          </w:p>
        </w:tc>
        <w:tc>
          <w:tcPr>
            <w:tcW w:w="699" w:type="pct"/>
          </w:tcPr>
          <w:p w14:paraId="50544DFF">
            <w:pPr>
              <w:spacing w:line="480" w:lineRule="auto"/>
              <w:jc w:val="center"/>
              <w:rPr>
                <w:rFonts w:ascii="黑体" w:hAnsi="黑体" w:eastAsia="黑体"/>
                <w:szCs w:val="21"/>
              </w:rPr>
            </w:pPr>
          </w:p>
        </w:tc>
      </w:tr>
      <w:tr w14:paraId="59936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531C6AE">
            <w:pPr>
              <w:spacing w:line="480" w:lineRule="auto"/>
              <w:jc w:val="center"/>
              <w:rPr>
                <w:rFonts w:ascii="黑体" w:hAnsi="黑体" w:eastAsia="黑体"/>
                <w:szCs w:val="21"/>
              </w:rPr>
            </w:pPr>
          </w:p>
        </w:tc>
        <w:tc>
          <w:tcPr>
            <w:tcW w:w="653" w:type="pct"/>
            <w:vAlign w:val="center"/>
          </w:tcPr>
          <w:p w14:paraId="719FD31B">
            <w:pPr>
              <w:spacing w:line="480" w:lineRule="auto"/>
              <w:jc w:val="center"/>
              <w:rPr>
                <w:rFonts w:ascii="黑体" w:hAnsi="黑体" w:eastAsia="黑体"/>
                <w:szCs w:val="21"/>
              </w:rPr>
            </w:pPr>
          </w:p>
        </w:tc>
        <w:tc>
          <w:tcPr>
            <w:tcW w:w="739" w:type="pct"/>
            <w:vAlign w:val="center"/>
          </w:tcPr>
          <w:p w14:paraId="1B72A11B">
            <w:pPr>
              <w:spacing w:line="480" w:lineRule="auto"/>
              <w:jc w:val="center"/>
              <w:rPr>
                <w:rFonts w:ascii="黑体" w:hAnsi="黑体" w:eastAsia="黑体"/>
                <w:szCs w:val="21"/>
              </w:rPr>
            </w:pPr>
          </w:p>
        </w:tc>
        <w:tc>
          <w:tcPr>
            <w:tcW w:w="1081" w:type="pct"/>
            <w:vAlign w:val="center"/>
          </w:tcPr>
          <w:p w14:paraId="179B4AAC">
            <w:pPr>
              <w:spacing w:line="480" w:lineRule="auto"/>
              <w:jc w:val="center"/>
              <w:rPr>
                <w:rFonts w:ascii="黑体" w:hAnsi="黑体" w:eastAsia="黑体"/>
                <w:szCs w:val="21"/>
              </w:rPr>
            </w:pPr>
          </w:p>
        </w:tc>
        <w:tc>
          <w:tcPr>
            <w:tcW w:w="830" w:type="pct"/>
          </w:tcPr>
          <w:p w14:paraId="3B8C755D">
            <w:pPr>
              <w:spacing w:line="480" w:lineRule="auto"/>
              <w:jc w:val="center"/>
              <w:rPr>
                <w:rFonts w:ascii="黑体" w:hAnsi="黑体" w:eastAsia="黑体"/>
                <w:szCs w:val="21"/>
              </w:rPr>
            </w:pPr>
          </w:p>
        </w:tc>
        <w:tc>
          <w:tcPr>
            <w:tcW w:w="582" w:type="pct"/>
            <w:vAlign w:val="center"/>
          </w:tcPr>
          <w:p w14:paraId="167F3233">
            <w:pPr>
              <w:spacing w:line="480" w:lineRule="auto"/>
              <w:jc w:val="center"/>
              <w:rPr>
                <w:rFonts w:ascii="黑体" w:hAnsi="黑体" w:eastAsia="黑体"/>
                <w:szCs w:val="21"/>
              </w:rPr>
            </w:pPr>
          </w:p>
        </w:tc>
        <w:tc>
          <w:tcPr>
            <w:tcW w:w="699" w:type="pct"/>
          </w:tcPr>
          <w:p w14:paraId="28B597F5">
            <w:pPr>
              <w:spacing w:line="480" w:lineRule="auto"/>
              <w:jc w:val="center"/>
              <w:rPr>
                <w:rFonts w:ascii="黑体" w:hAnsi="黑体" w:eastAsia="黑体"/>
                <w:szCs w:val="21"/>
              </w:rPr>
            </w:pPr>
          </w:p>
        </w:tc>
      </w:tr>
      <w:tr w14:paraId="2E4B6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7A88EA1">
            <w:pPr>
              <w:spacing w:line="480" w:lineRule="auto"/>
              <w:jc w:val="center"/>
              <w:rPr>
                <w:rFonts w:ascii="黑体" w:hAnsi="黑体" w:eastAsia="黑体"/>
                <w:szCs w:val="21"/>
              </w:rPr>
            </w:pPr>
          </w:p>
        </w:tc>
        <w:tc>
          <w:tcPr>
            <w:tcW w:w="653" w:type="pct"/>
            <w:vAlign w:val="center"/>
          </w:tcPr>
          <w:p w14:paraId="68745907">
            <w:pPr>
              <w:spacing w:line="480" w:lineRule="auto"/>
              <w:jc w:val="center"/>
              <w:rPr>
                <w:rFonts w:ascii="黑体" w:hAnsi="黑体" w:eastAsia="黑体"/>
                <w:szCs w:val="21"/>
              </w:rPr>
            </w:pPr>
          </w:p>
        </w:tc>
        <w:tc>
          <w:tcPr>
            <w:tcW w:w="739" w:type="pct"/>
            <w:vAlign w:val="center"/>
          </w:tcPr>
          <w:p w14:paraId="528857A1">
            <w:pPr>
              <w:spacing w:line="480" w:lineRule="auto"/>
              <w:jc w:val="center"/>
              <w:rPr>
                <w:rFonts w:ascii="黑体" w:hAnsi="黑体" w:eastAsia="黑体"/>
                <w:szCs w:val="21"/>
              </w:rPr>
            </w:pPr>
          </w:p>
        </w:tc>
        <w:tc>
          <w:tcPr>
            <w:tcW w:w="1081" w:type="pct"/>
            <w:vAlign w:val="center"/>
          </w:tcPr>
          <w:p w14:paraId="53969F84">
            <w:pPr>
              <w:widowControl/>
              <w:tabs>
                <w:tab w:val="right" w:leader="dot" w:pos="8302"/>
              </w:tabs>
              <w:spacing w:line="480" w:lineRule="auto"/>
              <w:jc w:val="center"/>
              <w:rPr>
                <w:rFonts w:ascii="黑体" w:hAnsi="黑体" w:eastAsia="黑体"/>
                <w:kern w:val="0"/>
                <w:szCs w:val="21"/>
              </w:rPr>
            </w:pPr>
          </w:p>
        </w:tc>
        <w:tc>
          <w:tcPr>
            <w:tcW w:w="830" w:type="pct"/>
          </w:tcPr>
          <w:p w14:paraId="54727799">
            <w:pPr>
              <w:spacing w:line="480" w:lineRule="auto"/>
              <w:jc w:val="center"/>
              <w:rPr>
                <w:rFonts w:ascii="黑体" w:hAnsi="黑体" w:eastAsia="黑体"/>
                <w:szCs w:val="21"/>
              </w:rPr>
            </w:pPr>
          </w:p>
        </w:tc>
        <w:tc>
          <w:tcPr>
            <w:tcW w:w="582" w:type="pct"/>
            <w:vAlign w:val="center"/>
          </w:tcPr>
          <w:p w14:paraId="466310F5">
            <w:pPr>
              <w:spacing w:line="480" w:lineRule="auto"/>
              <w:jc w:val="center"/>
              <w:rPr>
                <w:rFonts w:ascii="黑体" w:hAnsi="黑体" w:eastAsia="黑体"/>
                <w:szCs w:val="21"/>
              </w:rPr>
            </w:pPr>
          </w:p>
        </w:tc>
        <w:tc>
          <w:tcPr>
            <w:tcW w:w="699" w:type="pct"/>
          </w:tcPr>
          <w:p w14:paraId="618E61D1">
            <w:pPr>
              <w:spacing w:line="480" w:lineRule="auto"/>
              <w:jc w:val="center"/>
              <w:rPr>
                <w:rFonts w:ascii="黑体" w:hAnsi="黑体" w:eastAsia="黑体"/>
                <w:szCs w:val="21"/>
              </w:rPr>
            </w:pPr>
          </w:p>
        </w:tc>
      </w:tr>
      <w:tr w14:paraId="0F954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ED96F0C">
            <w:pPr>
              <w:spacing w:line="480" w:lineRule="auto"/>
              <w:jc w:val="center"/>
              <w:rPr>
                <w:rFonts w:ascii="黑体" w:hAnsi="黑体" w:eastAsia="黑体"/>
                <w:szCs w:val="21"/>
              </w:rPr>
            </w:pPr>
          </w:p>
        </w:tc>
        <w:tc>
          <w:tcPr>
            <w:tcW w:w="653" w:type="pct"/>
            <w:vAlign w:val="center"/>
          </w:tcPr>
          <w:p w14:paraId="1685F275">
            <w:pPr>
              <w:spacing w:line="480" w:lineRule="auto"/>
              <w:jc w:val="center"/>
              <w:rPr>
                <w:rFonts w:ascii="黑体" w:hAnsi="黑体" w:eastAsia="黑体"/>
                <w:szCs w:val="21"/>
              </w:rPr>
            </w:pPr>
          </w:p>
        </w:tc>
        <w:tc>
          <w:tcPr>
            <w:tcW w:w="739" w:type="pct"/>
            <w:vAlign w:val="center"/>
          </w:tcPr>
          <w:p w14:paraId="2BB336D7">
            <w:pPr>
              <w:spacing w:line="480" w:lineRule="auto"/>
              <w:jc w:val="center"/>
              <w:rPr>
                <w:rFonts w:ascii="黑体" w:hAnsi="黑体" w:eastAsia="黑体"/>
                <w:szCs w:val="21"/>
              </w:rPr>
            </w:pPr>
          </w:p>
        </w:tc>
        <w:tc>
          <w:tcPr>
            <w:tcW w:w="1081" w:type="pct"/>
            <w:vAlign w:val="center"/>
          </w:tcPr>
          <w:p w14:paraId="154BA2C3">
            <w:pPr>
              <w:widowControl/>
              <w:tabs>
                <w:tab w:val="right" w:leader="dot" w:pos="8302"/>
              </w:tabs>
              <w:spacing w:line="480" w:lineRule="auto"/>
              <w:jc w:val="center"/>
              <w:rPr>
                <w:rFonts w:ascii="黑体" w:hAnsi="黑体" w:eastAsia="黑体"/>
                <w:kern w:val="0"/>
                <w:szCs w:val="21"/>
              </w:rPr>
            </w:pPr>
          </w:p>
        </w:tc>
        <w:tc>
          <w:tcPr>
            <w:tcW w:w="830" w:type="pct"/>
          </w:tcPr>
          <w:p w14:paraId="11AFBF5A">
            <w:pPr>
              <w:spacing w:line="480" w:lineRule="auto"/>
              <w:jc w:val="center"/>
              <w:rPr>
                <w:rFonts w:ascii="黑体" w:hAnsi="黑体" w:eastAsia="黑体"/>
                <w:szCs w:val="21"/>
              </w:rPr>
            </w:pPr>
          </w:p>
        </w:tc>
        <w:tc>
          <w:tcPr>
            <w:tcW w:w="582" w:type="pct"/>
            <w:vAlign w:val="center"/>
          </w:tcPr>
          <w:p w14:paraId="1E4C8F21">
            <w:pPr>
              <w:spacing w:line="480" w:lineRule="auto"/>
              <w:jc w:val="center"/>
              <w:rPr>
                <w:rFonts w:ascii="黑体" w:hAnsi="黑体" w:eastAsia="黑体"/>
                <w:szCs w:val="21"/>
              </w:rPr>
            </w:pPr>
          </w:p>
        </w:tc>
        <w:tc>
          <w:tcPr>
            <w:tcW w:w="699" w:type="pct"/>
          </w:tcPr>
          <w:p w14:paraId="7A1B97A3">
            <w:pPr>
              <w:spacing w:line="480" w:lineRule="auto"/>
              <w:jc w:val="center"/>
              <w:rPr>
                <w:rFonts w:ascii="黑体" w:hAnsi="黑体" w:eastAsia="黑体"/>
                <w:szCs w:val="21"/>
              </w:rPr>
            </w:pPr>
          </w:p>
        </w:tc>
      </w:tr>
      <w:tr w14:paraId="2556D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BD19095">
            <w:pPr>
              <w:spacing w:line="480" w:lineRule="auto"/>
              <w:jc w:val="center"/>
              <w:rPr>
                <w:rFonts w:ascii="黑体" w:hAnsi="黑体" w:eastAsia="黑体"/>
                <w:szCs w:val="21"/>
              </w:rPr>
            </w:pPr>
          </w:p>
        </w:tc>
        <w:tc>
          <w:tcPr>
            <w:tcW w:w="653" w:type="pct"/>
            <w:vAlign w:val="center"/>
          </w:tcPr>
          <w:p w14:paraId="61A49B90">
            <w:pPr>
              <w:spacing w:line="480" w:lineRule="auto"/>
              <w:jc w:val="center"/>
              <w:rPr>
                <w:rFonts w:ascii="黑体" w:hAnsi="黑体" w:eastAsia="黑体"/>
                <w:szCs w:val="21"/>
              </w:rPr>
            </w:pPr>
          </w:p>
        </w:tc>
        <w:tc>
          <w:tcPr>
            <w:tcW w:w="739" w:type="pct"/>
            <w:vAlign w:val="center"/>
          </w:tcPr>
          <w:p w14:paraId="02F0D1D6">
            <w:pPr>
              <w:spacing w:line="480" w:lineRule="auto"/>
              <w:jc w:val="center"/>
              <w:rPr>
                <w:rFonts w:ascii="黑体" w:hAnsi="黑体" w:eastAsia="黑体"/>
                <w:szCs w:val="21"/>
              </w:rPr>
            </w:pPr>
          </w:p>
        </w:tc>
        <w:tc>
          <w:tcPr>
            <w:tcW w:w="1081" w:type="pct"/>
            <w:vAlign w:val="center"/>
          </w:tcPr>
          <w:p w14:paraId="6BAEAF25">
            <w:pPr>
              <w:spacing w:line="480" w:lineRule="auto"/>
              <w:jc w:val="center"/>
              <w:rPr>
                <w:rFonts w:ascii="黑体" w:hAnsi="黑体" w:eastAsia="黑体"/>
                <w:szCs w:val="21"/>
              </w:rPr>
            </w:pPr>
          </w:p>
        </w:tc>
        <w:tc>
          <w:tcPr>
            <w:tcW w:w="830" w:type="pct"/>
          </w:tcPr>
          <w:p w14:paraId="27820552">
            <w:pPr>
              <w:spacing w:line="480" w:lineRule="auto"/>
              <w:jc w:val="center"/>
              <w:rPr>
                <w:rFonts w:ascii="黑体" w:hAnsi="黑体" w:eastAsia="黑体"/>
                <w:szCs w:val="21"/>
              </w:rPr>
            </w:pPr>
          </w:p>
        </w:tc>
        <w:tc>
          <w:tcPr>
            <w:tcW w:w="582" w:type="pct"/>
            <w:vAlign w:val="center"/>
          </w:tcPr>
          <w:p w14:paraId="4212F454">
            <w:pPr>
              <w:spacing w:line="480" w:lineRule="auto"/>
              <w:jc w:val="center"/>
              <w:rPr>
                <w:rFonts w:ascii="黑体" w:hAnsi="黑体" w:eastAsia="黑体"/>
                <w:szCs w:val="21"/>
              </w:rPr>
            </w:pPr>
          </w:p>
        </w:tc>
        <w:tc>
          <w:tcPr>
            <w:tcW w:w="699" w:type="pct"/>
          </w:tcPr>
          <w:p w14:paraId="6C3416AD">
            <w:pPr>
              <w:spacing w:line="480" w:lineRule="auto"/>
              <w:jc w:val="center"/>
              <w:rPr>
                <w:rFonts w:ascii="黑体" w:hAnsi="黑体" w:eastAsia="黑体"/>
                <w:szCs w:val="21"/>
              </w:rPr>
            </w:pPr>
          </w:p>
        </w:tc>
      </w:tr>
      <w:tr w14:paraId="7B31F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F2B8A03">
            <w:pPr>
              <w:spacing w:line="480" w:lineRule="auto"/>
              <w:jc w:val="center"/>
              <w:rPr>
                <w:rFonts w:ascii="黑体" w:hAnsi="黑体" w:eastAsia="黑体"/>
                <w:szCs w:val="21"/>
              </w:rPr>
            </w:pPr>
          </w:p>
        </w:tc>
        <w:tc>
          <w:tcPr>
            <w:tcW w:w="653" w:type="pct"/>
            <w:vAlign w:val="center"/>
          </w:tcPr>
          <w:p w14:paraId="145A4F89">
            <w:pPr>
              <w:spacing w:line="480" w:lineRule="auto"/>
              <w:jc w:val="center"/>
              <w:rPr>
                <w:rFonts w:ascii="黑体" w:hAnsi="黑体" w:eastAsia="黑体"/>
                <w:szCs w:val="21"/>
              </w:rPr>
            </w:pPr>
          </w:p>
        </w:tc>
        <w:tc>
          <w:tcPr>
            <w:tcW w:w="739" w:type="pct"/>
            <w:vAlign w:val="center"/>
          </w:tcPr>
          <w:p w14:paraId="67AA0851">
            <w:pPr>
              <w:spacing w:line="480" w:lineRule="auto"/>
              <w:jc w:val="center"/>
              <w:rPr>
                <w:rFonts w:ascii="黑体" w:hAnsi="黑体" w:eastAsia="黑体"/>
                <w:szCs w:val="21"/>
              </w:rPr>
            </w:pPr>
          </w:p>
        </w:tc>
        <w:tc>
          <w:tcPr>
            <w:tcW w:w="1081" w:type="pct"/>
            <w:vAlign w:val="center"/>
          </w:tcPr>
          <w:p w14:paraId="010E0B8F">
            <w:pPr>
              <w:spacing w:line="480" w:lineRule="auto"/>
              <w:jc w:val="center"/>
              <w:rPr>
                <w:rFonts w:ascii="黑体" w:hAnsi="黑体" w:eastAsia="黑体"/>
                <w:szCs w:val="21"/>
              </w:rPr>
            </w:pPr>
          </w:p>
        </w:tc>
        <w:tc>
          <w:tcPr>
            <w:tcW w:w="830" w:type="pct"/>
          </w:tcPr>
          <w:p w14:paraId="12DE114B">
            <w:pPr>
              <w:spacing w:line="480" w:lineRule="auto"/>
              <w:jc w:val="center"/>
              <w:rPr>
                <w:rFonts w:ascii="黑体" w:hAnsi="黑体" w:eastAsia="黑体"/>
                <w:szCs w:val="21"/>
              </w:rPr>
            </w:pPr>
          </w:p>
        </w:tc>
        <w:tc>
          <w:tcPr>
            <w:tcW w:w="582" w:type="pct"/>
            <w:vAlign w:val="center"/>
          </w:tcPr>
          <w:p w14:paraId="6C4A2164">
            <w:pPr>
              <w:spacing w:line="480" w:lineRule="auto"/>
              <w:jc w:val="center"/>
              <w:rPr>
                <w:rFonts w:ascii="黑体" w:hAnsi="黑体" w:eastAsia="黑体"/>
                <w:szCs w:val="21"/>
              </w:rPr>
            </w:pPr>
          </w:p>
        </w:tc>
        <w:tc>
          <w:tcPr>
            <w:tcW w:w="699" w:type="pct"/>
          </w:tcPr>
          <w:p w14:paraId="72EFF90A">
            <w:pPr>
              <w:spacing w:line="480" w:lineRule="auto"/>
              <w:jc w:val="center"/>
              <w:rPr>
                <w:rFonts w:ascii="黑体" w:hAnsi="黑体" w:eastAsia="黑体"/>
                <w:szCs w:val="21"/>
              </w:rPr>
            </w:pPr>
          </w:p>
        </w:tc>
      </w:tr>
    </w:tbl>
    <w:p w14:paraId="472B803F">
      <w:pPr>
        <w:pStyle w:val="2"/>
        <w:overflowPunct w:val="0"/>
        <w:spacing w:before="156" w:beforeLines="50" w:after="0" w:line="360" w:lineRule="auto"/>
        <w:rPr>
          <w:rFonts w:ascii="黑体" w:hAnsi="黑体" w:eastAsia="黑体"/>
          <w:szCs w:val="21"/>
        </w:rPr>
      </w:pPr>
    </w:p>
    <w:p w14:paraId="6AE3D0B8">
      <w:pPr>
        <w:pStyle w:val="2"/>
        <w:overflowPunct w:val="0"/>
        <w:spacing w:before="156" w:beforeLines="50" w:after="0" w:line="360" w:lineRule="auto"/>
        <w:rPr>
          <w:rFonts w:ascii="黑体" w:hAnsi="黑体" w:eastAsia="黑体"/>
          <w:szCs w:val="21"/>
        </w:rPr>
      </w:pPr>
      <w:r>
        <w:rPr>
          <w:rFonts w:hint="eastAsia" w:ascii="黑体" w:hAnsi="黑体" w:eastAsia="黑体"/>
          <w:szCs w:val="21"/>
        </w:rPr>
        <w:t>注明：需提供证明资料内容详见</w:t>
      </w:r>
      <w:r>
        <w:rPr>
          <w:rFonts w:hint="eastAsia" w:ascii="黑体" w:hAnsi="黑体" w:eastAsia="黑体"/>
          <w:szCs w:val="21"/>
          <w:u w:val="single"/>
        </w:rPr>
        <w:t>（招标文件第五部分</w:t>
      </w:r>
      <w:r>
        <w:rPr>
          <w:rFonts w:ascii="黑体" w:hAnsi="黑体" w:eastAsia="黑体"/>
          <w:szCs w:val="21"/>
          <w:u w:val="single"/>
        </w:rPr>
        <w:t xml:space="preserve"> </w:t>
      </w:r>
      <w:r>
        <w:rPr>
          <w:rFonts w:hint="eastAsia" w:ascii="黑体" w:hAnsi="黑体" w:eastAsia="黑体"/>
          <w:szCs w:val="21"/>
          <w:u w:val="single"/>
        </w:rPr>
        <w:t>评标方法、步骤、标准之</w:t>
      </w:r>
      <w:r>
        <w:rPr>
          <w:rFonts w:hint="eastAsia" w:ascii="黑体" w:hAnsi="黑体" w:eastAsia="黑体"/>
          <w:kern w:val="0"/>
          <w:szCs w:val="21"/>
          <w:u w:val="single"/>
        </w:rPr>
        <w:t>附表三</w:t>
      </w:r>
      <w:r>
        <w:rPr>
          <w:rFonts w:hint="eastAsia" w:ascii="黑体" w:hAnsi="黑体" w:eastAsia="黑体"/>
          <w:szCs w:val="21"/>
          <w:u w:val="single"/>
        </w:rPr>
        <w:t>详细评审表相对应条款）</w:t>
      </w:r>
      <w:r>
        <w:rPr>
          <w:rFonts w:ascii="黑体" w:hAnsi="黑体" w:eastAsia="黑体"/>
          <w:szCs w:val="21"/>
          <w:u w:val="single"/>
        </w:rPr>
        <w:t xml:space="preserve"> </w:t>
      </w:r>
      <w:r>
        <w:rPr>
          <w:rFonts w:hint="eastAsia" w:ascii="黑体" w:hAnsi="黑体" w:eastAsia="黑体"/>
          <w:szCs w:val="21"/>
        </w:rPr>
        <w:t>。</w:t>
      </w:r>
    </w:p>
    <w:p w14:paraId="40CB08E5">
      <w:pPr>
        <w:spacing w:line="360" w:lineRule="auto"/>
        <w:rPr>
          <w:rFonts w:ascii="黑体" w:hAnsi="黑体" w:eastAsia="黑体"/>
        </w:rPr>
      </w:pPr>
    </w:p>
    <w:p w14:paraId="48212251">
      <w:pPr>
        <w:spacing w:line="360" w:lineRule="auto"/>
        <w:rPr>
          <w:rFonts w:ascii="黑体" w:hAnsi="黑体" w:eastAsia="黑体"/>
        </w:rPr>
      </w:pPr>
    </w:p>
    <w:p w14:paraId="3A2E5132">
      <w:pPr>
        <w:spacing w:line="360" w:lineRule="auto"/>
        <w:rPr>
          <w:rFonts w:ascii="黑体" w:hAnsi="黑体" w:eastAsia="黑体"/>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3F28A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DEDC7DA">
            <w:pPr>
              <w:overflowPunct w:val="0"/>
              <w:adjustRightInd w:val="0"/>
              <w:spacing w:line="360" w:lineRule="auto"/>
              <w:rPr>
                <w:rFonts w:ascii="黑体" w:hAnsi="黑体" w:eastAsia="黑体"/>
                <w:szCs w:val="21"/>
              </w:rPr>
            </w:pPr>
            <w:r>
              <w:rPr>
                <w:rFonts w:hint="eastAsia" w:ascii="黑体" w:hAnsi="黑体" w:eastAsia="黑体"/>
                <w:szCs w:val="21"/>
              </w:rPr>
              <w:t>投标人名称（加盖公章）：</w:t>
            </w:r>
            <w:r>
              <w:rPr>
                <w:rFonts w:ascii="黑体" w:hAnsi="黑体" w:eastAsia="黑体"/>
                <w:szCs w:val="21"/>
                <w:u w:val="single"/>
              </w:rPr>
              <w:t xml:space="preserve">                         </w:t>
            </w:r>
          </w:p>
        </w:tc>
        <w:tc>
          <w:tcPr>
            <w:tcW w:w="3175" w:type="dxa"/>
          </w:tcPr>
          <w:p w14:paraId="4618C41F">
            <w:pPr>
              <w:spacing w:line="360" w:lineRule="auto"/>
              <w:rPr>
                <w:rFonts w:ascii="黑体" w:hAnsi="黑体" w:eastAsia="黑体"/>
                <w:szCs w:val="21"/>
              </w:rPr>
            </w:pPr>
          </w:p>
        </w:tc>
      </w:tr>
      <w:tr w14:paraId="16040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6E1C454">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5" w:type="dxa"/>
          </w:tcPr>
          <w:p w14:paraId="6E358389">
            <w:pPr>
              <w:spacing w:line="360" w:lineRule="auto"/>
              <w:rPr>
                <w:rFonts w:ascii="黑体" w:hAnsi="黑体" w:eastAsia="黑体"/>
                <w:szCs w:val="21"/>
              </w:rPr>
            </w:pPr>
          </w:p>
        </w:tc>
      </w:tr>
    </w:tbl>
    <w:p w14:paraId="32B59B37">
      <w:pPr>
        <w:pStyle w:val="29"/>
        <w:pageBreakBefore/>
        <w:numPr>
          <w:ilvl w:val="0"/>
          <w:numId w:val="112"/>
        </w:numPr>
        <w:tabs>
          <w:tab w:val="left" w:pos="284"/>
          <w:tab w:val="left" w:pos="567"/>
          <w:tab w:val="left" w:pos="709"/>
        </w:tabs>
        <w:ind w:left="1679" w:hanging="1537" w:firstLineChars="0"/>
        <w:jc w:val="left"/>
        <w:rPr>
          <w:rFonts w:ascii="黑体" w:hAnsi="黑体" w:eastAsia="黑体"/>
          <w:b/>
          <w:bCs/>
        </w:rPr>
      </w:pPr>
      <w:bookmarkStart w:id="99" w:name="_Toc391627771"/>
      <w:bookmarkStart w:id="100" w:name="_Toc405313975"/>
      <w:r>
        <w:rPr>
          <w:rFonts w:hint="eastAsia" w:ascii="黑体" w:hAnsi="黑体" w:eastAsia="黑体"/>
          <w:b/>
          <w:bCs/>
        </w:rPr>
        <w:t>项目负责人简历表</w:t>
      </w:r>
      <w:bookmarkEnd w:id="99"/>
      <w:bookmarkEnd w:id="100"/>
    </w:p>
    <w:p w14:paraId="7C105090">
      <w:pPr>
        <w:spacing w:before="468" w:beforeLines="150" w:after="312" w:afterLines="100" w:line="360" w:lineRule="auto"/>
        <w:jc w:val="center"/>
        <w:rPr>
          <w:rFonts w:ascii="黑体" w:hAnsi="黑体" w:eastAsia="黑体"/>
          <w:b/>
          <w:spacing w:val="20"/>
          <w:sz w:val="30"/>
          <w:szCs w:val="30"/>
        </w:rPr>
      </w:pPr>
      <w:r>
        <w:rPr>
          <w:rFonts w:hint="eastAsia" w:ascii="黑体" w:hAnsi="黑体" w:eastAsia="黑体"/>
          <w:b/>
          <w:spacing w:val="20"/>
          <w:sz w:val="30"/>
          <w:szCs w:val="30"/>
        </w:rPr>
        <w:t>项目负责人简历表</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4"/>
        <w:gridCol w:w="746"/>
        <w:gridCol w:w="1361"/>
        <w:gridCol w:w="326"/>
        <w:gridCol w:w="184"/>
        <w:gridCol w:w="842"/>
        <w:gridCol w:w="544"/>
        <w:gridCol w:w="14"/>
        <w:gridCol w:w="1129"/>
        <w:gridCol w:w="435"/>
        <w:gridCol w:w="647"/>
        <w:gridCol w:w="409"/>
        <w:gridCol w:w="1396"/>
      </w:tblGrid>
      <w:tr w14:paraId="553A0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18EF9E60">
            <w:pPr>
              <w:jc w:val="center"/>
              <w:rPr>
                <w:rFonts w:ascii="黑体" w:hAnsi="黑体" w:eastAsia="黑体"/>
                <w:szCs w:val="21"/>
              </w:rPr>
            </w:pPr>
            <w:r>
              <w:rPr>
                <w:rFonts w:hint="eastAsia" w:ascii="黑体" w:hAnsi="黑体" w:eastAsia="黑体"/>
                <w:szCs w:val="21"/>
              </w:rPr>
              <w:t>姓名</w:t>
            </w:r>
          </w:p>
        </w:tc>
        <w:tc>
          <w:tcPr>
            <w:tcW w:w="1493" w:type="pct"/>
            <w:gridSpan w:val="4"/>
            <w:vAlign w:val="center"/>
          </w:tcPr>
          <w:p w14:paraId="3B9B784E">
            <w:pPr>
              <w:jc w:val="center"/>
              <w:rPr>
                <w:rFonts w:ascii="黑体" w:hAnsi="黑体" w:eastAsia="黑体"/>
                <w:szCs w:val="21"/>
              </w:rPr>
            </w:pPr>
          </w:p>
        </w:tc>
        <w:tc>
          <w:tcPr>
            <w:tcW w:w="480" w:type="pct"/>
            <w:vAlign w:val="center"/>
          </w:tcPr>
          <w:p w14:paraId="5663215A">
            <w:pPr>
              <w:jc w:val="center"/>
              <w:rPr>
                <w:rFonts w:ascii="黑体" w:hAnsi="黑体" w:eastAsia="黑体"/>
                <w:szCs w:val="21"/>
              </w:rPr>
            </w:pPr>
            <w:r>
              <w:rPr>
                <w:rFonts w:hint="eastAsia" w:ascii="黑体" w:hAnsi="黑体" w:eastAsia="黑体"/>
                <w:szCs w:val="21"/>
              </w:rPr>
              <w:t>性别</w:t>
            </w:r>
          </w:p>
        </w:tc>
        <w:tc>
          <w:tcPr>
            <w:tcW w:w="962" w:type="pct"/>
            <w:gridSpan w:val="3"/>
            <w:vAlign w:val="center"/>
          </w:tcPr>
          <w:p w14:paraId="34034B71">
            <w:pPr>
              <w:jc w:val="center"/>
              <w:rPr>
                <w:rFonts w:ascii="黑体" w:hAnsi="黑体" w:eastAsia="黑体"/>
                <w:szCs w:val="21"/>
              </w:rPr>
            </w:pPr>
          </w:p>
        </w:tc>
        <w:tc>
          <w:tcPr>
            <w:tcW w:w="617" w:type="pct"/>
            <w:gridSpan w:val="2"/>
            <w:vAlign w:val="center"/>
          </w:tcPr>
          <w:p w14:paraId="7D720E68">
            <w:pPr>
              <w:jc w:val="center"/>
              <w:rPr>
                <w:rFonts w:ascii="黑体" w:hAnsi="黑体" w:eastAsia="黑体"/>
                <w:szCs w:val="21"/>
              </w:rPr>
            </w:pPr>
            <w:r>
              <w:rPr>
                <w:rFonts w:hint="eastAsia" w:ascii="黑体" w:hAnsi="黑体" w:eastAsia="黑体"/>
                <w:szCs w:val="21"/>
              </w:rPr>
              <w:t>年龄</w:t>
            </w:r>
          </w:p>
        </w:tc>
        <w:tc>
          <w:tcPr>
            <w:tcW w:w="1030" w:type="pct"/>
            <w:gridSpan w:val="2"/>
            <w:vAlign w:val="center"/>
          </w:tcPr>
          <w:p w14:paraId="1B9F9C40">
            <w:pPr>
              <w:jc w:val="center"/>
              <w:rPr>
                <w:rFonts w:ascii="黑体" w:hAnsi="黑体" w:eastAsia="黑体"/>
                <w:szCs w:val="21"/>
              </w:rPr>
            </w:pPr>
          </w:p>
        </w:tc>
      </w:tr>
      <w:tr w14:paraId="2409B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F6FA491">
            <w:pPr>
              <w:jc w:val="center"/>
              <w:rPr>
                <w:rFonts w:ascii="黑体" w:hAnsi="黑体" w:eastAsia="黑体"/>
                <w:szCs w:val="21"/>
              </w:rPr>
            </w:pPr>
            <w:r>
              <w:rPr>
                <w:rFonts w:hint="eastAsia" w:ascii="黑体" w:hAnsi="黑体" w:eastAsia="黑体"/>
                <w:szCs w:val="21"/>
              </w:rPr>
              <w:t>职务</w:t>
            </w:r>
          </w:p>
        </w:tc>
        <w:tc>
          <w:tcPr>
            <w:tcW w:w="1493" w:type="pct"/>
            <w:gridSpan w:val="4"/>
            <w:vAlign w:val="center"/>
          </w:tcPr>
          <w:p w14:paraId="690916D4">
            <w:pPr>
              <w:jc w:val="center"/>
              <w:rPr>
                <w:rFonts w:ascii="黑体" w:hAnsi="黑体" w:eastAsia="黑体"/>
                <w:szCs w:val="21"/>
              </w:rPr>
            </w:pPr>
          </w:p>
        </w:tc>
        <w:tc>
          <w:tcPr>
            <w:tcW w:w="480" w:type="pct"/>
            <w:vAlign w:val="center"/>
          </w:tcPr>
          <w:p w14:paraId="1CBDC026">
            <w:pPr>
              <w:jc w:val="center"/>
              <w:rPr>
                <w:rFonts w:ascii="黑体" w:hAnsi="黑体" w:eastAsia="黑体"/>
                <w:szCs w:val="21"/>
              </w:rPr>
            </w:pPr>
            <w:r>
              <w:rPr>
                <w:rFonts w:hint="eastAsia" w:ascii="黑体" w:hAnsi="黑体" w:eastAsia="黑体"/>
                <w:szCs w:val="21"/>
              </w:rPr>
              <w:t>职称</w:t>
            </w:r>
          </w:p>
        </w:tc>
        <w:tc>
          <w:tcPr>
            <w:tcW w:w="962" w:type="pct"/>
            <w:gridSpan w:val="3"/>
            <w:vAlign w:val="center"/>
          </w:tcPr>
          <w:p w14:paraId="36813252">
            <w:pPr>
              <w:jc w:val="center"/>
              <w:rPr>
                <w:rFonts w:ascii="黑体" w:hAnsi="黑体" w:eastAsia="黑体"/>
                <w:szCs w:val="21"/>
              </w:rPr>
            </w:pPr>
          </w:p>
        </w:tc>
        <w:tc>
          <w:tcPr>
            <w:tcW w:w="617" w:type="pct"/>
            <w:gridSpan w:val="2"/>
            <w:vAlign w:val="center"/>
          </w:tcPr>
          <w:p w14:paraId="15743654">
            <w:pPr>
              <w:jc w:val="center"/>
              <w:rPr>
                <w:rFonts w:ascii="黑体" w:hAnsi="黑体" w:eastAsia="黑体"/>
                <w:szCs w:val="21"/>
              </w:rPr>
            </w:pPr>
            <w:r>
              <w:rPr>
                <w:rFonts w:hint="eastAsia" w:ascii="黑体" w:hAnsi="黑体" w:eastAsia="黑体"/>
                <w:szCs w:val="21"/>
              </w:rPr>
              <w:t>学历</w:t>
            </w:r>
          </w:p>
        </w:tc>
        <w:tc>
          <w:tcPr>
            <w:tcW w:w="1030" w:type="pct"/>
            <w:gridSpan w:val="2"/>
            <w:vAlign w:val="center"/>
          </w:tcPr>
          <w:p w14:paraId="2654F362">
            <w:pPr>
              <w:jc w:val="center"/>
              <w:rPr>
                <w:rFonts w:ascii="黑体" w:hAnsi="黑体" w:eastAsia="黑体"/>
                <w:szCs w:val="21"/>
              </w:rPr>
            </w:pPr>
          </w:p>
        </w:tc>
      </w:tr>
      <w:tr w14:paraId="69E70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241618B0">
            <w:pPr>
              <w:jc w:val="center"/>
              <w:rPr>
                <w:rFonts w:ascii="黑体" w:hAnsi="黑体" w:eastAsia="黑体"/>
                <w:szCs w:val="21"/>
              </w:rPr>
            </w:pPr>
            <w:r>
              <w:rPr>
                <w:rFonts w:hint="eastAsia" w:ascii="黑体" w:hAnsi="黑体" w:eastAsia="黑体"/>
                <w:szCs w:val="21"/>
              </w:rPr>
              <w:t>参加工作时间</w:t>
            </w:r>
          </w:p>
        </w:tc>
        <w:tc>
          <w:tcPr>
            <w:tcW w:w="1081" w:type="pct"/>
            <w:gridSpan w:val="4"/>
            <w:vAlign w:val="center"/>
          </w:tcPr>
          <w:p w14:paraId="7EBDD261">
            <w:pPr>
              <w:jc w:val="center"/>
              <w:rPr>
                <w:rFonts w:ascii="黑体" w:hAnsi="黑体" w:eastAsia="黑体"/>
                <w:szCs w:val="21"/>
              </w:rPr>
            </w:pPr>
          </w:p>
        </w:tc>
        <w:tc>
          <w:tcPr>
            <w:tcW w:w="1502" w:type="pct"/>
            <w:gridSpan w:val="5"/>
            <w:vAlign w:val="center"/>
          </w:tcPr>
          <w:p w14:paraId="533CC727">
            <w:pPr>
              <w:jc w:val="center"/>
              <w:rPr>
                <w:rFonts w:ascii="黑体" w:hAnsi="黑体" w:eastAsia="黑体"/>
                <w:szCs w:val="21"/>
              </w:rPr>
            </w:pPr>
            <w:r>
              <w:rPr>
                <w:rFonts w:hint="eastAsia" w:ascii="黑体" w:hAnsi="黑体" w:eastAsia="黑体"/>
                <w:szCs w:val="21"/>
              </w:rPr>
              <w:t>相关经验年限</w:t>
            </w:r>
          </w:p>
        </w:tc>
        <w:tc>
          <w:tcPr>
            <w:tcW w:w="796" w:type="pct"/>
            <w:vAlign w:val="center"/>
          </w:tcPr>
          <w:p w14:paraId="5DB0FD01">
            <w:pPr>
              <w:jc w:val="center"/>
              <w:rPr>
                <w:rFonts w:ascii="黑体" w:hAnsi="黑体" w:eastAsia="黑体"/>
                <w:szCs w:val="21"/>
              </w:rPr>
            </w:pPr>
          </w:p>
        </w:tc>
      </w:tr>
      <w:tr w14:paraId="24DEA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5F13AD71">
            <w:pPr>
              <w:jc w:val="center"/>
              <w:rPr>
                <w:rFonts w:ascii="黑体" w:hAnsi="黑体" w:eastAsia="黑体"/>
                <w:szCs w:val="21"/>
              </w:rPr>
            </w:pPr>
            <w:r>
              <w:rPr>
                <w:rFonts w:hint="eastAsia" w:ascii="黑体" w:hAnsi="黑体" w:eastAsia="黑体"/>
                <w:szCs w:val="21"/>
              </w:rPr>
              <w:t>资格证书名称、编号</w:t>
            </w:r>
          </w:p>
        </w:tc>
        <w:tc>
          <w:tcPr>
            <w:tcW w:w="3379" w:type="pct"/>
            <w:gridSpan w:val="10"/>
            <w:vAlign w:val="center"/>
          </w:tcPr>
          <w:p w14:paraId="10F1BCA4">
            <w:pPr>
              <w:jc w:val="center"/>
              <w:rPr>
                <w:rFonts w:ascii="黑体" w:hAnsi="黑体" w:eastAsia="黑体"/>
                <w:szCs w:val="21"/>
              </w:rPr>
            </w:pPr>
          </w:p>
        </w:tc>
      </w:tr>
      <w:tr w14:paraId="29B75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0D5FA7DC">
            <w:pPr>
              <w:jc w:val="center"/>
              <w:rPr>
                <w:rFonts w:ascii="黑体" w:hAnsi="黑体" w:eastAsia="黑体"/>
                <w:szCs w:val="21"/>
              </w:rPr>
            </w:pPr>
            <w:r>
              <w:rPr>
                <w:rFonts w:hint="eastAsia" w:ascii="黑体" w:hAnsi="黑体" w:eastAsia="黑体"/>
                <w:szCs w:val="21"/>
              </w:rPr>
              <w:t>目前在任及以往服务项目情况</w:t>
            </w:r>
          </w:p>
        </w:tc>
      </w:tr>
      <w:tr w14:paraId="14D63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7A888C91">
            <w:pPr>
              <w:jc w:val="center"/>
              <w:rPr>
                <w:rFonts w:ascii="黑体" w:hAnsi="黑体" w:eastAsia="黑体"/>
                <w:szCs w:val="21"/>
              </w:rPr>
            </w:pPr>
            <w:r>
              <w:rPr>
                <w:rFonts w:hint="eastAsia" w:ascii="黑体" w:hAnsi="黑体" w:eastAsia="黑体"/>
                <w:szCs w:val="21"/>
              </w:rPr>
              <w:t>采购人</w:t>
            </w:r>
          </w:p>
        </w:tc>
        <w:tc>
          <w:tcPr>
            <w:tcW w:w="962" w:type="pct"/>
            <w:gridSpan w:val="2"/>
            <w:vAlign w:val="center"/>
          </w:tcPr>
          <w:p w14:paraId="638592AE">
            <w:pPr>
              <w:jc w:val="center"/>
              <w:rPr>
                <w:rFonts w:ascii="黑体" w:hAnsi="黑体" w:eastAsia="黑体"/>
                <w:szCs w:val="21"/>
              </w:rPr>
            </w:pPr>
            <w:r>
              <w:rPr>
                <w:rFonts w:hint="eastAsia" w:ascii="黑体" w:hAnsi="黑体" w:eastAsia="黑体"/>
                <w:szCs w:val="21"/>
              </w:rPr>
              <w:t>项目名称</w:t>
            </w:r>
          </w:p>
        </w:tc>
        <w:tc>
          <w:tcPr>
            <w:tcW w:w="903" w:type="pct"/>
            <w:gridSpan w:val="4"/>
            <w:vAlign w:val="center"/>
          </w:tcPr>
          <w:p w14:paraId="16590EBB">
            <w:pPr>
              <w:jc w:val="center"/>
              <w:rPr>
                <w:rFonts w:ascii="黑体" w:hAnsi="黑体" w:eastAsia="黑体"/>
                <w:szCs w:val="21"/>
              </w:rPr>
            </w:pPr>
            <w:r>
              <w:rPr>
                <w:rFonts w:hint="eastAsia" w:ascii="黑体" w:hAnsi="黑体" w:eastAsia="黑体"/>
                <w:szCs w:val="21"/>
              </w:rPr>
              <w:t>项目规模</w:t>
            </w:r>
          </w:p>
        </w:tc>
        <w:tc>
          <w:tcPr>
            <w:tcW w:w="892" w:type="pct"/>
            <w:gridSpan w:val="2"/>
            <w:vAlign w:val="center"/>
          </w:tcPr>
          <w:p w14:paraId="7196D686">
            <w:pPr>
              <w:jc w:val="center"/>
              <w:rPr>
                <w:rFonts w:ascii="黑体" w:hAnsi="黑体" w:eastAsia="黑体"/>
                <w:szCs w:val="21"/>
              </w:rPr>
            </w:pPr>
            <w:r>
              <w:rPr>
                <w:rFonts w:hint="eastAsia" w:ascii="黑体" w:hAnsi="黑体" w:eastAsia="黑体"/>
                <w:szCs w:val="21"/>
              </w:rPr>
              <w:t>所任职务</w:t>
            </w:r>
          </w:p>
        </w:tc>
        <w:tc>
          <w:tcPr>
            <w:tcW w:w="1399" w:type="pct"/>
            <w:gridSpan w:val="3"/>
            <w:vAlign w:val="center"/>
          </w:tcPr>
          <w:p w14:paraId="42B0D488">
            <w:pPr>
              <w:jc w:val="center"/>
              <w:rPr>
                <w:rFonts w:ascii="黑体" w:hAnsi="黑体" w:eastAsia="黑体"/>
                <w:szCs w:val="21"/>
              </w:rPr>
            </w:pPr>
            <w:r>
              <w:rPr>
                <w:rFonts w:hint="eastAsia" w:ascii="黑体" w:hAnsi="黑体" w:eastAsia="黑体"/>
                <w:szCs w:val="21"/>
              </w:rPr>
              <w:t>起止时间</w:t>
            </w:r>
          </w:p>
        </w:tc>
      </w:tr>
      <w:tr w14:paraId="783F2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908F3C8">
            <w:pPr>
              <w:jc w:val="center"/>
              <w:rPr>
                <w:rFonts w:ascii="黑体" w:hAnsi="黑体" w:eastAsia="黑体"/>
                <w:szCs w:val="21"/>
              </w:rPr>
            </w:pPr>
          </w:p>
        </w:tc>
        <w:tc>
          <w:tcPr>
            <w:tcW w:w="962" w:type="pct"/>
            <w:gridSpan w:val="2"/>
            <w:vAlign w:val="center"/>
          </w:tcPr>
          <w:p w14:paraId="677D385D">
            <w:pPr>
              <w:jc w:val="center"/>
              <w:rPr>
                <w:rFonts w:ascii="黑体" w:hAnsi="黑体" w:eastAsia="黑体"/>
                <w:szCs w:val="21"/>
              </w:rPr>
            </w:pPr>
          </w:p>
        </w:tc>
        <w:tc>
          <w:tcPr>
            <w:tcW w:w="903" w:type="pct"/>
            <w:gridSpan w:val="4"/>
            <w:vAlign w:val="center"/>
          </w:tcPr>
          <w:p w14:paraId="49E8399A">
            <w:pPr>
              <w:jc w:val="center"/>
              <w:rPr>
                <w:rFonts w:ascii="黑体" w:hAnsi="黑体" w:eastAsia="黑体"/>
                <w:szCs w:val="21"/>
              </w:rPr>
            </w:pPr>
          </w:p>
        </w:tc>
        <w:tc>
          <w:tcPr>
            <w:tcW w:w="892" w:type="pct"/>
            <w:gridSpan w:val="2"/>
            <w:vAlign w:val="center"/>
          </w:tcPr>
          <w:p w14:paraId="6CF69F69">
            <w:pPr>
              <w:jc w:val="center"/>
              <w:rPr>
                <w:rFonts w:ascii="黑体" w:hAnsi="黑体" w:eastAsia="黑体"/>
                <w:szCs w:val="21"/>
              </w:rPr>
            </w:pPr>
          </w:p>
        </w:tc>
        <w:tc>
          <w:tcPr>
            <w:tcW w:w="1399" w:type="pct"/>
            <w:gridSpan w:val="3"/>
            <w:vAlign w:val="center"/>
          </w:tcPr>
          <w:p w14:paraId="4C4E7083">
            <w:pPr>
              <w:jc w:val="center"/>
              <w:rPr>
                <w:rFonts w:ascii="黑体" w:hAnsi="黑体" w:eastAsia="黑体"/>
                <w:szCs w:val="21"/>
              </w:rPr>
            </w:pPr>
          </w:p>
        </w:tc>
      </w:tr>
      <w:tr w14:paraId="30221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296F3846">
            <w:pPr>
              <w:jc w:val="center"/>
              <w:rPr>
                <w:rFonts w:ascii="黑体" w:hAnsi="黑体" w:eastAsia="黑体"/>
                <w:szCs w:val="21"/>
              </w:rPr>
            </w:pPr>
          </w:p>
        </w:tc>
        <w:tc>
          <w:tcPr>
            <w:tcW w:w="962" w:type="pct"/>
            <w:gridSpan w:val="2"/>
            <w:vAlign w:val="center"/>
          </w:tcPr>
          <w:p w14:paraId="2ACEA215">
            <w:pPr>
              <w:jc w:val="center"/>
              <w:rPr>
                <w:rFonts w:ascii="黑体" w:hAnsi="黑体" w:eastAsia="黑体"/>
                <w:szCs w:val="21"/>
              </w:rPr>
            </w:pPr>
          </w:p>
        </w:tc>
        <w:tc>
          <w:tcPr>
            <w:tcW w:w="903" w:type="pct"/>
            <w:gridSpan w:val="4"/>
            <w:vAlign w:val="center"/>
          </w:tcPr>
          <w:p w14:paraId="542CD280">
            <w:pPr>
              <w:jc w:val="center"/>
              <w:rPr>
                <w:rFonts w:ascii="黑体" w:hAnsi="黑体" w:eastAsia="黑体"/>
                <w:szCs w:val="21"/>
              </w:rPr>
            </w:pPr>
          </w:p>
        </w:tc>
        <w:tc>
          <w:tcPr>
            <w:tcW w:w="892" w:type="pct"/>
            <w:gridSpan w:val="2"/>
            <w:vAlign w:val="center"/>
          </w:tcPr>
          <w:p w14:paraId="56944E4B">
            <w:pPr>
              <w:jc w:val="center"/>
              <w:rPr>
                <w:rFonts w:ascii="黑体" w:hAnsi="黑体" w:eastAsia="黑体"/>
                <w:szCs w:val="21"/>
              </w:rPr>
            </w:pPr>
          </w:p>
        </w:tc>
        <w:tc>
          <w:tcPr>
            <w:tcW w:w="1399" w:type="pct"/>
            <w:gridSpan w:val="3"/>
            <w:vAlign w:val="center"/>
          </w:tcPr>
          <w:p w14:paraId="128C6C44">
            <w:pPr>
              <w:jc w:val="center"/>
              <w:rPr>
                <w:rFonts w:ascii="黑体" w:hAnsi="黑体" w:eastAsia="黑体"/>
                <w:szCs w:val="21"/>
              </w:rPr>
            </w:pPr>
          </w:p>
        </w:tc>
      </w:tr>
      <w:tr w14:paraId="0C727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2702E45A">
            <w:pPr>
              <w:jc w:val="center"/>
              <w:rPr>
                <w:rFonts w:ascii="黑体" w:hAnsi="黑体" w:eastAsia="黑体"/>
                <w:szCs w:val="21"/>
              </w:rPr>
            </w:pPr>
          </w:p>
        </w:tc>
        <w:tc>
          <w:tcPr>
            <w:tcW w:w="962" w:type="pct"/>
            <w:gridSpan w:val="2"/>
            <w:vAlign w:val="center"/>
          </w:tcPr>
          <w:p w14:paraId="34FF1ACD">
            <w:pPr>
              <w:jc w:val="center"/>
              <w:rPr>
                <w:rFonts w:ascii="黑体" w:hAnsi="黑体" w:eastAsia="黑体"/>
                <w:szCs w:val="21"/>
              </w:rPr>
            </w:pPr>
          </w:p>
        </w:tc>
        <w:tc>
          <w:tcPr>
            <w:tcW w:w="903" w:type="pct"/>
            <w:gridSpan w:val="4"/>
            <w:vAlign w:val="center"/>
          </w:tcPr>
          <w:p w14:paraId="39B3F69A">
            <w:pPr>
              <w:jc w:val="center"/>
              <w:rPr>
                <w:rFonts w:ascii="黑体" w:hAnsi="黑体" w:eastAsia="黑体"/>
                <w:szCs w:val="21"/>
              </w:rPr>
            </w:pPr>
          </w:p>
        </w:tc>
        <w:tc>
          <w:tcPr>
            <w:tcW w:w="892" w:type="pct"/>
            <w:gridSpan w:val="2"/>
            <w:vAlign w:val="center"/>
          </w:tcPr>
          <w:p w14:paraId="48083A67">
            <w:pPr>
              <w:jc w:val="center"/>
              <w:rPr>
                <w:rFonts w:ascii="黑体" w:hAnsi="黑体" w:eastAsia="黑体"/>
                <w:szCs w:val="21"/>
              </w:rPr>
            </w:pPr>
          </w:p>
        </w:tc>
        <w:tc>
          <w:tcPr>
            <w:tcW w:w="1399" w:type="pct"/>
            <w:gridSpan w:val="3"/>
            <w:vAlign w:val="center"/>
          </w:tcPr>
          <w:p w14:paraId="7EB54DB1">
            <w:pPr>
              <w:jc w:val="center"/>
              <w:rPr>
                <w:rFonts w:ascii="黑体" w:hAnsi="黑体" w:eastAsia="黑体"/>
                <w:szCs w:val="21"/>
              </w:rPr>
            </w:pPr>
          </w:p>
        </w:tc>
      </w:tr>
      <w:tr w14:paraId="0D918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1F0E0F90">
            <w:pPr>
              <w:jc w:val="center"/>
              <w:rPr>
                <w:rFonts w:ascii="黑体" w:hAnsi="黑体" w:eastAsia="黑体"/>
                <w:szCs w:val="21"/>
              </w:rPr>
            </w:pPr>
          </w:p>
        </w:tc>
        <w:tc>
          <w:tcPr>
            <w:tcW w:w="962" w:type="pct"/>
            <w:gridSpan w:val="2"/>
            <w:vAlign w:val="center"/>
          </w:tcPr>
          <w:p w14:paraId="7977BF0E">
            <w:pPr>
              <w:jc w:val="center"/>
              <w:rPr>
                <w:rFonts w:ascii="黑体" w:hAnsi="黑体" w:eastAsia="黑体"/>
                <w:szCs w:val="21"/>
              </w:rPr>
            </w:pPr>
          </w:p>
        </w:tc>
        <w:tc>
          <w:tcPr>
            <w:tcW w:w="903" w:type="pct"/>
            <w:gridSpan w:val="4"/>
            <w:vAlign w:val="center"/>
          </w:tcPr>
          <w:p w14:paraId="01E981B0">
            <w:pPr>
              <w:jc w:val="center"/>
              <w:rPr>
                <w:rFonts w:ascii="黑体" w:hAnsi="黑体" w:eastAsia="黑体"/>
                <w:szCs w:val="21"/>
              </w:rPr>
            </w:pPr>
          </w:p>
        </w:tc>
        <w:tc>
          <w:tcPr>
            <w:tcW w:w="892" w:type="pct"/>
            <w:gridSpan w:val="2"/>
            <w:vAlign w:val="center"/>
          </w:tcPr>
          <w:p w14:paraId="7620EB51">
            <w:pPr>
              <w:jc w:val="center"/>
              <w:rPr>
                <w:rFonts w:ascii="黑体" w:hAnsi="黑体" w:eastAsia="黑体"/>
                <w:szCs w:val="21"/>
              </w:rPr>
            </w:pPr>
          </w:p>
        </w:tc>
        <w:tc>
          <w:tcPr>
            <w:tcW w:w="1399" w:type="pct"/>
            <w:gridSpan w:val="3"/>
            <w:vAlign w:val="center"/>
          </w:tcPr>
          <w:p w14:paraId="67F06CF9">
            <w:pPr>
              <w:jc w:val="center"/>
              <w:rPr>
                <w:rFonts w:ascii="黑体" w:hAnsi="黑体" w:eastAsia="黑体"/>
                <w:szCs w:val="21"/>
              </w:rPr>
            </w:pPr>
          </w:p>
        </w:tc>
      </w:tr>
      <w:tr w14:paraId="674F4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2332C80D">
            <w:pPr>
              <w:jc w:val="center"/>
              <w:rPr>
                <w:rFonts w:ascii="黑体" w:hAnsi="黑体" w:eastAsia="黑体"/>
                <w:szCs w:val="21"/>
              </w:rPr>
            </w:pPr>
          </w:p>
        </w:tc>
        <w:tc>
          <w:tcPr>
            <w:tcW w:w="962" w:type="pct"/>
            <w:gridSpan w:val="2"/>
            <w:vAlign w:val="center"/>
          </w:tcPr>
          <w:p w14:paraId="6E316C78">
            <w:pPr>
              <w:jc w:val="center"/>
              <w:rPr>
                <w:rFonts w:ascii="黑体" w:hAnsi="黑体" w:eastAsia="黑体"/>
                <w:szCs w:val="21"/>
              </w:rPr>
            </w:pPr>
          </w:p>
        </w:tc>
        <w:tc>
          <w:tcPr>
            <w:tcW w:w="903" w:type="pct"/>
            <w:gridSpan w:val="4"/>
            <w:vAlign w:val="center"/>
          </w:tcPr>
          <w:p w14:paraId="791B17F3">
            <w:pPr>
              <w:jc w:val="center"/>
              <w:rPr>
                <w:rFonts w:ascii="黑体" w:hAnsi="黑体" w:eastAsia="黑体"/>
                <w:szCs w:val="21"/>
              </w:rPr>
            </w:pPr>
          </w:p>
        </w:tc>
        <w:tc>
          <w:tcPr>
            <w:tcW w:w="892" w:type="pct"/>
            <w:gridSpan w:val="2"/>
            <w:vAlign w:val="center"/>
          </w:tcPr>
          <w:p w14:paraId="1F72B5E6">
            <w:pPr>
              <w:jc w:val="center"/>
              <w:rPr>
                <w:rFonts w:ascii="黑体" w:hAnsi="黑体" w:eastAsia="黑体"/>
                <w:szCs w:val="21"/>
              </w:rPr>
            </w:pPr>
          </w:p>
        </w:tc>
        <w:tc>
          <w:tcPr>
            <w:tcW w:w="1399" w:type="pct"/>
            <w:gridSpan w:val="3"/>
            <w:vAlign w:val="center"/>
          </w:tcPr>
          <w:p w14:paraId="0EB8EC55">
            <w:pPr>
              <w:jc w:val="center"/>
              <w:rPr>
                <w:rFonts w:ascii="黑体" w:hAnsi="黑体" w:eastAsia="黑体"/>
                <w:szCs w:val="21"/>
              </w:rPr>
            </w:pPr>
          </w:p>
        </w:tc>
      </w:tr>
    </w:tbl>
    <w:p w14:paraId="66596EB7">
      <w:pPr>
        <w:pStyle w:val="2"/>
        <w:overflowPunct w:val="0"/>
        <w:spacing w:before="156" w:beforeLines="50" w:after="0" w:line="360" w:lineRule="auto"/>
        <w:rPr>
          <w:rFonts w:ascii="黑体" w:hAnsi="黑体" w:eastAsia="黑体"/>
          <w:szCs w:val="21"/>
        </w:rPr>
      </w:pPr>
      <w:r>
        <w:rPr>
          <w:rFonts w:hint="eastAsia" w:ascii="黑体" w:hAnsi="黑体" w:eastAsia="黑体"/>
          <w:szCs w:val="21"/>
        </w:rPr>
        <w:t>注明：需提供证明资料内容详见</w:t>
      </w:r>
      <w:r>
        <w:rPr>
          <w:rFonts w:hint="eastAsia" w:ascii="黑体" w:hAnsi="黑体" w:eastAsia="黑体"/>
          <w:szCs w:val="21"/>
          <w:u w:val="single"/>
        </w:rPr>
        <w:t>（招标文件第五部分</w:t>
      </w:r>
      <w:r>
        <w:rPr>
          <w:rFonts w:ascii="黑体" w:hAnsi="黑体" w:eastAsia="黑体"/>
          <w:szCs w:val="21"/>
          <w:u w:val="single"/>
        </w:rPr>
        <w:t xml:space="preserve"> </w:t>
      </w:r>
      <w:r>
        <w:rPr>
          <w:rFonts w:hint="eastAsia" w:ascii="黑体" w:hAnsi="黑体" w:eastAsia="黑体"/>
          <w:szCs w:val="21"/>
          <w:u w:val="single"/>
        </w:rPr>
        <w:t>评标方法、步骤、标准之</w:t>
      </w:r>
      <w:r>
        <w:rPr>
          <w:rFonts w:hint="eastAsia" w:ascii="黑体" w:hAnsi="黑体" w:eastAsia="黑体"/>
          <w:kern w:val="0"/>
          <w:szCs w:val="21"/>
          <w:u w:val="single"/>
        </w:rPr>
        <w:t>附表三</w:t>
      </w:r>
      <w:r>
        <w:rPr>
          <w:rFonts w:hint="eastAsia" w:ascii="黑体" w:hAnsi="黑体" w:eastAsia="黑体"/>
          <w:szCs w:val="21"/>
          <w:u w:val="single"/>
        </w:rPr>
        <w:t>详细评审表相对应条款）</w:t>
      </w:r>
      <w:r>
        <w:rPr>
          <w:rFonts w:ascii="黑体" w:hAnsi="黑体" w:eastAsia="黑体"/>
          <w:szCs w:val="21"/>
          <w:u w:val="single"/>
        </w:rPr>
        <w:t xml:space="preserve"> </w:t>
      </w:r>
      <w:r>
        <w:rPr>
          <w:rFonts w:hint="eastAsia" w:ascii="黑体" w:hAnsi="黑体" w:eastAsia="黑体"/>
          <w:szCs w:val="21"/>
        </w:rPr>
        <w:t>。</w:t>
      </w:r>
    </w:p>
    <w:p w14:paraId="0FF95892">
      <w:pPr>
        <w:spacing w:line="360" w:lineRule="auto"/>
        <w:rPr>
          <w:rFonts w:ascii="黑体" w:hAnsi="黑体" w:eastAsia="黑体"/>
          <w:szCs w:val="21"/>
        </w:rPr>
      </w:pPr>
    </w:p>
    <w:p w14:paraId="6BC796B4">
      <w:pPr>
        <w:spacing w:line="360" w:lineRule="auto"/>
        <w:rPr>
          <w:rFonts w:ascii="黑体" w:hAnsi="黑体" w:eastAsia="黑体"/>
          <w:szCs w:val="21"/>
        </w:rPr>
      </w:pPr>
    </w:p>
    <w:p w14:paraId="62ED6409">
      <w:pPr>
        <w:spacing w:line="360" w:lineRule="auto"/>
        <w:rPr>
          <w:rFonts w:ascii="黑体" w:hAnsi="黑体" w:eastAsia="黑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7C466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482395CB">
            <w:pPr>
              <w:overflowPunct w:val="0"/>
              <w:adjustRightInd w:val="0"/>
              <w:spacing w:line="360" w:lineRule="auto"/>
              <w:rPr>
                <w:rFonts w:ascii="黑体" w:hAnsi="黑体" w:eastAsia="黑体"/>
                <w:szCs w:val="21"/>
              </w:rPr>
            </w:pPr>
            <w:r>
              <w:rPr>
                <w:rFonts w:hint="eastAsia" w:ascii="黑体" w:hAnsi="黑体" w:eastAsia="黑体"/>
                <w:szCs w:val="21"/>
              </w:rPr>
              <w:t>投标人名称（加盖公章）：</w:t>
            </w:r>
            <w:r>
              <w:rPr>
                <w:rFonts w:ascii="黑体" w:hAnsi="黑体" w:eastAsia="黑体"/>
                <w:szCs w:val="21"/>
                <w:u w:val="single"/>
              </w:rPr>
              <w:t xml:space="preserve">                         </w:t>
            </w:r>
          </w:p>
        </w:tc>
        <w:tc>
          <w:tcPr>
            <w:tcW w:w="3175" w:type="dxa"/>
          </w:tcPr>
          <w:p w14:paraId="18367580">
            <w:pPr>
              <w:spacing w:line="360" w:lineRule="auto"/>
              <w:rPr>
                <w:rFonts w:ascii="黑体" w:hAnsi="黑体" w:eastAsia="黑体"/>
                <w:szCs w:val="21"/>
              </w:rPr>
            </w:pPr>
          </w:p>
        </w:tc>
      </w:tr>
      <w:tr w14:paraId="1CCBD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32EE26E4">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5" w:type="dxa"/>
          </w:tcPr>
          <w:p w14:paraId="7556C4E1">
            <w:pPr>
              <w:spacing w:line="360" w:lineRule="auto"/>
              <w:rPr>
                <w:rFonts w:ascii="黑体" w:hAnsi="黑体" w:eastAsia="黑体"/>
                <w:szCs w:val="21"/>
              </w:rPr>
            </w:pPr>
          </w:p>
        </w:tc>
      </w:tr>
    </w:tbl>
    <w:p w14:paraId="52811867">
      <w:pPr>
        <w:spacing w:line="360" w:lineRule="auto"/>
        <w:rPr>
          <w:rFonts w:ascii="黑体" w:hAnsi="黑体" w:eastAsia="黑体"/>
          <w:szCs w:val="21"/>
        </w:rPr>
      </w:pPr>
    </w:p>
    <w:p w14:paraId="3D920B5F">
      <w:pPr>
        <w:spacing w:line="360" w:lineRule="auto"/>
        <w:rPr>
          <w:rFonts w:ascii="黑体" w:hAnsi="黑体" w:eastAsia="黑体"/>
          <w:szCs w:val="21"/>
        </w:rPr>
      </w:pPr>
    </w:p>
    <w:p w14:paraId="26CB2131">
      <w:pPr>
        <w:spacing w:line="360" w:lineRule="auto"/>
        <w:rPr>
          <w:rFonts w:ascii="黑体" w:hAnsi="黑体" w:eastAsia="黑体"/>
          <w:szCs w:val="21"/>
        </w:rPr>
      </w:pPr>
    </w:p>
    <w:p w14:paraId="721B9A26">
      <w:pPr>
        <w:pStyle w:val="29"/>
        <w:pageBreakBefore/>
        <w:numPr>
          <w:ilvl w:val="0"/>
          <w:numId w:val="112"/>
        </w:numPr>
        <w:tabs>
          <w:tab w:val="left" w:pos="284"/>
          <w:tab w:val="left" w:pos="567"/>
          <w:tab w:val="left" w:pos="709"/>
        </w:tabs>
        <w:ind w:left="1679" w:hanging="1537" w:firstLineChars="0"/>
        <w:jc w:val="left"/>
        <w:rPr>
          <w:rFonts w:ascii="黑体" w:hAnsi="黑体" w:eastAsia="黑体"/>
          <w:b/>
          <w:bCs/>
        </w:rPr>
      </w:pPr>
      <w:r>
        <w:rPr>
          <w:rFonts w:hint="eastAsia" w:ascii="黑体" w:hAnsi="黑体" w:eastAsia="黑体"/>
          <w:b/>
          <w:bCs/>
        </w:rPr>
        <w:t>技术要求偏离表</w:t>
      </w:r>
    </w:p>
    <w:p w14:paraId="27F5A342">
      <w:pPr>
        <w:spacing w:before="312" w:beforeLines="100" w:after="468" w:afterLines="150" w:line="360" w:lineRule="auto"/>
        <w:jc w:val="center"/>
        <w:rPr>
          <w:rFonts w:ascii="黑体" w:hAnsi="黑体" w:eastAsia="黑体"/>
          <w:b/>
          <w:spacing w:val="20"/>
          <w:sz w:val="30"/>
          <w:szCs w:val="30"/>
        </w:rPr>
      </w:pPr>
      <w:r>
        <w:rPr>
          <w:rFonts w:hint="eastAsia" w:ascii="黑体" w:hAnsi="黑体" w:eastAsia="黑体"/>
          <w:b/>
          <w:spacing w:val="20"/>
          <w:sz w:val="30"/>
          <w:szCs w:val="30"/>
        </w:rPr>
        <w:t>技术要求偏离表</w:t>
      </w:r>
    </w:p>
    <w:tbl>
      <w:tblPr>
        <w:tblStyle w:val="19"/>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14:paraId="6C094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14:paraId="190C4781">
            <w:pPr>
              <w:jc w:val="center"/>
              <w:rPr>
                <w:rFonts w:ascii="黑体" w:hAnsi="黑体" w:eastAsia="黑体"/>
                <w:b/>
                <w:szCs w:val="21"/>
              </w:rPr>
            </w:pPr>
            <w:r>
              <w:rPr>
                <w:rFonts w:hint="eastAsia" w:ascii="黑体" w:hAnsi="黑体" w:eastAsia="黑体"/>
                <w:b/>
                <w:szCs w:val="21"/>
              </w:rPr>
              <w:t>序号</w:t>
            </w:r>
          </w:p>
        </w:tc>
        <w:tc>
          <w:tcPr>
            <w:tcW w:w="2352" w:type="dxa"/>
            <w:vAlign w:val="center"/>
          </w:tcPr>
          <w:p w14:paraId="071FE8D9">
            <w:pPr>
              <w:jc w:val="center"/>
              <w:rPr>
                <w:rFonts w:ascii="黑体" w:hAnsi="黑体" w:eastAsia="黑体"/>
                <w:b/>
                <w:szCs w:val="21"/>
              </w:rPr>
            </w:pPr>
            <w:r>
              <w:rPr>
                <w:rFonts w:hint="eastAsia" w:ascii="黑体" w:hAnsi="黑体" w:eastAsia="黑体"/>
                <w:b/>
                <w:szCs w:val="21"/>
              </w:rPr>
              <w:t>招标文件要求</w:t>
            </w:r>
          </w:p>
        </w:tc>
        <w:tc>
          <w:tcPr>
            <w:tcW w:w="2126" w:type="dxa"/>
            <w:vAlign w:val="center"/>
          </w:tcPr>
          <w:p w14:paraId="6E347D29">
            <w:pPr>
              <w:jc w:val="center"/>
              <w:rPr>
                <w:rFonts w:ascii="黑体" w:hAnsi="黑体" w:eastAsia="黑体"/>
                <w:b/>
                <w:szCs w:val="21"/>
              </w:rPr>
            </w:pPr>
            <w:r>
              <w:rPr>
                <w:rFonts w:hint="eastAsia" w:ascii="黑体" w:hAnsi="黑体" w:eastAsia="黑体"/>
                <w:b/>
                <w:bCs/>
                <w:szCs w:val="21"/>
              </w:rPr>
              <w:t>投标文件响应内容</w:t>
            </w:r>
          </w:p>
        </w:tc>
        <w:tc>
          <w:tcPr>
            <w:tcW w:w="1644" w:type="dxa"/>
            <w:vAlign w:val="center"/>
          </w:tcPr>
          <w:p w14:paraId="6EB26DCD">
            <w:pPr>
              <w:ind w:left="293" w:hanging="293" w:hangingChars="139"/>
              <w:jc w:val="center"/>
              <w:rPr>
                <w:rFonts w:ascii="黑体" w:hAnsi="黑体" w:eastAsia="黑体"/>
                <w:b/>
                <w:szCs w:val="21"/>
              </w:rPr>
            </w:pPr>
            <w:r>
              <w:rPr>
                <w:rFonts w:hint="eastAsia" w:ascii="黑体" w:hAnsi="黑体" w:eastAsia="黑体"/>
                <w:b/>
                <w:szCs w:val="21"/>
              </w:rPr>
              <w:t>偏离情况</w:t>
            </w:r>
          </w:p>
        </w:tc>
        <w:tc>
          <w:tcPr>
            <w:tcW w:w="1575" w:type="dxa"/>
            <w:vAlign w:val="center"/>
          </w:tcPr>
          <w:p w14:paraId="4E2B3E7E">
            <w:pPr>
              <w:jc w:val="center"/>
              <w:rPr>
                <w:rFonts w:ascii="黑体" w:hAnsi="黑体" w:eastAsia="黑体"/>
                <w:b/>
                <w:szCs w:val="21"/>
              </w:rPr>
            </w:pPr>
            <w:r>
              <w:rPr>
                <w:rFonts w:hint="eastAsia" w:ascii="黑体" w:hAnsi="黑体" w:eastAsia="黑体"/>
                <w:b/>
                <w:szCs w:val="21"/>
              </w:rPr>
              <w:t>说明</w:t>
            </w:r>
          </w:p>
        </w:tc>
      </w:tr>
      <w:tr w14:paraId="25DBC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14:paraId="3BD06291">
            <w:pPr>
              <w:spacing w:line="360" w:lineRule="auto"/>
              <w:jc w:val="center"/>
              <w:rPr>
                <w:rFonts w:ascii="黑体" w:hAnsi="黑体" w:eastAsia="黑体"/>
                <w:szCs w:val="21"/>
              </w:rPr>
            </w:pPr>
          </w:p>
        </w:tc>
        <w:tc>
          <w:tcPr>
            <w:tcW w:w="2352" w:type="dxa"/>
            <w:vAlign w:val="center"/>
          </w:tcPr>
          <w:p w14:paraId="4462321D">
            <w:pPr>
              <w:spacing w:line="360" w:lineRule="auto"/>
              <w:jc w:val="center"/>
              <w:rPr>
                <w:rFonts w:ascii="黑体" w:hAnsi="黑体" w:eastAsia="黑体"/>
                <w:szCs w:val="21"/>
              </w:rPr>
            </w:pPr>
          </w:p>
        </w:tc>
        <w:tc>
          <w:tcPr>
            <w:tcW w:w="2126" w:type="dxa"/>
            <w:vAlign w:val="center"/>
          </w:tcPr>
          <w:p w14:paraId="0629496C">
            <w:pPr>
              <w:spacing w:line="360" w:lineRule="auto"/>
              <w:jc w:val="center"/>
              <w:rPr>
                <w:rFonts w:ascii="黑体" w:hAnsi="黑体" w:eastAsia="黑体"/>
                <w:szCs w:val="21"/>
              </w:rPr>
            </w:pPr>
          </w:p>
        </w:tc>
        <w:tc>
          <w:tcPr>
            <w:tcW w:w="1644" w:type="dxa"/>
            <w:vAlign w:val="center"/>
          </w:tcPr>
          <w:p w14:paraId="78F26143">
            <w:pPr>
              <w:spacing w:line="360" w:lineRule="auto"/>
              <w:jc w:val="center"/>
              <w:rPr>
                <w:rFonts w:ascii="黑体" w:hAnsi="黑体" w:eastAsia="黑体"/>
                <w:szCs w:val="21"/>
              </w:rPr>
            </w:pPr>
          </w:p>
        </w:tc>
        <w:tc>
          <w:tcPr>
            <w:tcW w:w="1575" w:type="dxa"/>
            <w:vAlign w:val="center"/>
          </w:tcPr>
          <w:p w14:paraId="058A4DEA">
            <w:pPr>
              <w:spacing w:line="360" w:lineRule="auto"/>
              <w:jc w:val="center"/>
              <w:rPr>
                <w:rFonts w:ascii="黑体" w:hAnsi="黑体" w:eastAsia="黑体"/>
                <w:szCs w:val="21"/>
              </w:rPr>
            </w:pPr>
          </w:p>
        </w:tc>
      </w:tr>
      <w:tr w14:paraId="725CA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14:paraId="7B4E80B7">
            <w:pPr>
              <w:spacing w:line="360" w:lineRule="auto"/>
              <w:jc w:val="center"/>
              <w:rPr>
                <w:rFonts w:ascii="黑体" w:hAnsi="黑体" w:eastAsia="黑体"/>
                <w:szCs w:val="21"/>
              </w:rPr>
            </w:pPr>
          </w:p>
        </w:tc>
        <w:tc>
          <w:tcPr>
            <w:tcW w:w="2352" w:type="dxa"/>
            <w:vAlign w:val="center"/>
          </w:tcPr>
          <w:p w14:paraId="0DACDA8E">
            <w:pPr>
              <w:spacing w:line="360" w:lineRule="auto"/>
              <w:jc w:val="center"/>
              <w:rPr>
                <w:rFonts w:ascii="黑体" w:hAnsi="黑体" w:eastAsia="黑体"/>
                <w:szCs w:val="21"/>
              </w:rPr>
            </w:pPr>
          </w:p>
        </w:tc>
        <w:tc>
          <w:tcPr>
            <w:tcW w:w="2126" w:type="dxa"/>
            <w:vAlign w:val="center"/>
          </w:tcPr>
          <w:p w14:paraId="3B49269E">
            <w:pPr>
              <w:spacing w:line="360" w:lineRule="auto"/>
              <w:jc w:val="center"/>
              <w:rPr>
                <w:rFonts w:ascii="黑体" w:hAnsi="黑体" w:eastAsia="黑体"/>
                <w:szCs w:val="21"/>
              </w:rPr>
            </w:pPr>
          </w:p>
        </w:tc>
        <w:tc>
          <w:tcPr>
            <w:tcW w:w="1644" w:type="dxa"/>
            <w:vAlign w:val="center"/>
          </w:tcPr>
          <w:p w14:paraId="005B5B9C">
            <w:pPr>
              <w:spacing w:line="360" w:lineRule="auto"/>
              <w:jc w:val="center"/>
              <w:rPr>
                <w:rFonts w:ascii="黑体" w:hAnsi="黑体" w:eastAsia="黑体"/>
                <w:szCs w:val="21"/>
              </w:rPr>
            </w:pPr>
          </w:p>
        </w:tc>
        <w:tc>
          <w:tcPr>
            <w:tcW w:w="1575" w:type="dxa"/>
            <w:vAlign w:val="center"/>
          </w:tcPr>
          <w:p w14:paraId="4BD62BD7">
            <w:pPr>
              <w:spacing w:line="360" w:lineRule="auto"/>
              <w:jc w:val="center"/>
              <w:rPr>
                <w:rFonts w:ascii="黑体" w:hAnsi="黑体" w:eastAsia="黑体"/>
                <w:szCs w:val="21"/>
              </w:rPr>
            </w:pPr>
          </w:p>
        </w:tc>
      </w:tr>
      <w:tr w14:paraId="26CA0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14:paraId="682B3D69">
            <w:pPr>
              <w:spacing w:line="360" w:lineRule="auto"/>
              <w:jc w:val="center"/>
              <w:rPr>
                <w:rFonts w:ascii="黑体" w:hAnsi="黑体" w:eastAsia="黑体"/>
                <w:szCs w:val="21"/>
              </w:rPr>
            </w:pPr>
          </w:p>
        </w:tc>
        <w:tc>
          <w:tcPr>
            <w:tcW w:w="2352" w:type="dxa"/>
            <w:vAlign w:val="center"/>
          </w:tcPr>
          <w:p w14:paraId="5DDFDA1B">
            <w:pPr>
              <w:spacing w:line="360" w:lineRule="auto"/>
              <w:jc w:val="center"/>
              <w:rPr>
                <w:rFonts w:ascii="黑体" w:hAnsi="黑体" w:eastAsia="黑体"/>
                <w:szCs w:val="21"/>
              </w:rPr>
            </w:pPr>
          </w:p>
        </w:tc>
        <w:tc>
          <w:tcPr>
            <w:tcW w:w="2126" w:type="dxa"/>
            <w:vAlign w:val="center"/>
          </w:tcPr>
          <w:p w14:paraId="6FBF2C66">
            <w:pPr>
              <w:spacing w:line="360" w:lineRule="auto"/>
              <w:jc w:val="center"/>
              <w:rPr>
                <w:rFonts w:ascii="黑体" w:hAnsi="黑体" w:eastAsia="黑体"/>
                <w:szCs w:val="21"/>
              </w:rPr>
            </w:pPr>
          </w:p>
        </w:tc>
        <w:tc>
          <w:tcPr>
            <w:tcW w:w="1644" w:type="dxa"/>
            <w:vAlign w:val="center"/>
          </w:tcPr>
          <w:p w14:paraId="14174928">
            <w:pPr>
              <w:spacing w:line="360" w:lineRule="auto"/>
              <w:jc w:val="center"/>
              <w:rPr>
                <w:rFonts w:ascii="黑体" w:hAnsi="黑体" w:eastAsia="黑体"/>
                <w:szCs w:val="21"/>
              </w:rPr>
            </w:pPr>
          </w:p>
        </w:tc>
        <w:tc>
          <w:tcPr>
            <w:tcW w:w="1575" w:type="dxa"/>
            <w:vAlign w:val="center"/>
          </w:tcPr>
          <w:p w14:paraId="5C5E3FFF">
            <w:pPr>
              <w:spacing w:line="360" w:lineRule="auto"/>
              <w:jc w:val="center"/>
              <w:rPr>
                <w:rFonts w:ascii="黑体" w:hAnsi="黑体" w:eastAsia="黑体"/>
                <w:szCs w:val="21"/>
              </w:rPr>
            </w:pPr>
          </w:p>
        </w:tc>
      </w:tr>
      <w:tr w14:paraId="02FD5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14:paraId="2FE9DA53">
            <w:pPr>
              <w:spacing w:line="360" w:lineRule="auto"/>
              <w:jc w:val="center"/>
              <w:rPr>
                <w:rFonts w:ascii="黑体" w:hAnsi="黑体" w:eastAsia="黑体"/>
                <w:szCs w:val="21"/>
              </w:rPr>
            </w:pPr>
          </w:p>
        </w:tc>
        <w:tc>
          <w:tcPr>
            <w:tcW w:w="2352" w:type="dxa"/>
            <w:vAlign w:val="center"/>
          </w:tcPr>
          <w:p w14:paraId="396976F9">
            <w:pPr>
              <w:spacing w:line="360" w:lineRule="auto"/>
              <w:jc w:val="center"/>
              <w:rPr>
                <w:rFonts w:ascii="黑体" w:hAnsi="黑体" w:eastAsia="黑体"/>
                <w:szCs w:val="21"/>
              </w:rPr>
            </w:pPr>
          </w:p>
        </w:tc>
        <w:tc>
          <w:tcPr>
            <w:tcW w:w="2126" w:type="dxa"/>
            <w:vAlign w:val="center"/>
          </w:tcPr>
          <w:p w14:paraId="1E05F99D">
            <w:pPr>
              <w:spacing w:line="360" w:lineRule="auto"/>
              <w:jc w:val="center"/>
              <w:rPr>
                <w:rFonts w:ascii="黑体" w:hAnsi="黑体" w:eastAsia="黑体"/>
                <w:szCs w:val="21"/>
              </w:rPr>
            </w:pPr>
          </w:p>
        </w:tc>
        <w:tc>
          <w:tcPr>
            <w:tcW w:w="1644" w:type="dxa"/>
            <w:vAlign w:val="center"/>
          </w:tcPr>
          <w:p w14:paraId="6645B6A1">
            <w:pPr>
              <w:spacing w:line="360" w:lineRule="auto"/>
              <w:jc w:val="center"/>
              <w:rPr>
                <w:rFonts w:ascii="黑体" w:hAnsi="黑体" w:eastAsia="黑体"/>
                <w:szCs w:val="21"/>
              </w:rPr>
            </w:pPr>
          </w:p>
        </w:tc>
        <w:tc>
          <w:tcPr>
            <w:tcW w:w="1575" w:type="dxa"/>
            <w:vAlign w:val="center"/>
          </w:tcPr>
          <w:p w14:paraId="1B7C19FA">
            <w:pPr>
              <w:spacing w:line="360" w:lineRule="auto"/>
              <w:jc w:val="center"/>
              <w:rPr>
                <w:rFonts w:ascii="黑体" w:hAnsi="黑体" w:eastAsia="黑体"/>
                <w:szCs w:val="21"/>
              </w:rPr>
            </w:pPr>
          </w:p>
        </w:tc>
      </w:tr>
      <w:tr w14:paraId="6C7D2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14:paraId="4CF2C46C">
            <w:pPr>
              <w:spacing w:line="360" w:lineRule="auto"/>
              <w:jc w:val="center"/>
              <w:rPr>
                <w:rFonts w:ascii="黑体" w:hAnsi="黑体" w:eastAsia="黑体"/>
                <w:szCs w:val="21"/>
              </w:rPr>
            </w:pPr>
          </w:p>
        </w:tc>
        <w:tc>
          <w:tcPr>
            <w:tcW w:w="2352" w:type="dxa"/>
            <w:vAlign w:val="center"/>
          </w:tcPr>
          <w:p w14:paraId="186639B5">
            <w:pPr>
              <w:spacing w:line="360" w:lineRule="auto"/>
              <w:jc w:val="center"/>
              <w:rPr>
                <w:rFonts w:ascii="黑体" w:hAnsi="黑体" w:eastAsia="黑体"/>
                <w:szCs w:val="21"/>
              </w:rPr>
            </w:pPr>
          </w:p>
        </w:tc>
        <w:tc>
          <w:tcPr>
            <w:tcW w:w="2126" w:type="dxa"/>
            <w:vAlign w:val="center"/>
          </w:tcPr>
          <w:p w14:paraId="24C09066">
            <w:pPr>
              <w:spacing w:line="360" w:lineRule="auto"/>
              <w:jc w:val="center"/>
              <w:rPr>
                <w:rFonts w:ascii="黑体" w:hAnsi="黑体" w:eastAsia="黑体"/>
                <w:szCs w:val="21"/>
              </w:rPr>
            </w:pPr>
          </w:p>
        </w:tc>
        <w:tc>
          <w:tcPr>
            <w:tcW w:w="1644" w:type="dxa"/>
            <w:vAlign w:val="center"/>
          </w:tcPr>
          <w:p w14:paraId="0A706303">
            <w:pPr>
              <w:spacing w:line="360" w:lineRule="auto"/>
              <w:jc w:val="center"/>
              <w:rPr>
                <w:rFonts w:ascii="黑体" w:hAnsi="黑体" w:eastAsia="黑体"/>
                <w:szCs w:val="21"/>
              </w:rPr>
            </w:pPr>
          </w:p>
        </w:tc>
        <w:tc>
          <w:tcPr>
            <w:tcW w:w="1575" w:type="dxa"/>
            <w:vAlign w:val="center"/>
          </w:tcPr>
          <w:p w14:paraId="14932849">
            <w:pPr>
              <w:spacing w:line="360" w:lineRule="auto"/>
              <w:jc w:val="center"/>
              <w:rPr>
                <w:rFonts w:ascii="黑体" w:hAnsi="黑体" w:eastAsia="黑体"/>
                <w:szCs w:val="21"/>
              </w:rPr>
            </w:pPr>
          </w:p>
        </w:tc>
      </w:tr>
    </w:tbl>
    <w:p w14:paraId="17AEF717">
      <w:pPr>
        <w:spacing w:before="156" w:beforeLines="50" w:line="360" w:lineRule="auto"/>
        <w:rPr>
          <w:rFonts w:ascii="黑体" w:hAnsi="黑体" w:eastAsia="黑体"/>
          <w:szCs w:val="21"/>
        </w:rPr>
      </w:pPr>
      <w:r>
        <w:rPr>
          <w:rFonts w:hint="eastAsia" w:ascii="黑体" w:hAnsi="黑体" w:eastAsia="黑体"/>
          <w:szCs w:val="21"/>
        </w:rPr>
        <w:t>注明：</w:t>
      </w:r>
    </w:p>
    <w:p w14:paraId="2E49E46E">
      <w:pPr>
        <w:pStyle w:val="29"/>
        <w:numPr>
          <w:ilvl w:val="0"/>
          <w:numId w:val="121"/>
        </w:numPr>
        <w:spacing w:line="360" w:lineRule="auto"/>
        <w:ind w:firstLineChars="0"/>
        <w:rPr>
          <w:rFonts w:ascii="黑体" w:hAnsi="黑体" w:eastAsia="黑体"/>
          <w:szCs w:val="21"/>
        </w:rPr>
      </w:pPr>
      <w:r>
        <w:rPr>
          <w:rFonts w:hint="eastAsia" w:ascii="黑体" w:hAnsi="黑体" w:eastAsia="黑体"/>
          <w:szCs w:val="21"/>
        </w:rPr>
        <w:t>偏离情况项填写“正”、“负”或“无”，说明项中填写原因。</w:t>
      </w:r>
    </w:p>
    <w:p w14:paraId="63CD16D7">
      <w:pPr>
        <w:pStyle w:val="29"/>
        <w:numPr>
          <w:ilvl w:val="0"/>
          <w:numId w:val="121"/>
        </w:numPr>
        <w:spacing w:line="360" w:lineRule="auto"/>
        <w:ind w:firstLineChars="0"/>
        <w:rPr>
          <w:rFonts w:ascii="黑体" w:hAnsi="黑体" w:eastAsia="黑体"/>
          <w:szCs w:val="21"/>
        </w:rPr>
      </w:pPr>
      <w:r>
        <w:rPr>
          <w:rFonts w:hint="eastAsia" w:ascii="黑体" w:hAnsi="黑体" w:eastAsia="黑体"/>
          <w:szCs w:val="21"/>
        </w:rPr>
        <w:t>投标人应按照招标文件要求，根据“采购需求”内容作出全面响应。对响应有偏离的，则说明偏离的内容。</w:t>
      </w:r>
      <w:r>
        <w:rPr>
          <w:rFonts w:hint="eastAsia" w:ascii="黑体" w:hAnsi="黑体" w:eastAsia="黑体" w:cs="Times New Roman"/>
          <w:szCs w:val="21"/>
        </w:rPr>
        <w:t>“采购需求”内容中若有要求提供相关证明资料的，须按要求提供，否则视为负偏离</w:t>
      </w:r>
      <w:r>
        <w:rPr>
          <w:rFonts w:hint="eastAsia" w:ascii="黑体" w:hAnsi="黑体" w:eastAsia="黑体"/>
          <w:szCs w:val="21"/>
        </w:rPr>
        <w:t>。</w:t>
      </w:r>
    </w:p>
    <w:p w14:paraId="4DF22FDD">
      <w:pPr>
        <w:spacing w:line="360" w:lineRule="auto"/>
        <w:rPr>
          <w:rFonts w:ascii="黑体" w:hAnsi="黑体" w:eastAsia="黑体"/>
          <w:szCs w:val="21"/>
        </w:rPr>
      </w:pPr>
    </w:p>
    <w:p w14:paraId="5F23117E">
      <w:pPr>
        <w:spacing w:line="360" w:lineRule="auto"/>
        <w:rPr>
          <w:rFonts w:ascii="黑体" w:hAnsi="黑体" w:eastAsia="黑体"/>
          <w:szCs w:val="21"/>
        </w:rPr>
      </w:pPr>
    </w:p>
    <w:p w14:paraId="5F62F14D">
      <w:pPr>
        <w:spacing w:line="360" w:lineRule="auto"/>
        <w:rPr>
          <w:rFonts w:ascii="黑体" w:hAnsi="黑体" w:eastAsia="黑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0CD1C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71D011B4">
            <w:pPr>
              <w:overflowPunct w:val="0"/>
              <w:adjustRightInd w:val="0"/>
              <w:spacing w:line="360" w:lineRule="auto"/>
              <w:rPr>
                <w:rFonts w:ascii="黑体" w:hAnsi="黑体" w:eastAsia="黑体"/>
                <w:szCs w:val="21"/>
              </w:rPr>
            </w:pPr>
            <w:r>
              <w:rPr>
                <w:rFonts w:hint="eastAsia" w:ascii="黑体" w:hAnsi="黑体" w:eastAsia="黑体"/>
                <w:szCs w:val="21"/>
              </w:rPr>
              <w:t>投标人名称（加盖公章）：</w:t>
            </w:r>
            <w:r>
              <w:rPr>
                <w:rFonts w:ascii="黑体" w:hAnsi="黑体" w:eastAsia="黑体"/>
                <w:szCs w:val="21"/>
                <w:u w:val="single"/>
              </w:rPr>
              <w:t xml:space="preserve">                         </w:t>
            </w:r>
          </w:p>
        </w:tc>
        <w:tc>
          <w:tcPr>
            <w:tcW w:w="3175" w:type="dxa"/>
          </w:tcPr>
          <w:p w14:paraId="56441476">
            <w:pPr>
              <w:spacing w:line="360" w:lineRule="auto"/>
              <w:rPr>
                <w:rFonts w:ascii="黑体" w:hAnsi="黑体" w:eastAsia="黑体"/>
                <w:szCs w:val="21"/>
              </w:rPr>
            </w:pPr>
          </w:p>
        </w:tc>
      </w:tr>
      <w:tr w14:paraId="17BFB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66AFD88C">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5" w:type="dxa"/>
          </w:tcPr>
          <w:p w14:paraId="03135565">
            <w:pPr>
              <w:spacing w:line="360" w:lineRule="auto"/>
              <w:rPr>
                <w:rFonts w:ascii="黑体" w:hAnsi="黑体" w:eastAsia="黑体"/>
                <w:szCs w:val="21"/>
              </w:rPr>
            </w:pPr>
          </w:p>
        </w:tc>
      </w:tr>
    </w:tbl>
    <w:p w14:paraId="3010E7BD">
      <w:pPr>
        <w:spacing w:line="360" w:lineRule="auto"/>
        <w:rPr>
          <w:rFonts w:ascii="黑体" w:hAnsi="黑体" w:eastAsia="黑体"/>
          <w:szCs w:val="21"/>
        </w:rPr>
      </w:pPr>
    </w:p>
    <w:p w14:paraId="407233B4">
      <w:pPr>
        <w:pStyle w:val="29"/>
        <w:pageBreakBefore/>
        <w:numPr>
          <w:ilvl w:val="0"/>
          <w:numId w:val="112"/>
        </w:numPr>
        <w:tabs>
          <w:tab w:val="left" w:pos="284"/>
          <w:tab w:val="left" w:pos="567"/>
          <w:tab w:val="left" w:pos="709"/>
        </w:tabs>
        <w:ind w:left="1679" w:hanging="1537" w:firstLineChars="0"/>
        <w:jc w:val="left"/>
        <w:rPr>
          <w:rFonts w:ascii="黑体" w:hAnsi="黑体" w:eastAsia="黑体"/>
          <w:b/>
          <w:bCs/>
        </w:rPr>
      </w:pPr>
      <w:bookmarkStart w:id="101" w:name="_Toc82388833"/>
      <w:r>
        <w:rPr>
          <w:rFonts w:hint="eastAsia" w:ascii="黑体" w:hAnsi="黑体" w:eastAsia="黑体"/>
          <w:b/>
          <w:bCs/>
        </w:rPr>
        <w:t>★号条款要求响应一览表（可选）</w:t>
      </w:r>
      <w:bookmarkEnd w:id="101"/>
    </w:p>
    <w:p w14:paraId="78364A91">
      <w:pPr>
        <w:spacing w:before="312" w:beforeLines="100" w:after="312" w:afterLines="100"/>
        <w:jc w:val="center"/>
        <w:rPr>
          <w:rFonts w:ascii="黑体" w:hAnsi="黑体" w:eastAsia="黑体" w:cs="Times New Roman"/>
          <w:b/>
          <w:spacing w:val="20"/>
          <w:sz w:val="30"/>
          <w:szCs w:val="30"/>
        </w:rPr>
      </w:pPr>
      <w:bookmarkStart w:id="102" w:name="_Hlk82385743"/>
      <w:r>
        <w:rPr>
          <w:rFonts w:hint="eastAsia" w:ascii="黑体" w:hAnsi="黑体" w:eastAsia="黑体" w:cs="Times New Roman"/>
          <w:b/>
          <w:spacing w:val="20"/>
          <w:sz w:val="30"/>
          <w:szCs w:val="30"/>
        </w:rPr>
        <w:t>★号条款</w:t>
      </w:r>
      <w:bookmarkEnd w:id="102"/>
      <w:r>
        <w:rPr>
          <w:rFonts w:hint="eastAsia" w:ascii="黑体" w:hAnsi="黑体" w:eastAsia="黑体" w:cs="Times New Roman"/>
          <w:b/>
          <w:spacing w:val="20"/>
          <w:sz w:val="30"/>
          <w:szCs w:val="30"/>
        </w:rPr>
        <w:t>响应一览表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3190"/>
        <w:gridCol w:w="1843"/>
        <w:gridCol w:w="1843"/>
        <w:gridCol w:w="1190"/>
      </w:tblGrid>
      <w:tr w14:paraId="0D57D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0" w:type="auto"/>
            <w:shd w:val="clear" w:color="auto" w:fill="auto"/>
            <w:vAlign w:val="center"/>
          </w:tcPr>
          <w:p w14:paraId="55D79622">
            <w:pPr>
              <w:spacing w:line="360" w:lineRule="auto"/>
              <w:jc w:val="center"/>
              <w:rPr>
                <w:rFonts w:ascii="黑体" w:hAnsi="黑体" w:eastAsia="黑体"/>
              </w:rPr>
            </w:pPr>
            <w:r>
              <w:rPr>
                <w:rFonts w:hint="eastAsia" w:ascii="黑体" w:hAnsi="黑体" w:eastAsia="黑体"/>
              </w:rPr>
              <w:t>序号</w:t>
            </w:r>
          </w:p>
        </w:tc>
        <w:tc>
          <w:tcPr>
            <w:tcW w:w="3190" w:type="dxa"/>
            <w:shd w:val="clear" w:color="auto" w:fill="auto"/>
            <w:vAlign w:val="center"/>
          </w:tcPr>
          <w:p w14:paraId="4AA78120">
            <w:pPr>
              <w:spacing w:line="360" w:lineRule="auto"/>
              <w:jc w:val="center"/>
              <w:rPr>
                <w:rFonts w:ascii="黑体" w:hAnsi="黑体" w:eastAsia="黑体"/>
              </w:rPr>
            </w:pPr>
            <w:r>
              <w:rPr>
                <w:rFonts w:hint="eastAsia" w:ascii="黑体" w:hAnsi="黑体" w:eastAsia="黑体"/>
              </w:rPr>
              <w:t>采购需求★号条款要求</w:t>
            </w:r>
          </w:p>
        </w:tc>
        <w:tc>
          <w:tcPr>
            <w:tcW w:w="1843" w:type="dxa"/>
            <w:shd w:val="clear" w:color="auto" w:fill="auto"/>
            <w:vAlign w:val="center"/>
          </w:tcPr>
          <w:p w14:paraId="17117C3F">
            <w:pPr>
              <w:spacing w:line="360" w:lineRule="auto"/>
              <w:jc w:val="center"/>
              <w:rPr>
                <w:rFonts w:ascii="黑体" w:hAnsi="黑体" w:eastAsia="黑体"/>
              </w:rPr>
            </w:pPr>
            <w:r>
              <w:rPr>
                <w:rFonts w:hint="eastAsia" w:ascii="黑体" w:hAnsi="黑体" w:eastAsia="黑体"/>
              </w:rPr>
              <w:t>投标人响应内容</w:t>
            </w:r>
          </w:p>
        </w:tc>
        <w:tc>
          <w:tcPr>
            <w:tcW w:w="1843" w:type="dxa"/>
            <w:shd w:val="clear" w:color="auto" w:fill="auto"/>
            <w:vAlign w:val="center"/>
          </w:tcPr>
          <w:p w14:paraId="14D84BA4">
            <w:pPr>
              <w:spacing w:line="360" w:lineRule="auto"/>
              <w:jc w:val="center"/>
              <w:rPr>
                <w:rFonts w:ascii="黑体" w:hAnsi="黑体" w:eastAsia="黑体"/>
              </w:rPr>
            </w:pPr>
            <w:r>
              <w:rPr>
                <w:rFonts w:hint="eastAsia" w:ascii="黑体" w:hAnsi="黑体" w:eastAsia="黑体"/>
              </w:rPr>
              <w:t>偏离情况及说明</w:t>
            </w:r>
          </w:p>
          <w:p w14:paraId="48DA8262">
            <w:pPr>
              <w:spacing w:line="360" w:lineRule="auto"/>
              <w:jc w:val="center"/>
              <w:rPr>
                <w:rFonts w:ascii="黑体" w:hAnsi="黑体" w:eastAsia="黑体"/>
              </w:rPr>
            </w:pPr>
            <w:r>
              <w:rPr>
                <w:rFonts w:ascii="黑体" w:hAnsi="黑体" w:eastAsia="黑体"/>
              </w:rPr>
              <w:t>(正偏离/</w:t>
            </w:r>
            <w:r>
              <w:rPr>
                <w:rFonts w:hint="eastAsia" w:ascii="黑体" w:hAnsi="黑体" w:eastAsia="黑体"/>
              </w:rPr>
              <w:t>无偏离</w:t>
            </w:r>
            <w:r>
              <w:rPr>
                <w:rFonts w:ascii="黑体" w:hAnsi="黑体" w:eastAsia="黑体"/>
              </w:rPr>
              <w:t>/负偏离)</w:t>
            </w:r>
          </w:p>
        </w:tc>
        <w:tc>
          <w:tcPr>
            <w:tcW w:w="1190" w:type="dxa"/>
            <w:shd w:val="clear" w:color="auto" w:fill="auto"/>
            <w:vAlign w:val="center"/>
          </w:tcPr>
          <w:p w14:paraId="01C8BF19">
            <w:pPr>
              <w:spacing w:line="360" w:lineRule="auto"/>
              <w:jc w:val="center"/>
              <w:rPr>
                <w:rFonts w:ascii="黑体" w:hAnsi="黑体" w:eastAsia="黑体"/>
              </w:rPr>
            </w:pPr>
            <w:r>
              <w:rPr>
                <w:rFonts w:hint="eastAsia" w:ascii="黑体" w:hAnsi="黑体" w:eastAsia="黑体"/>
              </w:rPr>
              <w:t>查阅</w:t>
            </w:r>
            <w:r>
              <w:rPr>
                <w:rFonts w:ascii="黑体" w:hAnsi="黑体" w:eastAsia="黑体"/>
              </w:rPr>
              <w:t>/证明文件索引页码</w:t>
            </w:r>
          </w:p>
        </w:tc>
      </w:tr>
      <w:tr w14:paraId="67C8C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14:paraId="7F1B6FF0">
            <w:pPr>
              <w:spacing w:line="360" w:lineRule="auto"/>
              <w:jc w:val="center"/>
              <w:rPr>
                <w:rFonts w:ascii="黑体" w:hAnsi="黑体" w:eastAsia="黑体"/>
              </w:rPr>
            </w:pPr>
            <w:r>
              <w:rPr>
                <w:rFonts w:ascii="黑体" w:hAnsi="黑体" w:eastAsia="黑体"/>
              </w:rPr>
              <w:t>1</w:t>
            </w:r>
          </w:p>
        </w:tc>
        <w:tc>
          <w:tcPr>
            <w:tcW w:w="3190" w:type="dxa"/>
            <w:shd w:val="clear" w:color="auto" w:fill="auto"/>
          </w:tcPr>
          <w:p w14:paraId="5AA2400A">
            <w:pPr>
              <w:spacing w:line="360" w:lineRule="auto"/>
              <w:rPr>
                <w:rFonts w:ascii="黑体" w:hAnsi="黑体" w:eastAsia="黑体"/>
              </w:rPr>
            </w:pPr>
          </w:p>
        </w:tc>
        <w:tc>
          <w:tcPr>
            <w:tcW w:w="1843" w:type="dxa"/>
            <w:shd w:val="clear" w:color="auto" w:fill="auto"/>
          </w:tcPr>
          <w:p w14:paraId="1D7FA5EA">
            <w:pPr>
              <w:spacing w:line="360" w:lineRule="auto"/>
              <w:rPr>
                <w:rFonts w:ascii="黑体" w:hAnsi="黑体" w:eastAsia="黑体"/>
              </w:rPr>
            </w:pPr>
          </w:p>
        </w:tc>
        <w:tc>
          <w:tcPr>
            <w:tcW w:w="1843" w:type="dxa"/>
            <w:shd w:val="clear" w:color="auto" w:fill="auto"/>
          </w:tcPr>
          <w:p w14:paraId="450CB329">
            <w:pPr>
              <w:spacing w:line="360" w:lineRule="auto"/>
              <w:rPr>
                <w:rFonts w:ascii="黑体" w:hAnsi="黑体" w:eastAsia="黑体"/>
              </w:rPr>
            </w:pPr>
          </w:p>
        </w:tc>
        <w:tc>
          <w:tcPr>
            <w:tcW w:w="1190" w:type="dxa"/>
            <w:shd w:val="clear" w:color="auto" w:fill="auto"/>
          </w:tcPr>
          <w:p w14:paraId="13420BBB">
            <w:pPr>
              <w:spacing w:line="360" w:lineRule="auto"/>
              <w:rPr>
                <w:rFonts w:ascii="黑体" w:hAnsi="黑体" w:eastAsia="黑体"/>
              </w:rPr>
            </w:pPr>
          </w:p>
        </w:tc>
      </w:tr>
      <w:tr w14:paraId="3D05B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14:paraId="1C2BF0BD">
            <w:pPr>
              <w:spacing w:line="360" w:lineRule="auto"/>
              <w:jc w:val="center"/>
              <w:rPr>
                <w:rFonts w:ascii="黑体" w:hAnsi="黑体" w:eastAsia="黑体"/>
              </w:rPr>
            </w:pPr>
            <w:r>
              <w:rPr>
                <w:rFonts w:ascii="黑体" w:hAnsi="黑体" w:eastAsia="黑体"/>
              </w:rPr>
              <w:t>2</w:t>
            </w:r>
          </w:p>
        </w:tc>
        <w:tc>
          <w:tcPr>
            <w:tcW w:w="3190" w:type="dxa"/>
            <w:shd w:val="clear" w:color="auto" w:fill="auto"/>
          </w:tcPr>
          <w:p w14:paraId="5CBF487E">
            <w:pPr>
              <w:spacing w:line="360" w:lineRule="auto"/>
              <w:rPr>
                <w:rFonts w:ascii="黑体" w:hAnsi="黑体" w:eastAsia="黑体"/>
              </w:rPr>
            </w:pPr>
          </w:p>
        </w:tc>
        <w:tc>
          <w:tcPr>
            <w:tcW w:w="1843" w:type="dxa"/>
            <w:shd w:val="clear" w:color="auto" w:fill="auto"/>
          </w:tcPr>
          <w:p w14:paraId="314CEEB4">
            <w:pPr>
              <w:spacing w:line="360" w:lineRule="auto"/>
              <w:rPr>
                <w:rFonts w:ascii="黑体" w:hAnsi="黑体" w:eastAsia="黑体"/>
              </w:rPr>
            </w:pPr>
          </w:p>
        </w:tc>
        <w:tc>
          <w:tcPr>
            <w:tcW w:w="1843" w:type="dxa"/>
            <w:shd w:val="clear" w:color="auto" w:fill="auto"/>
          </w:tcPr>
          <w:p w14:paraId="6F6E3C90">
            <w:pPr>
              <w:spacing w:line="360" w:lineRule="auto"/>
              <w:rPr>
                <w:rFonts w:ascii="黑体" w:hAnsi="黑体" w:eastAsia="黑体"/>
              </w:rPr>
            </w:pPr>
          </w:p>
        </w:tc>
        <w:tc>
          <w:tcPr>
            <w:tcW w:w="1190" w:type="dxa"/>
            <w:shd w:val="clear" w:color="auto" w:fill="auto"/>
          </w:tcPr>
          <w:p w14:paraId="731663F5">
            <w:pPr>
              <w:spacing w:line="360" w:lineRule="auto"/>
              <w:rPr>
                <w:rFonts w:ascii="黑体" w:hAnsi="黑体" w:eastAsia="黑体"/>
              </w:rPr>
            </w:pPr>
          </w:p>
        </w:tc>
      </w:tr>
      <w:tr w14:paraId="58E0A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14:paraId="1ECDAF6F">
            <w:pPr>
              <w:spacing w:line="360" w:lineRule="auto"/>
              <w:jc w:val="center"/>
              <w:rPr>
                <w:rFonts w:ascii="黑体" w:hAnsi="黑体" w:eastAsia="黑体"/>
              </w:rPr>
            </w:pPr>
            <w:r>
              <w:rPr>
                <w:rFonts w:ascii="黑体" w:hAnsi="黑体" w:eastAsia="黑体"/>
              </w:rPr>
              <w:t>3</w:t>
            </w:r>
          </w:p>
        </w:tc>
        <w:tc>
          <w:tcPr>
            <w:tcW w:w="3190" w:type="dxa"/>
            <w:shd w:val="clear" w:color="auto" w:fill="auto"/>
          </w:tcPr>
          <w:p w14:paraId="53CFF144">
            <w:pPr>
              <w:spacing w:line="360" w:lineRule="auto"/>
              <w:rPr>
                <w:rFonts w:ascii="黑体" w:hAnsi="黑体" w:eastAsia="黑体"/>
              </w:rPr>
            </w:pPr>
          </w:p>
        </w:tc>
        <w:tc>
          <w:tcPr>
            <w:tcW w:w="1843" w:type="dxa"/>
            <w:shd w:val="clear" w:color="auto" w:fill="auto"/>
          </w:tcPr>
          <w:p w14:paraId="6B67A387">
            <w:pPr>
              <w:spacing w:line="360" w:lineRule="auto"/>
              <w:rPr>
                <w:rFonts w:ascii="黑体" w:hAnsi="黑体" w:eastAsia="黑体"/>
              </w:rPr>
            </w:pPr>
          </w:p>
        </w:tc>
        <w:tc>
          <w:tcPr>
            <w:tcW w:w="1843" w:type="dxa"/>
            <w:shd w:val="clear" w:color="auto" w:fill="auto"/>
          </w:tcPr>
          <w:p w14:paraId="01F96C7B">
            <w:pPr>
              <w:spacing w:line="360" w:lineRule="auto"/>
              <w:rPr>
                <w:rFonts w:ascii="黑体" w:hAnsi="黑体" w:eastAsia="黑体"/>
              </w:rPr>
            </w:pPr>
          </w:p>
        </w:tc>
        <w:tc>
          <w:tcPr>
            <w:tcW w:w="1190" w:type="dxa"/>
            <w:shd w:val="clear" w:color="auto" w:fill="auto"/>
          </w:tcPr>
          <w:p w14:paraId="58C356AA">
            <w:pPr>
              <w:spacing w:line="360" w:lineRule="auto"/>
              <w:rPr>
                <w:rFonts w:ascii="黑体" w:hAnsi="黑体" w:eastAsia="黑体"/>
              </w:rPr>
            </w:pPr>
          </w:p>
        </w:tc>
      </w:tr>
      <w:tr w14:paraId="6E951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14:paraId="3DD37A01">
            <w:pPr>
              <w:spacing w:line="360" w:lineRule="auto"/>
              <w:jc w:val="center"/>
              <w:rPr>
                <w:rFonts w:ascii="黑体" w:hAnsi="黑体" w:eastAsia="黑体"/>
              </w:rPr>
            </w:pPr>
            <w:r>
              <w:rPr>
                <w:rFonts w:ascii="黑体" w:hAnsi="黑体" w:eastAsia="黑体"/>
              </w:rPr>
              <w:t>4</w:t>
            </w:r>
          </w:p>
        </w:tc>
        <w:tc>
          <w:tcPr>
            <w:tcW w:w="3190" w:type="dxa"/>
            <w:shd w:val="clear" w:color="auto" w:fill="auto"/>
          </w:tcPr>
          <w:p w14:paraId="74FC3E6B">
            <w:pPr>
              <w:spacing w:line="360" w:lineRule="auto"/>
              <w:rPr>
                <w:rFonts w:ascii="黑体" w:hAnsi="黑体" w:eastAsia="黑体"/>
              </w:rPr>
            </w:pPr>
          </w:p>
        </w:tc>
        <w:tc>
          <w:tcPr>
            <w:tcW w:w="1843" w:type="dxa"/>
            <w:shd w:val="clear" w:color="auto" w:fill="auto"/>
          </w:tcPr>
          <w:p w14:paraId="0BF388B5">
            <w:pPr>
              <w:spacing w:line="360" w:lineRule="auto"/>
              <w:rPr>
                <w:rFonts w:ascii="黑体" w:hAnsi="黑体" w:eastAsia="黑体"/>
              </w:rPr>
            </w:pPr>
          </w:p>
        </w:tc>
        <w:tc>
          <w:tcPr>
            <w:tcW w:w="1843" w:type="dxa"/>
            <w:shd w:val="clear" w:color="auto" w:fill="auto"/>
          </w:tcPr>
          <w:p w14:paraId="18D048B8">
            <w:pPr>
              <w:spacing w:line="360" w:lineRule="auto"/>
              <w:rPr>
                <w:rFonts w:ascii="黑体" w:hAnsi="黑体" w:eastAsia="黑体"/>
              </w:rPr>
            </w:pPr>
          </w:p>
        </w:tc>
        <w:tc>
          <w:tcPr>
            <w:tcW w:w="1190" w:type="dxa"/>
            <w:shd w:val="clear" w:color="auto" w:fill="auto"/>
          </w:tcPr>
          <w:p w14:paraId="098280D5">
            <w:pPr>
              <w:spacing w:line="360" w:lineRule="auto"/>
              <w:rPr>
                <w:rFonts w:ascii="黑体" w:hAnsi="黑体" w:eastAsia="黑体"/>
              </w:rPr>
            </w:pPr>
          </w:p>
        </w:tc>
      </w:tr>
      <w:tr w14:paraId="18CE6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14:paraId="67CDE040">
            <w:pPr>
              <w:spacing w:line="360" w:lineRule="auto"/>
              <w:jc w:val="center"/>
              <w:rPr>
                <w:rFonts w:ascii="黑体" w:hAnsi="黑体" w:eastAsia="黑体"/>
              </w:rPr>
            </w:pPr>
            <w:r>
              <w:rPr>
                <w:rFonts w:ascii="黑体" w:hAnsi="黑体" w:eastAsia="黑体"/>
              </w:rPr>
              <w:t>…</w:t>
            </w:r>
          </w:p>
        </w:tc>
        <w:tc>
          <w:tcPr>
            <w:tcW w:w="3190" w:type="dxa"/>
            <w:shd w:val="clear" w:color="auto" w:fill="auto"/>
          </w:tcPr>
          <w:p w14:paraId="6020D549">
            <w:pPr>
              <w:spacing w:line="360" w:lineRule="auto"/>
              <w:rPr>
                <w:rFonts w:ascii="黑体" w:hAnsi="黑体" w:eastAsia="黑体"/>
              </w:rPr>
            </w:pPr>
          </w:p>
        </w:tc>
        <w:tc>
          <w:tcPr>
            <w:tcW w:w="1843" w:type="dxa"/>
            <w:shd w:val="clear" w:color="auto" w:fill="auto"/>
          </w:tcPr>
          <w:p w14:paraId="66A329C8">
            <w:pPr>
              <w:spacing w:line="360" w:lineRule="auto"/>
              <w:rPr>
                <w:rFonts w:ascii="黑体" w:hAnsi="黑体" w:eastAsia="黑体"/>
              </w:rPr>
            </w:pPr>
          </w:p>
        </w:tc>
        <w:tc>
          <w:tcPr>
            <w:tcW w:w="1843" w:type="dxa"/>
            <w:shd w:val="clear" w:color="auto" w:fill="auto"/>
          </w:tcPr>
          <w:p w14:paraId="1C86DCD0">
            <w:pPr>
              <w:spacing w:line="360" w:lineRule="auto"/>
              <w:rPr>
                <w:rFonts w:ascii="黑体" w:hAnsi="黑体" w:eastAsia="黑体"/>
              </w:rPr>
            </w:pPr>
          </w:p>
        </w:tc>
        <w:tc>
          <w:tcPr>
            <w:tcW w:w="1190" w:type="dxa"/>
            <w:shd w:val="clear" w:color="auto" w:fill="auto"/>
          </w:tcPr>
          <w:p w14:paraId="7CD1D467">
            <w:pPr>
              <w:spacing w:line="360" w:lineRule="auto"/>
              <w:rPr>
                <w:rFonts w:ascii="黑体" w:hAnsi="黑体" w:eastAsia="黑体"/>
              </w:rPr>
            </w:pPr>
          </w:p>
        </w:tc>
      </w:tr>
    </w:tbl>
    <w:p w14:paraId="404B0E22">
      <w:pPr>
        <w:spacing w:before="156" w:beforeLines="50" w:line="360" w:lineRule="auto"/>
        <w:rPr>
          <w:rFonts w:ascii="黑体" w:hAnsi="黑体" w:eastAsia="黑体"/>
        </w:rPr>
      </w:pPr>
      <w:r>
        <w:rPr>
          <w:rFonts w:hint="eastAsia" w:ascii="黑体" w:hAnsi="黑体" w:eastAsia="黑体"/>
        </w:rPr>
        <w:t>注明：</w:t>
      </w:r>
    </w:p>
    <w:p w14:paraId="1A6A0C04">
      <w:pPr>
        <w:pStyle w:val="29"/>
        <w:numPr>
          <w:ilvl w:val="0"/>
          <w:numId w:val="122"/>
        </w:numPr>
        <w:spacing w:line="360" w:lineRule="auto"/>
        <w:ind w:firstLineChars="0"/>
        <w:rPr>
          <w:rFonts w:ascii="黑体" w:hAnsi="黑体" w:eastAsia="黑体"/>
        </w:rPr>
      </w:pPr>
      <w:r>
        <w:rPr>
          <w:rFonts w:hint="eastAsia" w:ascii="黑体" w:hAnsi="黑体" w:eastAsia="黑体"/>
        </w:rPr>
        <w:t>投标人必须对应招标文件“采购需求”要求的</w:t>
      </w:r>
      <w:bookmarkStart w:id="103" w:name="_Hlk82385673"/>
      <w:r>
        <w:rPr>
          <w:rFonts w:ascii="黑体" w:hAnsi="黑体" w:eastAsia="黑体"/>
        </w:rPr>
        <w:t>★号条款</w:t>
      </w:r>
      <w:bookmarkEnd w:id="103"/>
      <w:r>
        <w:rPr>
          <w:rFonts w:ascii="黑体" w:hAnsi="黑体" w:eastAsia="黑体"/>
        </w:rPr>
        <w:t>逐条应答并按要求填写表格</w:t>
      </w:r>
      <w:r>
        <w:rPr>
          <w:rFonts w:hint="eastAsia" w:ascii="黑体" w:hAnsi="黑体" w:eastAsia="黑体"/>
        </w:rPr>
        <w:t>；</w:t>
      </w:r>
    </w:p>
    <w:p w14:paraId="715BAAE0">
      <w:pPr>
        <w:pStyle w:val="29"/>
        <w:numPr>
          <w:ilvl w:val="0"/>
          <w:numId w:val="122"/>
        </w:numPr>
        <w:spacing w:line="360" w:lineRule="auto"/>
        <w:ind w:firstLineChars="0"/>
        <w:rPr>
          <w:rFonts w:ascii="黑体" w:hAnsi="黑体" w:eastAsia="黑体"/>
        </w:rPr>
      </w:pPr>
      <w:r>
        <w:rPr>
          <w:rFonts w:hint="eastAsia" w:ascii="黑体" w:hAnsi="黑体" w:eastAsia="黑体"/>
        </w:rPr>
        <w:t>若招标文件“采购需求”中的★号条款中规定须提交相关证明文件的，须按要求提供，并作为附件附于表格后。未按要求提供或未提供完整的，视为负偏离处理。</w:t>
      </w:r>
    </w:p>
    <w:p w14:paraId="64B740C5">
      <w:pPr>
        <w:spacing w:line="360" w:lineRule="auto"/>
        <w:rPr>
          <w:rFonts w:ascii="黑体" w:hAnsi="黑体" w:eastAsia="黑体"/>
          <w:szCs w:val="21"/>
        </w:rPr>
      </w:pPr>
    </w:p>
    <w:p w14:paraId="653CA6E5">
      <w:pPr>
        <w:spacing w:line="360" w:lineRule="auto"/>
        <w:rPr>
          <w:rFonts w:ascii="黑体" w:hAnsi="黑体" w:eastAsia="黑体"/>
          <w:szCs w:val="21"/>
        </w:rPr>
      </w:pPr>
    </w:p>
    <w:p w14:paraId="62DB9D85">
      <w:pPr>
        <w:spacing w:line="360" w:lineRule="auto"/>
        <w:rPr>
          <w:rFonts w:ascii="黑体" w:hAnsi="黑体" w:eastAsia="黑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22C96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E36DA99">
            <w:pPr>
              <w:overflowPunct w:val="0"/>
              <w:adjustRightInd w:val="0"/>
              <w:spacing w:line="360" w:lineRule="auto"/>
              <w:rPr>
                <w:rFonts w:ascii="黑体" w:hAnsi="黑体" w:eastAsia="黑体"/>
                <w:szCs w:val="21"/>
              </w:rPr>
            </w:pPr>
            <w:r>
              <w:rPr>
                <w:rFonts w:hint="eastAsia" w:ascii="黑体" w:hAnsi="黑体" w:eastAsia="黑体"/>
                <w:szCs w:val="21"/>
              </w:rPr>
              <w:t>投标人名称（加盖公章）：</w:t>
            </w:r>
            <w:r>
              <w:rPr>
                <w:rFonts w:ascii="黑体" w:hAnsi="黑体" w:eastAsia="黑体"/>
                <w:szCs w:val="21"/>
                <w:u w:val="single"/>
              </w:rPr>
              <w:t xml:space="preserve">                         </w:t>
            </w:r>
          </w:p>
        </w:tc>
        <w:tc>
          <w:tcPr>
            <w:tcW w:w="3175" w:type="dxa"/>
          </w:tcPr>
          <w:p w14:paraId="396CECE9">
            <w:pPr>
              <w:spacing w:line="360" w:lineRule="auto"/>
              <w:rPr>
                <w:rFonts w:ascii="黑体" w:hAnsi="黑体" w:eastAsia="黑体"/>
                <w:szCs w:val="21"/>
              </w:rPr>
            </w:pPr>
          </w:p>
        </w:tc>
      </w:tr>
      <w:tr w14:paraId="0B39E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242E0AEF">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5" w:type="dxa"/>
          </w:tcPr>
          <w:p w14:paraId="156628DA">
            <w:pPr>
              <w:spacing w:line="360" w:lineRule="auto"/>
              <w:rPr>
                <w:rFonts w:ascii="黑体" w:hAnsi="黑体" w:eastAsia="黑体"/>
                <w:szCs w:val="21"/>
              </w:rPr>
            </w:pPr>
          </w:p>
        </w:tc>
      </w:tr>
    </w:tbl>
    <w:p w14:paraId="471C889D">
      <w:pPr>
        <w:spacing w:line="360" w:lineRule="auto"/>
        <w:rPr>
          <w:rFonts w:ascii="黑体" w:hAnsi="黑体" w:eastAsia="黑体"/>
          <w:szCs w:val="21"/>
        </w:rPr>
      </w:pPr>
    </w:p>
    <w:p w14:paraId="2CB1CA00">
      <w:pPr>
        <w:pStyle w:val="29"/>
        <w:pageBreakBefore/>
        <w:numPr>
          <w:ilvl w:val="0"/>
          <w:numId w:val="112"/>
        </w:numPr>
        <w:tabs>
          <w:tab w:val="left" w:pos="284"/>
          <w:tab w:val="left" w:pos="567"/>
          <w:tab w:val="left" w:pos="709"/>
        </w:tabs>
        <w:ind w:left="1679" w:hanging="1537" w:firstLineChars="0"/>
        <w:jc w:val="left"/>
        <w:rPr>
          <w:rFonts w:ascii="黑体" w:hAnsi="黑体" w:eastAsia="黑体"/>
          <w:b/>
          <w:bCs/>
        </w:rPr>
      </w:pPr>
      <w:bookmarkStart w:id="104" w:name="_Toc82388834"/>
      <w:r>
        <w:rPr>
          <w:rFonts w:hint="eastAsia" w:ascii="黑体" w:hAnsi="黑体" w:eastAsia="黑体"/>
          <w:b/>
          <w:bCs/>
        </w:rPr>
        <w:t>▲号条款要求扣分明细响应表（可选）</w:t>
      </w:r>
      <w:bookmarkEnd w:id="104"/>
    </w:p>
    <w:p w14:paraId="3B9F291C">
      <w:pPr>
        <w:spacing w:before="312" w:beforeLines="100" w:after="312" w:afterLines="100"/>
        <w:jc w:val="center"/>
        <w:rPr>
          <w:rFonts w:ascii="黑体" w:hAnsi="黑体" w:eastAsia="黑体" w:cs="Times New Roman"/>
          <w:b/>
          <w:spacing w:val="20"/>
          <w:sz w:val="30"/>
          <w:szCs w:val="30"/>
        </w:rPr>
      </w:pPr>
      <w:bookmarkStart w:id="105" w:name="_Hlk82385592"/>
      <w:r>
        <w:rPr>
          <w:rFonts w:ascii="黑体" w:hAnsi="黑体" w:eastAsia="黑体" w:cs="Times New Roman"/>
          <w:b/>
          <w:spacing w:val="20"/>
          <w:sz w:val="30"/>
          <w:szCs w:val="30"/>
        </w:rPr>
        <w:t>▲号条款</w:t>
      </w:r>
      <w:bookmarkEnd w:id="105"/>
      <w:r>
        <w:rPr>
          <w:rFonts w:hint="eastAsia" w:ascii="黑体" w:hAnsi="黑体" w:eastAsia="黑体" w:cs="Times New Roman"/>
          <w:b/>
          <w:spacing w:val="20"/>
          <w:sz w:val="30"/>
          <w:szCs w:val="30"/>
        </w:rPr>
        <w:t>要求扣分明细响应表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
        <w:gridCol w:w="2410"/>
        <w:gridCol w:w="2745"/>
        <w:gridCol w:w="1932"/>
        <w:gridCol w:w="1115"/>
      </w:tblGrid>
      <w:tr w14:paraId="6EA89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6" w:hRule="atLeast"/>
          <w:jc w:val="center"/>
        </w:trPr>
        <w:tc>
          <w:tcPr>
            <w:tcW w:w="459" w:type="dxa"/>
            <w:vAlign w:val="center"/>
          </w:tcPr>
          <w:p w14:paraId="63F8D91B">
            <w:pPr>
              <w:jc w:val="center"/>
              <w:rPr>
                <w:rFonts w:ascii="黑体" w:hAnsi="黑体" w:eastAsia="黑体"/>
                <w:szCs w:val="21"/>
              </w:rPr>
            </w:pPr>
            <w:r>
              <w:rPr>
                <w:rFonts w:hint="eastAsia" w:ascii="黑体" w:hAnsi="黑体" w:eastAsia="黑体"/>
                <w:szCs w:val="21"/>
              </w:rPr>
              <w:t>序号</w:t>
            </w:r>
          </w:p>
        </w:tc>
        <w:tc>
          <w:tcPr>
            <w:tcW w:w="2410" w:type="dxa"/>
            <w:vAlign w:val="center"/>
          </w:tcPr>
          <w:p w14:paraId="5CADDB04">
            <w:pPr>
              <w:jc w:val="center"/>
              <w:rPr>
                <w:rFonts w:ascii="黑体" w:hAnsi="黑体" w:eastAsia="黑体"/>
                <w:szCs w:val="21"/>
              </w:rPr>
            </w:pPr>
            <w:r>
              <w:rPr>
                <w:rFonts w:hint="eastAsia" w:ascii="黑体" w:hAnsi="黑体" w:eastAsia="黑体"/>
              </w:rPr>
              <w:t>采购需求▲号条款</w:t>
            </w:r>
          </w:p>
        </w:tc>
        <w:tc>
          <w:tcPr>
            <w:tcW w:w="2745" w:type="dxa"/>
            <w:vAlign w:val="center"/>
          </w:tcPr>
          <w:p w14:paraId="14B80C1C">
            <w:pPr>
              <w:spacing w:line="360" w:lineRule="auto"/>
              <w:jc w:val="center"/>
              <w:rPr>
                <w:rFonts w:ascii="黑体" w:hAnsi="黑体" w:eastAsia="黑体"/>
              </w:rPr>
            </w:pPr>
            <w:r>
              <w:rPr>
                <w:rFonts w:hint="eastAsia" w:ascii="黑体" w:hAnsi="黑体" w:eastAsia="黑体"/>
              </w:rPr>
              <w:t>投标人响应内容</w:t>
            </w:r>
          </w:p>
          <w:p w14:paraId="73B557F9">
            <w:pPr>
              <w:spacing w:line="360" w:lineRule="auto"/>
              <w:jc w:val="center"/>
              <w:rPr>
                <w:rFonts w:ascii="黑体" w:hAnsi="黑体" w:eastAsia="黑体"/>
                <w:szCs w:val="21"/>
              </w:rPr>
            </w:pPr>
            <w:r>
              <w:rPr>
                <w:rFonts w:ascii="黑体" w:hAnsi="黑体" w:eastAsia="黑体"/>
              </w:rPr>
              <w:t>(投标人应按</w:t>
            </w:r>
            <w:r>
              <w:rPr>
                <w:rFonts w:hint="eastAsia" w:ascii="黑体" w:hAnsi="黑体" w:eastAsia="黑体"/>
              </w:rPr>
              <w:t>投标时响应的服务实际数据填写</w:t>
            </w:r>
            <w:r>
              <w:rPr>
                <w:rFonts w:ascii="黑体" w:hAnsi="黑体" w:eastAsia="黑体"/>
              </w:rPr>
              <w:t>)</w:t>
            </w:r>
          </w:p>
        </w:tc>
        <w:tc>
          <w:tcPr>
            <w:tcW w:w="1932" w:type="dxa"/>
            <w:vAlign w:val="center"/>
          </w:tcPr>
          <w:p w14:paraId="0EFCE871">
            <w:pPr>
              <w:spacing w:line="360" w:lineRule="auto"/>
              <w:jc w:val="center"/>
              <w:rPr>
                <w:rFonts w:ascii="黑体" w:hAnsi="黑体" w:eastAsia="黑体"/>
              </w:rPr>
            </w:pPr>
            <w:r>
              <w:rPr>
                <w:rFonts w:hint="eastAsia" w:ascii="黑体" w:hAnsi="黑体" w:eastAsia="黑体"/>
              </w:rPr>
              <w:t>响应情况及说明</w:t>
            </w:r>
            <w:r>
              <w:rPr>
                <w:rFonts w:ascii="黑体" w:hAnsi="黑体" w:eastAsia="黑体"/>
              </w:rPr>
              <w:t>(正偏离/无偏离/负偏离)</w:t>
            </w:r>
          </w:p>
        </w:tc>
        <w:tc>
          <w:tcPr>
            <w:tcW w:w="1115" w:type="dxa"/>
            <w:vAlign w:val="center"/>
          </w:tcPr>
          <w:p w14:paraId="176DE9A1">
            <w:pPr>
              <w:spacing w:line="360" w:lineRule="auto"/>
              <w:jc w:val="center"/>
              <w:rPr>
                <w:rFonts w:ascii="黑体" w:hAnsi="黑体" w:eastAsia="黑体"/>
              </w:rPr>
            </w:pPr>
            <w:r>
              <w:rPr>
                <w:rFonts w:hint="eastAsia" w:ascii="黑体" w:hAnsi="黑体" w:eastAsia="黑体"/>
              </w:rPr>
              <w:t>查阅</w:t>
            </w:r>
            <w:r>
              <w:rPr>
                <w:rFonts w:ascii="黑体" w:hAnsi="黑体" w:eastAsia="黑体"/>
              </w:rPr>
              <w:t>/证明文件索引页码</w:t>
            </w:r>
          </w:p>
        </w:tc>
      </w:tr>
      <w:tr w14:paraId="15B8C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459" w:type="dxa"/>
            <w:vAlign w:val="center"/>
          </w:tcPr>
          <w:p w14:paraId="53B3652E">
            <w:pPr>
              <w:jc w:val="center"/>
              <w:rPr>
                <w:rFonts w:ascii="黑体" w:hAnsi="黑体" w:eastAsia="黑体"/>
                <w:szCs w:val="21"/>
              </w:rPr>
            </w:pPr>
            <w:r>
              <w:rPr>
                <w:rFonts w:ascii="黑体" w:hAnsi="黑体" w:eastAsia="黑体"/>
                <w:szCs w:val="21"/>
              </w:rPr>
              <w:t>1</w:t>
            </w:r>
          </w:p>
        </w:tc>
        <w:tc>
          <w:tcPr>
            <w:tcW w:w="2410" w:type="dxa"/>
            <w:vAlign w:val="center"/>
          </w:tcPr>
          <w:p w14:paraId="243D85E1">
            <w:pPr>
              <w:jc w:val="center"/>
              <w:rPr>
                <w:rFonts w:ascii="黑体" w:hAnsi="黑体" w:eastAsia="黑体"/>
                <w:szCs w:val="21"/>
              </w:rPr>
            </w:pPr>
          </w:p>
        </w:tc>
        <w:tc>
          <w:tcPr>
            <w:tcW w:w="2745" w:type="dxa"/>
            <w:vAlign w:val="center"/>
          </w:tcPr>
          <w:p w14:paraId="6745DF5A">
            <w:pPr>
              <w:jc w:val="center"/>
              <w:rPr>
                <w:rFonts w:ascii="黑体" w:hAnsi="黑体" w:eastAsia="黑体"/>
                <w:szCs w:val="21"/>
              </w:rPr>
            </w:pPr>
          </w:p>
        </w:tc>
        <w:tc>
          <w:tcPr>
            <w:tcW w:w="1932" w:type="dxa"/>
            <w:vAlign w:val="center"/>
          </w:tcPr>
          <w:p w14:paraId="7E967EFF">
            <w:pPr>
              <w:jc w:val="center"/>
              <w:rPr>
                <w:rFonts w:ascii="黑体" w:hAnsi="黑体" w:eastAsia="黑体"/>
                <w:szCs w:val="21"/>
              </w:rPr>
            </w:pPr>
          </w:p>
        </w:tc>
        <w:tc>
          <w:tcPr>
            <w:tcW w:w="1115" w:type="dxa"/>
            <w:vAlign w:val="center"/>
          </w:tcPr>
          <w:p w14:paraId="6E92EDC7">
            <w:pPr>
              <w:jc w:val="center"/>
              <w:rPr>
                <w:rFonts w:ascii="黑体" w:hAnsi="黑体" w:eastAsia="黑体"/>
                <w:szCs w:val="21"/>
              </w:rPr>
            </w:pPr>
          </w:p>
        </w:tc>
      </w:tr>
      <w:tr w14:paraId="7864A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459" w:type="dxa"/>
            <w:vAlign w:val="center"/>
          </w:tcPr>
          <w:p w14:paraId="6E0D6879">
            <w:pPr>
              <w:jc w:val="center"/>
              <w:rPr>
                <w:rFonts w:ascii="黑体" w:hAnsi="黑体" w:eastAsia="黑体"/>
                <w:szCs w:val="21"/>
              </w:rPr>
            </w:pPr>
            <w:r>
              <w:rPr>
                <w:rFonts w:ascii="黑体" w:hAnsi="黑体" w:eastAsia="黑体"/>
                <w:szCs w:val="21"/>
              </w:rPr>
              <w:t>2</w:t>
            </w:r>
          </w:p>
        </w:tc>
        <w:tc>
          <w:tcPr>
            <w:tcW w:w="2410" w:type="dxa"/>
            <w:vAlign w:val="center"/>
          </w:tcPr>
          <w:p w14:paraId="136DDEB3">
            <w:pPr>
              <w:jc w:val="center"/>
              <w:rPr>
                <w:rFonts w:ascii="黑体" w:hAnsi="黑体" w:eastAsia="黑体"/>
                <w:szCs w:val="21"/>
              </w:rPr>
            </w:pPr>
          </w:p>
        </w:tc>
        <w:tc>
          <w:tcPr>
            <w:tcW w:w="2745" w:type="dxa"/>
            <w:vAlign w:val="center"/>
          </w:tcPr>
          <w:p w14:paraId="79052C80">
            <w:pPr>
              <w:jc w:val="center"/>
              <w:rPr>
                <w:rFonts w:ascii="黑体" w:hAnsi="黑体" w:eastAsia="黑体"/>
                <w:szCs w:val="21"/>
              </w:rPr>
            </w:pPr>
          </w:p>
        </w:tc>
        <w:tc>
          <w:tcPr>
            <w:tcW w:w="1932" w:type="dxa"/>
            <w:vAlign w:val="center"/>
          </w:tcPr>
          <w:p w14:paraId="56892289">
            <w:pPr>
              <w:jc w:val="center"/>
              <w:rPr>
                <w:rFonts w:ascii="黑体" w:hAnsi="黑体" w:eastAsia="黑体"/>
                <w:szCs w:val="21"/>
              </w:rPr>
            </w:pPr>
          </w:p>
        </w:tc>
        <w:tc>
          <w:tcPr>
            <w:tcW w:w="1115" w:type="dxa"/>
            <w:vAlign w:val="center"/>
          </w:tcPr>
          <w:p w14:paraId="65FEBB4F">
            <w:pPr>
              <w:jc w:val="center"/>
              <w:rPr>
                <w:rFonts w:ascii="黑体" w:hAnsi="黑体" w:eastAsia="黑体"/>
                <w:szCs w:val="21"/>
              </w:rPr>
            </w:pPr>
          </w:p>
        </w:tc>
      </w:tr>
      <w:tr w14:paraId="781CD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459" w:type="dxa"/>
            <w:vAlign w:val="center"/>
          </w:tcPr>
          <w:p w14:paraId="47A25ECC">
            <w:pPr>
              <w:jc w:val="center"/>
              <w:rPr>
                <w:rFonts w:ascii="黑体" w:hAnsi="黑体" w:eastAsia="黑体"/>
                <w:szCs w:val="21"/>
              </w:rPr>
            </w:pPr>
            <w:r>
              <w:rPr>
                <w:rFonts w:ascii="黑体" w:hAnsi="黑体" w:eastAsia="黑体"/>
                <w:szCs w:val="21"/>
              </w:rPr>
              <w:t>3</w:t>
            </w:r>
          </w:p>
        </w:tc>
        <w:tc>
          <w:tcPr>
            <w:tcW w:w="2410" w:type="dxa"/>
            <w:vAlign w:val="center"/>
          </w:tcPr>
          <w:p w14:paraId="3B1B84E9">
            <w:pPr>
              <w:jc w:val="center"/>
              <w:rPr>
                <w:rFonts w:ascii="黑体" w:hAnsi="黑体" w:eastAsia="黑体"/>
                <w:szCs w:val="21"/>
              </w:rPr>
            </w:pPr>
          </w:p>
        </w:tc>
        <w:tc>
          <w:tcPr>
            <w:tcW w:w="2745" w:type="dxa"/>
            <w:vAlign w:val="center"/>
          </w:tcPr>
          <w:p w14:paraId="29C6BF74">
            <w:pPr>
              <w:jc w:val="center"/>
              <w:rPr>
                <w:rFonts w:ascii="黑体" w:hAnsi="黑体" w:eastAsia="黑体"/>
                <w:szCs w:val="21"/>
              </w:rPr>
            </w:pPr>
          </w:p>
        </w:tc>
        <w:tc>
          <w:tcPr>
            <w:tcW w:w="1932" w:type="dxa"/>
            <w:vAlign w:val="center"/>
          </w:tcPr>
          <w:p w14:paraId="48AB92B1">
            <w:pPr>
              <w:jc w:val="center"/>
              <w:rPr>
                <w:rFonts w:ascii="黑体" w:hAnsi="黑体" w:eastAsia="黑体"/>
                <w:szCs w:val="21"/>
              </w:rPr>
            </w:pPr>
          </w:p>
        </w:tc>
        <w:tc>
          <w:tcPr>
            <w:tcW w:w="1115" w:type="dxa"/>
            <w:vAlign w:val="center"/>
          </w:tcPr>
          <w:p w14:paraId="79276A10">
            <w:pPr>
              <w:jc w:val="center"/>
              <w:rPr>
                <w:rFonts w:ascii="黑体" w:hAnsi="黑体" w:eastAsia="黑体"/>
                <w:szCs w:val="21"/>
              </w:rPr>
            </w:pPr>
          </w:p>
        </w:tc>
      </w:tr>
      <w:tr w14:paraId="4DE46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459" w:type="dxa"/>
            <w:vAlign w:val="center"/>
          </w:tcPr>
          <w:p w14:paraId="05B90D54">
            <w:pPr>
              <w:jc w:val="center"/>
              <w:rPr>
                <w:rFonts w:ascii="黑体" w:hAnsi="黑体" w:eastAsia="黑体"/>
                <w:szCs w:val="21"/>
              </w:rPr>
            </w:pPr>
            <w:r>
              <w:rPr>
                <w:rFonts w:ascii="黑体" w:hAnsi="黑体" w:eastAsia="黑体"/>
                <w:szCs w:val="21"/>
              </w:rPr>
              <w:t>…</w:t>
            </w:r>
          </w:p>
        </w:tc>
        <w:tc>
          <w:tcPr>
            <w:tcW w:w="2410" w:type="dxa"/>
            <w:vAlign w:val="center"/>
          </w:tcPr>
          <w:p w14:paraId="2740FE0C">
            <w:pPr>
              <w:jc w:val="center"/>
              <w:rPr>
                <w:rFonts w:ascii="黑体" w:hAnsi="黑体" w:eastAsia="黑体"/>
                <w:szCs w:val="21"/>
              </w:rPr>
            </w:pPr>
          </w:p>
        </w:tc>
        <w:tc>
          <w:tcPr>
            <w:tcW w:w="2745" w:type="dxa"/>
            <w:vAlign w:val="center"/>
          </w:tcPr>
          <w:p w14:paraId="035EE47C">
            <w:pPr>
              <w:jc w:val="center"/>
              <w:rPr>
                <w:rFonts w:ascii="黑体" w:hAnsi="黑体" w:eastAsia="黑体"/>
                <w:szCs w:val="21"/>
              </w:rPr>
            </w:pPr>
          </w:p>
        </w:tc>
        <w:tc>
          <w:tcPr>
            <w:tcW w:w="1932" w:type="dxa"/>
            <w:vAlign w:val="center"/>
          </w:tcPr>
          <w:p w14:paraId="6A701F84">
            <w:pPr>
              <w:jc w:val="center"/>
              <w:rPr>
                <w:rFonts w:ascii="黑体" w:hAnsi="黑体" w:eastAsia="黑体"/>
                <w:szCs w:val="21"/>
              </w:rPr>
            </w:pPr>
          </w:p>
        </w:tc>
        <w:tc>
          <w:tcPr>
            <w:tcW w:w="1115" w:type="dxa"/>
            <w:vAlign w:val="center"/>
          </w:tcPr>
          <w:p w14:paraId="6A760D2D">
            <w:pPr>
              <w:jc w:val="center"/>
              <w:rPr>
                <w:rFonts w:ascii="黑体" w:hAnsi="黑体" w:eastAsia="黑体"/>
                <w:szCs w:val="21"/>
              </w:rPr>
            </w:pPr>
          </w:p>
        </w:tc>
      </w:tr>
    </w:tbl>
    <w:p w14:paraId="4F050254">
      <w:pPr>
        <w:spacing w:before="156" w:beforeLines="50" w:line="360" w:lineRule="auto"/>
        <w:rPr>
          <w:rFonts w:ascii="黑体" w:hAnsi="黑体" w:eastAsia="黑体"/>
        </w:rPr>
      </w:pPr>
      <w:r>
        <w:rPr>
          <w:rFonts w:hint="eastAsia" w:ascii="黑体" w:hAnsi="黑体" w:eastAsia="黑体"/>
        </w:rPr>
        <w:t>注明：</w:t>
      </w:r>
    </w:p>
    <w:p w14:paraId="0E3728DC">
      <w:pPr>
        <w:pStyle w:val="29"/>
        <w:numPr>
          <w:ilvl w:val="0"/>
          <w:numId w:val="123"/>
        </w:numPr>
        <w:spacing w:line="360" w:lineRule="auto"/>
        <w:ind w:firstLineChars="0"/>
        <w:rPr>
          <w:rFonts w:ascii="黑体" w:hAnsi="黑体" w:eastAsia="黑体"/>
          <w:spacing w:val="4"/>
        </w:rPr>
      </w:pPr>
      <w:r>
        <w:rPr>
          <w:rFonts w:hint="eastAsia" w:ascii="黑体" w:hAnsi="黑体" w:eastAsia="黑体"/>
          <w:spacing w:val="4"/>
        </w:rPr>
        <w:t>投标人必须对应招标文件</w:t>
      </w:r>
      <w:r>
        <w:rPr>
          <w:rFonts w:hint="eastAsia" w:ascii="黑体" w:hAnsi="黑体" w:eastAsia="黑体" w:cs="Times New Roman"/>
          <w:bCs/>
          <w:spacing w:val="4"/>
          <w:szCs w:val="21"/>
        </w:rPr>
        <w:t>“采购需求”要求的</w:t>
      </w:r>
      <w:bookmarkStart w:id="106" w:name="_Hlk82385546"/>
      <w:r>
        <w:rPr>
          <w:rFonts w:ascii="黑体" w:hAnsi="黑体" w:eastAsia="黑体"/>
        </w:rPr>
        <w:t>▲号条款</w:t>
      </w:r>
      <w:bookmarkEnd w:id="106"/>
      <w:r>
        <w:rPr>
          <w:rFonts w:hint="eastAsia" w:ascii="黑体" w:hAnsi="黑体" w:eastAsia="黑体"/>
          <w:spacing w:val="4"/>
        </w:rPr>
        <w:t>逐条应答并按要求填写表格。</w:t>
      </w:r>
    </w:p>
    <w:p w14:paraId="75273950">
      <w:pPr>
        <w:pStyle w:val="29"/>
        <w:numPr>
          <w:ilvl w:val="0"/>
          <w:numId w:val="123"/>
        </w:numPr>
        <w:spacing w:line="360" w:lineRule="auto"/>
        <w:ind w:firstLineChars="0"/>
        <w:rPr>
          <w:rFonts w:ascii="黑体" w:hAnsi="黑体" w:eastAsia="黑体"/>
        </w:rPr>
      </w:pPr>
      <w:r>
        <w:rPr>
          <w:rFonts w:hint="eastAsia" w:ascii="黑体" w:hAnsi="黑体" w:eastAsia="黑体"/>
          <w:szCs w:val="21"/>
        </w:rPr>
        <w:t>需提供证明资料内容详见</w:t>
      </w:r>
      <w:r>
        <w:rPr>
          <w:rFonts w:hint="eastAsia" w:ascii="黑体" w:hAnsi="黑体" w:eastAsia="黑体"/>
          <w:szCs w:val="21"/>
          <w:u w:val="single"/>
        </w:rPr>
        <w:t>（招标文件第五部分</w:t>
      </w:r>
      <w:r>
        <w:rPr>
          <w:rFonts w:ascii="黑体" w:hAnsi="黑体" w:eastAsia="黑体"/>
          <w:szCs w:val="21"/>
          <w:u w:val="single"/>
        </w:rPr>
        <w:t xml:space="preserve"> </w:t>
      </w:r>
      <w:r>
        <w:rPr>
          <w:rFonts w:hint="eastAsia" w:ascii="黑体" w:hAnsi="黑体" w:eastAsia="黑体"/>
          <w:szCs w:val="21"/>
          <w:u w:val="single"/>
        </w:rPr>
        <w:t>评标方法、步骤、标准之</w:t>
      </w:r>
      <w:r>
        <w:rPr>
          <w:rFonts w:hint="eastAsia" w:ascii="黑体" w:hAnsi="黑体" w:eastAsia="黑体"/>
          <w:kern w:val="0"/>
          <w:szCs w:val="21"/>
          <w:u w:val="single"/>
        </w:rPr>
        <w:t>附表三</w:t>
      </w:r>
      <w:r>
        <w:rPr>
          <w:rFonts w:hint="eastAsia" w:ascii="黑体" w:hAnsi="黑体" w:eastAsia="黑体"/>
          <w:szCs w:val="21"/>
          <w:u w:val="single"/>
        </w:rPr>
        <w:t>详细评审表相对应条款）</w:t>
      </w:r>
      <w:r>
        <w:rPr>
          <w:rFonts w:hint="eastAsia" w:ascii="黑体" w:hAnsi="黑体" w:eastAsia="黑体"/>
          <w:szCs w:val="21"/>
        </w:rPr>
        <w:t>，提供的证明资料</w:t>
      </w:r>
      <w:r>
        <w:rPr>
          <w:rFonts w:hint="eastAsia" w:ascii="黑体" w:hAnsi="黑体" w:eastAsia="黑体"/>
        </w:rPr>
        <w:t>作为附件附于表格后。未按要求提供或未提供完整的，视为负偏离处理。</w:t>
      </w:r>
    </w:p>
    <w:p w14:paraId="7CCEB782">
      <w:pPr>
        <w:spacing w:line="360" w:lineRule="auto"/>
        <w:rPr>
          <w:rFonts w:ascii="黑体" w:hAnsi="黑体" w:eastAsia="黑体"/>
          <w:szCs w:val="21"/>
        </w:rPr>
      </w:pPr>
    </w:p>
    <w:p w14:paraId="2162E366">
      <w:pPr>
        <w:spacing w:line="360" w:lineRule="auto"/>
        <w:rPr>
          <w:rFonts w:ascii="黑体" w:hAnsi="黑体" w:eastAsia="黑体"/>
          <w:szCs w:val="21"/>
        </w:rPr>
      </w:pPr>
    </w:p>
    <w:p w14:paraId="69BA8C8E">
      <w:pPr>
        <w:spacing w:line="360" w:lineRule="auto"/>
        <w:rPr>
          <w:rFonts w:ascii="黑体" w:hAnsi="黑体" w:eastAsia="黑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77BC6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34AF0EE2">
            <w:pPr>
              <w:overflowPunct w:val="0"/>
              <w:adjustRightInd w:val="0"/>
              <w:spacing w:line="360" w:lineRule="auto"/>
              <w:rPr>
                <w:rFonts w:ascii="黑体" w:hAnsi="黑体" w:eastAsia="黑体"/>
                <w:szCs w:val="21"/>
              </w:rPr>
            </w:pPr>
            <w:r>
              <w:rPr>
                <w:rFonts w:hint="eastAsia" w:ascii="黑体" w:hAnsi="黑体" w:eastAsia="黑体"/>
                <w:szCs w:val="21"/>
              </w:rPr>
              <w:t>投标人名称（加盖公章）：</w:t>
            </w:r>
            <w:r>
              <w:rPr>
                <w:rFonts w:ascii="黑体" w:hAnsi="黑体" w:eastAsia="黑体"/>
                <w:szCs w:val="21"/>
                <w:u w:val="single"/>
              </w:rPr>
              <w:t xml:space="preserve">                         </w:t>
            </w:r>
          </w:p>
        </w:tc>
        <w:tc>
          <w:tcPr>
            <w:tcW w:w="3175" w:type="dxa"/>
          </w:tcPr>
          <w:p w14:paraId="3ADAD223">
            <w:pPr>
              <w:spacing w:line="360" w:lineRule="auto"/>
              <w:rPr>
                <w:rFonts w:ascii="黑体" w:hAnsi="黑体" w:eastAsia="黑体"/>
                <w:szCs w:val="21"/>
              </w:rPr>
            </w:pPr>
          </w:p>
        </w:tc>
      </w:tr>
      <w:tr w14:paraId="77A46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0E155FA">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5" w:type="dxa"/>
          </w:tcPr>
          <w:p w14:paraId="2FAC14BD">
            <w:pPr>
              <w:spacing w:line="360" w:lineRule="auto"/>
              <w:rPr>
                <w:rFonts w:ascii="黑体" w:hAnsi="黑体" w:eastAsia="黑体"/>
                <w:szCs w:val="21"/>
              </w:rPr>
            </w:pPr>
          </w:p>
        </w:tc>
      </w:tr>
    </w:tbl>
    <w:p w14:paraId="1A640FE8">
      <w:pPr>
        <w:pStyle w:val="29"/>
        <w:pageBreakBefore/>
        <w:numPr>
          <w:ilvl w:val="0"/>
          <w:numId w:val="112"/>
        </w:numPr>
        <w:tabs>
          <w:tab w:val="left" w:pos="284"/>
          <w:tab w:val="left" w:pos="567"/>
          <w:tab w:val="left" w:pos="709"/>
        </w:tabs>
        <w:ind w:left="1679" w:hanging="1537" w:firstLineChars="0"/>
        <w:jc w:val="left"/>
        <w:rPr>
          <w:rFonts w:ascii="黑体" w:hAnsi="黑体" w:eastAsia="黑体"/>
          <w:b/>
          <w:bCs/>
        </w:rPr>
      </w:pPr>
      <w:r>
        <w:rPr>
          <w:rFonts w:hint="eastAsia" w:ascii="黑体" w:hAnsi="黑体" w:eastAsia="黑体"/>
          <w:b/>
          <w:bCs/>
        </w:rPr>
        <w:t>相关保函格式</w:t>
      </w:r>
    </w:p>
    <w:p w14:paraId="67EF0948">
      <w:pPr>
        <w:spacing w:before="312" w:beforeLines="100" w:after="312" w:afterLines="100"/>
        <w:jc w:val="center"/>
        <w:rPr>
          <w:rFonts w:hint="eastAsia" w:ascii="黑体" w:hAnsi="黑体" w:eastAsia="黑体" w:cs="Times New Roman"/>
          <w:b/>
          <w:spacing w:val="20"/>
          <w:sz w:val="30"/>
          <w:szCs w:val="30"/>
        </w:rPr>
      </w:pPr>
      <w:r>
        <w:rPr>
          <w:rFonts w:hint="eastAsia" w:ascii="黑体" w:hAnsi="黑体" w:eastAsia="黑体" w:cs="Times New Roman"/>
          <w:b/>
          <w:spacing w:val="20"/>
          <w:sz w:val="30"/>
          <w:szCs w:val="30"/>
        </w:rPr>
        <w:t>政府采购履约担保</w:t>
      </w:r>
    </w:p>
    <w:p w14:paraId="5843F4D5">
      <w:pPr>
        <w:spacing w:line="360" w:lineRule="auto"/>
        <w:ind w:firstLine="6261" w:firstLineChars="297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编号：</w:t>
      </w:r>
    </w:p>
    <w:p w14:paraId="42147BE0">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(采购人)：</w:t>
      </w:r>
    </w:p>
    <w:p w14:paraId="26E11AD1">
      <w:pPr>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鉴于你方与</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（以下简称供应商）于</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年</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月</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日 自签定编号为</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的《</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政府采购合同》 (以下简称主合同)，且依据该合同的约定，供应商应在</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年</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月</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日前向你方交纳履约保证金，且可以履约担保函的形式交纳厦约保证金。应供应商的申请，我方以保证的方式向你方提供如下履约保证金担保：</w:t>
      </w:r>
    </w:p>
    <w:p w14:paraId="24CE809F">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一、保证责任的情形及保证金额</w:t>
      </w:r>
    </w:p>
    <w:p w14:paraId="21290C2F">
      <w:pPr>
        <w:spacing w:line="360" w:lineRule="auto"/>
        <w:ind w:left="141" w:leftChars="67"/>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（一）在供应商出现下列情形之一时，我方承担保证责任：</w:t>
      </w:r>
    </w:p>
    <w:p w14:paraId="3EC5384C">
      <w:pPr>
        <w:spacing w:line="360" w:lineRule="auto"/>
        <w:ind w:left="283" w:leftChars="135"/>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1.将中标项目转让给他人，或者在投标文件中未说明，且未经采购招标机构人同意,将中标项目分包给他人的；</w:t>
      </w:r>
    </w:p>
    <w:p w14:paraId="2F0D918E">
      <w:pPr>
        <w:spacing w:line="360" w:lineRule="auto"/>
        <w:ind w:left="283" w:leftChars="135"/>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2.主合同约定的应当缴约履约保证金的情形</w:t>
      </w:r>
    </w:p>
    <w:p w14:paraId="3695B52D">
      <w:pPr>
        <w:spacing w:line="360" w:lineRule="auto"/>
        <w:ind w:left="283" w:leftChars="135"/>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(1)未按主合同约定的质量、数量和期限供应货物/提供服务/完成工程的；</w:t>
      </w:r>
    </w:p>
    <w:p w14:paraId="285448DB">
      <w:pPr>
        <w:spacing w:line="360" w:lineRule="auto"/>
        <w:ind w:left="283" w:leftChars="135"/>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w:t>
      </w:r>
      <w:r>
        <w:rPr>
          <w:rFonts w:hint="eastAsia" w:ascii="黑体" w:hAnsi="黑体" w:eastAsia="黑体"/>
          <w:color w:val="000000" w:themeColor="text1"/>
          <w:szCs w:val="21"/>
          <w:u w:val="single"/>
          <w14:textFill>
            <w14:solidFill>
              <w14:schemeClr w14:val="tx1"/>
            </w14:solidFill>
          </w14:textFill>
        </w:rPr>
        <w:t xml:space="preserve">                                                            。</w:t>
      </w:r>
    </w:p>
    <w:p w14:paraId="447BB44D">
      <w:pPr>
        <w:spacing w:line="360" w:lineRule="auto"/>
        <w:ind w:left="283" w:leftChars="135"/>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(二)我方的保证范围是主合同约定的合同价款总额的</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%数额为</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元(大写：</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)，币种为</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（即主合同履约保证金金额）</w:t>
      </w:r>
    </w:p>
    <w:p w14:paraId="58C0D765">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二、保证的方式及保证期间</w:t>
      </w:r>
    </w:p>
    <w:p w14:paraId="79142D55">
      <w:pPr>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我方保证的方式为：连带责任保证。</w:t>
      </w:r>
    </w:p>
    <w:p w14:paraId="161C0872">
      <w:pPr>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我方保证的期间为：自本合同生效之日起至供应商按照主合同约定的供货/完工期限届满后</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日内。</w:t>
      </w:r>
    </w:p>
    <w:p w14:paraId="4C7CCCEA">
      <w:pPr>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如果供应商未按主合同约定向贵方供应货物/提供服务/完成工程的，由我方在保证金额内向你方支付上述款项。</w:t>
      </w:r>
    </w:p>
    <w:p w14:paraId="6ACDFC21">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三、承担保证责任的程序</w:t>
      </w:r>
    </w:p>
    <w:p w14:paraId="7B4E76FF">
      <w:pPr>
        <w:spacing w:line="360" w:lineRule="auto"/>
        <w:ind w:left="283" w:leftChars="135"/>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1.你方要求我方承担保证责任的，应在本保函保证期间内向我方发出书面索赔通知，索赔通知应写明要求索赔的金额，支付款项应到达的账号并附有证明供应商违约事实的证明材料。</w:t>
      </w:r>
    </w:p>
    <w:p w14:paraId="0C37FBF7">
      <w:pPr>
        <w:spacing w:line="360" w:lineRule="auto"/>
        <w:ind w:left="283" w:leftChars="135"/>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如果你方与供应商因货物质量问题产生争议，你方还需同时提供</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部门出具的质量检测报告，或经诉讼(仲裁)程序裁决后的裁决书、调解书，本保证人即按照检测结果或裁决书、调解书决定是否承担保证责任。</w:t>
      </w:r>
    </w:p>
    <w:p w14:paraId="5AC9F8CA">
      <w:pPr>
        <w:spacing w:line="360" w:lineRule="auto"/>
        <w:ind w:left="283" w:leftChars="135"/>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2.我方收到你方的书面索赔通知及相应证明材料，在</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工作日内进行核定后按照本保函的承诺承担保证责任。</w:t>
      </w:r>
    </w:p>
    <w:p w14:paraId="115A30DB">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四、保证责任的终止</w:t>
      </w:r>
    </w:p>
    <w:p w14:paraId="4C11025F">
      <w:pPr>
        <w:spacing w:line="360" w:lineRule="auto"/>
        <w:ind w:left="281" w:leftChars="134"/>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1.保证期间届满你方未向我方书面主张保证责任的，自保证期间届满次日超，我方保证责任自动终止。保证期间届满前，主合同约定的货物\工程\服务全部验收合格的，自验收合格日起，我方保证责任自动终止。</w:t>
      </w:r>
    </w:p>
    <w:p w14:paraId="4394D4EC">
      <w:pPr>
        <w:spacing w:line="360" w:lineRule="auto"/>
        <w:ind w:left="281" w:leftChars="134"/>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2.我方按照本保函向你方履行了保证责任后，自我方向你方支付款项(支付款项从我方账户划出)之日起，保证责任即终止。</w:t>
      </w:r>
    </w:p>
    <w:p w14:paraId="3FB9367B">
      <w:pPr>
        <w:spacing w:line="360" w:lineRule="auto"/>
        <w:ind w:left="281" w:leftChars="134"/>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3.按照法律法规的规定或出现应终止我方保证责任的其它情形的，我方在本保函项下的保证责任亦终止。</w:t>
      </w:r>
    </w:p>
    <w:p w14:paraId="3F6BD0DE">
      <w:pPr>
        <w:spacing w:line="360" w:lineRule="auto"/>
        <w:ind w:left="281" w:leftChars="134"/>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14:paraId="2638B9BB">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五,免责条款</w:t>
      </w:r>
    </w:p>
    <w:p w14:paraId="6939EFAE">
      <w:pPr>
        <w:spacing w:line="360" w:lineRule="auto"/>
        <w:ind w:left="283" w:leftChars="135"/>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1.因你方违反主合同约定致使供应商不能履行义务的，我方不承担保证责任。</w:t>
      </w:r>
    </w:p>
    <w:p w14:paraId="6EACE19E">
      <w:pPr>
        <w:spacing w:line="360" w:lineRule="auto"/>
        <w:ind w:left="283" w:leftChars="135"/>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2.依照法律法规的规定或你方与供应商的另行约定,全部或者部分免除供应商应缴纳的保证金义务的，我方亦免除相应的保证责任。</w:t>
      </w:r>
    </w:p>
    <w:p w14:paraId="79584A74">
      <w:pPr>
        <w:spacing w:line="360" w:lineRule="auto"/>
        <w:ind w:left="283" w:leftChars="135"/>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3.因不可抗力造成供应商不能履行供货义务的，我方不承担保证责任。</w:t>
      </w:r>
    </w:p>
    <w:p w14:paraId="4B2D3F3F">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六、争议的解决</w:t>
      </w:r>
    </w:p>
    <w:p w14:paraId="21E03E83">
      <w:pPr>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因本保函发生的纠纷,由你我双方协商解决，协商不成的，通过诉讼程序解决，诉讼管辖地法院为</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法院。</w:t>
      </w:r>
    </w:p>
    <w:p w14:paraId="32CAED46">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七、保函的生效</w:t>
      </w:r>
    </w:p>
    <w:p w14:paraId="2DFD6D6C">
      <w:pPr>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本保函自我方加盖公章之日起生效。</w:t>
      </w:r>
    </w:p>
    <w:p w14:paraId="6E5B9DA6">
      <w:pPr>
        <w:spacing w:before="780" w:beforeLines="250" w:line="360" w:lineRule="auto"/>
        <w:jc w:val="righ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保证人：(公章)</w:t>
      </w:r>
    </w:p>
    <w:p w14:paraId="4BBBEC34">
      <w:pPr>
        <w:spacing w:line="360" w:lineRule="auto"/>
        <w:ind w:firstLine="420" w:firstLineChars="200"/>
        <w:jc w:val="righ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年   月   日</w:t>
      </w:r>
    </w:p>
    <w:p w14:paraId="03616D52">
      <w:pPr>
        <w:rPr>
          <w:color w:val="000000" w:themeColor="text1"/>
          <w14:textFill>
            <w14:solidFill>
              <w14:schemeClr w14:val="tx1"/>
            </w14:solidFill>
          </w14:textFill>
        </w:rPr>
      </w:pPr>
    </w:p>
    <w:p w14:paraId="4BABA1E1">
      <w:pPr>
        <w:spacing w:line="360" w:lineRule="auto"/>
        <w:rPr>
          <w:rFonts w:ascii="黑体" w:hAnsi="黑体" w:eastAsia="黑体"/>
          <w:color w:val="000000" w:themeColor="text1"/>
          <w14:textFill>
            <w14:solidFill>
              <w14:schemeClr w14:val="tx1"/>
            </w14:solidFill>
          </w14:textFill>
        </w:rPr>
      </w:pPr>
    </w:p>
    <w:bookmarkEnd w:id="69"/>
    <w:p w14:paraId="126E0C55">
      <w:pPr>
        <w:spacing w:line="360" w:lineRule="auto"/>
        <w:rPr>
          <w:rFonts w:ascii="黑体" w:hAnsi="黑体" w:eastAsia="黑体"/>
          <w:color w:val="000000" w:themeColor="text1"/>
          <w14:textFill>
            <w14:solidFill>
              <w14:schemeClr w14:val="tx1"/>
            </w14:solidFill>
          </w14:textFill>
        </w:rPr>
      </w:pPr>
    </w:p>
    <w:p w14:paraId="22DBD952">
      <w:pPr>
        <w:pStyle w:val="29"/>
        <w:pageBreakBefore/>
        <w:numPr>
          <w:ilvl w:val="0"/>
          <w:numId w:val="112"/>
        </w:numPr>
        <w:tabs>
          <w:tab w:val="left" w:pos="284"/>
          <w:tab w:val="left" w:pos="426"/>
          <w:tab w:val="left" w:pos="709"/>
        </w:tabs>
        <w:ind w:left="1679" w:hanging="1537" w:firstLineChars="0"/>
        <w:jc w:val="left"/>
        <w:rPr>
          <w:bCs/>
        </w:rPr>
      </w:pPr>
      <w:r>
        <w:rPr>
          <w:rFonts w:hint="eastAsia"/>
          <w:bCs/>
        </w:rPr>
        <w:t>唱标信封格式</w:t>
      </w:r>
    </w:p>
    <w:p w14:paraId="672CDA5B">
      <w:pPr>
        <w:spacing w:line="360" w:lineRule="auto"/>
        <w:jc w:val="center"/>
        <w:rPr>
          <w:rFonts w:ascii="黑体" w:hAnsi="黑体" w:eastAsia="黑体"/>
          <w:bCs/>
          <w:color w:val="000000" w:themeColor="text1"/>
          <w:sz w:val="50"/>
          <w:szCs w:val="50"/>
          <w14:textFill>
            <w14:solidFill>
              <w14:schemeClr w14:val="tx1"/>
            </w14:solidFill>
          </w14:textFill>
        </w:rPr>
      </w:pPr>
    </w:p>
    <w:p w14:paraId="3EC1BE68">
      <w:pPr>
        <w:spacing w:line="360" w:lineRule="auto"/>
        <w:jc w:val="center"/>
        <w:rPr>
          <w:rFonts w:hint="eastAsia" w:ascii="黑体" w:hAnsi="黑体" w:eastAsia="黑体"/>
          <w:bCs/>
          <w:color w:val="000000" w:themeColor="text1"/>
          <w:sz w:val="50"/>
          <w:szCs w:val="50"/>
          <w:lang w:eastAsia="zh-CN"/>
          <w14:textFill>
            <w14:solidFill>
              <w14:schemeClr w14:val="tx1"/>
            </w14:solidFill>
          </w14:textFill>
        </w:rPr>
      </w:pPr>
      <w:r>
        <w:rPr>
          <w:rFonts w:hint="eastAsia" w:ascii="黑体" w:hAnsi="黑体" w:eastAsia="黑体"/>
          <w:bCs/>
          <w:color w:val="000000" w:themeColor="text1"/>
          <w:sz w:val="50"/>
          <w:szCs w:val="50"/>
          <w:lang w:eastAsia="zh-CN"/>
          <w14:textFill>
            <w14:solidFill>
              <w14:schemeClr w14:val="tx1"/>
            </w14:solidFill>
          </w14:textFill>
        </w:rPr>
        <w:t>清溪医院硬性电子输尿管镜系统等采购项目</w:t>
      </w:r>
    </w:p>
    <w:p w14:paraId="29B28475">
      <w:pPr>
        <w:spacing w:line="360" w:lineRule="auto"/>
        <w:jc w:val="center"/>
        <w:rPr>
          <w:rFonts w:ascii="黑体" w:hAnsi="黑体" w:eastAsia="黑体"/>
          <w:b/>
          <w:color w:val="000000" w:themeColor="text1"/>
          <w:szCs w:val="21"/>
          <w14:textFill>
            <w14:solidFill>
              <w14:schemeClr w14:val="tx1"/>
            </w14:solidFill>
          </w14:textFill>
        </w:rPr>
      </w:pPr>
    </w:p>
    <w:p w14:paraId="40904CD4">
      <w:pPr>
        <w:spacing w:line="360" w:lineRule="auto"/>
        <w:jc w:val="center"/>
        <w:rPr>
          <w:rFonts w:ascii="黑体" w:hAnsi="黑体" w:eastAsia="黑体"/>
          <w:b/>
          <w:color w:val="000000" w:themeColor="text1"/>
          <w:szCs w:val="21"/>
          <w14:textFill>
            <w14:solidFill>
              <w14:schemeClr w14:val="tx1"/>
            </w14:solidFill>
          </w14:textFill>
        </w:rPr>
      </w:pPr>
    </w:p>
    <w:p w14:paraId="087FC566">
      <w:pPr>
        <w:spacing w:line="360" w:lineRule="auto"/>
        <w:jc w:val="center"/>
        <w:rPr>
          <w:rFonts w:hint="eastAsia"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（项目编号：</w:t>
      </w:r>
      <w:r>
        <w:rPr>
          <w:rFonts w:ascii="黑体" w:hAnsi="黑体" w:eastAsia="黑体"/>
          <w:b/>
          <w:color w:val="000000" w:themeColor="text1"/>
          <w:szCs w:val="21"/>
          <w:u w:val="single"/>
          <w14:textFill>
            <w14:solidFill>
              <w14:schemeClr w14:val="tx1"/>
            </w14:solidFill>
          </w14:textFill>
        </w:rPr>
        <w:t xml:space="preserve">             </w:t>
      </w:r>
      <w:r>
        <w:rPr>
          <w:rFonts w:hint="eastAsia" w:ascii="黑体" w:hAnsi="黑体" w:eastAsia="黑体"/>
          <w:b/>
          <w:color w:val="000000" w:themeColor="text1"/>
          <w:szCs w:val="21"/>
          <w14:textFill>
            <w14:solidFill>
              <w14:schemeClr w14:val="tx1"/>
            </w14:solidFill>
          </w14:textFill>
        </w:rPr>
        <w:t>）</w:t>
      </w:r>
    </w:p>
    <w:p w14:paraId="7AE03010">
      <w:pPr>
        <w:spacing w:line="360" w:lineRule="auto"/>
        <w:ind w:firstLine="3584" w:firstLineChars="1700"/>
        <w:jc w:val="both"/>
        <w:rPr>
          <w:rFonts w:hint="default" w:ascii="黑体" w:hAnsi="黑体" w:eastAsia="黑体"/>
          <w:b/>
          <w:color w:val="000000" w:themeColor="text1"/>
          <w:szCs w:val="21"/>
          <w:u w:val="single"/>
          <w:lang w:val="en-US" w:eastAsia="zh-CN"/>
          <w14:textFill>
            <w14:solidFill>
              <w14:schemeClr w14:val="tx1"/>
            </w14:solidFill>
          </w14:textFill>
        </w:rPr>
      </w:pPr>
      <w:r>
        <w:rPr>
          <w:rFonts w:hint="eastAsia" w:ascii="黑体" w:hAnsi="黑体" w:eastAsia="黑体"/>
          <w:b/>
          <w:color w:val="000000" w:themeColor="text1"/>
          <w:szCs w:val="21"/>
          <w:lang w:val="en-US" w:eastAsia="zh-CN"/>
          <w14:textFill>
            <w14:solidFill>
              <w14:schemeClr w14:val="tx1"/>
            </w14:solidFill>
          </w14:textFill>
        </w:rPr>
        <w:t>包号：</w:t>
      </w:r>
      <w:r>
        <w:rPr>
          <w:rFonts w:hint="eastAsia" w:ascii="黑体" w:hAnsi="黑体" w:eastAsia="黑体"/>
          <w:b/>
          <w:color w:val="000000" w:themeColor="text1"/>
          <w:szCs w:val="21"/>
          <w:u w:val="single"/>
          <w:lang w:val="en-US" w:eastAsia="zh-CN"/>
          <w14:textFill>
            <w14:solidFill>
              <w14:schemeClr w14:val="tx1"/>
            </w14:solidFill>
          </w14:textFill>
        </w:rPr>
        <w:t xml:space="preserve">       </w:t>
      </w:r>
    </w:p>
    <w:p w14:paraId="05A0C7DB">
      <w:pPr>
        <w:spacing w:before="1404" w:beforeLines="450" w:line="360" w:lineRule="auto"/>
        <w:jc w:val="center"/>
        <w:rPr>
          <w:rFonts w:ascii="黑体" w:hAnsi="黑体" w:eastAsia="黑体"/>
          <w:b/>
          <w:color w:val="000000" w:themeColor="text1"/>
          <w:spacing w:val="60"/>
          <w:sz w:val="72"/>
          <w:szCs w:val="72"/>
          <w14:textFill>
            <w14:solidFill>
              <w14:schemeClr w14:val="tx1"/>
            </w14:solidFill>
          </w14:textFill>
        </w:rPr>
      </w:pPr>
      <w:r>
        <w:rPr>
          <w:rFonts w:hint="eastAsia" w:ascii="黑体" w:hAnsi="黑体" w:eastAsia="黑体"/>
          <w:b/>
          <w:color w:val="000000" w:themeColor="text1"/>
          <w:spacing w:val="60"/>
          <w:sz w:val="72"/>
          <w:szCs w:val="72"/>
          <w14:textFill>
            <w14:solidFill>
              <w14:schemeClr w14:val="tx1"/>
            </w14:solidFill>
          </w14:textFill>
        </w:rPr>
        <w:t>唱标信封</w:t>
      </w:r>
    </w:p>
    <w:p w14:paraId="041FE1B9">
      <w:pPr>
        <w:spacing w:after="2028" w:afterLines="650"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（封面格式仅供参考）</w:t>
      </w:r>
    </w:p>
    <w:tbl>
      <w:tblPr>
        <w:tblStyle w:val="20"/>
        <w:tblW w:w="418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85"/>
        <w:gridCol w:w="5251"/>
      </w:tblGrid>
      <w:tr w14:paraId="54803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1421" w:type="pct"/>
            <w:vAlign w:val="center"/>
          </w:tcPr>
          <w:p w14:paraId="6036996E">
            <w:pPr>
              <w:spacing w:line="360" w:lineRule="auto"/>
              <w:jc w:val="right"/>
              <w:rPr>
                <w:rFonts w:ascii="黑体" w:hAnsi="黑体" w:eastAsia="黑体"/>
                <w:color w:val="000000" w:themeColor="text1"/>
                <w:sz w:val="24"/>
                <w:szCs w:val="24"/>
                <w14:textFill>
                  <w14:solidFill>
                    <w14:schemeClr w14:val="tx1"/>
                  </w14:solidFill>
                </w14:textFill>
              </w:rPr>
            </w:pPr>
            <w:r>
              <w:rPr>
                <w:rFonts w:hint="eastAsia" w:ascii="黑体" w:hAnsi="黑体" w:eastAsia="黑体"/>
                <w:color w:val="000000" w:themeColor="text1"/>
                <w:sz w:val="24"/>
                <w:szCs w:val="24"/>
                <w14:textFill>
                  <w14:solidFill>
                    <w14:schemeClr w14:val="tx1"/>
                  </w14:solidFill>
                </w14:textFill>
              </w:rPr>
              <w:t>投标人名称：</w:t>
            </w:r>
          </w:p>
        </w:tc>
        <w:tc>
          <w:tcPr>
            <w:tcW w:w="3579" w:type="pct"/>
            <w:vAlign w:val="center"/>
          </w:tcPr>
          <w:p w14:paraId="29A9070D">
            <w:pPr>
              <w:spacing w:line="360" w:lineRule="auto"/>
              <w:jc w:val="left"/>
              <w:rPr>
                <w:rFonts w:ascii="黑体" w:hAnsi="黑体" w:eastAsia="黑体"/>
                <w:color w:val="000000" w:themeColor="text1"/>
                <w:sz w:val="24"/>
                <w:szCs w:val="24"/>
                <w:u w:val="single"/>
                <w14:textFill>
                  <w14:solidFill>
                    <w14:schemeClr w14:val="tx1"/>
                  </w14:solidFill>
                </w14:textFill>
              </w:rPr>
            </w:pPr>
            <w:r>
              <w:rPr>
                <w:rFonts w:ascii="黑体" w:hAnsi="黑体" w:eastAsia="黑体"/>
                <w:color w:val="000000" w:themeColor="text1"/>
                <w:sz w:val="24"/>
                <w:szCs w:val="24"/>
                <w:u w:val="single"/>
                <w14:textFill>
                  <w14:solidFill>
                    <w14:schemeClr w14:val="tx1"/>
                  </w14:solidFill>
                </w14:textFill>
              </w:rPr>
              <w:t xml:space="preserve">                                       </w:t>
            </w:r>
          </w:p>
        </w:tc>
      </w:tr>
      <w:tr w14:paraId="54B1A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1421" w:type="pct"/>
            <w:vAlign w:val="center"/>
          </w:tcPr>
          <w:p w14:paraId="5673319C">
            <w:pPr>
              <w:spacing w:line="360" w:lineRule="auto"/>
              <w:jc w:val="right"/>
              <w:rPr>
                <w:rFonts w:ascii="黑体" w:hAnsi="黑体" w:eastAsia="黑体"/>
                <w:color w:val="000000" w:themeColor="text1"/>
                <w:sz w:val="24"/>
                <w:szCs w:val="24"/>
                <w14:textFill>
                  <w14:solidFill>
                    <w14:schemeClr w14:val="tx1"/>
                  </w14:solidFill>
                </w14:textFill>
              </w:rPr>
            </w:pPr>
            <w:r>
              <w:rPr>
                <w:rFonts w:hint="eastAsia" w:ascii="黑体" w:hAnsi="黑体" w:eastAsia="黑体"/>
                <w:color w:val="000000" w:themeColor="text1"/>
                <w:sz w:val="24"/>
                <w:szCs w:val="24"/>
                <w14:textFill>
                  <w14:solidFill>
                    <w14:schemeClr w14:val="tx1"/>
                  </w14:solidFill>
                </w14:textFill>
              </w:rPr>
              <w:t>投标人地址：</w:t>
            </w:r>
          </w:p>
        </w:tc>
        <w:tc>
          <w:tcPr>
            <w:tcW w:w="3579" w:type="pct"/>
            <w:vAlign w:val="center"/>
          </w:tcPr>
          <w:p w14:paraId="1C43160D">
            <w:pPr>
              <w:spacing w:line="360" w:lineRule="auto"/>
              <w:jc w:val="left"/>
              <w:rPr>
                <w:rFonts w:ascii="黑体" w:hAnsi="黑体" w:eastAsia="黑体"/>
                <w:color w:val="000000" w:themeColor="text1"/>
                <w:sz w:val="24"/>
                <w:szCs w:val="24"/>
                <w:u w:val="single"/>
                <w14:textFill>
                  <w14:solidFill>
                    <w14:schemeClr w14:val="tx1"/>
                  </w14:solidFill>
                </w14:textFill>
              </w:rPr>
            </w:pPr>
            <w:r>
              <w:rPr>
                <w:rFonts w:ascii="黑体" w:hAnsi="黑体" w:eastAsia="黑体"/>
                <w:color w:val="000000" w:themeColor="text1"/>
                <w:sz w:val="24"/>
                <w:szCs w:val="24"/>
                <w:u w:val="single"/>
                <w14:textFill>
                  <w14:solidFill>
                    <w14:schemeClr w14:val="tx1"/>
                  </w14:solidFill>
                </w14:textFill>
              </w:rPr>
              <w:t xml:space="preserve">                                       </w:t>
            </w:r>
          </w:p>
        </w:tc>
      </w:tr>
      <w:tr w14:paraId="2AD65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1421" w:type="pct"/>
            <w:vAlign w:val="center"/>
          </w:tcPr>
          <w:p w14:paraId="3E1A6885">
            <w:pPr>
              <w:spacing w:line="360" w:lineRule="auto"/>
              <w:jc w:val="right"/>
              <w:rPr>
                <w:rFonts w:ascii="黑体" w:hAnsi="黑体" w:eastAsia="黑体"/>
                <w:color w:val="000000" w:themeColor="text1"/>
                <w:spacing w:val="-10"/>
                <w:sz w:val="24"/>
                <w:szCs w:val="24"/>
                <w14:textFill>
                  <w14:solidFill>
                    <w14:schemeClr w14:val="tx1"/>
                  </w14:solidFill>
                </w14:textFill>
              </w:rPr>
            </w:pPr>
            <w:r>
              <w:rPr>
                <w:rFonts w:hint="eastAsia" w:ascii="黑体" w:hAnsi="黑体" w:eastAsia="黑体"/>
                <w:color w:val="000000" w:themeColor="text1"/>
                <w:sz w:val="24"/>
                <w:szCs w:val="24"/>
                <w14:textFill>
                  <w14:solidFill>
                    <w14:schemeClr w14:val="tx1"/>
                  </w14:solidFill>
                </w14:textFill>
              </w:rPr>
              <w:t>投标联系人</w:t>
            </w:r>
            <w:r>
              <w:rPr>
                <w:rFonts w:hint="eastAsia" w:ascii="黑体" w:hAnsi="黑体" w:eastAsia="黑体"/>
                <w:color w:val="000000" w:themeColor="text1"/>
                <w:spacing w:val="-10"/>
                <w:sz w:val="24"/>
                <w:szCs w:val="24"/>
                <w14:textFill>
                  <w14:solidFill>
                    <w14:schemeClr w14:val="tx1"/>
                  </w14:solidFill>
                </w14:textFill>
              </w:rPr>
              <w:t>：</w:t>
            </w:r>
          </w:p>
        </w:tc>
        <w:tc>
          <w:tcPr>
            <w:tcW w:w="3579" w:type="pct"/>
            <w:vAlign w:val="center"/>
          </w:tcPr>
          <w:p w14:paraId="16288080">
            <w:pPr>
              <w:spacing w:line="360" w:lineRule="auto"/>
              <w:jc w:val="left"/>
              <w:rPr>
                <w:rFonts w:ascii="黑体" w:hAnsi="黑体" w:eastAsia="黑体"/>
                <w:color w:val="000000" w:themeColor="text1"/>
                <w:sz w:val="24"/>
                <w:szCs w:val="24"/>
                <w:u w:val="single"/>
                <w14:textFill>
                  <w14:solidFill>
                    <w14:schemeClr w14:val="tx1"/>
                  </w14:solidFill>
                </w14:textFill>
              </w:rPr>
            </w:pPr>
            <w:r>
              <w:rPr>
                <w:rFonts w:ascii="黑体" w:hAnsi="黑体" w:eastAsia="黑体"/>
                <w:color w:val="000000" w:themeColor="text1"/>
                <w:sz w:val="24"/>
                <w:szCs w:val="24"/>
                <w:u w:val="single"/>
                <w14:textFill>
                  <w14:solidFill>
                    <w14:schemeClr w14:val="tx1"/>
                  </w14:solidFill>
                </w14:textFill>
              </w:rPr>
              <w:t xml:space="preserve">                                       </w:t>
            </w:r>
          </w:p>
        </w:tc>
      </w:tr>
      <w:tr w14:paraId="79224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1421" w:type="pct"/>
            <w:vAlign w:val="center"/>
          </w:tcPr>
          <w:p w14:paraId="7C76D121">
            <w:pPr>
              <w:tabs>
                <w:tab w:val="left" w:pos="170"/>
              </w:tabs>
              <w:spacing w:line="360" w:lineRule="auto"/>
              <w:jc w:val="right"/>
              <w:rPr>
                <w:rFonts w:ascii="黑体" w:hAnsi="黑体" w:eastAsia="黑体"/>
                <w:color w:val="000000" w:themeColor="text1"/>
                <w:sz w:val="24"/>
                <w:szCs w:val="24"/>
                <w14:textFill>
                  <w14:solidFill>
                    <w14:schemeClr w14:val="tx1"/>
                  </w14:solidFill>
                </w14:textFill>
              </w:rPr>
            </w:pPr>
            <w:r>
              <w:rPr>
                <w:rFonts w:hint="eastAsia" w:ascii="黑体" w:hAnsi="黑体" w:eastAsia="黑体"/>
                <w:color w:val="000000" w:themeColor="text1"/>
                <w:spacing w:val="24"/>
                <w:sz w:val="24"/>
                <w:szCs w:val="24"/>
                <w14:textFill>
                  <w14:solidFill>
                    <w14:schemeClr w14:val="tx1"/>
                  </w14:solidFill>
                </w14:textFill>
              </w:rPr>
              <w:t>联系电话</w:t>
            </w:r>
            <w:r>
              <w:rPr>
                <w:rFonts w:hint="eastAsia" w:ascii="黑体" w:hAnsi="黑体" w:eastAsia="黑体"/>
                <w:color w:val="000000" w:themeColor="text1"/>
                <w:sz w:val="24"/>
                <w:szCs w:val="24"/>
                <w14:textFill>
                  <w14:solidFill>
                    <w14:schemeClr w14:val="tx1"/>
                  </w14:solidFill>
                </w14:textFill>
              </w:rPr>
              <w:t>：</w:t>
            </w:r>
          </w:p>
        </w:tc>
        <w:tc>
          <w:tcPr>
            <w:tcW w:w="3579" w:type="pct"/>
            <w:vAlign w:val="center"/>
          </w:tcPr>
          <w:p w14:paraId="7541D200">
            <w:pPr>
              <w:spacing w:line="360" w:lineRule="auto"/>
              <w:jc w:val="left"/>
              <w:rPr>
                <w:rFonts w:ascii="黑体" w:hAnsi="黑体" w:eastAsia="黑体"/>
                <w:color w:val="000000" w:themeColor="text1"/>
                <w:sz w:val="24"/>
                <w:szCs w:val="24"/>
                <w:u w:val="single"/>
                <w14:textFill>
                  <w14:solidFill>
                    <w14:schemeClr w14:val="tx1"/>
                  </w14:solidFill>
                </w14:textFill>
              </w:rPr>
            </w:pPr>
            <w:r>
              <w:rPr>
                <w:rFonts w:ascii="黑体" w:hAnsi="黑体" w:eastAsia="黑体"/>
                <w:color w:val="000000" w:themeColor="text1"/>
                <w:sz w:val="24"/>
                <w:szCs w:val="24"/>
                <w:u w:val="single"/>
                <w14:textFill>
                  <w14:solidFill>
                    <w14:schemeClr w14:val="tx1"/>
                  </w14:solidFill>
                </w14:textFill>
              </w:rPr>
              <w:t xml:space="preserve">                                       </w:t>
            </w:r>
          </w:p>
        </w:tc>
      </w:tr>
    </w:tbl>
    <w:p w14:paraId="327D0A89">
      <w:pPr>
        <w:spacing w:before="468" w:beforeLines="150" w:line="600" w:lineRule="exact"/>
        <w:jc w:val="center"/>
        <w:rPr>
          <w:rFonts w:ascii="黑体" w:hAnsi="黑体" w:eastAsia="黑体"/>
          <w:b/>
          <w:bCs/>
          <w:spacing w:val="40"/>
          <w:sz w:val="24"/>
          <w:szCs w:val="24"/>
        </w:rPr>
      </w:pPr>
      <w:r>
        <w:rPr>
          <w:rFonts w:hint="eastAsia" w:ascii="黑体" w:hAnsi="黑体" w:eastAsia="黑体"/>
          <w:b/>
          <w:spacing w:val="40"/>
          <w:sz w:val="24"/>
          <w:szCs w:val="24"/>
        </w:rPr>
        <w:t>日期：</w:t>
      </w:r>
      <w:r>
        <w:rPr>
          <w:rFonts w:hint="eastAsia" w:ascii="黑体" w:hAnsi="黑体" w:eastAsia="黑体"/>
          <w:b/>
          <w:spacing w:val="20"/>
          <w:szCs w:val="21"/>
        </w:rPr>
        <w:t xml:space="preserve">    </w:t>
      </w:r>
      <w:r>
        <w:rPr>
          <w:rFonts w:hint="eastAsia" w:ascii="黑体" w:hAnsi="黑体" w:eastAsia="黑体"/>
          <w:b/>
          <w:spacing w:val="40"/>
          <w:sz w:val="24"/>
          <w:szCs w:val="24"/>
        </w:rPr>
        <w:t xml:space="preserve">年 </w:t>
      </w:r>
      <w:r>
        <w:rPr>
          <w:rFonts w:ascii="黑体" w:hAnsi="黑体" w:eastAsia="黑体"/>
          <w:b/>
          <w:spacing w:val="40"/>
          <w:sz w:val="24"/>
          <w:szCs w:val="24"/>
        </w:rPr>
        <w:t xml:space="preserve"> </w:t>
      </w:r>
      <w:r>
        <w:rPr>
          <w:rFonts w:hint="eastAsia" w:ascii="黑体" w:hAnsi="黑体" w:eastAsia="黑体"/>
          <w:b/>
          <w:spacing w:val="40"/>
          <w:sz w:val="24"/>
          <w:szCs w:val="24"/>
        </w:rPr>
        <w:t xml:space="preserve">月 </w:t>
      </w:r>
      <w:r>
        <w:rPr>
          <w:rFonts w:ascii="黑体" w:hAnsi="黑体" w:eastAsia="黑体"/>
          <w:b/>
          <w:spacing w:val="40"/>
          <w:sz w:val="24"/>
          <w:szCs w:val="24"/>
        </w:rPr>
        <w:t xml:space="preserve"> </w:t>
      </w:r>
      <w:r>
        <w:rPr>
          <w:rFonts w:hint="eastAsia" w:ascii="黑体" w:hAnsi="黑体" w:eastAsia="黑体"/>
          <w:b/>
          <w:spacing w:val="40"/>
          <w:sz w:val="24"/>
          <w:szCs w:val="24"/>
        </w:rPr>
        <w:t>日</w:t>
      </w:r>
    </w:p>
    <w:p w14:paraId="69086683">
      <w:pPr>
        <w:spacing w:line="360" w:lineRule="auto"/>
        <w:rPr>
          <w:rFonts w:ascii="黑体" w:hAnsi="黑体" w:eastAsia="黑体"/>
          <w:color w:val="000000" w:themeColor="text1"/>
          <w14:textFill>
            <w14:solidFill>
              <w14:schemeClr w14:val="tx1"/>
            </w14:solidFill>
          </w14:textFill>
        </w:rPr>
      </w:pPr>
    </w:p>
    <w:p w14:paraId="591E0A54">
      <w:pPr>
        <w:spacing w:line="360" w:lineRule="auto"/>
        <w:rPr>
          <w:rFonts w:ascii="黑体" w:hAnsi="黑体" w:eastAsia="黑体"/>
          <w:color w:val="000000" w:themeColor="text1"/>
          <w14:textFill>
            <w14:solidFill>
              <w14:schemeClr w14:val="tx1"/>
            </w14:solidFill>
          </w14:textFill>
        </w:rPr>
      </w:pPr>
    </w:p>
    <w:p w14:paraId="0DCFCA1A">
      <w:pPr>
        <w:pStyle w:val="29"/>
        <w:numPr>
          <w:ilvl w:val="0"/>
          <w:numId w:val="124"/>
        </w:numPr>
        <w:spacing w:before="312" w:beforeLines="100" w:after="312" w:afterLines="100" w:line="360" w:lineRule="auto"/>
        <w:ind w:firstLineChars="0"/>
        <w:jc w:val="left"/>
        <w:rPr>
          <w:rFonts w:ascii="黑体" w:hAnsi="黑体" w:eastAsia="黑体"/>
          <w:b/>
          <w:spacing w:val="20"/>
          <w:sz w:val="28"/>
          <w:szCs w:val="28"/>
        </w:rPr>
      </w:pPr>
      <w:r>
        <w:rPr>
          <w:rFonts w:hint="eastAsia" w:ascii="黑体" w:hAnsi="黑体" w:eastAsia="黑体"/>
          <w:b/>
          <w:spacing w:val="20"/>
          <w:sz w:val="28"/>
          <w:szCs w:val="28"/>
        </w:rPr>
        <w:t>唱标信封内装：</w:t>
      </w:r>
    </w:p>
    <w:p w14:paraId="40DAC23A">
      <w:pPr>
        <w:pStyle w:val="29"/>
        <w:numPr>
          <w:ilvl w:val="0"/>
          <w:numId w:val="125"/>
        </w:numPr>
        <w:spacing w:line="360" w:lineRule="auto"/>
        <w:ind w:firstLineChars="0"/>
        <w:rPr>
          <w:rFonts w:ascii="黑体" w:hAnsi="黑体" w:eastAsia="黑体"/>
          <w:szCs w:val="21"/>
        </w:rPr>
      </w:pPr>
      <w:r>
        <w:rPr>
          <w:rFonts w:hint="eastAsia" w:ascii="黑体" w:hAnsi="黑体" w:eastAsia="黑体"/>
          <w:szCs w:val="21"/>
        </w:rPr>
        <w:t>开标一览表加盖投标人公章；</w:t>
      </w:r>
    </w:p>
    <w:p w14:paraId="235A13F9">
      <w:pPr>
        <w:pStyle w:val="29"/>
        <w:numPr>
          <w:ilvl w:val="0"/>
          <w:numId w:val="125"/>
        </w:numPr>
        <w:spacing w:line="360" w:lineRule="auto"/>
        <w:ind w:firstLineChars="0"/>
        <w:rPr>
          <w:rFonts w:ascii="黑体" w:hAnsi="黑体" w:eastAsia="黑体"/>
          <w:szCs w:val="21"/>
        </w:rPr>
      </w:pPr>
      <w:r>
        <w:rPr>
          <w:rFonts w:hint="eastAsia" w:ascii="黑体" w:hAnsi="黑体" w:eastAsia="黑体"/>
          <w:szCs w:val="21"/>
        </w:rPr>
        <w:t>分项报价表加盖投标人公章；</w:t>
      </w:r>
    </w:p>
    <w:p w14:paraId="08CA01E9">
      <w:pPr>
        <w:pStyle w:val="29"/>
        <w:numPr>
          <w:ilvl w:val="0"/>
          <w:numId w:val="125"/>
        </w:numPr>
        <w:spacing w:line="360" w:lineRule="auto"/>
        <w:ind w:firstLineChars="0"/>
        <w:rPr>
          <w:rFonts w:ascii="黑体" w:hAnsi="黑体" w:eastAsia="黑体"/>
          <w:szCs w:val="21"/>
        </w:rPr>
      </w:pPr>
      <w:r>
        <w:rPr>
          <w:rFonts w:hint="eastAsia" w:ascii="黑体" w:hAnsi="黑体" w:eastAsia="黑体"/>
          <w:szCs w:val="21"/>
        </w:rPr>
        <w:t>法定代表人证明书或法定代表人授权委托书加盖投标人公章；</w:t>
      </w:r>
    </w:p>
    <w:p w14:paraId="69BB54E8">
      <w:pPr>
        <w:pStyle w:val="29"/>
        <w:numPr>
          <w:ilvl w:val="0"/>
          <w:numId w:val="125"/>
        </w:numPr>
        <w:spacing w:line="360" w:lineRule="auto"/>
        <w:ind w:firstLineChars="0"/>
        <w:rPr>
          <w:rFonts w:ascii="黑体" w:hAnsi="黑体" w:eastAsia="黑体"/>
          <w:szCs w:val="21"/>
        </w:rPr>
      </w:pPr>
      <w:r>
        <w:rPr>
          <w:rFonts w:hint="eastAsia" w:ascii="黑体" w:hAnsi="黑体" w:eastAsia="黑体"/>
          <w:szCs w:val="21"/>
        </w:rPr>
        <w:t>电子文件（</w:t>
      </w:r>
      <w:r>
        <w:rPr>
          <w:rFonts w:ascii="黑体" w:hAnsi="黑体" w:eastAsia="黑体"/>
          <w:szCs w:val="21"/>
        </w:rPr>
        <w:t>CD-R光盘或</w:t>
      </w:r>
      <w:r>
        <w:rPr>
          <w:rFonts w:hint="eastAsia" w:ascii="黑体" w:hAnsi="黑体" w:eastAsia="黑体"/>
          <w:szCs w:val="21"/>
        </w:rPr>
        <w:t>U</w:t>
      </w:r>
      <w:r>
        <w:rPr>
          <w:rFonts w:ascii="黑体" w:hAnsi="黑体" w:eastAsia="黑体"/>
          <w:szCs w:val="21"/>
        </w:rPr>
        <w:t>盘）；</w:t>
      </w:r>
    </w:p>
    <w:p w14:paraId="0AF624E9">
      <w:pPr>
        <w:pStyle w:val="29"/>
        <w:numPr>
          <w:ilvl w:val="0"/>
          <w:numId w:val="125"/>
        </w:numPr>
        <w:spacing w:line="360" w:lineRule="auto"/>
        <w:ind w:firstLineChars="0"/>
        <w:rPr>
          <w:rFonts w:ascii="黑体" w:hAnsi="黑体" w:eastAsia="黑体"/>
          <w:szCs w:val="21"/>
        </w:rPr>
      </w:pPr>
      <w:r>
        <w:rPr>
          <w:rFonts w:hint="eastAsia" w:ascii="黑体" w:hAnsi="黑体" w:eastAsia="黑体"/>
          <w:bCs/>
          <w:szCs w:val="21"/>
        </w:rPr>
        <w:t>其他格式（如有）</w:t>
      </w:r>
      <w:r>
        <w:rPr>
          <w:rFonts w:hint="eastAsia" w:ascii="黑体" w:hAnsi="黑体" w:eastAsia="黑体"/>
          <w:szCs w:val="21"/>
        </w:rPr>
        <w:t>。</w:t>
      </w:r>
    </w:p>
    <w:sectPr>
      <w:headerReference r:id="rId3" w:type="default"/>
      <w:footerReference r:id="rId4" w:type="default"/>
      <w:pgSz w:w="11906" w:h="16838"/>
      <w:pgMar w:top="1521" w:right="1558" w:bottom="993" w:left="1797" w:header="851" w:footer="680"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315469"/>
      <w:docPartObj>
        <w:docPartGallery w:val="autotext"/>
      </w:docPartObj>
    </w:sdtPr>
    <w:sdtContent>
      <w:p w14:paraId="752094B2">
        <w:pPr>
          <w:pStyle w:val="13"/>
          <w:jc w:val="center"/>
        </w:pPr>
        <w:r>
          <w:fldChar w:fldCharType="begin"/>
        </w:r>
        <w:r>
          <w:instrText xml:space="preserve"> PAGE   \* MERGEFORMAT </w:instrText>
        </w:r>
        <w:r>
          <w:fldChar w:fldCharType="separate"/>
        </w:r>
        <w:r>
          <w:rPr>
            <w:lang w:val="zh-CN"/>
          </w:rPr>
          <w:t>7</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4DB10A">
    <w:pPr>
      <w:pStyle w:val="14"/>
      <w:jc w:val="left"/>
      <w:rPr>
        <w:rFonts w:ascii="黑体" w:hAnsi="黑体" w:eastAsia="黑体"/>
        <w:color w:val="FF0000"/>
      </w:rPr>
    </w:pPr>
    <w:r>
      <w:rPr>
        <w:rFonts w:hint="eastAsia" w:ascii="黑体" w:hAnsi="黑体" w:eastAsia="黑体"/>
        <w:sz w:val="21"/>
        <w:szCs w:val="21"/>
      </w:rPr>
      <w:drawing>
        <wp:inline distT="0" distB="0" distL="0" distR="0">
          <wp:extent cx="835660" cy="253365"/>
          <wp:effectExtent l="19050" t="0" r="2323" b="0"/>
          <wp:docPr id="4" name="图片 4" descr="F:\东莞分公司（内部综合）\东莞分公司（各类事项表格）\东莞分公司（LOGO）\有德横向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东莞分公司（内部综合）\东莞分公司（各类事项表格）\东莞分公司（LOGO）\有德横向LOGO.jpg"/>
                  <pic:cNvPicPr>
                    <a:picLocks noChangeAspect="1" noChangeArrowheads="1"/>
                  </pic:cNvPicPr>
                </pic:nvPicPr>
                <pic:blipFill>
                  <a:blip r:embed="rId1"/>
                  <a:srcRect/>
                  <a:stretch>
                    <a:fillRect/>
                  </a:stretch>
                </pic:blipFill>
                <pic:spPr>
                  <a:xfrm>
                    <a:off x="0" y="0"/>
                    <a:ext cx="844330" cy="256246"/>
                  </a:xfrm>
                  <a:prstGeom prst="rect">
                    <a:avLst/>
                  </a:prstGeom>
                  <a:noFill/>
                  <a:ln w="9525">
                    <a:noFill/>
                    <a:miter lim="800000"/>
                    <a:headEnd/>
                    <a:tailEnd/>
                  </a:ln>
                </pic:spPr>
              </pic:pic>
            </a:graphicData>
          </a:graphic>
        </wp:inline>
      </w:drawing>
    </w:r>
    <w:r>
      <w:rPr>
        <w:rFonts w:hint="eastAsia" w:ascii="黑体" w:hAnsi="黑体" w:eastAsia="黑体"/>
        <w:sz w:val="21"/>
        <w:szCs w:val="21"/>
      </w:rPr>
      <w:t xml:space="preserve">                                   </w:t>
    </w:r>
    <w:r>
      <w:rPr>
        <w:rFonts w:hint="eastAsia" w:ascii="黑体" w:hAnsi="黑体" w:eastAsia="黑体"/>
        <w:color w:val="FF0000"/>
        <w:sz w:val="21"/>
        <w:szCs w:val="21"/>
      </w:rPr>
      <w:t xml:space="preserve">         </w:t>
    </w:r>
    <w:r>
      <w:rPr>
        <w:rFonts w:ascii="黑体" w:hAnsi="黑体" w:eastAsia="黑体"/>
        <w:color w:val="FF0000"/>
        <w:sz w:val="21"/>
        <w:szCs w:val="21"/>
      </w:rPr>
      <w:t xml:space="preserve">   </w:t>
    </w:r>
    <w:r>
      <w:rPr>
        <w:rFonts w:hint="eastAsia" w:ascii="黑体" w:hAnsi="黑体" w:eastAsia="黑体"/>
        <w:color w:val="FF0000"/>
        <w:sz w:val="21"/>
        <w:szCs w:val="21"/>
      </w:rPr>
      <w:t xml:space="preserve"> </w:t>
    </w:r>
    <w:r>
      <w:rPr>
        <w:rFonts w:hint="eastAsia" w:ascii="黑体" w:hAnsi="黑体" w:eastAsia="黑体"/>
        <w:color w:val="FF0000"/>
      </w:rPr>
      <w:t>广东有德招标采购有限公司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B3F7B8"/>
    <w:multiLevelType w:val="singleLevel"/>
    <w:tmpl w:val="8BB3F7B8"/>
    <w:lvl w:ilvl="0" w:tentative="0">
      <w:start w:val="1"/>
      <w:numFmt w:val="decimal"/>
      <w:lvlText w:val="(%1)"/>
      <w:lvlJc w:val="left"/>
      <w:pPr>
        <w:ind w:left="425" w:hanging="425"/>
      </w:pPr>
      <w:rPr>
        <w:rFonts w:hint="default"/>
      </w:rPr>
    </w:lvl>
  </w:abstractNum>
  <w:abstractNum w:abstractNumId="1">
    <w:nsid w:val="8EBA84FA"/>
    <w:multiLevelType w:val="singleLevel"/>
    <w:tmpl w:val="8EBA84FA"/>
    <w:lvl w:ilvl="0" w:tentative="0">
      <w:start w:val="1"/>
      <w:numFmt w:val="decimal"/>
      <w:lvlText w:val="(%1)"/>
      <w:lvlJc w:val="left"/>
      <w:pPr>
        <w:ind w:left="425" w:hanging="425"/>
      </w:pPr>
      <w:rPr>
        <w:rFonts w:hint="default"/>
      </w:rPr>
    </w:lvl>
  </w:abstractNum>
  <w:abstractNum w:abstractNumId="2">
    <w:nsid w:val="905E858B"/>
    <w:multiLevelType w:val="multilevel"/>
    <w:tmpl w:val="905E858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
    <w:nsid w:val="9D891B9B"/>
    <w:multiLevelType w:val="multilevel"/>
    <w:tmpl w:val="9D891B9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A2AF49F9"/>
    <w:multiLevelType w:val="singleLevel"/>
    <w:tmpl w:val="A2AF49F9"/>
    <w:lvl w:ilvl="0" w:tentative="0">
      <w:start w:val="1"/>
      <w:numFmt w:val="decimal"/>
      <w:lvlText w:val="%1."/>
      <w:lvlJc w:val="left"/>
      <w:pPr>
        <w:ind w:left="425" w:hanging="425"/>
      </w:pPr>
      <w:rPr>
        <w:rFonts w:hint="default"/>
      </w:rPr>
    </w:lvl>
  </w:abstractNum>
  <w:abstractNum w:abstractNumId="5">
    <w:nsid w:val="A72F29C1"/>
    <w:multiLevelType w:val="multilevel"/>
    <w:tmpl w:val="A72F29C1"/>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AC37A75C"/>
    <w:multiLevelType w:val="singleLevel"/>
    <w:tmpl w:val="AC37A75C"/>
    <w:lvl w:ilvl="0" w:tentative="0">
      <w:start w:val="1"/>
      <w:numFmt w:val="decimal"/>
      <w:lvlText w:val="%1."/>
      <w:lvlJc w:val="left"/>
      <w:pPr>
        <w:ind w:left="425" w:hanging="425"/>
      </w:pPr>
      <w:rPr>
        <w:rFonts w:hint="default"/>
      </w:rPr>
    </w:lvl>
  </w:abstractNum>
  <w:abstractNum w:abstractNumId="7">
    <w:nsid w:val="AF334093"/>
    <w:multiLevelType w:val="singleLevel"/>
    <w:tmpl w:val="AF334093"/>
    <w:lvl w:ilvl="0" w:tentative="0">
      <w:start w:val="1"/>
      <w:numFmt w:val="decimal"/>
      <w:lvlText w:val="%1."/>
      <w:lvlJc w:val="left"/>
      <w:pPr>
        <w:ind w:left="425" w:hanging="425"/>
      </w:pPr>
      <w:rPr>
        <w:rFonts w:hint="default"/>
        <w:b w:val="0"/>
        <w:bCs w:val="0"/>
      </w:rPr>
    </w:lvl>
  </w:abstractNum>
  <w:abstractNum w:abstractNumId="8">
    <w:nsid w:val="BCD517AE"/>
    <w:multiLevelType w:val="multilevel"/>
    <w:tmpl w:val="BCD517A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C3C03C9F"/>
    <w:multiLevelType w:val="singleLevel"/>
    <w:tmpl w:val="C3C03C9F"/>
    <w:lvl w:ilvl="0" w:tentative="0">
      <w:start w:val="1"/>
      <w:numFmt w:val="decimal"/>
      <w:lvlText w:val="(%1)"/>
      <w:lvlJc w:val="left"/>
      <w:pPr>
        <w:ind w:left="425" w:hanging="425"/>
      </w:pPr>
      <w:rPr>
        <w:rFonts w:hint="default"/>
      </w:rPr>
    </w:lvl>
  </w:abstractNum>
  <w:abstractNum w:abstractNumId="10">
    <w:nsid w:val="D95DDBF2"/>
    <w:multiLevelType w:val="multilevel"/>
    <w:tmpl w:val="D95DDBF2"/>
    <w:lvl w:ilvl="0" w:tentative="0">
      <w:start w:val="1"/>
      <w:numFmt w:val="decimal"/>
      <w:lvlText w:val="%1."/>
      <w:lvlJc w:val="left"/>
      <w:pPr>
        <w:ind w:left="425" w:hanging="425"/>
      </w:pPr>
      <w:rPr>
        <w:rFonts w:hint="default"/>
      </w:rPr>
    </w:lvl>
    <w:lvl w:ilvl="1" w:tentative="0">
      <w:start w:val="1"/>
      <w:numFmt w:val="decimal"/>
      <w:lvlText w:val="3.%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1">
    <w:nsid w:val="DC9FB4E1"/>
    <w:multiLevelType w:val="singleLevel"/>
    <w:tmpl w:val="DC9FB4E1"/>
    <w:lvl w:ilvl="0" w:tentative="0">
      <w:start w:val="1"/>
      <w:numFmt w:val="decimal"/>
      <w:lvlText w:val="%1."/>
      <w:lvlJc w:val="left"/>
      <w:pPr>
        <w:ind w:left="425" w:hanging="425"/>
      </w:pPr>
      <w:rPr>
        <w:rFonts w:hint="default"/>
      </w:rPr>
    </w:lvl>
  </w:abstractNum>
  <w:abstractNum w:abstractNumId="12">
    <w:nsid w:val="E39A998B"/>
    <w:multiLevelType w:val="singleLevel"/>
    <w:tmpl w:val="E39A998B"/>
    <w:lvl w:ilvl="0" w:tentative="0">
      <w:start w:val="1"/>
      <w:numFmt w:val="decimal"/>
      <w:lvlText w:val="%1)"/>
      <w:lvlJc w:val="left"/>
      <w:pPr>
        <w:ind w:left="425" w:hanging="425"/>
      </w:pPr>
      <w:rPr>
        <w:rFonts w:hint="default"/>
        <w:b/>
        <w:bCs/>
      </w:rPr>
    </w:lvl>
  </w:abstractNum>
  <w:abstractNum w:abstractNumId="13">
    <w:nsid w:val="E4C1ADE4"/>
    <w:multiLevelType w:val="multilevel"/>
    <w:tmpl w:val="E4C1ADE4"/>
    <w:lvl w:ilvl="0" w:tentative="0">
      <w:start w:val="1"/>
      <w:numFmt w:val="japaneseCounting"/>
      <w:lvlText w:val="%1、"/>
      <w:lvlJc w:val="left"/>
      <w:pPr>
        <w:ind w:left="500" w:hanging="5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F26FEC81"/>
    <w:multiLevelType w:val="singleLevel"/>
    <w:tmpl w:val="F26FEC81"/>
    <w:lvl w:ilvl="0" w:tentative="0">
      <w:start w:val="1"/>
      <w:numFmt w:val="decimal"/>
      <w:lvlText w:val="%1."/>
      <w:lvlJc w:val="left"/>
      <w:pPr>
        <w:ind w:left="425" w:hanging="425"/>
      </w:pPr>
      <w:rPr>
        <w:rFonts w:hint="default"/>
      </w:rPr>
    </w:lvl>
  </w:abstractNum>
  <w:abstractNum w:abstractNumId="15">
    <w:nsid w:val="00253088"/>
    <w:multiLevelType w:val="multilevel"/>
    <w:tmpl w:val="00253088"/>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38A63D2"/>
    <w:multiLevelType w:val="multilevel"/>
    <w:tmpl w:val="038A63D2"/>
    <w:lvl w:ilvl="0" w:tentative="0">
      <w:start w:val="29"/>
      <w:numFmt w:val="decimal"/>
      <w:lvlText w:val="%1"/>
      <w:lvlJc w:val="left"/>
      <w:pPr>
        <w:ind w:left="425" w:hanging="425"/>
      </w:pPr>
      <w:rPr>
        <w:rFonts w:hint="eastAsia"/>
        <w:b/>
        <w:i w:val="0"/>
        <w:color w:val="auto"/>
        <w:sz w:val="21"/>
      </w:rPr>
    </w:lvl>
    <w:lvl w:ilvl="1" w:tentative="0">
      <w:start w:val="1"/>
      <w:numFmt w:val="decimal"/>
      <w:lvlText w:val="%1.%2"/>
      <w:lvlJc w:val="left"/>
      <w:pPr>
        <w:ind w:left="567" w:hanging="567"/>
      </w:pPr>
      <w:rPr>
        <w:rFonts w:hint="eastAsia"/>
        <w:b w:val="0"/>
      </w:rPr>
    </w:lvl>
    <w:lvl w:ilvl="2" w:tentative="0">
      <w:start w:val="1"/>
      <w:numFmt w:val="decimal"/>
      <w:lvlText w:val="%1.2.%3"/>
      <w:lvlJc w:val="left"/>
      <w:pPr>
        <w:ind w:left="709" w:hanging="709"/>
      </w:pPr>
      <w:rPr>
        <w:rFonts w:hint="eastAsia"/>
      </w:rPr>
    </w:lvl>
    <w:lvl w:ilvl="3" w:tentative="0">
      <w:start w:val="1"/>
      <w:numFmt w:val="decimal"/>
      <w:lvlText w:val="%1.3.%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7">
    <w:nsid w:val="040A34B3"/>
    <w:multiLevelType w:val="multilevel"/>
    <w:tmpl w:val="040A34B3"/>
    <w:lvl w:ilvl="0" w:tentative="0">
      <w:start w:val="1"/>
      <w:numFmt w:val="decimal"/>
      <w:lvlText w:val="14.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043631BE"/>
    <w:multiLevelType w:val="multilevel"/>
    <w:tmpl w:val="043631BE"/>
    <w:lvl w:ilvl="0" w:tentative="0">
      <w:start w:val="1"/>
      <w:numFmt w:val="decimal"/>
      <w:lvlText w:val="2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8.3.%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0">
    <w:nsid w:val="08AF46D7"/>
    <w:multiLevelType w:val="multilevel"/>
    <w:tmpl w:val="08AF46D7"/>
    <w:lvl w:ilvl="0" w:tentative="0">
      <w:start w:val="1"/>
      <w:numFmt w:val="decimal"/>
      <w:lvlText w:val="3.%1"/>
      <w:lvlJc w:val="left"/>
      <w:pPr>
        <w:ind w:left="94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0A9528F9"/>
    <w:multiLevelType w:val="multilevel"/>
    <w:tmpl w:val="0A9528F9"/>
    <w:lvl w:ilvl="0" w:tentative="0">
      <w:start w:val="1"/>
      <w:numFmt w:val="decimal"/>
      <w:lvlText w:val="1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0B5D1CF6"/>
    <w:multiLevelType w:val="multilevel"/>
    <w:tmpl w:val="0B5D1CF6"/>
    <w:lvl w:ilvl="0" w:tentative="0">
      <w:start w:val="1"/>
      <w:numFmt w:val="decimal"/>
      <w:lvlText w:val="1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0D1B0D4A"/>
    <w:multiLevelType w:val="singleLevel"/>
    <w:tmpl w:val="0D1B0D4A"/>
    <w:lvl w:ilvl="0" w:tentative="0">
      <w:start w:val="1"/>
      <w:numFmt w:val="decimal"/>
      <w:lvlText w:val="(%1)"/>
      <w:lvlJc w:val="left"/>
      <w:pPr>
        <w:ind w:left="425" w:hanging="425"/>
      </w:pPr>
      <w:rPr>
        <w:rFonts w:hint="default"/>
      </w:rPr>
    </w:lvl>
  </w:abstractNum>
  <w:abstractNum w:abstractNumId="25">
    <w:nsid w:val="0EE76AD9"/>
    <w:multiLevelType w:val="multilevel"/>
    <w:tmpl w:val="0EE76AD9"/>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10FE07D7"/>
    <w:multiLevelType w:val="multilevel"/>
    <w:tmpl w:val="10FE07D7"/>
    <w:lvl w:ilvl="0" w:tentative="0">
      <w:start w:val="1"/>
      <w:numFmt w:val="decimal"/>
      <w:lvlText w:val="2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11854C77"/>
    <w:multiLevelType w:val="multilevel"/>
    <w:tmpl w:val="11854C7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176E0134"/>
    <w:multiLevelType w:val="multilevel"/>
    <w:tmpl w:val="176E0134"/>
    <w:lvl w:ilvl="0" w:tentative="0">
      <w:start w:val="1"/>
      <w:numFmt w:val="decimal"/>
      <w:lvlText w:val="2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183154B4"/>
    <w:multiLevelType w:val="multilevel"/>
    <w:tmpl w:val="183154B4"/>
    <w:lvl w:ilvl="0" w:tentative="0">
      <w:start w:val="1"/>
      <w:numFmt w:val="decimal"/>
      <w:lvlText w:val="2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19CD77AF"/>
    <w:multiLevelType w:val="multilevel"/>
    <w:tmpl w:val="19CD77AF"/>
    <w:lvl w:ilvl="0" w:tentative="0">
      <w:start w:val="1"/>
      <w:numFmt w:val="decimal"/>
      <w:lvlText w:val="3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1A00FA81"/>
    <w:multiLevelType w:val="multilevel"/>
    <w:tmpl w:val="1A00FA81"/>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2">
    <w:nsid w:val="1A600377"/>
    <w:multiLevelType w:val="multilevel"/>
    <w:tmpl w:val="1A600377"/>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1A973E3B"/>
    <w:multiLevelType w:val="multilevel"/>
    <w:tmpl w:val="1A973E3B"/>
    <w:lvl w:ilvl="0" w:tentative="0">
      <w:start w:val="1"/>
      <w:numFmt w:val="decimal"/>
      <w:lvlText w:val="1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1C4E0595"/>
    <w:multiLevelType w:val="multilevel"/>
    <w:tmpl w:val="1C4E059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5">
    <w:nsid w:val="1D8CFBE0"/>
    <w:multiLevelType w:val="multilevel"/>
    <w:tmpl w:val="1D8CFBE0"/>
    <w:lvl w:ilvl="0" w:tentative="0">
      <w:start w:val="1"/>
      <w:numFmt w:val="decimal"/>
      <w:lvlText w:val="%1."/>
      <w:lvlJc w:val="left"/>
      <w:pPr>
        <w:ind w:left="425" w:hanging="425"/>
      </w:pPr>
      <w:rPr>
        <w:rFonts w:hint="default"/>
      </w:rPr>
    </w:lvl>
    <w:lvl w:ilvl="1" w:tentative="0">
      <w:start w:val="1"/>
      <w:numFmt w:val="decimal"/>
      <w:lvlText w:val="2.%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6">
    <w:nsid w:val="1DA21561"/>
    <w:multiLevelType w:val="multilevel"/>
    <w:tmpl w:val="1DA21561"/>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2.%3"/>
      <w:lvlJc w:val="left"/>
      <w:pPr>
        <w:ind w:left="709" w:hanging="709"/>
      </w:pPr>
      <w:rPr>
        <w:rFonts w:hint="eastAsia"/>
      </w:rPr>
    </w:lvl>
    <w:lvl w:ilvl="3" w:tentative="0">
      <w:start w:val="1"/>
      <w:numFmt w:val="decimal"/>
      <w:lvlText w:val="30.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7">
    <w:nsid w:val="1E0E2DA0"/>
    <w:multiLevelType w:val="multilevel"/>
    <w:tmpl w:val="1E0E2DA0"/>
    <w:lvl w:ilvl="0" w:tentative="0">
      <w:start w:val="1"/>
      <w:numFmt w:val="decimal"/>
      <w:lvlText w:val="%1"/>
      <w:lvlJc w:val="left"/>
      <w:pPr>
        <w:ind w:left="425" w:hanging="425"/>
      </w:pPr>
      <w:rPr>
        <w:rFonts w:hint="eastAsia"/>
        <w:b/>
        <w:i w:val="0"/>
        <w:color w:val="auto"/>
        <w:sz w:val="21"/>
      </w:rPr>
    </w:lvl>
    <w:lvl w:ilvl="1" w:tentative="0">
      <w:start w:val="1"/>
      <w:numFmt w:val="decimal"/>
      <w:lvlText w:val="29.%2"/>
      <w:lvlJc w:val="left"/>
      <w:pPr>
        <w:ind w:left="567" w:hanging="567"/>
      </w:pPr>
      <w:rPr>
        <w:rFonts w:hint="eastAsia"/>
        <w:b/>
        <w:bCs w:val="0"/>
        <w:color w:val="auto"/>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8">
    <w:nsid w:val="1F1F0EBB"/>
    <w:multiLevelType w:val="multilevel"/>
    <w:tmpl w:val="1F1F0EBB"/>
    <w:lvl w:ilvl="0" w:tentative="0">
      <w:start w:val="1"/>
      <w:numFmt w:val="decimal"/>
      <w:lvlText w:val="3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8.%2"/>
      <w:lvlJc w:val="left"/>
      <w:pPr>
        <w:ind w:left="567" w:hanging="567"/>
      </w:pPr>
      <w:rPr>
        <w:rFonts w:hint="eastAsia"/>
        <w:b/>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0">
    <w:nsid w:val="25F566EF"/>
    <w:multiLevelType w:val="multilevel"/>
    <w:tmpl w:val="25F566EF"/>
    <w:lvl w:ilvl="0" w:tentative="0">
      <w:start w:val="1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12.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1">
    <w:nsid w:val="276B6FB6"/>
    <w:multiLevelType w:val="multilevel"/>
    <w:tmpl w:val="276B6FB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2A16535C"/>
    <w:multiLevelType w:val="multilevel"/>
    <w:tmpl w:val="2A16535C"/>
    <w:lvl w:ilvl="0" w:tentative="0">
      <w:start w:val="1"/>
      <w:numFmt w:val="decimal"/>
      <w:lvlText w:val="1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2B1320B6"/>
    <w:multiLevelType w:val="multilevel"/>
    <w:tmpl w:val="2B1320B6"/>
    <w:lvl w:ilvl="0" w:tentative="0">
      <w:start w:val="1"/>
      <w:numFmt w:val="decimal"/>
      <w:lvlText w:val="2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2B8721E3"/>
    <w:multiLevelType w:val="multilevel"/>
    <w:tmpl w:val="2B8721E3"/>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5">
    <w:nsid w:val="2BC44AEE"/>
    <w:multiLevelType w:val="singleLevel"/>
    <w:tmpl w:val="2BC44AEE"/>
    <w:lvl w:ilvl="0" w:tentative="0">
      <w:start w:val="1"/>
      <w:numFmt w:val="decimal"/>
      <w:lvlText w:val="%1."/>
      <w:lvlJc w:val="left"/>
      <w:pPr>
        <w:ind w:left="425" w:hanging="425"/>
      </w:pPr>
      <w:rPr>
        <w:rFonts w:hint="default"/>
      </w:rPr>
    </w:lvl>
  </w:abstractNum>
  <w:abstractNum w:abstractNumId="46">
    <w:nsid w:val="2C2B1E1F"/>
    <w:multiLevelType w:val="multilevel"/>
    <w:tmpl w:val="2C2B1E1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2E8F60A7"/>
    <w:multiLevelType w:val="multilevel"/>
    <w:tmpl w:val="2E8F60A7"/>
    <w:lvl w:ilvl="0" w:tentative="0">
      <w:start w:val="1"/>
      <w:numFmt w:val="decimal"/>
      <w:lvlText w:val="2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2EE140CA"/>
    <w:multiLevelType w:val="singleLevel"/>
    <w:tmpl w:val="2EE140CA"/>
    <w:lvl w:ilvl="0" w:tentative="0">
      <w:start w:val="1"/>
      <w:numFmt w:val="decimal"/>
      <w:lvlText w:val="%1."/>
      <w:lvlJc w:val="left"/>
      <w:pPr>
        <w:ind w:left="425" w:hanging="425"/>
      </w:pPr>
      <w:rPr>
        <w:rFonts w:hint="default"/>
      </w:rPr>
    </w:lvl>
  </w:abstractNum>
  <w:abstractNum w:abstractNumId="49">
    <w:nsid w:val="2F8426FB"/>
    <w:multiLevelType w:val="multilevel"/>
    <w:tmpl w:val="2F8426F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2FF332FE"/>
    <w:multiLevelType w:val="multilevel"/>
    <w:tmpl w:val="2FF332F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1">
    <w:nsid w:val="30E620E1"/>
    <w:multiLevelType w:val="multilevel"/>
    <w:tmpl w:val="30E620E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32BF1864"/>
    <w:multiLevelType w:val="multilevel"/>
    <w:tmpl w:val="32BF1864"/>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3420BF51"/>
    <w:multiLevelType w:val="singleLevel"/>
    <w:tmpl w:val="3420BF51"/>
    <w:lvl w:ilvl="0" w:tentative="0">
      <w:start w:val="1"/>
      <w:numFmt w:val="decimal"/>
      <w:lvlText w:val="%1."/>
      <w:lvlJc w:val="left"/>
      <w:pPr>
        <w:ind w:left="425" w:hanging="425"/>
      </w:pPr>
      <w:rPr>
        <w:rFonts w:hint="default"/>
      </w:rPr>
    </w:lvl>
  </w:abstractNum>
  <w:abstractNum w:abstractNumId="55">
    <w:nsid w:val="346594E8"/>
    <w:multiLevelType w:val="singleLevel"/>
    <w:tmpl w:val="346594E8"/>
    <w:lvl w:ilvl="0" w:tentative="0">
      <w:start w:val="1"/>
      <w:numFmt w:val="decimal"/>
      <w:lvlText w:val="%1."/>
      <w:lvlJc w:val="left"/>
      <w:pPr>
        <w:ind w:left="425" w:hanging="425"/>
      </w:pPr>
      <w:rPr>
        <w:rFonts w:hint="default"/>
      </w:rPr>
    </w:lvl>
  </w:abstractNum>
  <w:abstractNum w:abstractNumId="56">
    <w:nsid w:val="346F47EE"/>
    <w:multiLevelType w:val="multilevel"/>
    <w:tmpl w:val="346F47EE"/>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34CE7977"/>
    <w:multiLevelType w:val="multilevel"/>
    <w:tmpl w:val="34CE7977"/>
    <w:lvl w:ilvl="0" w:tentative="0">
      <w:start w:val="1"/>
      <w:numFmt w:val="decimal"/>
      <w:lvlText w:val="%1."/>
      <w:lvlJc w:val="left"/>
      <w:pPr>
        <w:ind w:left="360" w:hanging="36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8">
    <w:nsid w:val="35EA1EC4"/>
    <w:multiLevelType w:val="multilevel"/>
    <w:tmpl w:val="35EA1EC4"/>
    <w:lvl w:ilvl="0" w:tentative="0">
      <w:start w:val="1"/>
      <w:numFmt w:val="chineseCountingThousand"/>
      <w:lvlText w:val="%1 "/>
      <w:lvlJc w:val="left"/>
      <w:pPr>
        <w:ind w:left="420" w:hanging="420"/>
      </w:pPr>
      <w:rPr>
        <w:rFonts w:hint="eastAsia"/>
        <w:b/>
        <w:i w:val="0"/>
        <w:color w:val="auto"/>
        <w:sz w:val="21"/>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36603967"/>
    <w:multiLevelType w:val="multilevel"/>
    <w:tmpl w:val="36603967"/>
    <w:lvl w:ilvl="0" w:tentative="0">
      <w:start w:val="1"/>
      <w:numFmt w:val="decimal"/>
      <w:lvlText w:val="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3B5D1229"/>
    <w:multiLevelType w:val="multilevel"/>
    <w:tmpl w:val="3B5D1229"/>
    <w:lvl w:ilvl="0" w:tentative="0">
      <w:start w:val="1"/>
      <w:numFmt w:val="decimal"/>
      <w:lvlText w:val="1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2">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3">
    <w:nsid w:val="3E7B3266"/>
    <w:multiLevelType w:val="multilevel"/>
    <w:tmpl w:val="3E7B3266"/>
    <w:lvl w:ilvl="0" w:tentative="0">
      <w:start w:val="1"/>
      <w:numFmt w:val="decimal"/>
      <w:lvlText w:val="3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3EDA68BD"/>
    <w:multiLevelType w:val="multilevel"/>
    <w:tmpl w:val="3EDA68B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406E8A45"/>
    <w:multiLevelType w:val="multilevel"/>
    <w:tmpl w:val="406E8A45"/>
    <w:lvl w:ilvl="0" w:tentative="0">
      <w:start w:val="1"/>
      <w:numFmt w:val="chineseCounting"/>
      <w:suff w:val="nothing"/>
      <w:lvlText w:val="第%1章 "/>
      <w:lvlJc w:val="left"/>
      <w:pPr>
        <w:ind w:left="425" w:hanging="425"/>
      </w:pPr>
      <w:rPr>
        <w:rFonts w:hint="eastAsia"/>
      </w:rPr>
    </w:lvl>
    <w:lvl w:ilvl="1" w:tentative="0">
      <w:start w:val="1"/>
      <w:numFmt w:val="decimal"/>
      <w:isLgl/>
      <w:lvlText w:val="%1.%2."/>
      <w:lvlJc w:val="left"/>
      <w:pPr>
        <w:ind w:left="567" w:hanging="567"/>
      </w:pPr>
      <w:rPr>
        <w:rFonts w:hint="eastAsia"/>
      </w:rPr>
    </w:lvl>
    <w:lvl w:ilvl="2" w:tentative="0">
      <w:start w:val="1"/>
      <w:numFmt w:val="decimal"/>
      <w:isLgl/>
      <w:lvlText w:val="%1.%2.%3."/>
      <w:lvlJc w:val="left"/>
      <w:pPr>
        <w:ind w:left="709" w:hanging="709"/>
      </w:pPr>
      <w:rPr>
        <w:rFonts w:hint="eastAsia"/>
      </w:rPr>
    </w:lvl>
    <w:lvl w:ilvl="3" w:tentative="0">
      <w:start w:val="1"/>
      <w:numFmt w:val="decimal"/>
      <w:isLgl/>
      <w:lvlText w:val="%1.%2.%3.%4."/>
      <w:lvlJc w:val="left"/>
      <w:pPr>
        <w:ind w:left="850" w:hanging="850"/>
      </w:pPr>
      <w:rPr>
        <w:rFonts w:hint="eastAsia"/>
      </w:rPr>
    </w:lvl>
    <w:lvl w:ilvl="4" w:tentative="0">
      <w:start w:val="1"/>
      <w:numFmt w:val="decimal"/>
      <w:isLgl/>
      <w:lvlText w:val="%1.%2.%3.%4.%5."/>
      <w:lvlJc w:val="left"/>
      <w:pPr>
        <w:ind w:left="991" w:hanging="991"/>
      </w:pPr>
      <w:rPr>
        <w:rFonts w:hint="eastAsia"/>
      </w:rPr>
    </w:lvl>
    <w:lvl w:ilvl="5" w:tentative="0">
      <w:start w:val="1"/>
      <w:numFmt w:val="decimal"/>
      <w:isLgl/>
      <w:lvlText w:val="%1.%2.%3.%4.%5.%6."/>
      <w:lvlJc w:val="left"/>
      <w:pPr>
        <w:ind w:left="1134" w:hanging="1134"/>
      </w:pPr>
      <w:rPr>
        <w:rFonts w:hint="eastAsia"/>
      </w:rPr>
    </w:lvl>
    <w:lvl w:ilvl="6" w:tentative="0">
      <w:start w:val="1"/>
      <w:numFmt w:val="decimal"/>
      <w:isLgl/>
      <w:lvlText w:val="%1.%2.%3.%4.%5.%6.%7."/>
      <w:lvlJc w:val="left"/>
      <w:pPr>
        <w:ind w:left="1275" w:hanging="1275"/>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8" w:hanging="1558"/>
      </w:pPr>
      <w:rPr>
        <w:rFonts w:hint="eastAsia"/>
      </w:rPr>
    </w:lvl>
  </w:abstractNum>
  <w:abstractNum w:abstractNumId="66">
    <w:nsid w:val="418E0D34"/>
    <w:multiLevelType w:val="singleLevel"/>
    <w:tmpl w:val="418E0D34"/>
    <w:lvl w:ilvl="0" w:tentative="0">
      <w:start w:val="1"/>
      <w:numFmt w:val="decimal"/>
      <w:lvlText w:val="%1."/>
      <w:lvlJc w:val="left"/>
      <w:pPr>
        <w:ind w:left="425" w:hanging="425"/>
      </w:pPr>
      <w:rPr>
        <w:rFonts w:hint="default"/>
      </w:rPr>
    </w:lvl>
  </w:abstractNum>
  <w:abstractNum w:abstractNumId="67">
    <w:nsid w:val="426A2696"/>
    <w:multiLevelType w:val="multilevel"/>
    <w:tmpl w:val="426A2696"/>
    <w:lvl w:ilvl="0" w:tentative="0">
      <w:start w:val="13"/>
      <w:numFmt w:val="decimal"/>
      <w:lvlText w:val="%1"/>
      <w:lvlJc w:val="left"/>
      <w:pPr>
        <w:ind w:left="425" w:hanging="425"/>
      </w:pPr>
      <w:rPr>
        <w:rFonts w:hint="eastAsia"/>
      </w:rPr>
    </w:lvl>
    <w:lvl w:ilvl="1" w:tentative="0">
      <w:start w:val="1"/>
      <w:numFmt w:val="decimal"/>
      <w:lvlText w:val="10.%2"/>
      <w:lvlJc w:val="left"/>
      <w:pPr>
        <w:ind w:left="567" w:hanging="567"/>
      </w:pPr>
      <w:rPr>
        <w:rFonts w:hint="eastAsia"/>
      </w:rPr>
    </w:lvl>
    <w:lvl w:ilvl="2" w:tentative="0">
      <w:start w:val="3"/>
      <w:numFmt w:val="decimal"/>
      <w:lvlText w:val="%1.2.1"/>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8">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8.1.%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9">
    <w:nsid w:val="45826D70"/>
    <w:multiLevelType w:val="multilevel"/>
    <w:tmpl w:val="45826D70"/>
    <w:lvl w:ilvl="0" w:tentative="0">
      <w:start w:val="1"/>
      <w:numFmt w:val="chineseCounting"/>
      <w:suff w:val="nothing"/>
      <w:lvlText w:val="第%1章 "/>
      <w:lvlJc w:val="left"/>
      <w:pPr>
        <w:ind w:left="425" w:hanging="425"/>
      </w:pPr>
      <w:rPr>
        <w:rFonts w:hint="eastAsia"/>
      </w:rPr>
    </w:lvl>
    <w:lvl w:ilvl="1" w:tentative="0">
      <w:start w:val="1"/>
      <w:numFmt w:val="decimal"/>
      <w:isLgl/>
      <w:lvlText w:val="%1.%2."/>
      <w:lvlJc w:val="left"/>
      <w:pPr>
        <w:ind w:left="567" w:hanging="567"/>
      </w:pPr>
      <w:rPr>
        <w:rFonts w:hint="eastAsia"/>
      </w:rPr>
    </w:lvl>
    <w:lvl w:ilvl="2" w:tentative="0">
      <w:start w:val="1"/>
      <w:numFmt w:val="decimal"/>
      <w:isLgl/>
      <w:lvlText w:val="%1.%2.%3."/>
      <w:lvlJc w:val="left"/>
      <w:pPr>
        <w:ind w:left="709" w:hanging="709"/>
      </w:pPr>
      <w:rPr>
        <w:rFonts w:hint="eastAsia"/>
      </w:rPr>
    </w:lvl>
    <w:lvl w:ilvl="3" w:tentative="0">
      <w:start w:val="1"/>
      <w:numFmt w:val="decimal"/>
      <w:isLgl/>
      <w:lvlText w:val="%1.%2.%3.%4."/>
      <w:lvlJc w:val="left"/>
      <w:pPr>
        <w:ind w:left="850" w:hanging="850"/>
      </w:pPr>
      <w:rPr>
        <w:rFonts w:hint="eastAsia"/>
      </w:rPr>
    </w:lvl>
    <w:lvl w:ilvl="4" w:tentative="0">
      <w:start w:val="1"/>
      <w:numFmt w:val="decimal"/>
      <w:isLgl/>
      <w:lvlText w:val="%1.%2.%3.%4.%5."/>
      <w:lvlJc w:val="left"/>
      <w:pPr>
        <w:ind w:left="991" w:hanging="991"/>
      </w:pPr>
      <w:rPr>
        <w:rFonts w:hint="eastAsia"/>
      </w:rPr>
    </w:lvl>
    <w:lvl w:ilvl="5" w:tentative="0">
      <w:start w:val="1"/>
      <w:numFmt w:val="decimal"/>
      <w:isLgl/>
      <w:lvlText w:val="%1.%2.%3.%4.%5.%6."/>
      <w:lvlJc w:val="left"/>
      <w:pPr>
        <w:ind w:left="1134" w:hanging="1134"/>
      </w:pPr>
      <w:rPr>
        <w:rFonts w:hint="eastAsia"/>
      </w:rPr>
    </w:lvl>
    <w:lvl w:ilvl="6" w:tentative="0">
      <w:start w:val="1"/>
      <w:numFmt w:val="decimal"/>
      <w:isLgl/>
      <w:lvlText w:val="%1.%2.%3.%4.%5.%6.%7."/>
      <w:lvlJc w:val="left"/>
      <w:pPr>
        <w:ind w:left="1275" w:hanging="1275"/>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8" w:hanging="1558"/>
      </w:pPr>
      <w:rPr>
        <w:rFonts w:hint="eastAsia"/>
      </w:rPr>
    </w:lvl>
  </w:abstractNum>
  <w:abstractNum w:abstractNumId="70">
    <w:nsid w:val="482F7A7A"/>
    <w:multiLevelType w:val="multilevel"/>
    <w:tmpl w:val="482F7A7A"/>
    <w:lvl w:ilvl="0" w:tentative="0">
      <w:start w:val="1"/>
      <w:numFmt w:val="decimal"/>
      <w:lvlText w:val="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1">
    <w:nsid w:val="48785470"/>
    <w:multiLevelType w:val="multilevel"/>
    <w:tmpl w:val="48785470"/>
    <w:lvl w:ilvl="0" w:tentative="0">
      <w:start w:val="1"/>
      <w:numFmt w:val="decimal"/>
      <w:lvlText w:val="8.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2">
    <w:nsid w:val="49FB7819"/>
    <w:multiLevelType w:val="multilevel"/>
    <w:tmpl w:val="49FB781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4A804453"/>
    <w:multiLevelType w:val="multilevel"/>
    <w:tmpl w:val="4A804453"/>
    <w:lvl w:ilvl="0" w:tentative="0">
      <w:start w:val="1"/>
      <w:numFmt w:val="decimal"/>
      <w:lvlText w:val="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4AD52286"/>
    <w:multiLevelType w:val="multilevel"/>
    <w:tmpl w:val="4AD52286"/>
    <w:lvl w:ilvl="0" w:tentative="0">
      <w:start w:val="1"/>
      <w:numFmt w:val="decimal"/>
      <w:lvlText w:val="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4AE21275"/>
    <w:multiLevelType w:val="multilevel"/>
    <w:tmpl w:val="4AE21275"/>
    <w:lvl w:ilvl="0" w:tentative="0">
      <w:start w:val="8"/>
      <w:numFmt w:val="decimal"/>
      <w:lvlText w:val="%1"/>
      <w:lvlJc w:val="left"/>
      <w:pPr>
        <w:ind w:left="425" w:hanging="425"/>
      </w:pPr>
      <w:rPr>
        <w:rFonts w:hint="eastAsia"/>
      </w:rPr>
    </w:lvl>
    <w:lvl w:ilvl="1" w:tentative="0">
      <w:start w:val="1"/>
      <w:numFmt w:val="decimal"/>
      <w:lvlText w:val="6.%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6">
    <w:nsid w:val="4BAE0827"/>
    <w:multiLevelType w:val="multilevel"/>
    <w:tmpl w:val="4BAE0827"/>
    <w:lvl w:ilvl="0" w:tentative="0">
      <w:start w:val="1"/>
      <w:numFmt w:val="decimal"/>
      <w:lvlText w:val="3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504C39B4"/>
    <w:multiLevelType w:val="singleLevel"/>
    <w:tmpl w:val="504C39B4"/>
    <w:lvl w:ilvl="0" w:tentative="0">
      <w:start w:val="1"/>
      <w:numFmt w:val="decimal"/>
      <w:lvlText w:val="(%1)"/>
      <w:lvlJc w:val="left"/>
      <w:pPr>
        <w:ind w:left="425" w:hanging="425"/>
      </w:pPr>
      <w:rPr>
        <w:rFonts w:hint="default"/>
      </w:rPr>
    </w:lvl>
  </w:abstractNum>
  <w:abstractNum w:abstractNumId="78">
    <w:nsid w:val="51062AD7"/>
    <w:multiLevelType w:val="multilevel"/>
    <w:tmpl w:val="51062AD7"/>
    <w:lvl w:ilvl="0" w:tentative="0">
      <w:start w:val="1"/>
      <w:numFmt w:val="decimal"/>
      <w:lvlText w:val="2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51502957"/>
    <w:multiLevelType w:val="multilevel"/>
    <w:tmpl w:val="51502957"/>
    <w:lvl w:ilvl="0" w:tentative="0">
      <w:start w:val="18"/>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19.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0">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3.%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1">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2">
    <w:nsid w:val="53331BC6"/>
    <w:multiLevelType w:val="multilevel"/>
    <w:tmpl w:val="53331BC6"/>
    <w:lvl w:ilvl="0" w:tentative="0">
      <w:start w:val="3"/>
      <w:numFmt w:val="decimal"/>
      <w:lvlText w:val="%1"/>
      <w:lvlJc w:val="left"/>
      <w:pPr>
        <w:ind w:left="425" w:hanging="425"/>
      </w:pPr>
      <w:rPr>
        <w:rFonts w:hint="eastAsia"/>
      </w:rPr>
    </w:lvl>
    <w:lvl w:ilvl="1" w:tentative="0">
      <w:start w:val="1"/>
      <w:numFmt w:val="decimal"/>
      <w:lvlText w:val="3.%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3">
    <w:nsid w:val="53BB02E6"/>
    <w:multiLevelType w:val="multilevel"/>
    <w:tmpl w:val="53BB02E6"/>
    <w:lvl w:ilvl="0" w:tentative="0">
      <w:start w:val="1"/>
      <w:numFmt w:val="decimal"/>
      <w:lvlText w:val="%1."/>
      <w:lvlJc w:val="left"/>
      <w:pPr>
        <w:ind w:left="1680" w:hanging="420"/>
      </w:p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84">
    <w:nsid w:val="54F200C9"/>
    <w:multiLevelType w:val="multilevel"/>
    <w:tmpl w:val="54F200C9"/>
    <w:lvl w:ilvl="0" w:tentative="0">
      <w:start w:val="1"/>
      <w:numFmt w:val="decimal"/>
      <w:lvlText w:val="2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55CF31B5"/>
    <w:multiLevelType w:val="multilevel"/>
    <w:tmpl w:val="55CF31B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55E32074"/>
    <w:multiLevelType w:val="multilevel"/>
    <w:tmpl w:val="55E3207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5779156B"/>
    <w:multiLevelType w:val="singleLevel"/>
    <w:tmpl w:val="5779156B"/>
    <w:lvl w:ilvl="0" w:tentative="0">
      <w:start w:val="1"/>
      <w:numFmt w:val="decimal"/>
      <w:lvlText w:val="%1."/>
      <w:lvlJc w:val="left"/>
      <w:pPr>
        <w:ind w:left="425" w:hanging="425"/>
      </w:pPr>
      <w:rPr>
        <w:rFonts w:hint="default"/>
      </w:rPr>
    </w:lvl>
  </w:abstractNum>
  <w:abstractNum w:abstractNumId="88">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58643DD7"/>
    <w:multiLevelType w:val="multilevel"/>
    <w:tmpl w:val="58643DD7"/>
    <w:lvl w:ilvl="0" w:tentative="0">
      <w:start w:val="1"/>
      <w:numFmt w:val="decimal"/>
      <w:lvlText w:val="17.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58DC2BF5"/>
    <w:multiLevelType w:val="multilevel"/>
    <w:tmpl w:val="58DC2BF5"/>
    <w:lvl w:ilvl="0" w:tentative="0">
      <w:start w:val="1"/>
      <w:numFmt w:val="decimal"/>
      <w:lvlText w:val="1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592B198C"/>
    <w:multiLevelType w:val="multilevel"/>
    <w:tmpl w:val="592B198C"/>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2">
    <w:nsid w:val="595A2D4C"/>
    <w:multiLevelType w:val="multilevel"/>
    <w:tmpl w:val="595A2D4C"/>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3">
    <w:nsid w:val="5C0E4467"/>
    <w:multiLevelType w:val="multilevel"/>
    <w:tmpl w:val="5C0E4467"/>
    <w:lvl w:ilvl="0" w:tentative="0">
      <w:start w:val="1"/>
      <w:numFmt w:val="decimal"/>
      <w:lvlText w:val="2.%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4">
    <w:nsid w:val="5FD40241"/>
    <w:multiLevelType w:val="multilevel"/>
    <w:tmpl w:val="5FD40241"/>
    <w:lvl w:ilvl="0" w:tentative="0">
      <w:start w:val="1"/>
      <w:numFmt w:val="decimal"/>
      <w:lvlText w:val="17.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5">
    <w:nsid w:val="61636B35"/>
    <w:multiLevelType w:val="multilevel"/>
    <w:tmpl w:val="61636B35"/>
    <w:lvl w:ilvl="0" w:tentative="0">
      <w:start w:val="1"/>
      <w:numFmt w:val="decimal"/>
      <w:lvlText w:val="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6">
    <w:nsid w:val="62A80407"/>
    <w:multiLevelType w:val="multilevel"/>
    <w:tmpl w:val="62A80407"/>
    <w:lvl w:ilvl="0" w:tentative="0">
      <w:start w:val="1"/>
      <w:numFmt w:val="decimal"/>
      <w:lvlText w:val="1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7">
    <w:nsid w:val="63173248"/>
    <w:multiLevelType w:val="multilevel"/>
    <w:tmpl w:val="63173248"/>
    <w:lvl w:ilvl="0" w:tentative="0">
      <w:start w:val="1"/>
      <w:numFmt w:val="decimal"/>
      <w:lvlText w:val="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8">
    <w:nsid w:val="633D5B12"/>
    <w:multiLevelType w:val="multilevel"/>
    <w:tmpl w:val="633D5B12"/>
    <w:lvl w:ilvl="0" w:tentative="0">
      <w:start w:val="1"/>
      <w:numFmt w:val="japaneseCounting"/>
      <w:lvlText w:val="%1、"/>
      <w:lvlJc w:val="left"/>
      <w:pPr>
        <w:ind w:left="500" w:hanging="5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9">
    <w:nsid w:val="65715ED9"/>
    <w:multiLevelType w:val="multilevel"/>
    <w:tmpl w:val="65715ED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0">
    <w:nsid w:val="65C87B74"/>
    <w:multiLevelType w:val="multilevel"/>
    <w:tmpl w:val="65C87B74"/>
    <w:lvl w:ilvl="0" w:tentative="0">
      <w:start w:val="1"/>
      <w:numFmt w:val="decimal"/>
      <w:lvlText w:val="2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1">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2">
    <w:nsid w:val="68F30CA9"/>
    <w:multiLevelType w:val="multilevel"/>
    <w:tmpl w:val="68F30CA9"/>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3">
    <w:nsid w:val="6A16CE6E"/>
    <w:multiLevelType w:val="singleLevel"/>
    <w:tmpl w:val="6A16CE6E"/>
    <w:lvl w:ilvl="0" w:tentative="0">
      <w:start w:val="1"/>
      <w:numFmt w:val="decimal"/>
      <w:lvlText w:val="%1."/>
      <w:lvlJc w:val="left"/>
      <w:pPr>
        <w:ind w:left="425" w:hanging="425"/>
      </w:pPr>
      <w:rPr>
        <w:rFonts w:hint="default"/>
      </w:rPr>
    </w:lvl>
  </w:abstractNum>
  <w:abstractNum w:abstractNumId="104">
    <w:nsid w:val="6A2271FD"/>
    <w:multiLevelType w:val="multilevel"/>
    <w:tmpl w:val="6A2271FD"/>
    <w:lvl w:ilvl="0" w:tentative="0">
      <w:start w:val="1"/>
      <w:numFmt w:val="decimal"/>
      <w:lvlText w:val="3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5">
    <w:nsid w:val="6A620DD4"/>
    <w:multiLevelType w:val="multilevel"/>
    <w:tmpl w:val="6A620DD4"/>
    <w:lvl w:ilvl="0" w:tentative="0">
      <w:start w:val="1"/>
      <w:numFmt w:val="chineseCounting"/>
      <w:suff w:val="nothing"/>
      <w:lvlText w:val="第%1章 "/>
      <w:lvlJc w:val="left"/>
      <w:pPr>
        <w:ind w:left="425" w:hanging="425"/>
      </w:pPr>
      <w:rPr>
        <w:rFonts w:hint="eastAsia"/>
      </w:rPr>
    </w:lvl>
    <w:lvl w:ilvl="1" w:tentative="0">
      <w:start w:val="1"/>
      <w:numFmt w:val="decimal"/>
      <w:isLgl/>
      <w:lvlText w:val="%1.%2."/>
      <w:lvlJc w:val="left"/>
      <w:pPr>
        <w:ind w:left="567" w:hanging="567"/>
      </w:pPr>
      <w:rPr>
        <w:rFonts w:hint="eastAsia"/>
      </w:rPr>
    </w:lvl>
    <w:lvl w:ilvl="2" w:tentative="0">
      <w:start w:val="1"/>
      <w:numFmt w:val="decimal"/>
      <w:isLgl/>
      <w:lvlText w:val="%1.%2.%3."/>
      <w:lvlJc w:val="left"/>
      <w:pPr>
        <w:ind w:left="709" w:hanging="709"/>
      </w:pPr>
      <w:rPr>
        <w:rFonts w:hint="eastAsia"/>
      </w:rPr>
    </w:lvl>
    <w:lvl w:ilvl="3" w:tentative="0">
      <w:start w:val="1"/>
      <w:numFmt w:val="decimal"/>
      <w:isLgl/>
      <w:lvlText w:val="%1.%2.%3.%4."/>
      <w:lvlJc w:val="left"/>
      <w:pPr>
        <w:ind w:left="850" w:hanging="850"/>
      </w:pPr>
      <w:rPr>
        <w:rFonts w:hint="eastAsia"/>
      </w:rPr>
    </w:lvl>
    <w:lvl w:ilvl="4" w:tentative="0">
      <w:start w:val="1"/>
      <w:numFmt w:val="decimal"/>
      <w:isLgl/>
      <w:lvlText w:val="%1.%2.%3.%4.%5."/>
      <w:lvlJc w:val="left"/>
      <w:pPr>
        <w:ind w:left="991" w:hanging="991"/>
      </w:pPr>
      <w:rPr>
        <w:rFonts w:hint="eastAsia"/>
      </w:rPr>
    </w:lvl>
    <w:lvl w:ilvl="5" w:tentative="0">
      <w:start w:val="1"/>
      <w:numFmt w:val="decimal"/>
      <w:isLgl/>
      <w:lvlText w:val="%1.%2.%3.%4.%5.%6."/>
      <w:lvlJc w:val="left"/>
      <w:pPr>
        <w:ind w:left="1134" w:hanging="1134"/>
      </w:pPr>
      <w:rPr>
        <w:rFonts w:hint="eastAsia"/>
      </w:rPr>
    </w:lvl>
    <w:lvl w:ilvl="6" w:tentative="0">
      <w:start w:val="1"/>
      <w:numFmt w:val="decimal"/>
      <w:isLgl/>
      <w:lvlText w:val="%1.%2.%3.%4.%5.%6.%7."/>
      <w:lvlJc w:val="left"/>
      <w:pPr>
        <w:ind w:left="1275" w:hanging="1275"/>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8" w:hanging="1558"/>
      </w:pPr>
      <w:rPr>
        <w:rFonts w:hint="eastAsia"/>
      </w:rPr>
    </w:lvl>
  </w:abstractNum>
  <w:abstractNum w:abstractNumId="106">
    <w:nsid w:val="6BBC61EA"/>
    <w:multiLevelType w:val="multilevel"/>
    <w:tmpl w:val="6BBC61E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7">
    <w:nsid w:val="6BCC430F"/>
    <w:multiLevelType w:val="multilevel"/>
    <w:tmpl w:val="6BCC430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8">
    <w:nsid w:val="6E8FA9E5"/>
    <w:multiLevelType w:val="singleLevel"/>
    <w:tmpl w:val="6E8FA9E5"/>
    <w:lvl w:ilvl="0" w:tentative="0">
      <w:start w:val="1"/>
      <w:numFmt w:val="decimal"/>
      <w:lvlText w:val="%1."/>
      <w:lvlJc w:val="left"/>
      <w:pPr>
        <w:ind w:left="425" w:hanging="425"/>
      </w:pPr>
      <w:rPr>
        <w:rFonts w:hint="default"/>
      </w:rPr>
    </w:lvl>
  </w:abstractNum>
  <w:abstractNum w:abstractNumId="109">
    <w:nsid w:val="708621A4"/>
    <w:multiLevelType w:val="multilevel"/>
    <w:tmpl w:val="708621A4"/>
    <w:lvl w:ilvl="0" w:tentative="0">
      <w:start w:val="1"/>
      <w:numFmt w:val="decimal"/>
      <w:lvlText w:val="3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0">
    <w:nsid w:val="70BE93F6"/>
    <w:multiLevelType w:val="multilevel"/>
    <w:tmpl w:val="70BE93F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1">
    <w:nsid w:val="71580BEF"/>
    <w:multiLevelType w:val="multilevel"/>
    <w:tmpl w:val="71580BEF"/>
    <w:lvl w:ilvl="0" w:tentative="0">
      <w:start w:val="30"/>
      <w:numFmt w:val="decimal"/>
      <w:lvlText w:val="%1"/>
      <w:lvlJc w:val="left"/>
      <w:pPr>
        <w:ind w:left="425" w:hanging="425"/>
      </w:pPr>
      <w:rPr>
        <w:rFonts w:hint="eastAsia"/>
        <w:b/>
        <w:i w:val="0"/>
        <w:color w:val="auto"/>
        <w:sz w:val="21"/>
      </w:rPr>
    </w:lvl>
    <w:lvl w:ilvl="1" w:tentative="0">
      <w:start w:val="4"/>
      <w:numFmt w:val="decimal"/>
      <w:lvlText w:val="%1.%2"/>
      <w:lvlJc w:val="left"/>
      <w:pPr>
        <w:ind w:left="567" w:hanging="567"/>
      </w:pPr>
      <w:rPr>
        <w:rFonts w:hint="eastAsia"/>
        <w:b w:val="0"/>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12">
    <w:nsid w:val="71790C2C"/>
    <w:multiLevelType w:val="multilevel"/>
    <w:tmpl w:val="71790C2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3">
    <w:nsid w:val="7264255B"/>
    <w:multiLevelType w:val="multilevel"/>
    <w:tmpl w:val="7264255B"/>
    <w:lvl w:ilvl="0" w:tentative="0">
      <w:start w:val="1"/>
      <w:numFmt w:val="chineseCountingThousand"/>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4">
    <w:nsid w:val="728821B6"/>
    <w:multiLevelType w:val="multilevel"/>
    <w:tmpl w:val="728821B6"/>
    <w:lvl w:ilvl="0" w:tentative="0">
      <w:start w:val="1"/>
      <w:numFmt w:val="decimal"/>
      <w:lvlText w:val="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5">
    <w:nsid w:val="72E62A6A"/>
    <w:multiLevelType w:val="multilevel"/>
    <w:tmpl w:val="72E62A6A"/>
    <w:lvl w:ilvl="0" w:tentative="0">
      <w:start w:val="1"/>
      <w:numFmt w:val="decimal"/>
      <w:lvlText w:val="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6">
    <w:nsid w:val="761A1D84"/>
    <w:multiLevelType w:val="multilevel"/>
    <w:tmpl w:val="761A1D84"/>
    <w:lvl w:ilvl="0" w:tentative="0">
      <w:start w:val="1"/>
      <w:numFmt w:val="decimal"/>
      <w:lvlText w:val="1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7">
    <w:nsid w:val="76C06892"/>
    <w:multiLevelType w:val="multilevel"/>
    <w:tmpl w:val="76C06892"/>
    <w:lvl w:ilvl="0" w:tentative="0">
      <w:start w:val="1"/>
      <w:numFmt w:val="decimal"/>
      <w:lvlText w:val="1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8">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8.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19">
    <w:nsid w:val="7BA40B41"/>
    <w:multiLevelType w:val="multilevel"/>
    <w:tmpl w:val="7BA40B41"/>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1.%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20">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1">
    <w:nsid w:val="7C9C2E3E"/>
    <w:multiLevelType w:val="multilevel"/>
    <w:tmpl w:val="7C9C2E3E"/>
    <w:lvl w:ilvl="0" w:tentative="0">
      <w:start w:val="2"/>
      <w:numFmt w:val="decimal"/>
      <w:lvlText w:val="%1"/>
      <w:lvlJc w:val="left"/>
      <w:pPr>
        <w:ind w:left="425" w:hanging="425"/>
      </w:pPr>
      <w:rPr>
        <w:rFonts w:hint="eastAsia"/>
      </w:rPr>
    </w:lvl>
    <w:lvl w:ilvl="1" w:tentative="0">
      <w:start w:val="1"/>
      <w:numFmt w:val="decimal"/>
      <w:lvlText w:val="%1.%2"/>
      <w:lvlJc w:val="left"/>
      <w:pPr>
        <w:ind w:left="851"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22">
    <w:nsid w:val="7D823685"/>
    <w:multiLevelType w:val="multilevel"/>
    <w:tmpl w:val="7D823685"/>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3">
    <w:nsid w:val="7E8F7E29"/>
    <w:multiLevelType w:val="multilevel"/>
    <w:tmpl w:val="7E8F7E29"/>
    <w:lvl w:ilvl="0" w:tentative="0">
      <w:start w:val="1"/>
      <w:numFmt w:val="decimal"/>
      <w:lvlText w:val="3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4">
    <w:nsid w:val="7FEF4FD5"/>
    <w:multiLevelType w:val="multilevel"/>
    <w:tmpl w:val="7FEF4FD5"/>
    <w:lvl w:ilvl="0" w:tentative="0">
      <w:start w:val="1"/>
      <w:numFmt w:val="decimal"/>
      <w:lvlText w:val="1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6"/>
  </w:num>
  <w:num w:numId="2">
    <w:abstractNumId w:val="58"/>
  </w:num>
  <w:num w:numId="3">
    <w:abstractNumId w:val="25"/>
  </w:num>
  <w:num w:numId="4">
    <w:abstractNumId w:val="52"/>
  </w:num>
  <w:num w:numId="5">
    <w:abstractNumId w:val="12"/>
  </w:num>
  <w:num w:numId="6">
    <w:abstractNumId w:val="23"/>
  </w:num>
  <w:num w:numId="7">
    <w:abstractNumId w:val="120"/>
  </w:num>
  <w:num w:numId="8">
    <w:abstractNumId w:val="92"/>
  </w:num>
  <w:num w:numId="9">
    <w:abstractNumId w:val="98"/>
  </w:num>
  <w:num w:numId="10">
    <w:abstractNumId w:val="102"/>
  </w:num>
  <w:num w:numId="11">
    <w:abstractNumId w:val="106"/>
  </w:num>
  <w:num w:numId="12">
    <w:abstractNumId w:val="87"/>
  </w:num>
  <w:num w:numId="13">
    <w:abstractNumId w:val="108"/>
  </w:num>
  <w:num w:numId="14">
    <w:abstractNumId w:val="7"/>
  </w:num>
  <w:num w:numId="15">
    <w:abstractNumId w:val="103"/>
  </w:num>
  <w:num w:numId="16">
    <w:abstractNumId w:val="55"/>
  </w:num>
  <w:num w:numId="17">
    <w:abstractNumId w:val="45"/>
  </w:num>
  <w:num w:numId="18">
    <w:abstractNumId w:val="41"/>
  </w:num>
  <w:num w:numId="19">
    <w:abstractNumId w:val="112"/>
  </w:num>
  <w:num w:numId="20">
    <w:abstractNumId w:val="8"/>
  </w:num>
  <w:num w:numId="21">
    <w:abstractNumId w:val="24"/>
  </w:num>
  <w:num w:numId="22">
    <w:abstractNumId w:val="69"/>
  </w:num>
  <w:num w:numId="23">
    <w:abstractNumId w:val="0"/>
  </w:num>
  <w:num w:numId="24">
    <w:abstractNumId w:val="105"/>
  </w:num>
  <w:num w:numId="25">
    <w:abstractNumId w:val="9"/>
  </w:num>
  <w:num w:numId="26">
    <w:abstractNumId w:val="65"/>
  </w:num>
  <w:num w:numId="27">
    <w:abstractNumId w:val="13"/>
  </w:num>
  <w:num w:numId="28">
    <w:abstractNumId w:val="15"/>
  </w:num>
  <w:num w:numId="29">
    <w:abstractNumId w:val="5"/>
  </w:num>
  <w:num w:numId="30">
    <w:abstractNumId w:val="11"/>
  </w:num>
  <w:num w:numId="31">
    <w:abstractNumId w:val="6"/>
  </w:num>
  <w:num w:numId="32">
    <w:abstractNumId w:val="14"/>
  </w:num>
  <w:num w:numId="33">
    <w:abstractNumId w:val="48"/>
  </w:num>
  <w:num w:numId="34">
    <w:abstractNumId w:val="4"/>
  </w:num>
  <w:num w:numId="35">
    <w:abstractNumId w:val="54"/>
  </w:num>
  <w:num w:numId="36">
    <w:abstractNumId w:val="110"/>
  </w:num>
  <w:num w:numId="37">
    <w:abstractNumId w:val="3"/>
  </w:num>
  <w:num w:numId="38">
    <w:abstractNumId w:val="66"/>
  </w:num>
  <w:num w:numId="39">
    <w:abstractNumId w:val="77"/>
  </w:num>
  <w:num w:numId="40">
    <w:abstractNumId w:val="31"/>
  </w:num>
  <w:num w:numId="41">
    <w:abstractNumId w:val="35"/>
  </w:num>
  <w:num w:numId="42">
    <w:abstractNumId w:val="10"/>
  </w:num>
  <w:num w:numId="43">
    <w:abstractNumId w:val="1"/>
  </w:num>
  <w:num w:numId="44">
    <w:abstractNumId w:val="2"/>
  </w:num>
  <w:num w:numId="45">
    <w:abstractNumId w:val="53"/>
  </w:num>
  <w:num w:numId="46">
    <w:abstractNumId w:val="37"/>
  </w:num>
  <w:num w:numId="47">
    <w:abstractNumId w:val="93"/>
  </w:num>
  <w:num w:numId="48">
    <w:abstractNumId w:val="20"/>
  </w:num>
  <w:num w:numId="49">
    <w:abstractNumId w:val="32"/>
  </w:num>
  <w:num w:numId="50">
    <w:abstractNumId w:val="97"/>
  </w:num>
  <w:num w:numId="51">
    <w:abstractNumId w:val="73"/>
  </w:num>
  <w:num w:numId="52">
    <w:abstractNumId w:val="114"/>
  </w:num>
  <w:num w:numId="53">
    <w:abstractNumId w:val="70"/>
  </w:num>
  <w:num w:numId="54">
    <w:abstractNumId w:val="115"/>
  </w:num>
  <w:num w:numId="55">
    <w:abstractNumId w:val="90"/>
  </w:num>
  <w:num w:numId="56">
    <w:abstractNumId w:val="22"/>
  </w:num>
  <w:num w:numId="57">
    <w:abstractNumId w:val="124"/>
  </w:num>
  <w:num w:numId="58">
    <w:abstractNumId w:val="40"/>
  </w:num>
  <w:num w:numId="59">
    <w:abstractNumId w:val="61"/>
  </w:num>
  <w:num w:numId="60">
    <w:abstractNumId w:val="21"/>
  </w:num>
  <w:num w:numId="61">
    <w:abstractNumId w:val="17"/>
  </w:num>
  <w:num w:numId="62">
    <w:abstractNumId w:val="96"/>
  </w:num>
  <w:num w:numId="63">
    <w:abstractNumId w:val="116"/>
  </w:num>
  <w:num w:numId="64">
    <w:abstractNumId w:val="117"/>
  </w:num>
  <w:num w:numId="65">
    <w:abstractNumId w:val="94"/>
  </w:num>
  <w:num w:numId="66">
    <w:abstractNumId w:val="89"/>
  </w:num>
  <w:num w:numId="67">
    <w:abstractNumId w:val="42"/>
  </w:num>
  <w:num w:numId="68">
    <w:abstractNumId w:val="33"/>
  </w:num>
  <w:num w:numId="69">
    <w:abstractNumId w:val="79"/>
  </w:num>
  <w:num w:numId="70">
    <w:abstractNumId w:val="29"/>
  </w:num>
  <w:num w:numId="71">
    <w:abstractNumId w:val="28"/>
  </w:num>
  <w:num w:numId="72">
    <w:abstractNumId w:val="74"/>
  </w:num>
  <w:num w:numId="73">
    <w:abstractNumId w:val="78"/>
  </w:num>
  <w:num w:numId="74">
    <w:abstractNumId w:val="100"/>
  </w:num>
  <w:num w:numId="75">
    <w:abstractNumId w:val="43"/>
  </w:num>
  <w:num w:numId="76">
    <w:abstractNumId w:val="26"/>
  </w:num>
  <w:num w:numId="77">
    <w:abstractNumId w:val="84"/>
  </w:num>
  <w:num w:numId="78">
    <w:abstractNumId w:val="18"/>
  </w:num>
  <w:num w:numId="79">
    <w:abstractNumId w:val="47"/>
  </w:num>
  <w:num w:numId="80">
    <w:abstractNumId w:val="16"/>
  </w:num>
  <w:num w:numId="81">
    <w:abstractNumId w:val="30"/>
  </w:num>
  <w:num w:numId="82">
    <w:abstractNumId w:val="119"/>
  </w:num>
  <w:num w:numId="83">
    <w:abstractNumId w:val="36"/>
  </w:num>
  <w:num w:numId="84">
    <w:abstractNumId w:val="44"/>
  </w:num>
  <w:num w:numId="85">
    <w:abstractNumId w:val="111"/>
  </w:num>
  <w:num w:numId="86">
    <w:abstractNumId w:val="104"/>
  </w:num>
  <w:num w:numId="87">
    <w:abstractNumId w:val="59"/>
  </w:num>
  <w:num w:numId="88">
    <w:abstractNumId w:val="76"/>
  </w:num>
  <w:num w:numId="89">
    <w:abstractNumId w:val="123"/>
  </w:num>
  <w:num w:numId="90">
    <w:abstractNumId w:val="38"/>
  </w:num>
  <w:num w:numId="91">
    <w:abstractNumId w:val="63"/>
  </w:num>
  <w:num w:numId="92">
    <w:abstractNumId w:val="109"/>
  </w:num>
  <w:num w:numId="93">
    <w:abstractNumId w:val="57"/>
  </w:num>
  <w:num w:numId="94">
    <w:abstractNumId w:val="91"/>
  </w:num>
  <w:num w:numId="95">
    <w:abstractNumId w:val="88"/>
  </w:num>
  <w:num w:numId="96">
    <w:abstractNumId w:val="80"/>
  </w:num>
  <w:num w:numId="97">
    <w:abstractNumId w:val="62"/>
  </w:num>
  <w:num w:numId="98">
    <w:abstractNumId w:val="121"/>
  </w:num>
  <w:num w:numId="99">
    <w:abstractNumId w:val="95"/>
  </w:num>
  <w:num w:numId="100">
    <w:abstractNumId w:val="82"/>
  </w:num>
  <w:num w:numId="101">
    <w:abstractNumId w:val="75"/>
  </w:num>
  <w:num w:numId="102">
    <w:abstractNumId w:val="39"/>
  </w:num>
  <w:num w:numId="103">
    <w:abstractNumId w:val="68"/>
  </w:num>
  <w:num w:numId="104">
    <w:abstractNumId w:val="118"/>
  </w:num>
  <w:num w:numId="105">
    <w:abstractNumId w:val="19"/>
  </w:num>
  <w:num w:numId="106">
    <w:abstractNumId w:val="71"/>
  </w:num>
  <w:num w:numId="107">
    <w:abstractNumId w:val="81"/>
  </w:num>
  <w:num w:numId="108">
    <w:abstractNumId w:val="67"/>
  </w:num>
  <w:num w:numId="109">
    <w:abstractNumId w:val="107"/>
  </w:num>
  <w:num w:numId="110">
    <w:abstractNumId w:val="34"/>
  </w:num>
  <w:num w:numId="111">
    <w:abstractNumId w:val="51"/>
  </w:num>
  <w:num w:numId="112">
    <w:abstractNumId w:val="83"/>
  </w:num>
  <w:num w:numId="113">
    <w:abstractNumId w:val="46"/>
  </w:num>
  <w:num w:numId="114">
    <w:abstractNumId w:val="99"/>
  </w:num>
  <w:num w:numId="115">
    <w:abstractNumId w:val="101"/>
  </w:num>
  <w:num w:numId="116">
    <w:abstractNumId w:val="27"/>
  </w:num>
  <w:num w:numId="117">
    <w:abstractNumId w:val="49"/>
  </w:num>
  <w:num w:numId="118">
    <w:abstractNumId w:val="113"/>
  </w:num>
  <w:num w:numId="119">
    <w:abstractNumId w:val="60"/>
  </w:num>
  <w:num w:numId="120">
    <w:abstractNumId w:val="122"/>
  </w:num>
  <w:num w:numId="121">
    <w:abstractNumId w:val="72"/>
  </w:num>
  <w:num w:numId="122">
    <w:abstractNumId w:val="64"/>
  </w:num>
  <w:num w:numId="123">
    <w:abstractNumId w:val="85"/>
  </w:num>
  <w:num w:numId="124">
    <w:abstractNumId w:val="50"/>
  </w:num>
  <w:num w:numId="125">
    <w:abstractNumId w:val="8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3B06"/>
    <w:rsid w:val="000003F9"/>
    <w:rsid w:val="00001F97"/>
    <w:rsid w:val="00002932"/>
    <w:rsid w:val="00002B11"/>
    <w:rsid w:val="00002E7B"/>
    <w:rsid w:val="00003266"/>
    <w:rsid w:val="00003270"/>
    <w:rsid w:val="00003C75"/>
    <w:rsid w:val="000047C9"/>
    <w:rsid w:val="0000569B"/>
    <w:rsid w:val="0000591B"/>
    <w:rsid w:val="00005D02"/>
    <w:rsid w:val="0000736C"/>
    <w:rsid w:val="00007AFD"/>
    <w:rsid w:val="000100E9"/>
    <w:rsid w:val="0001065E"/>
    <w:rsid w:val="00011C70"/>
    <w:rsid w:val="0001212F"/>
    <w:rsid w:val="00012350"/>
    <w:rsid w:val="000124F8"/>
    <w:rsid w:val="00012887"/>
    <w:rsid w:val="000129CC"/>
    <w:rsid w:val="000132B0"/>
    <w:rsid w:val="00013C52"/>
    <w:rsid w:val="00013F69"/>
    <w:rsid w:val="00014FD9"/>
    <w:rsid w:val="000155C8"/>
    <w:rsid w:val="0001578E"/>
    <w:rsid w:val="000163DA"/>
    <w:rsid w:val="00016A0A"/>
    <w:rsid w:val="00017A0F"/>
    <w:rsid w:val="00017A69"/>
    <w:rsid w:val="0002022E"/>
    <w:rsid w:val="00020A70"/>
    <w:rsid w:val="00020E65"/>
    <w:rsid w:val="00021869"/>
    <w:rsid w:val="00022516"/>
    <w:rsid w:val="00023D47"/>
    <w:rsid w:val="00023E8B"/>
    <w:rsid w:val="0002428A"/>
    <w:rsid w:val="0002432C"/>
    <w:rsid w:val="00024720"/>
    <w:rsid w:val="00025686"/>
    <w:rsid w:val="00025BA4"/>
    <w:rsid w:val="00025EC9"/>
    <w:rsid w:val="000262C8"/>
    <w:rsid w:val="0002647E"/>
    <w:rsid w:val="000274FC"/>
    <w:rsid w:val="00032773"/>
    <w:rsid w:val="000329D9"/>
    <w:rsid w:val="000338CE"/>
    <w:rsid w:val="00033A70"/>
    <w:rsid w:val="00034A59"/>
    <w:rsid w:val="00034B87"/>
    <w:rsid w:val="0003507B"/>
    <w:rsid w:val="0003526D"/>
    <w:rsid w:val="00035599"/>
    <w:rsid w:val="00036B6D"/>
    <w:rsid w:val="00036DF6"/>
    <w:rsid w:val="0004007C"/>
    <w:rsid w:val="00040EF7"/>
    <w:rsid w:val="00041895"/>
    <w:rsid w:val="00041A8A"/>
    <w:rsid w:val="00042437"/>
    <w:rsid w:val="00042B14"/>
    <w:rsid w:val="0004306E"/>
    <w:rsid w:val="000431F9"/>
    <w:rsid w:val="00043882"/>
    <w:rsid w:val="0004426E"/>
    <w:rsid w:val="000445A8"/>
    <w:rsid w:val="0004489A"/>
    <w:rsid w:val="00046138"/>
    <w:rsid w:val="00047632"/>
    <w:rsid w:val="00047959"/>
    <w:rsid w:val="000500B4"/>
    <w:rsid w:val="000504E2"/>
    <w:rsid w:val="00050CF5"/>
    <w:rsid w:val="00051B0A"/>
    <w:rsid w:val="000527EE"/>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3E88"/>
    <w:rsid w:val="000642C3"/>
    <w:rsid w:val="000647C7"/>
    <w:rsid w:val="000647F9"/>
    <w:rsid w:val="00064C24"/>
    <w:rsid w:val="00065C3D"/>
    <w:rsid w:val="00065E30"/>
    <w:rsid w:val="000665A0"/>
    <w:rsid w:val="00067EA1"/>
    <w:rsid w:val="00070C6C"/>
    <w:rsid w:val="00071077"/>
    <w:rsid w:val="0007138C"/>
    <w:rsid w:val="000714D9"/>
    <w:rsid w:val="00071BBD"/>
    <w:rsid w:val="0007298C"/>
    <w:rsid w:val="00073109"/>
    <w:rsid w:val="0007397B"/>
    <w:rsid w:val="00073BAC"/>
    <w:rsid w:val="00074C07"/>
    <w:rsid w:val="0007527F"/>
    <w:rsid w:val="00075F80"/>
    <w:rsid w:val="00077996"/>
    <w:rsid w:val="00077E5C"/>
    <w:rsid w:val="000801BF"/>
    <w:rsid w:val="000806B8"/>
    <w:rsid w:val="0008077E"/>
    <w:rsid w:val="00080905"/>
    <w:rsid w:val="00080AD6"/>
    <w:rsid w:val="00080FAB"/>
    <w:rsid w:val="0008149C"/>
    <w:rsid w:val="000815EF"/>
    <w:rsid w:val="00081949"/>
    <w:rsid w:val="00081DE6"/>
    <w:rsid w:val="00081FD7"/>
    <w:rsid w:val="00084527"/>
    <w:rsid w:val="00084E44"/>
    <w:rsid w:val="000852B5"/>
    <w:rsid w:val="00085AB9"/>
    <w:rsid w:val="00085BA3"/>
    <w:rsid w:val="00086FA0"/>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AD4"/>
    <w:rsid w:val="00097BB6"/>
    <w:rsid w:val="000A03C5"/>
    <w:rsid w:val="000A04F5"/>
    <w:rsid w:val="000A08A8"/>
    <w:rsid w:val="000A0BCA"/>
    <w:rsid w:val="000A0CC5"/>
    <w:rsid w:val="000A1CAB"/>
    <w:rsid w:val="000A23C1"/>
    <w:rsid w:val="000A23F0"/>
    <w:rsid w:val="000A25AB"/>
    <w:rsid w:val="000A265E"/>
    <w:rsid w:val="000A2680"/>
    <w:rsid w:val="000A2C5A"/>
    <w:rsid w:val="000A58FA"/>
    <w:rsid w:val="000A607E"/>
    <w:rsid w:val="000A6863"/>
    <w:rsid w:val="000A69B0"/>
    <w:rsid w:val="000A70DF"/>
    <w:rsid w:val="000A74D7"/>
    <w:rsid w:val="000A7FB6"/>
    <w:rsid w:val="000B0F74"/>
    <w:rsid w:val="000B1390"/>
    <w:rsid w:val="000B1392"/>
    <w:rsid w:val="000B144C"/>
    <w:rsid w:val="000B1DAF"/>
    <w:rsid w:val="000B1E77"/>
    <w:rsid w:val="000B262E"/>
    <w:rsid w:val="000B2764"/>
    <w:rsid w:val="000B2938"/>
    <w:rsid w:val="000B31F5"/>
    <w:rsid w:val="000B3561"/>
    <w:rsid w:val="000B3DF5"/>
    <w:rsid w:val="000B3FB3"/>
    <w:rsid w:val="000B4A00"/>
    <w:rsid w:val="000B4B82"/>
    <w:rsid w:val="000B4BC4"/>
    <w:rsid w:val="000B526B"/>
    <w:rsid w:val="000B5EE4"/>
    <w:rsid w:val="000B6B90"/>
    <w:rsid w:val="000B6FC4"/>
    <w:rsid w:val="000B7383"/>
    <w:rsid w:val="000B7C39"/>
    <w:rsid w:val="000C00D1"/>
    <w:rsid w:val="000C08ED"/>
    <w:rsid w:val="000C0DC8"/>
    <w:rsid w:val="000C0DE5"/>
    <w:rsid w:val="000C1825"/>
    <w:rsid w:val="000C2830"/>
    <w:rsid w:val="000C2A31"/>
    <w:rsid w:val="000C2D6A"/>
    <w:rsid w:val="000C5349"/>
    <w:rsid w:val="000C6825"/>
    <w:rsid w:val="000C68BB"/>
    <w:rsid w:val="000C6999"/>
    <w:rsid w:val="000C794C"/>
    <w:rsid w:val="000D07B5"/>
    <w:rsid w:val="000D0B4B"/>
    <w:rsid w:val="000D0F8D"/>
    <w:rsid w:val="000D15BF"/>
    <w:rsid w:val="000D2E90"/>
    <w:rsid w:val="000D35C4"/>
    <w:rsid w:val="000D3BBD"/>
    <w:rsid w:val="000D557C"/>
    <w:rsid w:val="000D55E7"/>
    <w:rsid w:val="000D6325"/>
    <w:rsid w:val="000D6972"/>
    <w:rsid w:val="000D6CD5"/>
    <w:rsid w:val="000D739B"/>
    <w:rsid w:val="000D74C5"/>
    <w:rsid w:val="000D775F"/>
    <w:rsid w:val="000D7760"/>
    <w:rsid w:val="000D780C"/>
    <w:rsid w:val="000D7E59"/>
    <w:rsid w:val="000D7EA9"/>
    <w:rsid w:val="000E015F"/>
    <w:rsid w:val="000E07AC"/>
    <w:rsid w:val="000E203E"/>
    <w:rsid w:val="000E2612"/>
    <w:rsid w:val="000E2CA1"/>
    <w:rsid w:val="000E2ED0"/>
    <w:rsid w:val="000E32B6"/>
    <w:rsid w:val="000E3365"/>
    <w:rsid w:val="000E3C2F"/>
    <w:rsid w:val="000E4F35"/>
    <w:rsid w:val="000E5389"/>
    <w:rsid w:val="000E5D11"/>
    <w:rsid w:val="000E5DB4"/>
    <w:rsid w:val="000E72C8"/>
    <w:rsid w:val="000E7361"/>
    <w:rsid w:val="000E78A6"/>
    <w:rsid w:val="000F07C3"/>
    <w:rsid w:val="000F1889"/>
    <w:rsid w:val="000F1995"/>
    <w:rsid w:val="000F1D0D"/>
    <w:rsid w:val="000F22ED"/>
    <w:rsid w:val="000F2CF4"/>
    <w:rsid w:val="000F2D20"/>
    <w:rsid w:val="000F33B5"/>
    <w:rsid w:val="000F345D"/>
    <w:rsid w:val="000F4431"/>
    <w:rsid w:val="000F47AB"/>
    <w:rsid w:val="000F5DEF"/>
    <w:rsid w:val="000F6D8A"/>
    <w:rsid w:val="000F75BE"/>
    <w:rsid w:val="000F7A57"/>
    <w:rsid w:val="00100361"/>
    <w:rsid w:val="00100683"/>
    <w:rsid w:val="0010105C"/>
    <w:rsid w:val="0010114C"/>
    <w:rsid w:val="00101869"/>
    <w:rsid w:val="00101A88"/>
    <w:rsid w:val="00101CF4"/>
    <w:rsid w:val="00101E31"/>
    <w:rsid w:val="001033B6"/>
    <w:rsid w:val="001034F2"/>
    <w:rsid w:val="00106979"/>
    <w:rsid w:val="00106BE0"/>
    <w:rsid w:val="001071E3"/>
    <w:rsid w:val="00107643"/>
    <w:rsid w:val="00107A76"/>
    <w:rsid w:val="0011039A"/>
    <w:rsid w:val="001103D0"/>
    <w:rsid w:val="00111143"/>
    <w:rsid w:val="001114DA"/>
    <w:rsid w:val="00111726"/>
    <w:rsid w:val="0011264A"/>
    <w:rsid w:val="00112CD1"/>
    <w:rsid w:val="00112D11"/>
    <w:rsid w:val="0011304C"/>
    <w:rsid w:val="001136AE"/>
    <w:rsid w:val="00113B06"/>
    <w:rsid w:val="00114454"/>
    <w:rsid w:val="001144BF"/>
    <w:rsid w:val="001158FA"/>
    <w:rsid w:val="00115CFE"/>
    <w:rsid w:val="001165DE"/>
    <w:rsid w:val="001170E9"/>
    <w:rsid w:val="00120AFE"/>
    <w:rsid w:val="00120EB5"/>
    <w:rsid w:val="0012116F"/>
    <w:rsid w:val="00121E2B"/>
    <w:rsid w:val="00122058"/>
    <w:rsid w:val="0012389E"/>
    <w:rsid w:val="00125CD6"/>
    <w:rsid w:val="0013097B"/>
    <w:rsid w:val="00130D4F"/>
    <w:rsid w:val="00131000"/>
    <w:rsid w:val="0013349D"/>
    <w:rsid w:val="00133F8B"/>
    <w:rsid w:val="00134B18"/>
    <w:rsid w:val="00134C2C"/>
    <w:rsid w:val="00134C66"/>
    <w:rsid w:val="00135634"/>
    <w:rsid w:val="001357A4"/>
    <w:rsid w:val="00135FE9"/>
    <w:rsid w:val="001370F0"/>
    <w:rsid w:val="00141848"/>
    <w:rsid w:val="00142323"/>
    <w:rsid w:val="001424FB"/>
    <w:rsid w:val="001437CB"/>
    <w:rsid w:val="00143A7D"/>
    <w:rsid w:val="00143C09"/>
    <w:rsid w:val="00143C47"/>
    <w:rsid w:val="00144242"/>
    <w:rsid w:val="00145567"/>
    <w:rsid w:val="00145E3F"/>
    <w:rsid w:val="001465A5"/>
    <w:rsid w:val="001470A4"/>
    <w:rsid w:val="00150234"/>
    <w:rsid w:val="00150C6F"/>
    <w:rsid w:val="001514DC"/>
    <w:rsid w:val="00151976"/>
    <w:rsid w:val="00151A3C"/>
    <w:rsid w:val="00151D66"/>
    <w:rsid w:val="00153C2C"/>
    <w:rsid w:val="00153E9A"/>
    <w:rsid w:val="00154445"/>
    <w:rsid w:val="00154D5B"/>
    <w:rsid w:val="001551DD"/>
    <w:rsid w:val="00156336"/>
    <w:rsid w:val="00156355"/>
    <w:rsid w:val="00160209"/>
    <w:rsid w:val="0016042C"/>
    <w:rsid w:val="0016044E"/>
    <w:rsid w:val="00160475"/>
    <w:rsid w:val="00161EE8"/>
    <w:rsid w:val="001624FF"/>
    <w:rsid w:val="00162DC0"/>
    <w:rsid w:val="00163179"/>
    <w:rsid w:val="00163810"/>
    <w:rsid w:val="00163B71"/>
    <w:rsid w:val="00166DCE"/>
    <w:rsid w:val="00167FE2"/>
    <w:rsid w:val="00171882"/>
    <w:rsid w:val="001721B7"/>
    <w:rsid w:val="0017294B"/>
    <w:rsid w:val="001729CC"/>
    <w:rsid w:val="00173C77"/>
    <w:rsid w:val="001747FB"/>
    <w:rsid w:val="001754CC"/>
    <w:rsid w:val="001754F0"/>
    <w:rsid w:val="00175D4E"/>
    <w:rsid w:val="00175DA9"/>
    <w:rsid w:val="00175FD5"/>
    <w:rsid w:val="001772E3"/>
    <w:rsid w:val="00177B0F"/>
    <w:rsid w:val="00177C63"/>
    <w:rsid w:val="00177CCE"/>
    <w:rsid w:val="001802F0"/>
    <w:rsid w:val="0018082A"/>
    <w:rsid w:val="0018096A"/>
    <w:rsid w:val="00180B97"/>
    <w:rsid w:val="001819A8"/>
    <w:rsid w:val="00182072"/>
    <w:rsid w:val="001821C9"/>
    <w:rsid w:val="001825C9"/>
    <w:rsid w:val="00183C32"/>
    <w:rsid w:val="0018408E"/>
    <w:rsid w:val="0018410F"/>
    <w:rsid w:val="00184637"/>
    <w:rsid w:val="0018482A"/>
    <w:rsid w:val="00187F02"/>
    <w:rsid w:val="00190A98"/>
    <w:rsid w:val="00190F74"/>
    <w:rsid w:val="00191E78"/>
    <w:rsid w:val="00192955"/>
    <w:rsid w:val="00192CDF"/>
    <w:rsid w:val="001933AA"/>
    <w:rsid w:val="0019398D"/>
    <w:rsid w:val="00194B7C"/>
    <w:rsid w:val="00194F0E"/>
    <w:rsid w:val="001952DB"/>
    <w:rsid w:val="001953FB"/>
    <w:rsid w:val="00195ED0"/>
    <w:rsid w:val="00196D21"/>
    <w:rsid w:val="001A0F34"/>
    <w:rsid w:val="001A1A00"/>
    <w:rsid w:val="001A2059"/>
    <w:rsid w:val="001A23EE"/>
    <w:rsid w:val="001A241E"/>
    <w:rsid w:val="001A336E"/>
    <w:rsid w:val="001A3FD4"/>
    <w:rsid w:val="001A4243"/>
    <w:rsid w:val="001A4347"/>
    <w:rsid w:val="001A45CD"/>
    <w:rsid w:val="001A4746"/>
    <w:rsid w:val="001A49B7"/>
    <w:rsid w:val="001A57E8"/>
    <w:rsid w:val="001A6433"/>
    <w:rsid w:val="001A6DF8"/>
    <w:rsid w:val="001A6FD4"/>
    <w:rsid w:val="001A7604"/>
    <w:rsid w:val="001A7B69"/>
    <w:rsid w:val="001A7C33"/>
    <w:rsid w:val="001B0384"/>
    <w:rsid w:val="001B0759"/>
    <w:rsid w:val="001B0F54"/>
    <w:rsid w:val="001B0F69"/>
    <w:rsid w:val="001B111C"/>
    <w:rsid w:val="001B21E6"/>
    <w:rsid w:val="001B2313"/>
    <w:rsid w:val="001B31F4"/>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EF"/>
    <w:rsid w:val="001C43B5"/>
    <w:rsid w:val="001C59C0"/>
    <w:rsid w:val="001C5C11"/>
    <w:rsid w:val="001C6D02"/>
    <w:rsid w:val="001C700E"/>
    <w:rsid w:val="001C747C"/>
    <w:rsid w:val="001C7550"/>
    <w:rsid w:val="001C79CC"/>
    <w:rsid w:val="001D20A2"/>
    <w:rsid w:val="001D2383"/>
    <w:rsid w:val="001D23D5"/>
    <w:rsid w:val="001D2542"/>
    <w:rsid w:val="001D321C"/>
    <w:rsid w:val="001D3F56"/>
    <w:rsid w:val="001D423C"/>
    <w:rsid w:val="001D4D1A"/>
    <w:rsid w:val="001D58DC"/>
    <w:rsid w:val="001D6369"/>
    <w:rsid w:val="001D6CB4"/>
    <w:rsid w:val="001D7096"/>
    <w:rsid w:val="001D70AB"/>
    <w:rsid w:val="001D70E2"/>
    <w:rsid w:val="001D7F3B"/>
    <w:rsid w:val="001E0958"/>
    <w:rsid w:val="001E1320"/>
    <w:rsid w:val="001E1953"/>
    <w:rsid w:val="001E2190"/>
    <w:rsid w:val="001E2261"/>
    <w:rsid w:val="001E237E"/>
    <w:rsid w:val="001E302A"/>
    <w:rsid w:val="001E38C2"/>
    <w:rsid w:val="001E4B2A"/>
    <w:rsid w:val="001E59B6"/>
    <w:rsid w:val="001E5D22"/>
    <w:rsid w:val="001E6196"/>
    <w:rsid w:val="001E70BE"/>
    <w:rsid w:val="001E7316"/>
    <w:rsid w:val="001F0A03"/>
    <w:rsid w:val="001F0E98"/>
    <w:rsid w:val="001F132E"/>
    <w:rsid w:val="001F23D8"/>
    <w:rsid w:val="001F2462"/>
    <w:rsid w:val="001F286A"/>
    <w:rsid w:val="001F31F7"/>
    <w:rsid w:val="001F3E3E"/>
    <w:rsid w:val="001F4EFE"/>
    <w:rsid w:val="001F57E3"/>
    <w:rsid w:val="001F6059"/>
    <w:rsid w:val="001F6582"/>
    <w:rsid w:val="001F6EE7"/>
    <w:rsid w:val="001F737C"/>
    <w:rsid w:val="001F73CE"/>
    <w:rsid w:val="001F7963"/>
    <w:rsid w:val="001F7C7E"/>
    <w:rsid w:val="00200527"/>
    <w:rsid w:val="00200C6B"/>
    <w:rsid w:val="00201183"/>
    <w:rsid w:val="00201240"/>
    <w:rsid w:val="0020139E"/>
    <w:rsid w:val="0020271E"/>
    <w:rsid w:val="00202DB5"/>
    <w:rsid w:val="00203C74"/>
    <w:rsid w:val="00204087"/>
    <w:rsid w:val="0020462F"/>
    <w:rsid w:val="00205E57"/>
    <w:rsid w:val="0020658C"/>
    <w:rsid w:val="002066DD"/>
    <w:rsid w:val="00206B08"/>
    <w:rsid w:val="00207447"/>
    <w:rsid w:val="002075E1"/>
    <w:rsid w:val="00207CE2"/>
    <w:rsid w:val="00207CFF"/>
    <w:rsid w:val="00207EAC"/>
    <w:rsid w:val="00207EDC"/>
    <w:rsid w:val="0021027F"/>
    <w:rsid w:val="00210456"/>
    <w:rsid w:val="0021053E"/>
    <w:rsid w:val="00210BA4"/>
    <w:rsid w:val="00211218"/>
    <w:rsid w:val="0021121D"/>
    <w:rsid w:val="00211865"/>
    <w:rsid w:val="00211FC9"/>
    <w:rsid w:val="00212AFA"/>
    <w:rsid w:val="00212FC2"/>
    <w:rsid w:val="0021302A"/>
    <w:rsid w:val="00214707"/>
    <w:rsid w:val="00214A72"/>
    <w:rsid w:val="00214C58"/>
    <w:rsid w:val="00215084"/>
    <w:rsid w:val="00221055"/>
    <w:rsid w:val="0022195F"/>
    <w:rsid w:val="00221A11"/>
    <w:rsid w:val="002220BC"/>
    <w:rsid w:val="00222411"/>
    <w:rsid w:val="00222690"/>
    <w:rsid w:val="00225376"/>
    <w:rsid w:val="002254FC"/>
    <w:rsid w:val="0022562B"/>
    <w:rsid w:val="00225737"/>
    <w:rsid w:val="0022611D"/>
    <w:rsid w:val="002261D4"/>
    <w:rsid w:val="002263E9"/>
    <w:rsid w:val="00226858"/>
    <w:rsid w:val="002268A7"/>
    <w:rsid w:val="002269B6"/>
    <w:rsid w:val="00226B98"/>
    <w:rsid w:val="00227078"/>
    <w:rsid w:val="002271C8"/>
    <w:rsid w:val="00227640"/>
    <w:rsid w:val="00227C6A"/>
    <w:rsid w:val="002307B1"/>
    <w:rsid w:val="00230C32"/>
    <w:rsid w:val="00230D95"/>
    <w:rsid w:val="00231176"/>
    <w:rsid w:val="00232622"/>
    <w:rsid w:val="00233096"/>
    <w:rsid w:val="002337A9"/>
    <w:rsid w:val="002338E9"/>
    <w:rsid w:val="00234854"/>
    <w:rsid w:val="00234A4F"/>
    <w:rsid w:val="00235A7E"/>
    <w:rsid w:val="00236077"/>
    <w:rsid w:val="00236F48"/>
    <w:rsid w:val="002370E3"/>
    <w:rsid w:val="0024025C"/>
    <w:rsid w:val="002403BF"/>
    <w:rsid w:val="00240C44"/>
    <w:rsid w:val="002416A8"/>
    <w:rsid w:val="00241D1D"/>
    <w:rsid w:val="002421C0"/>
    <w:rsid w:val="002423DF"/>
    <w:rsid w:val="00242F8C"/>
    <w:rsid w:val="00243C71"/>
    <w:rsid w:val="00243F51"/>
    <w:rsid w:val="0024507E"/>
    <w:rsid w:val="00246E57"/>
    <w:rsid w:val="00246E8A"/>
    <w:rsid w:val="00250236"/>
    <w:rsid w:val="00250717"/>
    <w:rsid w:val="002507E3"/>
    <w:rsid w:val="002507F3"/>
    <w:rsid w:val="00250EAB"/>
    <w:rsid w:val="00251207"/>
    <w:rsid w:val="0025154B"/>
    <w:rsid w:val="002515E8"/>
    <w:rsid w:val="0025164E"/>
    <w:rsid w:val="00251C83"/>
    <w:rsid w:val="00253370"/>
    <w:rsid w:val="00253546"/>
    <w:rsid w:val="00254329"/>
    <w:rsid w:val="002554DC"/>
    <w:rsid w:val="00255559"/>
    <w:rsid w:val="00255947"/>
    <w:rsid w:val="00255A4A"/>
    <w:rsid w:val="00255D3D"/>
    <w:rsid w:val="00256603"/>
    <w:rsid w:val="0025726A"/>
    <w:rsid w:val="00260D2A"/>
    <w:rsid w:val="002613ED"/>
    <w:rsid w:val="002615A1"/>
    <w:rsid w:val="00261617"/>
    <w:rsid w:val="00261A39"/>
    <w:rsid w:val="0026201B"/>
    <w:rsid w:val="0026213E"/>
    <w:rsid w:val="0026286F"/>
    <w:rsid w:val="002634D2"/>
    <w:rsid w:val="00263550"/>
    <w:rsid w:val="0026533C"/>
    <w:rsid w:val="00265BCE"/>
    <w:rsid w:val="002663F6"/>
    <w:rsid w:val="00266BBB"/>
    <w:rsid w:val="00266BE7"/>
    <w:rsid w:val="0026704D"/>
    <w:rsid w:val="00267C4F"/>
    <w:rsid w:val="002701BD"/>
    <w:rsid w:val="00270447"/>
    <w:rsid w:val="00270594"/>
    <w:rsid w:val="00270822"/>
    <w:rsid w:val="00270C0F"/>
    <w:rsid w:val="00270F9F"/>
    <w:rsid w:val="0027137A"/>
    <w:rsid w:val="002714B0"/>
    <w:rsid w:val="0027168B"/>
    <w:rsid w:val="0027195E"/>
    <w:rsid w:val="00271EB5"/>
    <w:rsid w:val="00272522"/>
    <w:rsid w:val="00272D6E"/>
    <w:rsid w:val="00272F44"/>
    <w:rsid w:val="002733A0"/>
    <w:rsid w:val="00275549"/>
    <w:rsid w:val="00276B74"/>
    <w:rsid w:val="0027765F"/>
    <w:rsid w:val="00277CC1"/>
    <w:rsid w:val="00280439"/>
    <w:rsid w:val="0028083D"/>
    <w:rsid w:val="00281353"/>
    <w:rsid w:val="002825E2"/>
    <w:rsid w:val="00283352"/>
    <w:rsid w:val="0028420E"/>
    <w:rsid w:val="00284A19"/>
    <w:rsid w:val="00285A9C"/>
    <w:rsid w:val="00286319"/>
    <w:rsid w:val="002867E0"/>
    <w:rsid w:val="0028687B"/>
    <w:rsid w:val="00290C97"/>
    <w:rsid w:val="0029144F"/>
    <w:rsid w:val="00291911"/>
    <w:rsid w:val="00292448"/>
    <w:rsid w:val="002927E9"/>
    <w:rsid w:val="00292AD3"/>
    <w:rsid w:val="002932A0"/>
    <w:rsid w:val="0029349C"/>
    <w:rsid w:val="00293CDA"/>
    <w:rsid w:val="00293D3E"/>
    <w:rsid w:val="00294D11"/>
    <w:rsid w:val="002963B4"/>
    <w:rsid w:val="002965DD"/>
    <w:rsid w:val="0029694E"/>
    <w:rsid w:val="00296B5C"/>
    <w:rsid w:val="002A0127"/>
    <w:rsid w:val="002A0904"/>
    <w:rsid w:val="002A1678"/>
    <w:rsid w:val="002A178D"/>
    <w:rsid w:val="002A1796"/>
    <w:rsid w:val="002A2871"/>
    <w:rsid w:val="002A4CF8"/>
    <w:rsid w:val="002A4FF9"/>
    <w:rsid w:val="002A5140"/>
    <w:rsid w:val="002A51D4"/>
    <w:rsid w:val="002A6416"/>
    <w:rsid w:val="002A66DA"/>
    <w:rsid w:val="002A6A9C"/>
    <w:rsid w:val="002A76C8"/>
    <w:rsid w:val="002A7850"/>
    <w:rsid w:val="002A7AD7"/>
    <w:rsid w:val="002A7B49"/>
    <w:rsid w:val="002B0BA7"/>
    <w:rsid w:val="002B0DFA"/>
    <w:rsid w:val="002B0EB2"/>
    <w:rsid w:val="002B262B"/>
    <w:rsid w:val="002B3425"/>
    <w:rsid w:val="002B3C61"/>
    <w:rsid w:val="002B4174"/>
    <w:rsid w:val="002B5493"/>
    <w:rsid w:val="002B70E8"/>
    <w:rsid w:val="002B73B0"/>
    <w:rsid w:val="002B7942"/>
    <w:rsid w:val="002C0A98"/>
    <w:rsid w:val="002C0BCC"/>
    <w:rsid w:val="002C11CB"/>
    <w:rsid w:val="002C25D7"/>
    <w:rsid w:val="002C27B7"/>
    <w:rsid w:val="002C2940"/>
    <w:rsid w:val="002C2BC6"/>
    <w:rsid w:val="002C3064"/>
    <w:rsid w:val="002C36D9"/>
    <w:rsid w:val="002C6B61"/>
    <w:rsid w:val="002C6CCF"/>
    <w:rsid w:val="002C6E75"/>
    <w:rsid w:val="002C6FEB"/>
    <w:rsid w:val="002C7DB0"/>
    <w:rsid w:val="002C7E0E"/>
    <w:rsid w:val="002D0038"/>
    <w:rsid w:val="002D0053"/>
    <w:rsid w:val="002D0672"/>
    <w:rsid w:val="002D0793"/>
    <w:rsid w:val="002D273A"/>
    <w:rsid w:val="002D2BAA"/>
    <w:rsid w:val="002D34D6"/>
    <w:rsid w:val="002D375C"/>
    <w:rsid w:val="002D3C57"/>
    <w:rsid w:val="002D3E94"/>
    <w:rsid w:val="002D3F17"/>
    <w:rsid w:val="002D49E7"/>
    <w:rsid w:val="002D4E71"/>
    <w:rsid w:val="002D4EFB"/>
    <w:rsid w:val="002D4F22"/>
    <w:rsid w:val="002D6273"/>
    <w:rsid w:val="002D6E10"/>
    <w:rsid w:val="002D6ECF"/>
    <w:rsid w:val="002E076A"/>
    <w:rsid w:val="002E0A8F"/>
    <w:rsid w:val="002E3B14"/>
    <w:rsid w:val="002E3F27"/>
    <w:rsid w:val="002E3FDD"/>
    <w:rsid w:val="002E4973"/>
    <w:rsid w:val="002E4A46"/>
    <w:rsid w:val="002E5CA5"/>
    <w:rsid w:val="002E65A1"/>
    <w:rsid w:val="002E666B"/>
    <w:rsid w:val="002E7B2E"/>
    <w:rsid w:val="002F00FF"/>
    <w:rsid w:val="002F0156"/>
    <w:rsid w:val="002F0FDD"/>
    <w:rsid w:val="002F169E"/>
    <w:rsid w:val="002F177C"/>
    <w:rsid w:val="002F28A1"/>
    <w:rsid w:val="002F3E5C"/>
    <w:rsid w:val="002F43D6"/>
    <w:rsid w:val="002F463C"/>
    <w:rsid w:val="002F49B3"/>
    <w:rsid w:val="002F4AFD"/>
    <w:rsid w:val="002F55D5"/>
    <w:rsid w:val="002F6227"/>
    <w:rsid w:val="002F63CD"/>
    <w:rsid w:val="002F7012"/>
    <w:rsid w:val="002F715F"/>
    <w:rsid w:val="002F7181"/>
    <w:rsid w:val="002F7736"/>
    <w:rsid w:val="00300674"/>
    <w:rsid w:val="00300896"/>
    <w:rsid w:val="00300F8B"/>
    <w:rsid w:val="00301175"/>
    <w:rsid w:val="003027F7"/>
    <w:rsid w:val="003029DC"/>
    <w:rsid w:val="00302AC7"/>
    <w:rsid w:val="003030D3"/>
    <w:rsid w:val="0030340C"/>
    <w:rsid w:val="00303F40"/>
    <w:rsid w:val="00304D6F"/>
    <w:rsid w:val="00304EE5"/>
    <w:rsid w:val="003056CA"/>
    <w:rsid w:val="003063BE"/>
    <w:rsid w:val="003065DC"/>
    <w:rsid w:val="0030754A"/>
    <w:rsid w:val="00311093"/>
    <w:rsid w:val="00311207"/>
    <w:rsid w:val="00312452"/>
    <w:rsid w:val="00312EF0"/>
    <w:rsid w:val="00313774"/>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CEA"/>
    <w:rsid w:val="00324245"/>
    <w:rsid w:val="00324BCF"/>
    <w:rsid w:val="00324C44"/>
    <w:rsid w:val="00324DFE"/>
    <w:rsid w:val="003257E5"/>
    <w:rsid w:val="0032684F"/>
    <w:rsid w:val="00326AAF"/>
    <w:rsid w:val="00326F02"/>
    <w:rsid w:val="00327402"/>
    <w:rsid w:val="00327730"/>
    <w:rsid w:val="0033094A"/>
    <w:rsid w:val="00330952"/>
    <w:rsid w:val="0033104E"/>
    <w:rsid w:val="0033256A"/>
    <w:rsid w:val="00333077"/>
    <w:rsid w:val="00334009"/>
    <w:rsid w:val="0033468A"/>
    <w:rsid w:val="003346D6"/>
    <w:rsid w:val="003351E2"/>
    <w:rsid w:val="003351E6"/>
    <w:rsid w:val="00335EDC"/>
    <w:rsid w:val="00336528"/>
    <w:rsid w:val="00337356"/>
    <w:rsid w:val="00337FCB"/>
    <w:rsid w:val="00340560"/>
    <w:rsid w:val="00340EE3"/>
    <w:rsid w:val="00341014"/>
    <w:rsid w:val="003415CF"/>
    <w:rsid w:val="0034231A"/>
    <w:rsid w:val="0034249B"/>
    <w:rsid w:val="003427D9"/>
    <w:rsid w:val="00342D43"/>
    <w:rsid w:val="00344A03"/>
    <w:rsid w:val="0034530A"/>
    <w:rsid w:val="00345C3E"/>
    <w:rsid w:val="0034634B"/>
    <w:rsid w:val="003475BB"/>
    <w:rsid w:val="003478BB"/>
    <w:rsid w:val="0035009D"/>
    <w:rsid w:val="00350258"/>
    <w:rsid w:val="0035054D"/>
    <w:rsid w:val="003505F6"/>
    <w:rsid w:val="003513E7"/>
    <w:rsid w:val="00351B28"/>
    <w:rsid w:val="00351DDD"/>
    <w:rsid w:val="00351F0E"/>
    <w:rsid w:val="0035253A"/>
    <w:rsid w:val="00352A72"/>
    <w:rsid w:val="003530D5"/>
    <w:rsid w:val="00353B26"/>
    <w:rsid w:val="00353B32"/>
    <w:rsid w:val="00353BF5"/>
    <w:rsid w:val="00354383"/>
    <w:rsid w:val="00354DEB"/>
    <w:rsid w:val="0035513C"/>
    <w:rsid w:val="00355B21"/>
    <w:rsid w:val="00355C6C"/>
    <w:rsid w:val="00356107"/>
    <w:rsid w:val="003563ED"/>
    <w:rsid w:val="00356963"/>
    <w:rsid w:val="00357221"/>
    <w:rsid w:val="003577B3"/>
    <w:rsid w:val="00357D5D"/>
    <w:rsid w:val="00360498"/>
    <w:rsid w:val="00360BC9"/>
    <w:rsid w:val="0036107A"/>
    <w:rsid w:val="00361298"/>
    <w:rsid w:val="003613BD"/>
    <w:rsid w:val="003617CE"/>
    <w:rsid w:val="00361888"/>
    <w:rsid w:val="003618FB"/>
    <w:rsid w:val="00361AFD"/>
    <w:rsid w:val="0036274B"/>
    <w:rsid w:val="00362EA1"/>
    <w:rsid w:val="00363141"/>
    <w:rsid w:val="003632F2"/>
    <w:rsid w:val="003637FF"/>
    <w:rsid w:val="003650F2"/>
    <w:rsid w:val="0036547F"/>
    <w:rsid w:val="0036647B"/>
    <w:rsid w:val="0036695F"/>
    <w:rsid w:val="00367098"/>
    <w:rsid w:val="003674F1"/>
    <w:rsid w:val="003718E2"/>
    <w:rsid w:val="003723C0"/>
    <w:rsid w:val="003729AC"/>
    <w:rsid w:val="00373BDD"/>
    <w:rsid w:val="00373CCB"/>
    <w:rsid w:val="0037429D"/>
    <w:rsid w:val="00375540"/>
    <w:rsid w:val="00375CEB"/>
    <w:rsid w:val="003761CC"/>
    <w:rsid w:val="00376254"/>
    <w:rsid w:val="00376792"/>
    <w:rsid w:val="00376B66"/>
    <w:rsid w:val="00380D37"/>
    <w:rsid w:val="003813B5"/>
    <w:rsid w:val="00381706"/>
    <w:rsid w:val="00381BDA"/>
    <w:rsid w:val="003820D6"/>
    <w:rsid w:val="00382C8B"/>
    <w:rsid w:val="00382DDB"/>
    <w:rsid w:val="003839BF"/>
    <w:rsid w:val="00383B66"/>
    <w:rsid w:val="00384036"/>
    <w:rsid w:val="003840CB"/>
    <w:rsid w:val="00384B72"/>
    <w:rsid w:val="00384FA7"/>
    <w:rsid w:val="00384FB4"/>
    <w:rsid w:val="0038567D"/>
    <w:rsid w:val="00385946"/>
    <w:rsid w:val="00385B2C"/>
    <w:rsid w:val="00386439"/>
    <w:rsid w:val="00387503"/>
    <w:rsid w:val="00387CCC"/>
    <w:rsid w:val="003908CE"/>
    <w:rsid w:val="0039092A"/>
    <w:rsid w:val="0039209A"/>
    <w:rsid w:val="003920BC"/>
    <w:rsid w:val="0039310D"/>
    <w:rsid w:val="00394B59"/>
    <w:rsid w:val="00396815"/>
    <w:rsid w:val="00396F97"/>
    <w:rsid w:val="00397524"/>
    <w:rsid w:val="003A0597"/>
    <w:rsid w:val="003A060B"/>
    <w:rsid w:val="003A0760"/>
    <w:rsid w:val="003A0C5B"/>
    <w:rsid w:val="003A138D"/>
    <w:rsid w:val="003A17A9"/>
    <w:rsid w:val="003A23EE"/>
    <w:rsid w:val="003A286E"/>
    <w:rsid w:val="003A2CA7"/>
    <w:rsid w:val="003A3B91"/>
    <w:rsid w:val="003A3DE5"/>
    <w:rsid w:val="003A492B"/>
    <w:rsid w:val="003A4A7D"/>
    <w:rsid w:val="003A56A8"/>
    <w:rsid w:val="003A5B1D"/>
    <w:rsid w:val="003A5F4A"/>
    <w:rsid w:val="003A5F9C"/>
    <w:rsid w:val="003A6D39"/>
    <w:rsid w:val="003A71C5"/>
    <w:rsid w:val="003A7E49"/>
    <w:rsid w:val="003B0308"/>
    <w:rsid w:val="003B0A92"/>
    <w:rsid w:val="003B0C54"/>
    <w:rsid w:val="003B0CA0"/>
    <w:rsid w:val="003B0E33"/>
    <w:rsid w:val="003B1B0F"/>
    <w:rsid w:val="003B1DB4"/>
    <w:rsid w:val="003B3051"/>
    <w:rsid w:val="003B4B26"/>
    <w:rsid w:val="003B50E7"/>
    <w:rsid w:val="003B53B8"/>
    <w:rsid w:val="003B5491"/>
    <w:rsid w:val="003B6F1D"/>
    <w:rsid w:val="003C04D2"/>
    <w:rsid w:val="003C096C"/>
    <w:rsid w:val="003C13B1"/>
    <w:rsid w:val="003C16A4"/>
    <w:rsid w:val="003C1977"/>
    <w:rsid w:val="003C1E05"/>
    <w:rsid w:val="003C1E48"/>
    <w:rsid w:val="003C22CA"/>
    <w:rsid w:val="003C26CF"/>
    <w:rsid w:val="003C2EDD"/>
    <w:rsid w:val="003C3367"/>
    <w:rsid w:val="003C40FB"/>
    <w:rsid w:val="003C4C7E"/>
    <w:rsid w:val="003C584D"/>
    <w:rsid w:val="003C6811"/>
    <w:rsid w:val="003C6AF7"/>
    <w:rsid w:val="003C6E30"/>
    <w:rsid w:val="003C7489"/>
    <w:rsid w:val="003C787B"/>
    <w:rsid w:val="003C7BA3"/>
    <w:rsid w:val="003C7C73"/>
    <w:rsid w:val="003D033E"/>
    <w:rsid w:val="003D06A7"/>
    <w:rsid w:val="003D0E64"/>
    <w:rsid w:val="003D0FCD"/>
    <w:rsid w:val="003D1B8C"/>
    <w:rsid w:val="003D2164"/>
    <w:rsid w:val="003D31D5"/>
    <w:rsid w:val="003D49A7"/>
    <w:rsid w:val="003D4E7C"/>
    <w:rsid w:val="003D5200"/>
    <w:rsid w:val="003D5F39"/>
    <w:rsid w:val="003D6BB8"/>
    <w:rsid w:val="003D70C1"/>
    <w:rsid w:val="003D713B"/>
    <w:rsid w:val="003D7B40"/>
    <w:rsid w:val="003E12D0"/>
    <w:rsid w:val="003E1BA6"/>
    <w:rsid w:val="003E1C1E"/>
    <w:rsid w:val="003E23A2"/>
    <w:rsid w:val="003E267F"/>
    <w:rsid w:val="003E2BD3"/>
    <w:rsid w:val="003E2E55"/>
    <w:rsid w:val="003E341C"/>
    <w:rsid w:val="003E347A"/>
    <w:rsid w:val="003E356D"/>
    <w:rsid w:val="003E3D8A"/>
    <w:rsid w:val="003E41E6"/>
    <w:rsid w:val="003E51A3"/>
    <w:rsid w:val="003E64EE"/>
    <w:rsid w:val="003E753A"/>
    <w:rsid w:val="003E7944"/>
    <w:rsid w:val="003F0666"/>
    <w:rsid w:val="003F2351"/>
    <w:rsid w:val="003F23EF"/>
    <w:rsid w:val="003F270C"/>
    <w:rsid w:val="003F2DE4"/>
    <w:rsid w:val="003F39A7"/>
    <w:rsid w:val="003F3C8B"/>
    <w:rsid w:val="003F47B6"/>
    <w:rsid w:val="003F5009"/>
    <w:rsid w:val="003F55D5"/>
    <w:rsid w:val="003F59F6"/>
    <w:rsid w:val="003F5C83"/>
    <w:rsid w:val="003F678D"/>
    <w:rsid w:val="003F6AD6"/>
    <w:rsid w:val="003F6BE1"/>
    <w:rsid w:val="003F799D"/>
    <w:rsid w:val="0040021D"/>
    <w:rsid w:val="00400222"/>
    <w:rsid w:val="00400F10"/>
    <w:rsid w:val="00400F6E"/>
    <w:rsid w:val="004011DB"/>
    <w:rsid w:val="00401722"/>
    <w:rsid w:val="004022B2"/>
    <w:rsid w:val="004045B1"/>
    <w:rsid w:val="00404FAE"/>
    <w:rsid w:val="00406B91"/>
    <w:rsid w:val="00406D1A"/>
    <w:rsid w:val="00407F51"/>
    <w:rsid w:val="00410584"/>
    <w:rsid w:val="00410C1B"/>
    <w:rsid w:val="00410DC2"/>
    <w:rsid w:val="00411222"/>
    <w:rsid w:val="00412252"/>
    <w:rsid w:val="004122F9"/>
    <w:rsid w:val="00412A24"/>
    <w:rsid w:val="00412A29"/>
    <w:rsid w:val="00413E83"/>
    <w:rsid w:val="004144D6"/>
    <w:rsid w:val="004158B3"/>
    <w:rsid w:val="00416AAB"/>
    <w:rsid w:val="004173BA"/>
    <w:rsid w:val="004176B6"/>
    <w:rsid w:val="00417CA2"/>
    <w:rsid w:val="00417EDD"/>
    <w:rsid w:val="0042082F"/>
    <w:rsid w:val="00420C78"/>
    <w:rsid w:val="00421109"/>
    <w:rsid w:val="00421463"/>
    <w:rsid w:val="00421A9F"/>
    <w:rsid w:val="0042493E"/>
    <w:rsid w:val="00424959"/>
    <w:rsid w:val="004250EE"/>
    <w:rsid w:val="004253C7"/>
    <w:rsid w:val="004260A6"/>
    <w:rsid w:val="00426631"/>
    <w:rsid w:val="004267CA"/>
    <w:rsid w:val="00426FE4"/>
    <w:rsid w:val="004272A4"/>
    <w:rsid w:val="004273E7"/>
    <w:rsid w:val="00427CAD"/>
    <w:rsid w:val="0043018B"/>
    <w:rsid w:val="004306CD"/>
    <w:rsid w:val="00431246"/>
    <w:rsid w:val="0043147B"/>
    <w:rsid w:val="004328D8"/>
    <w:rsid w:val="00433B49"/>
    <w:rsid w:val="00436F5C"/>
    <w:rsid w:val="00437329"/>
    <w:rsid w:val="00437B94"/>
    <w:rsid w:val="00437B9B"/>
    <w:rsid w:val="00437C98"/>
    <w:rsid w:val="0044009B"/>
    <w:rsid w:val="00440380"/>
    <w:rsid w:val="00441324"/>
    <w:rsid w:val="00441EBE"/>
    <w:rsid w:val="0044212F"/>
    <w:rsid w:val="0044336F"/>
    <w:rsid w:val="0044440C"/>
    <w:rsid w:val="004455CF"/>
    <w:rsid w:val="00445C46"/>
    <w:rsid w:val="00445C8E"/>
    <w:rsid w:val="00446610"/>
    <w:rsid w:val="00446C37"/>
    <w:rsid w:val="00447802"/>
    <w:rsid w:val="00447D12"/>
    <w:rsid w:val="00450A37"/>
    <w:rsid w:val="00450C87"/>
    <w:rsid w:val="00451639"/>
    <w:rsid w:val="00452328"/>
    <w:rsid w:val="00452A3B"/>
    <w:rsid w:val="00452CCA"/>
    <w:rsid w:val="0045345C"/>
    <w:rsid w:val="0045484C"/>
    <w:rsid w:val="00455341"/>
    <w:rsid w:val="004554ED"/>
    <w:rsid w:val="00455BB9"/>
    <w:rsid w:val="00455C02"/>
    <w:rsid w:val="00455E0C"/>
    <w:rsid w:val="00456D92"/>
    <w:rsid w:val="00457946"/>
    <w:rsid w:val="00460526"/>
    <w:rsid w:val="00460D5A"/>
    <w:rsid w:val="00460D81"/>
    <w:rsid w:val="0046106D"/>
    <w:rsid w:val="004617D3"/>
    <w:rsid w:val="00461E39"/>
    <w:rsid w:val="00462064"/>
    <w:rsid w:val="004626B9"/>
    <w:rsid w:val="00463E78"/>
    <w:rsid w:val="0046459B"/>
    <w:rsid w:val="00464A24"/>
    <w:rsid w:val="00464A80"/>
    <w:rsid w:val="00464E84"/>
    <w:rsid w:val="00464F1F"/>
    <w:rsid w:val="00465FC5"/>
    <w:rsid w:val="00466001"/>
    <w:rsid w:val="00467062"/>
    <w:rsid w:val="004713AF"/>
    <w:rsid w:val="00472258"/>
    <w:rsid w:val="00472E95"/>
    <w:rsid w:val="00473178"/>
    <w:rsid w:val="00473AFD"/>
    <w:rsid w:val="00476377"/>
    <w:rsid w:val="0047690C"/>
    <w:rsid w:val="004769F0"/>
    <w:rsid w:val="00476F3A"/>
    <w:rsid w:val="004772FE"/>
    <w:rsid w:val="004776EC"/>
    <w:rsid w:val="00477986"/>
    <w:rsid w:val="004803A7"/>
    <w:rsid w:val="00480513"/>
    <w:rsid w:val="00480990"/>
    <w:rsid w:val="00480DAD"/>
    <w:rsid w:val="00480F40"/>
    <w:rsid w:val="004810B1"/>
    <w:rsid w:val="004812DD"/>
    <w:rsid w:val="0048182D"/>
    <w:rsid w:val="00481DF1"/>
    <w:rsid w:val="00482590"/>
    <w:rsid w:val="004826C7"/>
    <w:rsid w:val="00482E60"/>
    <w:rsid w:val="0048430C"/>
    <w:rsid w:val="00484759"/>
    <w:rsid w:val="00484D8A"/>
    <w:rsid w:val="00486658"/>
    <w:rsid w:val="00486C65"/>
    <w:rsid w:val="00486D90"/>
    <w:rsid w:val="004871E2"/>
    <w:rsid w:val="00487858"/>
    <w:rsid w:val="00487E4F"/>
    <w:rsid w:val="00487E6F"/>
    <w:rsid w:val="00487FDB"/>
    <w:rsid w:val="004901E8"/>
    <w:rsid w:val="00490B72"/>
    <w:rsid w:val="0049115A"/>
    <w:rsid w:val="00491581"/>
    <w:rsid w:val="004925A6"/>
    <w:rsid w:val="00492B9D"/>
    <w:rsid w:val="00492C1D"/>
    <w:rsid w:val="00492E1B"/>
    <w:rsid w:val="004932FC"/>
    <w:rsid w:val="00493322"/>
    <w:rsid w:val="0049356E"/>
    <w:rsid w:val="00493924"/>
    <w:rsid w:val="004943D5"/>
    <w:rsid w:val="00494B02"/>
    <w:rsid w:val="00494C7E"/>
    <w:rsid w:val="00494FE2"/>
    <w:rsid w:val="00494FF1"/>
    <w:rsid w:val="004956BA"/>
    <w:rsid w:val="00495FA0"/>
    <w:rsid w:val="00496011"/>
    <w:rsid w:val="004966B9"/>
    <w:rsid w:val="004967D1"/>
    <w:rsid w:val="0049722C"/>
    <w:rsid w:val="0049747B"/>
    <w:rsid w:val="004975AF"/>
    <w:rsid w:val="004A05B1"/>
    <w:rsid w:val="004A06B4"/>
    <w:rsid w:val="004A07AC"/>
    <w:rsid w:val="004A11CF"/>
    <w:rsid w:val="004A2A57"/>
    <w:rsid w:val="004A2F57"/>
    <w:rsid w:val="004A3FFD"/>
    <w:rsid w:val="004A4473"/>
    <w:rsid w:val="004A5056"/>
    <w:rsid w:val="004A56D4"/>
    <w:rsid w:val="004A5B63"/>
    <w:rsid w:val="004A68C7"/>
    <w:rsid w:val="004A7430"/>
    <w:rsid w:val="004B007C"/>
    <w:rsid w:val="004B01C5"/>
    <w:rsid w:val="004B06B0"/>
    <w:rsid w:val="004B0B1F"/>
    <w:rsid w:val="004B0F0F"/>
    <w:rsid w:val="004B115C"/>
    <w:rsid w:val="004B136F"/>
    <w:rsid w:val="004B1658"/>
    <w:rsid w:val="004B165B"/>
    <w:rsid w:val="004B2716"/>
    <w:rsid w:val="004B2EAA"/>
    <w:rsid w:val="004B3A10"/>
    <w:rsid w:val="004B3A2E"/>
    <w:rsid w:val="004B3C31"/>
    <w:rsid w:val="004B4A56"/>
    <w:rsid w:val="004B4FA3"/>
    <w:rsid w:val="004B50B0"/>
    <w:rsid w:val="004B67F4"/>
    <w:rsid w:val="004B6F18"/>
    <w:rsid w:val="004B73DF"/>
    <w:rsid w:val="004B7BD3"/>
    <w:rsid w:val="004B7CB7"/>
    <w:rsid w:val="004B7E72"/>
    <w:rsid w:val="004C013C"/>
    <w:rsid w:val="004C0C5C"/>
    <w:rsid w:val="004C23B4"/>
    <w:rsid w:val="004C24DE"/>
    <w:rsid w:val="004C2FFB"/>
    <w:rsid w:val="004C3445"/>
    <w:rsid w:val="004C40BC"/>
    <w:rsid w:val="004C451F"/>
    <w:rsid w:val="004C4BA2"/>
    <w:rsid w:val="004C4D5A"/>
    <w:rsid w:val="004C509C"/>
    <w:rsid w:val="004C60BA"/>
    <w:rsid w:val="004C61D4"/>
    <w:rsid w:val="004C63B9"/>
    <w:rsid w:val="004C6897"/>
    <w:rsid w:val="004C6D0E"/>
    <w:rsid w:val="004C71BC"/>
    <w:rsid w:val="004D06E6"/>
    <w:rsid w:val="004D0719"/>
    <w:rsid w:val="004D0FC5"/>
    <w:rsid w:val="004D1E12"/>
    <w:rsid w:val="004D23D9"/>
    <w:rsid w:val="004D3B88"/>
    <w:rsid w:val="004D3E10"/>
    <w:rsid w:val="004D40E5"/>
    <w:rsid w:val="004D479D"/>
    <w:rsid w:val="004D535C"/>
    <w:rsid w:val="004D6002"/>
    <w:rsid w:val="004D6CD0"/>
    <w:rsid w:val="004D6F95"/>
    <w:rsid w:val="004D7AF4"/>
    <w:rsid w:val="004E034A"/>
    <w:rsid w:val="004E0AE1"/>
    <w:rsid w:val="004E13FC"/>
    <w:rsid w:val="004E149F"/>
    <w:rsid w:val="004E217C"/>
    <w:rsid w:val="004E2380"/>
    <w:rsid w:val="004E2432"/>
    <w:rsid w:val="004E277F"/>
    <w:rsid w:val="004E35E1"/>
    <w:rsid w:val="004E3BEB"/>
    <w:rsid w:val="004E3FD5"/>
    <w:rsid w:val="004E427D"/>
    <w:rsid w:val="004E44D7"/>
    <w:rsid w:val="004E4656"/>
    <w:rsid w:val="004E5168"/>
    <w:rsid w:val="004E5326"/>
    <w:rsid w:val="004E6576"/>
    <w:rsid w:val="004E7D05"/>
    <w:rsid w:val="004E7D75"/>
    <w:rsid w:val="004F1DEC"/>
    <w:rsid w:val="004F2B73"/>
    <w:rsid w:val="004F2E1C"/>
    <w:rsid w:val="004F32AF"/>
    <w:rsid w:val="004F3D71"/>
    <w:rsid w:val="004F508B"/>
    <w:rsid w:val="004F5181"/>
    <w:rsid w:val="004F5AE2"/>
    <w:rsid w:val="004F5D57"/>
    <w:rsid w:val="004F614A"/>
    <w:rsid w:val="004F6680"/>
    <w:rsid w:val="004F6DBE"/>
    <w:rsid w:val="004F740A"/>
    <w:rsid w:val="004F7AF2"/>
    <w:rsid w:val="004F7D80"/>
    <w:rsid w:val="004F7E8F"/>
    <w:rsid w:val="00500663"/>
    <w:rsid w:val="005006FC"/>
    <w:rsid w:val="00500DB4"/>
    <w:rsid w:val="00501B34"/>
    <w:rsid w:val="00501C0F"/>
    <w:rsid w:val="0050228A"/>
    <w:rsid w:val="0050339C"/>
    <w:rsid w:val="005034DF"/>
    <w:rsid w:val="0050363D"/>
    <w:rsid w:val="005037EE"/>
    <w:rsid w:val="005053BB"/>
    <w:rsid w:val="00505515"/>
    <w:rsid w:val="005076C0"/>
    <w:rsid w:val="005105B8"/>
    <w:rsid w:val="00511572"/>
    <w:rsid w:val="00511CCC"/>
    <w:rsid w:val="00513488"/>
    <w:rsid w:val="0051363C"/>
    <w:rsid w:val="005147BF"/>
    <w:rsid w:val="00515645"/>
    <w:rsid w:val="005159F7"/>
    <w:rsid w:val="00515E10"/>
    <w:rsid w:val="00520382"/>
    <w:rsid w:val="005203FF"/>
    <w:rsid w:val="0052084E"/>
    <w:rsid w:val="00520A68"/>
    <w:rsid w:val="005215D5"/>
    <w:rsid w:val="0052164C"/>
    <w:rsid w:val="0052170B"/>
    <w:rsid w:val="00521DDD"/>
    <w:rsid w:val="00522169"/>
    <w:rsid w:val="00522BFC"/>
    <w:rsid w:val="00523E15"/>
    <w:rsid w:val="00525ADF"/>
    <w:rsid w:val="00525E80"/>
    <w:rsid w:val="005261ED"/>
    <w:rsid w:val="00526D52"/>
    <w:rsid w:val="00527C39"/>
    <w:rsid w:val="00527EFF"/>
    <w:rsid w:val="00532154"/>
    <w:rsid w:val="0053220B"/>
    <w:rsid w:val="00532922"/>
    <w:rsid w:val="00533A50"/>
    <w:rsid w:val="00533CF1"/>
    <w:rsid w:val="0053475A"/>
    <w:rsid w:val="00534AD1"/>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1D1D"/>
    <w:rsid w:val="005428E6"/>
    <w:rsid w:val="00542C53"/>
    <w:rsid w:val="00543871"/>
    <w:rsid w:val="00544487"/>
    <w:rsid w:val="00544CC3"/>
    <w:rsid w:val="00545188"/>
    <w:rsid w:val="0054598B"/>
    <w:rsid w:val="00546581"/>
    <w:rsid w:val="00547523"/>
    <w:rsid w:val="0055026E"/>
    <w:rsid w:val="00550E27"/>
    <w:rsid w:val="005514F5"/>
    <w:rsid w:val="00551C4F"/>
    <w:rsid w:val="00551F90"/>
    <w:rsid w:val="005526F6"/>
    <w:rsid w:val="005530E8"/>
    <w:rsid w:val="005535A1"/>
    <w:rsid w:val="00553E91"/>
    <w:rsid w:val="00554724"/>
    <w:rsid w:val="00554B5E"/>
    <w:rsid w:val="00555336"/>
    <w:rsid w:val="00555854"/>
    <w:rsid w:val="00555B78"/>
    <w:rsid w:val="00555CF4"/>
    <w:rsid w:val="005571E1"/>
    <w:rsid w:val="00557256"/>
    <w:rsid w:val="00557344"/>
    <w:rsid w:val="00557A9A"/>
    <w:rsid w:val="00557B0B"/>
    <w:rsid w:val="00557CB4"/>
    <w:rsid w:val="00560893"/>
    <w:rsid w:val="0056102C"/>
    <w:rsid w:val="005625F3"/>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9F"/>
    <w:rsid w:val="00573C15"/>
    <w:rsid w:val="00574817"/>
    <w:rsid w:val="005748DB"/>
    <w:rsid w:val="00575D45"/>
    <w:rsid w:val="00577649"/>
    <w:rsid w:val="00577702"/>
    <w:rsid w:val="00577FEC"/>
    <w:rsid w:val="0058029D"/>
    <w:rsid w:val="005814EE"/>
    <w:rsid w:val="00581698"/>
    <w:rsid w:val="00581D9E"/>
    <w:rsid w:val="00582F75"/>
    <w:rsid w:val="005830B1"/>
    <w:rsid w:val="005838D2"/>
    <w:rsid w:val="00584379"/>
    <w:rsid w:val="00585750"/>
    <w:rsid w:val="00585CB6"/>
    <w:rsid w:val="00585E85"/>
    <w:rsid w:val="00585F59"/>
    <w:rsid w:val="0058616A"/>
    <w:rsid w:val="005861D3"/>
    <w:rsid w:val="00586F98"/>
    <w:rsid w:val="00587037"/>
    <w:rsid w:val="0058786A"/>
    <w:rsid w:val="00590F47"/>
    <w:rsid w:val="00591E25"/>
    <w:rsid w:val="0059229F"/>
    <w:rsid w:val="0059261F"/>
    <w:rsid w:val="00593334"/>
    <w:rsid w:val="00593C15"/>
    <w:rsid w:val="0059471F"/>
    <w:rsid w:val="00594E97"/>
    <w:rsid w:val="0059575F"/>
    <w:rsid w:val="00595B5B"/>
    <w:rsid w:val="005978DE"/>
    <w:rsid w:val="005A0239"/>
    <w:rsid w:val="005A03CF"/>
    <w:rsid w:val="005A041A"/>
    <w:rsid w:val="005A0F2A"/>
    <w:rsid w:val="005A1277"/>
    <w:rsid w:val="005A14DF"/>
    <w:rsid w:val="005A1980"/>
    <w:rsid w:val="005A2075"/>
    <w:rsid w:val="005A21D7"/>
    <w:rsid w:val="005A2968"/>
    <w:rsid w:val="005A29BB"/>
    <w:rsid w:val="005A32EC"/>
    <w:rsid w:val="005A35F4"/>
    <w:rsid w:val="005A4475"/>
    <w:rsid w:val="005A46AE"/>
    <w:rsid w:val="005A48DB"/>
    <w:rsid w:val="005A4D74"/>
    <w:rsid w:val="005A4EF5"/>
    <w:rsid w:val="005A5961"/>
    <w:rsid w:val="005A5DFF"/>
    <w:rsid w:val="005A791B"/>
    <w:rsid w:val="005A7CC8"/>
    <w:rsid w:val="005B0B40"/>
    <w:rsid w:val="005B0BD1"/>
    <w:rsid w:val="005B103E"/>
    <w:rsid w:val="005B1A3B"/>
    <w:rsid w:val="005B1F35"/>
    <w:rsid w:val="005B2024"/>
    <w:rsid w:val="005B2735"/>
    <w:rsid w:val="005B29C2"/>
    <w:rsid w:val="005B2AE0"/>
    <w:rsid w:val="005B31B6"/>
    <w:rsid w:val="005B3A48"/>
    <w:rsid w:val="005B3EA6"/>
    <w:rsid w:val="005B408B"/>
    <w:rsid w:val="005B40AD"/>
    <w:rsid w:val="005B5115"/>
    <w:rsid w:val="005B5E6B"/>
    <w:rsid w:val="005B5FC4"/>
    <w:rsid w:val="005B60D3"/>
    <w:rsid w:val="005B7E7C"/>
    <w:rsid w:val="005C006E"/>
    <w:rsid w:val="005C0816"/>
    <w:rsid w:val="005C10E0"/>
    <w:rsid w:val="005C149F"/>
    <w:rsid w:val="005C1776"/>
    <w:rsid w:val="005C1FAE"/>
    <w:rsid w:val="005C2D73"/>
    <w:rsid w:val="005C2F0E"/>
    <w:rsid w:val="005C3DCF"/>
    <w:rsid w:val="005C4038"/>
    <w:rsid w:val="005C42C9"/>
    <w:rsid w:val="005C42F5"/>
    <w:rsid w:val="005C4772"/>
    <w:rsid w:val="005C57B0"/>
    <w:rsid w:val="005C5C22"/>
    <w:rsid w:val="005C5DAC"/>
    <w:rsid w:val="005C6195"/>
    <w:rsid w:val="005C6284"/>
    <w:rsid w:val="005C6B5B"/>
    <w:rsid w:val="005C6DDB"/>
    <w:rsid w:val="005C76F8"/>
    <w:rsid w:val="005C7D42"/>
    <w:rsid w:val="005D0E45"/>
    <w:rsid w:val="005D0E4B"/>
    <w:rsid w:val="005D0EC4"/>
    <w:rsid w:val="005D1A1A"/>
    <w:rsid w:val="005D1EB5"/>
    <w:rsid w:val="005D1ED8"/>
    <w:rsid w:val="005D31FE"/>
    <w:rsid w:val="005D3BB9"/>
    <w:rsid w:val="005D3C12"/>
    <w:rsid w:val="005D40E6"/>
    <w:rsid w:val="005D4685"/>
    <w:rsid w:val="005D4961"/>
    <w:rsid w:val="005D62F5"/>
    <w:rsid w:val="005D6999"/>
    <w:rsid w:val="005D6B24"/>
    <w:rsid w:val="005D7D69"/>
    <w:rsid w:val="005E0C14"/>
    <w:rsid w:val="005E1779"/>
    <w:rsid w:val="005E2659"/>
    <w:rsid w:val="005E310E"/>
    <w:rsid w:val="005E35A3"/>
    <w:rsid w:val="005E3731"/>
    <w:rsid w:val="005E3977"/>
    <w:rsid w:val="005E4669"/>
    <w:rsid w:val="005E5013"/>
    <w:rsid w:val="005E50F0"/>
    <w:rsid w:val="005E50F1"/>
    <w:rsid w:val="005E6B5D"/>
    <w:rsid w:val="005E6B87"/>
    <w:rsid w:val="005E7159"/>
    <w:rsid w:val="005E75C4"/>
    <w:rsid w:val="005F0EE9"/>
    <w:rsid w:val="005F11CC"/>
    <w:rsid w:val="005F2121"/>
    <w:rsid w:val="005F27AD"/>
    <w:rsid w:val="005F2C74"/>
    <w:rsid w:val="005F30B5"/>
    <w:rsid w:val="005F34D0"/>
    <w:rsid w:val="005F3C70"/>
    <w:rsid w:val="005F3F99"/>
    <w:rsid w:val="005F62A3"/>
    <w:rsid w:val="006000F1"/>
    <w:rsid w:val="00601749"/>
    <w:rsid w:val="00601D40"/>
    <w:rsid w:val="00602457"/>
    <w:rsid w:val="00604305"/>
    <w:rsid w:val="00604640"/>
    <w:rsid w:val="006048BC"/>
    <w:rsid w:val="00604977"/>
    <w:rsid w:val="00605674"/>
    <w:rsid w:val="0060578F"/>
    <w:rsid w:val="00605C67"/>
    <w:rsid w:val="00605F0E"/>
    <w:rsid w:val="0060635A"/>
    <w:rsid w:val="00606577"/>
    <w:rsid w:val="006065DC"/>
    <w:rsid w:val="006069AC"/>
    <w:rsid w:val="006077EA"/>
    <w:rsid w:val="00610A6C"/>
    <w:rsid w:val="00610D57"/>
    <w:rsid w:val="00610DCE"/>
    <w:rsid w:val="00611BED"/>
    <w:rsid w:val="00611D71"/>
    <w:rsid w:val="006122CF"/>
    <w:rsid w:val="00612321"/>
    <w:rsid w:val="0061488B"/>
    <w:rsid w:val="00614C35"/>
    <w:rsid w:val="006156BD"/>
    <w:rsid w:val="00615A52"/>
    <w:rsid w:val="00616B0D"/>
    <w:rsid w:val="00616F9A"/>
    <w:rsid w:val="00617636"/>
    <w:rsid w:val="00620975"/>
    <w:rsid w:val="00621742"/>
    <w:rsid w:val="0062195D"/>
    <w:rsid w:val="00621BFC"/>
    <w:rsid w:val="00622F77"/>
    <w:rsid w:val="00623101"/>
    <w:rsid w:val="00623FBC"/>
    <w:rsid w:val="006241E0"/>
    <w:rsid w:val="00624EDB"/>
    <w:rsid w:val="006259C6"/>
    <w:rsid w:val="00625DF2"/>
    <w:rsid w:val="00626AE8"/>
    <w:rsid w:val="00627CDB"/>
    <w:rsid w:val="00627D7A"/>
    <w:rsid w:val="0063044C"/>
    <w:rsid w:val="00630A55"/>
    <w:rsid w:val="00630FB3"/>
    <w:rsid w:val="00631115"/>
    <w:rsid w:val="0063227D"/>
    <w:rsid w:val="006325FC"/>
    <w:rsid w:val="00632707"/>
    <w:rsid w:val="006333E0"/>
    <w:rsid w:val="0063403F"/>
    <w:rsid w:val="006343EE"/>
    <w:rsid w:val="00634B9A"/>
    <w:rsid w:val="006356BC"/>
    <w:rsid w:val="00636C8D"/>
    <w:rsid w:val="0063703D"/>
    <w:rsid w:val="006375F9"/>
    <w:rsid w:val="00640D62"/>
    <w:rsid w:val="00640F46"/>
    <w:rsid w:val="00641D61"/>
    <w:rsid w:val="00641ECA"/>
    <w:rsid w:val="00642680"/>
    <w:rsid w:val="006428CE"/>
    <w:rsid w:val="00642B6A"/>
    <w:rsid w:val="00643170"/>
    <w:rsid w:val="006433C6"/>
    <w:rsid w:val="0064490B"/>
    <w:rsid w:val="00645020"/>
    <w:rsid w:val="00645525"/>
    <w:rsid w:val="006458E6"/>
    <w:rsid w:val="00645D63"/>
    <w:rsid w:val="00646825"/>
    <w:rsid w:val="00646BCA"/>
    <w:rsid w:val="006479E0"/>
    <w:rsid w:val="00647D47"/>
    <w:rsid w:val="00647EE7"/>
    <w:rsid w:val="00650261"/>
    <w:rsid w:val="00650417"/>
    <w:rsid w:val="006505A6"/>
    <w:rsid w:val="00650730"/>
    <w:rsid w:val="00651444"/>
    <w:rsid w:val="006515E3"/>
    <w:rsid w:val="00651636"/>
    <w:rsid w:val="00651E07"/>
    <w:rsid w:val="00651E6A"/>
    <w:rsid w:val="006535D3"/>
    <w:rsid w:val="00653649"/>
    <w:rsid w:val="006536F5"/>
    <w:rsid w:val="00655663"/>
    <w:rsid w:val="00656FA5"/>
    <w:rsid w:val="0065703D"/>
    <w:rsid w:val="00657CEB"/>
    <w:rsid w:val="00657CFA"/>
    <w:rsid w:val="0066034A"/>
    <w:rsid w:val="0066089F"/>
    <w:rsid w:val="00660EEB"/>
    <w:rsid w:val="00661541"/>
    <w:rsid w:val="00661BE5"/>
    <w:rsid w:val="00662314"/>
    <w:rsid w:val="0066241F"/>
    <w:rsid w:val="0066381F"/>
    <w:rsid w:val="00663A5A"/>
    <w:rsid w:val="00663E07"/>
    <w:rsid w:val="006643AE"/>
    <w:rsid w:val="006649F6"/>
    <w:rsid w:val="00664C78"/>
    <w:rsid w:val="0066511E"/>
    <w:rsid w:val="006653D5"/>
    <w:rsid w:val="00665654"/>
    <w:rsid w:val="00665AE4"/>
    <w:rsid w:val="00666190"/>
    <w:rsid w:val="00666388"/>
    <w:rsid w:val="00666466"/>
    <w:rsid w:val="00666C33"/>
    <w:rsid w:val="00666C48"/>
    <w:rsid w:val="00666D3B"/>
    <w:rsid w:val="00667649"/>
    <w:rsid w:val="00667B80"/>
    <w:rsid w:val="00667DA6"/>
    <w:rsid w:val="00667E29"/>
    <w:rsid w:val="00670BC9"/>
    <w:rsid w:val="00671301"/>
    <w:rsid w:val="0067140D"/>
    <w:rsid w:val="00671BE1"/>
    <w:rsid w:val="00672906"/>
    <w:rsid w:val="006757BF"/>
    <w:rsid w:val="00675970"/>
    <w:rsid w:val="006773F6"/>
    <w:rsid w:val="0067779F"/>
    <w:rsid w:val="00680163"/>
    <w:rsid w:val="0068108E"/>
    <w:rsid w:val="006810E5"/>
    <w:rsid w:val="006813A2"/>
    <w:rsid w:val="0068196C"/>
    <w:rsid w:val="00681AE5"/>
    <w:rsid w:val="00681AFE"/>
    <w:rsid w:val="006828F7"/>
    <w:rsid w:val="00683B34"/>
    <w:rsid w:val="00683E19"/>
    <w:rsid w:val="00684C76"/>
    <w:rsid w:val="00684E24"/>
    <w:rsid w:val="00686A5C"/>
    <w:rsid w:val="00686C78"/>
    <w:rsid w:val="00687CA7"/>
    <w:rsid w:val="0069075C"/>
    <w:rsid w:val="00690B26"/>
    <w:rsid w:val="00690BDC"/>
    <w:rsid w:val="00690E1D"/>
    <w:rsid w:val="006917FC"/>
    <w:rsid w:val="006922B2"/>
    <w:rsid w:val="00692E47"/>
    <w:rsid w:val="00692FA6"/>
    <w:rsid w:val="006933FC"/>
    <w:rsid w:val="006933FE"/>
    <w:rsid w:val="00693498"/>
    <w:rsid w:val="006946A9"/>
    <w:rsid w:val="006948F1"/>
    <w:rsid w:val="00694EE7"/>
    <w:rsid w:val="006959A0"/>
    <w:rsid w:val="00696069"/>
    <w:rsid w:val="00696081"/>
    <w:rsid w:val="0069629C"/>
    <w:rsid w:val="00696436"/>
    <w:rsid w:val="00696D7F"/>
    <w:rsid w:val="0069743F"/>
    <w:rsid w:val="00697B3C"/>
    <w:rsid w:val="00697EE8"/>
    <w:rsid w:val="006A01D3"/>
    <w:rsid w:val="006A0507"/>
    <w:rsid w:val="006A0721"/>
    <w:rsid w:val="006A0A5C"/>
    <w:rsid w:val="006A0C72"/>
    <w:rsid w:val="006A1B77"/>
    <w:rsid w:val="006A1BCD"/>
    <w:rsid w:val="006A3568"/>
    <w:rsid w:val="006A54F7"/>
    <w:rsid w:val="006A5B2C"/>
    <w:rsid w:val="006A7A57"/>
    <w:rsid w:val="006B0946"/>
    <w:rsid w:val="006B1015"/>
    <w:rsid w:val="006B1D3E"/>
    <w:rsid w:val="006B2401"/>
    <w:rsid w:val="006B24B4"/>
    <w:rsid w:val="006B29F0"/>
    <w:rsid w:val="006B2F90"/>
    <w:rsid w:val="006B3048"/>
    <w:rsid w:val="006B312A"/>
    <w:rsid w:val="006B36FC"/>
    <w:rsid w:val="006B41B8"/>
    <w:rsid w:val="006B54E4"/>
    <w:rsid w:val="006B56F1"/>
    <w:rsid w:val="006B64C3"/>
    <w:rsid w:val="006B6841"/>
    <w:rsid w:val="006B695C"/>
    <w:rsid w:val="006B7286"/>
    <w:rsid w:val="006B7AD6"/>
    <w:rsid w:val="006B7C65"/>
    <w:rsid w:val="006C021F"/>
    <w:rsid w:val="006C0486"/>
    <w:rsid w:val="006C068F"/>
    <w:rsid w:val="006C0B1F"/>
    <w:rsid w:val="006C1924"/>
    <w:rsid w:val="006C1E47"/>
    <w:rsid w:val="006C2248"/>
    <w:rsid w:val="006C2533"/>
    <w:rsid w:val="006C33FC"/>
    <w:rsid w:val="006C3416"/>
    <w:rsid w:val="006C4FF6"/>
    <w:rsid w:val="006C5680"/>
    <w:rsid w:val="006C652A"/>
    <w:rsid w:val="006C684E"/>
    <w:rsid w:val="006C76CB"/>
    <w:rsid w:val="006D043F"/>
    <w:rsid w:val="006D067B"/>
    <w:rsid w:val="006D13B1"/>
    <w:rsid w:val="006D178E"/>
    <w:rsid w:val="006D1C37"/>
    <w:rsid w:val="006D1F2C"/>
    <w:rsid w:val="006D23F3"/>
    <w:rsid w:val="006D2709"/>
    <w:rsid w:val="006D29B1"/>
    <w:rsid w:val="006D2BAA"/>
    <w:rsid w:val="006D2E74"/>
    <w:rsid w:val="006D2F4B"/>
    <w:rsid w:val="006D311C"/>
    <w:rsid w:val="006D3CDA"/>
    <w:rsid w:val="006D512C"/>
    <w:rsid w:val="006D5397"/>
    <w:rsid w:val="006D5E8B"/>
    <w:rsid w:val="006D5EA4"/>
    <w:rsid w:val="006D66CC"/>
    <w:rsid w:val="006D75C8"/>
    <w:rsid w:val="006D7679"/>
    <w:rsid w:val="006E0C09"/>
    <w:rsid w:val="006E1174"/>
    <w:rsid w:val="006E1A75"/>
    <w:rsid w:val="006E2A1C"/>
    <w:rsid w:val="006E2C09"/>
    <w:rsid w:val="006E3226"/>
    <w:rsid w:val="006E32A1"/>
    <w:rsid w:val="006E3981"/>
    <w:rsid w:val="006E3F4B"/>
    <w:rsid w:val="006E4DE0"/>
    <w:rsid w:val="006E583C"/>
    <w:rsid w:val="006E5886"/>
    <w:rsid w:val="006E670F"/>
    <w:rsid w:val="006E7345"/>
    <w:rsid w:val="006F0E20"/>
    <w:rsid w:val="006F183B"/>
    <w:rsid w:val="006F190F"/>
    <w:rsid w:val="006F208F"/>
    <w:rsid w:val="006F3621"/>
    <w:rsid w:val="006F3988"/>
    <w:rsid w:val="006F3D8D"/>
    <w:rsid w:val="006F3DD0"/>
    <w:rsid w:val="006F41D5"/>
    <w:rsid w:val="006F46C5"/>
    <w:rsid w:val="006F5389"/>
    <w:rsid w:val="006F5A04"/>
    <w:rsid w:val="006F73BC"/>
    <w:rsid w:val="00700BDB"/>
    <w:rsid w:val="00701400"/>
    <w:rsid w:val="0070239A"/>
    <w:rsid w:val="00702A5E"/>
    <w:rsid w:val="00702BD0"/>
    <w:rsid w:val="00703408"/>
    <w:rsid w:val="00703666"/>
    <w:rsid w:val="00704DFA"/>
    <w:rsid w:val="00704F6D"/>
    <w:rsid w:val="00705959"/>
    <w:rsid w:val="0070737A"/>
    <w:rsid w:val="007075C5"/>
    <w:rsid w:val="00707D80"/>
    <w:rsid w:val="00707F07"/>
    <w:rsid w:val="0071021F"/>
    <w:rsid w:val="00710936"/>
    <w:rsid w:val="007117A0"/>
    <w:rsid w:val="00712D41"/>
    <w:rsid w:val="007134C0"/>
    <w:rsid w:val="007137A6"/>
    <w:rsid w:val="00714643"/>
    <w:rsid w:val="007148A4"/>
    <w:rsid w:val="0071509B"/>
    <w:rsid w:val="007150AC"/>
    <w:rsid w:val="00715311"/>
    <w:rsid w:val="007156D8"/>
    <w:rsid w:val="00715C8D"/>
    <w:rsid w:val="00716215"/>
    <w:rsid w:val="00716896"/>
    <w:rsid w:val="00716C67"/>
    <w:rsid w:val="00721121"/>
    <w:rsid w:val="00721C60"/>
    <w:rsid w:val="00721E72"/>
    <w:rsid w:val="00722BD5"/>
    <w:rsid w:val="00722F54"/>
    <w:rsid w:val="0072392A"/>
    <w:rsid w:val="007251C4"/>
    <w:rsid w:val="0072521A"/>
    <w:rsid w:val="00725B93"/>
    <w:rsid w:val="00725E2A"/>
    <w:rsid w:val="00726176"/>
    <w:rsid w:val="007262FC"/>
    <w:rsid w:val="00727321"/>
    <w:rsid w:val="00727537"/>
    <w:rsid w:val="00727716"/>
    <w:rsid w:val="00727BA1"/>
    <w:rsid w:val="0073015C"/>
    <w:rsid w:val="00730CBE"/>
    <w:rsid w:val="0073137F"/>
    <w:rsid w:val="00731436"/>
    <w:rsid w:val="00732B6C"/>
    <w:rsid w:val="00732C26"/>
    <w:rsid w:val="00733418"/>
    <w:rsid w:val="00733622"/>
    <w:rsid w:val="007342BF"/>
    <w:rsid w:val="0073475F"/>
    <w:rsid w:val="0073566C"/>
    <w:rsid w:val="00735F3D"/>
    <w:rsid w:val="0073666A"/>
    <w:rsid w:val="00736B8B"/>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E43"/>
    <w:rsid w:val="00747EE6"/>
    <w:rsid w:val="00747FAB"/>
    <w:rsid w:val="007500D4"/>
    <w:rsid w:val="0075084B"/>
    <w:rsid w:val="00750CCE"/>
    <w:rsid w:val="00751848"/>
    <w:rsid w:val="0075241F"/>
    <w:rsid w:val="007542B3"/>
    <w:rsid w:val="0075508C"/>
    <w:rsid w:val="007554DD"/>
    <w:rsid w:val="00755788"/>
    <w:rsid w:val="007558CD"/>
    <w:rsid w:val="00756074"/>
    <w:rsid w:val="00757581"/>
    <w:rsid w:val="00757879"/>
    <w:rsid w:val="007606BD"/>
    <w:rsid w:val="0076089C"/>
    <w:rsid w:val="007611DF"/>
    <w:rsid w:val="0076130D"/>
    <w:rsid w:val="00761565"/>
    <w:rsid w:val="0076197B"/>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84D"/>
    <w:rsid w:val="0077194E"/>
    <w:rsid w:val="00771CE2"/>
    <w:rsid w:val="00772C38"/>
    <w:rsid w:val="00772F75"/>
    <w:rsid w:val="00773A7E"/>
    <w:rsid w:val="007746D4"/>
    <w:rsid w:val="00774F01"/>
    <w:rsid w:val="007750CB"/>
    <w:rsid w:val="00775686"/>
    <w:rsid w:val="00775B8E"/>
    <w:rsid w:val="007765AF"/>
    <w:rsid w:val="0077760A"/>
    <w:rsid w:val="00777FBA"/>
    <w:rsid w:val="00780828"/>
    <w:rsid w:val="007811F8"/>
    <w:rsid w:val="007812E9"/>
    <w:rsid w:val="00781631"/>
    <w:rsid w:val="00781D94"/>
    <w:rsid w:val="00781DE5"/>
    <w:rsid w:val="00783EEF"/>
    <w:rsid w:val="0078414B"/>
    <w:rsid w:val="00784616"/>
    <w:rsid w:val="0078481B"/>
    <w:rsid w:val="00785663"/>
    <w:rsid w:val="00785AD3"/>
    <w:rsid w:val="007868C5"/>
    <w:rsid w:val="00786BD9"/>
    <w:rsid w:val="0078792E"/>
    <w:rsid w:val="00790BF9"/>
    <w:rsid w:val="00790E82"/>
    <w:rsid w:val="00791D93"/>
    <w:rsid w:val="0079218A"/>
    <w:rsid w:val="007921D3"/>
    <w:rsid w:val="00792652"/>
    <w:rsid w:val="007928A2"/>
    <w:rsid w:val="00792D84"/>
    <w:rsid w:val="007933D0"/>
    <w:rsid w:val="00793D61"/>
    <w:rsid w:val="00794388"/>
    <w:rsid w:val="00794A7A"/>
    <w:rsid w:val="00794CF3"/>
    <w:rsid w:val="007956B1"/>
    <w:rsid w:val="0079579F"/>
    <w:rsid w:val="0079590A"/>
    <w:rsid w:val="00795D0C"/>
    <w:rsid w:val="00795DB8"/>
    <w:rsid w:val="00796811"/>
    <w:rsid w:val="00797307"/>
    <w:rsid w:val="007A0F11"/>
    <w:rsid w:val="007A1DA0"/>
    <w:rsid w:val="007A1F7C"/>
    <w:rsid w:val="007A24D3"/>
    <w:rsid w:val="007A3709"/>
    <w:rsid w:val="007A3D5F"/>
    <w:rsid w:val="007A41F0"/>
    <w:rsid w:val="007A4384"/>
    <w:rsid w:val="007A444D"/>
    <w:rsid w:val="007A47A0"/>
    <w:rsid w:val="007A4843"/>
    <w:rsid w:val="007A5C24"/>
    <w:rsid w:val="007A6167"/>
    <w:rsid w:val="007A73FB"/>
    <w:rsid w:val="007A772B"/>
    <w:rsid w:val="007A7E95"/>
    <w:rsid w:val="007A7FA1"/>
    <w:rsid w:val="007A7FE1"/>
    <w:rsid w:val="007B0423"/>
    <w:rsid w:val="007B0F82"/>
    <w:rsid w:val="007B1828"/>
    <w:rsid w:val="007B1F93"/>
    <w:rsid w:val="007B2693"/>
    <w:rsid w:val="007B2926"/>
    <w:rsid w:val="007B2CDF"/>
    <w:rsid w:val="007B3789"/>
    <w:rsid w:val="007B3D00"/>
    <w:rsid w:val="007B427E"/>
    <w:rsid w:val="007B4C16"/>
    <w:rsid w:val="007B4D0F"/>
    <w:rsid w:val="007B53A2"/>
    <w:rsid w:val="007B55A9"/>
    <w:rsid w:val="007B5ADF"/>
    <w:rsid w:val="007B5AEE"/>
    <w:rsid w:val="007B6106"/>
    <w:rsid w:val="007B62C6"/>
    <w:rsid w:val="007B665D"/>
    <w:rsid w:val="007B667F"/>
    <w:rsid w:val="007B67C5"/>
    <w:rsid w:val="007B6999"/>
    <w:rsid w:val="007B69E6"/>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FA2"/>
    <w:rsid w:val="007C6574"/>
    <w:rsid w:val="007C6635"/>
    <w:rsid w:val="007C7551"/>
    <w:rsid w:val="007D1124"/>
    <w:rsid w:val="007D2A0E"/>
    <w:rsid w:val="007D2CD3"/>
    <w:rsid w:val="007D2DD6"/>
    <w:rsid w:val="007D4062"/>
    <w:rsid w:val="007D42B0"/>
    <w:rsid w:val="007D4334"/>
    <w:rsid w:val="007D469E"/>
    <w:rsid w:val="007D522F"/>
    <w:rsid w:val="007D5329"/>
    <w:rsid w:val="007D5E57"/>
    <w:rsid w:val="007D6AB8"/>
    <w:rsid w:val="007D6FAE"/>
    <w:rsid w:val="007D7038"/>
    <w:rsid w:val="007D75D0"/>
    <w:rsid w:val="007D75ED"/>
    <w:rsid w:val="007D7DE3"/>
    <w:rsid w:val="007E0051"/>
    <w:rsid w:val="007E00DC"/>
    <w:rsid w:val="007E020B"/>
    <w:rsid w:val="007E1104"/>
    <w:rsid w:val="007E2158"/>
    <w:rsid w:val="007E2260"/>
    <w:rsid w:val="007E2E32"/>
    <w:rsid w:val="007E36B0"/>
    <w:rsid w:val="007E4022"/>
    <w:rsid w:val="007E4A47"/>
    <w:rsid w:val="007E4FC0"/>
    <w:rsid w:val="007E516A"/>
    <w:rsid w:val="007E570D"/>
    <w:rsid w:val="007E5838"/>
    <w:rsid w:val="007E60A0"/>
    <w:rsid w:val="007E68B8"/>
    <w:rsid w:val="007E745B"/>
    <w:rsid w:val="007F10E0"/>
    <w:rsid w:val="007F118D"/>
    <w:rsid w:val="007F19D7"/>
    <w:rsid w:val="007F1D03"/>
    <w:rsid w:val="007F2431"/>
    <w:rsid w:val="007F2821"/>
    <w:rsid w:val="007F282E"/>
    <w:rsid w:val="007F287A"/>
    <w:rsid w:val="007F2AF5"/>
    <w:rsid w:val="007F2D79"/>
    <w:rsid w:val="007F44E1"/>
    <w:rsid w:val="007F4769"/>
    <w:rsid w:val="007F4B97"/>
    <w:rsid w:val="007F5EE7"/>
    <w:rsid w:val="007F6A5A"/>
    <w:rsid w:val="007F6EB5"/>
    <w:rsid w:val="007F6FED"/>
    <w:rsid w:val="007F746D"/>
    <w:rsid w:val="007F77E4"/>
    <w:rsid w:val="007F7904"/>
    <w:rsid w:val="007F7964"/>
    <w:rsid w:val="008007D9"/>
    <w:rsid w:val="00803105"/>
    <w:rsid w:val="008038D1"/>
    <w:rsid w:val="00804732"/>
    <w:rsid w:val="00804D49"/>
    <w:rsid w:val="00804DB0"/>
    <w:rsid w:val="00804E26"/>
    <w:rsid w:val="00805A33"/>
    <w:rsid w:val="0080625E"/>
    <w:rsid w:val="00806314"/>
    <w:rsid w:val="008067F0"/>
    <w:rsid w:val="00806866"/>
    <w:rsid w:val="008074E0"/>
    <w:rsid w:val="00810E56"/>
    <w:rsid w:val="00812058"/>
    <w:rsid w:val="00813087"/>
    <w:rsid w:val="008135FB"/>
    <w:rsid w:val="008138F7"/>
    <w:rsid w:val="00813951"/>
    <w:rsid w:val="00813C06"/>
    <w:rsid w:val="00813F8B"/>
    <w:rsid w:val="00814590"/>
    <w:rsid w:val="0081492C"/>
    <w:rsid w:val="00815512"/>
    <w:rsid w:val="00816B1C"/>
    <w:rsid w:val="00816E01"/>
    <w:rsid w:val="0081798F"/>
    <w:rsid w:val="00820EEB"/>
    <w:rsid w:val="00820EF8"/>
    <w:rsid w:val="00821D32"/>
    <w:rsid w:val="00821FD9"/>
    <w:rsid w:val="008222BE"/>
    <w:rsid w:val="00822B83"/>
    <w:rsid w:val="00822BCF"/>
    <w:rsid w:val="008234BE"/>
    <w:rsid w:val="00823C5F"/>
    <w:rsid w:val="00824B02"/>
    <w:rsid w:val="0082613C"/>
    <w:rsid w:val="00826F29"/>
    <w:rsid w:val="00827D47"/>
    <w:rsid w:val="008300FD"/>
    <w:rsid w:val="00830F5D"/>
    <w:rsid w:val="008310D3"/>
    <w:rsid w:val="0083115B"/>
    <w:rsid w:val="0083122F"/>
    <w:rsid w:val="0083151A"/>
    <w:rsid w:val="00831B9B"/>
    <w:rsid w:val="00831E9B"/>
    <w:rsid w:val="0083240C"/>
    <w:rsid w:val="00832491"/>
    <w:rsid w:val="00832530"/>
    <w:rsid w:val="008335C3"/>
    <w:rsid w:val="008338B5"/>
    <w:rsid w:val="00833922"/>
    <w:rsid w:val="00833E73"/>
    <w:rsid w:val="00834499"/>
    <w:rsid w:val="00834520"/>
    <w:rsid w:val="00835C05"/>
    <w:rsid w:val="008371A2"/>
    <w:rsid w:val="0083752C"/>
    <w:rsid w:val="00840371"/>
    <w:rsid w:val="0084141C"/>
    <w:rsid w:val="008415DA"/>
    <w:rsid w:val="008416A3"/>
    <w:rsid w:val="0084189F"/>
    <w:rsid w:val="0084219D"/>
    <w:rsid w:val="0084321A"/>
    <w:rsid w:val="0084339B"/>
    <w:rsid w:val="00844EBA"/>
    <w:rsid w:val="00845079"/>
    <w:rsid w:val="00845301"/>
    <w:rsid w:val="0084561B"/>
    <w:rsid w:val="00845960"/>
    <w:rsid w:val="008468C9"/>
    <w:rsid w:val="00847557"/>
    <w:rsid w:val="00850624"/>
    <w:rsid w:val="00850C87"/>
    <w:rsid w:val="008512E7"/>
    <w:rsid w:val="008514F1"/>
    <w:rsid w:val="00851AFB"/>
    <w:rsid w:val="00851D91"/>
    <w:rsid w:val="008524E7"/>
    <w:rsid w:val="00852806"/>
    <w:rsid w:val="00852846"/>
    <w:rsid w:val="00854856"/>
    <w:rsid w:val="008549CD"/>
    <w:rsid w:val="0085505C"/>
    <w:rsid w:val="008559EF"/>
    <w:rsid w:val="00856273"/>
    <w:rsid w:val="008573A8"/>
    <w:rsid w:val="00857D67"/>
    <w:rsid w:val="00857ECB"/>
    <w:rsid w:val="008607F8"/>
    <w:rsid w:val="00861397"/>
    <w:rsid w:val="00861973"/>
    <w:rsid w:val="008619CD"/>
    <w:rsid w:val="00861A28"/>
    <w:rsid w:val="00861A4C"/>
    <w:rsid w:val="00861A73"/>
    <w:rsid w:val="00861EBE"/>
    <w:rsid w:val="008627FF"/>
    <w:rsid w:val="00863C7C"/>
    <w:rsid w:val="00863D85"/>
    <w:rsid w:val="00863F5A"/>
    <w:rsid w:val="008642DD"/>
    <w:rsid w:val="00864318"/>
    <w:rsid w:val="0086496C"/>
    <w:rsid w:val="00865208"/>
    <w:rsid w:val="00865F07"/>
    <w:rsid w:val="008661CC"/>
    <w:rsid w:val="008662A7"/>
    <w:rsid w:val="00867483"/>
    <w:rsid w:val="008675C5"/>
    <w:rsid w:val="0087022C"/>
    <w:rsid w:val="0087102A"/>
    <w:rsid w:val="008728E5"/>
    <w:rsid w:val="00873C32"/>
    <w:rsid w:val="0087405A"/>
    <w:rsid w:val="008745A4"/>
    <w:rsid w:val="008752ED"/>
    <w:rsid w:val="008762DD"/>
    <w:rsid w:val="00876303"/>
    <w:rsid w:val="00877686"/>
    <w:rsid w:val="00877B01"/>
    <w:rsid w:val="00877E08"/>
    <w:rsid w:val="008806C6"/>
    <w:rsid w:val="0088097E"/>
    <w:rsid w:val="00880A1E"/>
    <w:rsid w:val="00882204"/>
    <w:rsid w:val="00882B3D"/>
    <w:rsid w:val="00882D1F"/>
    <w:rsid w:val="00883F90"/>
    <w:rsid w:val="0088438B"/>
    <w:rsid w:val="00886679"/>
    <w:rsid w:val="00886B47"/>
    <w:rsid w:val="0088770C"/>
    <w:rsid w:val="00887AE8"/>
    <w:rsid w:val="00890467"/>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783"/>
    <w:rsid w:val="00894D6F"/>
    <w:rsid w:val="0089619B"/>
    <w:rsid w:val="00896B70"/>
    <w:rsid w:val="00896BA3"/>
    <w:rsid w:val="0089709D"/>
    <w:rsid w:val="008978C8"/>
    <w:rsid w:val="00897917"/>
    <w:rsid w:val="008A08F8"/>
    <w:rsid w:val="008A0B74"/>
    <w:rsid w:val="008A0EFC"/>
    <w:rsid w:val="008A1144"/>
    <w:rsid w:val="008A17A6"/>
    <w:rsid w:val="008A1AA2"/>
    <w:rsid w:val="008A1AE4"/>
    <w:rsid w:val="008A1C56"/>
    <w:rsid w:val="008A231F"/>
    <w:rsid w:val="008A23E2"/>
    <w:rsid w:val="008A257D"/>
    <w:rsid w:val="008A27D4"/>
    <w:rsid w:val="008A3000"/>
    <w:rsid w:val="008A3A67"/>
    <w:rsid w:val="008A3A78"/>
    <w:rsid w:val="008A4086"/>
    <w:rsid w:val="008A42E6"/>
    <w:rsid w:val="008A4902"/>
    <w:rsid w:val="008A7950"/>
    <w:rsid w:val="008B03E2"/>
    <w:rsid w:val="008B05C5"/>
    <w:rsid w:val="008B0824"/>
    <w:rsid w:val="008B0EC4"/>
    <w:rsid w:val="008B410D"/>
    <w:rsid w:val="008B5E05"/>
    <w:rsid w:val="008B7345"/>
    <w:rsid w:val="008B7C63"/>
    <w:rsid w:val="008B7DAD"/>
    <w:rsid w:val="008C0007"/>
    <w:rsid w:val="008C0349"/>
    <w:rsid w:val="008C0FDD"/>
    <w:rsid w:val="008C104F"/>
    <w:rsid w:val="008C12EA"/>
    <w:rsid w:val="008C16F4"/>
    <w:rsid w:val="008C34FC"/>
    <w:rsid w:val="008C387F"/>
    <w:rsid w:val="008C44CE"/>
    <w:rsid w:val="008C4A0E"/>
    <w:rsid w:val="008C5288"/>
    <w:rsid w:val="008C59C7"/>
    <w:rsid w:val="008C5CCC"/>
    <w:rsid w:val="008C5F47"/>
    <w:rsid w:val="008C5FE6"/>
    <w:rsid w:val="008C6326"/>
    <w:rsid w:val="008C6530"/>
    <w:rsid w:val="008D00ED"/>
    <w:rsid w:val="008D0A63"/>
    <w:rsid w:val="008D2B29"/>
    <w:rsid w:val="008D2CB1"/>
    <w:rsid w:val="008D2F94"/>
    <w:rsid w:val="008D305C"/>
    <w:rsid w:val="008D34D5"/>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2F09"/>
    <w:rsid w:val="008E36C4"/>
    <w:rsid w:val="008E3F72"/>
    <w:rsid w:val="008E431C"/>
    <w:rsid w:val="008E4B9D"/>
    <w:rsid w:val="008E4FE7"/>
    <w:rsid w:val="008E50E6"/>
    <w:rsid w:val="008E5547"/>
    <w:rsid w:val="008E5E69"/>
    <w:rsid w:val="008E6D54"/>
    <w:rsid w:val="008E6E39"/>
    <w:rsid w:val="008E7502"/>
    <w:rsid w:val="008E78E5"/>
    <w:rsid w:val="008E796B"/>
    <w:rsid w:val="008E7BEE"/>
    <w:rsid w:val="008F08A8"/>
    <w:rsid w:val="008F1998"/>
    <w:rsid w:val="008F22BF"/>
    <w:rsid w:val="008F4B9A"/>
    <w:rsid w:val="008F4D79"/>
    <w:rsid w:val="008F5DA9"/>
    <w:rsid w:val="008F686D"/>
    <w:rsid w:val="008F6892"/>
    <w:rsid w:val="008F6985"/>
    <w:rsid w:val="008F7066"/>
    <w:rsid w:val="008F77FD"/>
    <w:rsid w:val="008F7995"/>
    <w:rsid w:val="008F7E88"/>
    <w:rsid w:val="00900904"/>
    <w:rsid w:val="0090128F"/>
    <w:rsid w:val="00901C97"/>
    <w:rsid w:val="00902526"/>
    <w:rsid w:val="00903358"/>
    <w:rsid w:val="00903819"/>
    <w:rsid w:val="0090418D"/>
    <w:rsid w:val="00904ACB"/>
    <w:rsid w:val="00905120"/>
    <w:rsid w:val="0090513D"/>
    <w:rsid w:val="00905269"/>
    <w:rsid w:val="00905419"/>
    <w:rsid w:val="00905AD6"/>
    <w:rsid w:val="00905E82"/>
    <w:rsid w:val="00906027"/>
    <w:rsid w:val="009074E0"/>
    <w:rsid w:val="00907506"/>
    <w:rsid w:val="00907812"/>
    <w:rsid w:val="0090781A"/>
    <w:rsid w:val="0091002E"/>
    <w:rsid w:val="0091052A"/>
    <w:rsid w:val="00910F16"/>
    <w:rsid w:val="00911898"/>
    <w:rsid w:val="00911A93"/>
    <w:rsid w:val="00913861"/>
    <w:rsid w:val="009138E2"/>
    <w:rsid w:val="00913B86"/>
    <w:rsid w:val="009141E4"/>
    <w:rsid w:val="00914222"/>
    <w:rsid w:val="00914574"/>
    <w:rsid w:val="0091462C"/>
    <w:rsid w:val="00914B53"/>
    <w:rsid w:val="009156EF"/>
    <w:rsid w:val="00916008"/>
    <w:rsid w:val="00916343"/>
    <w:rsid w:val="00916766"/>
    <w:rsid w:val="00917A60"/>
    <w:rsid w:val="00920921"/>
    <w:rsid w:val="00920B77"/>
    <w:rsid w:val="00921364"/>
    <w:rsid w:val="00921983"/>
    <w:rsid w:val="00921A0C"/>
    <w:rsid w:val="00921D2A"/>
    <w:rsid w:val="0092258F"/>
    <w:rsid w:val="00922C91"/>
    <w:rsid w:val="00923889"/>
    <w:rsid w:val="00924A74"/>
    <w:rsid w:val="009251C8"/>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2B66"/>
    <w:rsid w:val="009331B1"/>
    <w:rsid w:val="0093329B"/>
    <w:rsid w:val="00934410"/>
    <w:rsid w:val="009362E3"/>
    <w:rsid w:val="0093696D"/>
    <w:rsid w:val="0094121F"/>
    <w:rsid w:val="0094156E"/>
    <w:rsid w:val="00941CF5"/>
    <w:rsid w:val="00942786"/>
    <w:rsid w:val="0094398F"/>
    <w:rsid w:val="00943A9A"/>
    <w:rsid w:val="00945187"/>
    <w:rsid w:val="00945C2F"/>
    <w:rsid w:val="00946A15"/>
    <w:rsid w:val="00946C16"/>
    <w:rsid w:val="00947008"/>
    <w:rsid w:val="00947EBD"/>
    <w:rsid w:val="0095050F"/>
    <w:rsid w:val="00951B2D"/>
    <w:rsid w:val="00951CCB"/>
    <w:rsid w:val="009520B1"/>
    <w:rsid w:val="0095278B"/>
    <w:rsid w:val="00952DEA"/>
    <w:rsid w:val="0095481B"/>
    <w:rsid w:val="00954E42"/>
    <w:rsid w:val="00955C76"/>
    <w:rsid w:val="00955CA3"/>
    <w:rsid w:val="00956D16"/>
    <w:rsid w:val="00956E3F"/>
    <w:rsid w:val="0095754A"/>
    <w:rsid w:val="0095755B"/>
    <w:rsid w:val="009578E4"/>
    <w:rsid w:val="00960B5B"/>
    <w:rsid w:val="00961BB3"/>
    <w:rsid w:val="00961D12"/>
    <w:rsid w:val="00961E8D"/>
    <w:rsid w:val="009620AC"/>
    <w:rsid w:val="009630BF"/>
    <w:rsid w:val="009635EF"/>
    <w:rsid w:val="00963A3D"/>
    <w:rsid w:val="009655B2"/>
    <w:rsid w:val="00965B7D"/>
    <w:rsid w:val="00966792"/>
    <w:rsid w:val="00967456"/>
    <w:rsid w:val="00967869"/>
    <w:rsid w:val="0097036E"/>
    <w:rsid w:val="00970507"/>
    <w:rsid w:val="00970EA1"/>
    <w:rsid w:val="00971010"/>
    <w:rsid w:val="00971024"/>
    <w:rsid w:val="00971378"/>
    <w:rsid w:val="009714BD"/>
    <w:rsid w:val="00971DB8"/>
    <w:rsid w:val="00972779"/>
    <w:rsid w:val="00973011"/>
    <w:rsid w:val="0097330C"/>
    <w:rsid w:val="0097412F"/>
    <w:rsid w:val="00974980"/>
    <w:rsid w:val="009753FC"/>
    <w:rsid w:val="00975515"/>
    <w:rsid w:val="009762CF"/>
    <w:rsid w:val="00976EA2"/>
    <w:rsid w:val="00980E6E"/>
    <w:rsid w:val="00981CA5"/>
    <w:rsid w:val="00981CD9"/>
    <w:rsid w:val="00981E90"/>
    <w:rsid w:val="00982264"/>
    <w:rsid w:val="00982BDC"/>
    <w:rsid w:val="00983FB9"/>
    <w:rsid w:val="009848EF"/>
    <w:rsid w:val="00984918"/>
    <w:rsid w:val="009849C2"/>
    <w:rsid w:val="00984E84"/>
    <w:rsid w:val="0098514A"/>
    <w:rsid w:val="009852FA"/>
    <w:rsid w:val="00985362"/>
    <w:rsid w:val="00986835"/>
    <w:rsid w:val="00986BA4"/>
    <w:rsid w:val="00986D0F"/>
    <w:rsid w:val="0098734A"/>
    <w:rsid w:val="00987BE2"/>
    <w:rsid w:val="0099035E"/>
    <w:rsid w:val="009905FD"/>
    <w:rsid w:val="0099150E"/>
    <w:rsid w:val="00991AF9"/>
    <w:rsid w:val="00991B2B"/>
    <w:rsid w:val="0099300D"/>
    <w:rsid w:val="009935F3"/>
    <w:rsid w:val="0099367C"/>
    <w:rsid w:val="00993D53"/>
    <w:rsid w:val="00993E38"/>
    <w:rsid w:val="00993EAA"/>
    <w:rsid w:val="00993EBE"/>
    <w:rsid w:val="00994071"/>
    <w:rsid w:val="00994281"/>
    <w:rsid w:val="0099589F"/>
    <w:rsid w:val="00995D51"/>
    <w:rsid w:val="0099646A"/>
    <w:rsid w:val="00996BFB"/>
    <w:rsid w:val="00997813"/>
    <w:rsid w:val="009A109F"/>
    <w:rsid w:val="009A1109"/>
    <w:rsid w:val="009A2148"/>
    <w:rsid w:val="009A292E"/>
    <w:rsid w:val="009A46EE"/>
    <w:rsid w:val="009A61D6"/>
    <w:rsid w:val="009A6C1A"/>
    <w:rsid w:val="009A7C43"/>
    <w:rsid w:val="009A7E12"/>
    <w:rsid w:val="009A7E16"/>
    <w:rsid w:val="009B07AF"/>
    <w:rsid w:val="009B0B54"/>
    <w:rsid w:val="009B18A3"/>
    <w:rsid w:val="009B1D36"/>
    <w:rsid w:val="009B205B"/>
    <w:rsid w:val="009B22EC"/>
    <w:rsid w:val="009B2998"/>
    <w:rsid w:val="009B2A8B"/>
    <w:rsid w:val="009B2D99"/>
    <w:rsid w:val="009B3DDE"/>
    <w:rsid w:val="009B42EE"/>
    <w:rsid w:val="009B4BB3"/>
    <w:rsid w:val="009B5FC6"/>
    <w:rsid w:val="009B6694"/>
    <w:rsid w:val="009B6962"/>
    <w:rsid w:val="009B72F5"/>
    <w:rsid w:val="009C09C9"/>
    <w:rsid w:val="009C0E09"/>
    <w:rsid w:val="009C18B7"/>
    <w:rsid w:val="009C2142"/>
    <w:rsid w:val="009C2302"/>
    <w:rsid w:val="009C29A5"/>
    <w:rsid w:val="009C2D85"/>
    <w:rsid w:val="009C3869"/>
    <w:rsid w:val="009C3920"/>
    <w:rsid w:val="009C49E6"/>
    <w:rsid w:val="009C4A45"/>
    <w:rsid w:val="009C5A6A"/>
    <w:rsid w:val="009C6125"/>
    <w:rsid w:val="009C625D"/>
    <w:rsid w:val="009C6271"/>
    <w:rsid w:val="009C6EFB"/>
    <w:rsid w:val="009C751D"/>
    <w:rsid w:val="009C775F"/>
    <w:rsid w:val="009C7D0F"/>
    <w:rsid w:val="009D0DCE"/>
    <w:rsid w:val="009D2006"/>
    <w:rsid w:val="009D265B"/>
    <w:rsid w:val="009D2B7D"/>
    <w:rsid w:val="009D2FC3"/>
    <w:rsid w:val="009D3785"/>
    <w:rsid w:val="009D398D"/>
    <w:rsid w:val="009D4745"/>
    <w:rsid w:val="009D4BEE"/>
    <w:rsid w:val="009D65FB"/>
    <w:rsid w:val="009D6806"/>
    <w:rsid w:val="009D688D"/>
    <w:rsid w:val="009D705A"/>
    <w:rsid w:val="009E0BD0"/>
    <w:rsid w:val="009E13C3"/>
    <w:rsid w:val="009E232C"/>
    <w:rsid w:val="009E2504"/>
    <w:rsid w:val="009E2628"/>
    <w:rsid w:val="009E2C5D"/>
    <w:rsid w:val="009E3647"/>
    <w:rsid w:val="009E3B36"/>
    <w:rsid w:val="009E4E97"/>
    <w:rsid w:val="009E5BA7"/>
    <w:rsid w:val="009E6197"/>
    <w:rsid w:val="009E71FC"/>
    <w:rsid w:val="009E7870"/>
    <w:rsid w:val="009E7AB0"/>
    <w:rsid w:val="009E7C3A"/>
    <w:rsid w:val="009E7E64"/>
    <w:rsid w:val="009F1112"/>
    <w:rsid w:val="009F1F04"/>
    <w:rsid w:val="009F260A"/>
    <w:rsid w:val="009F30C8"/>
    <w:rsid w:val="009F3B64"/>
    <w:rsid w:val="009F41C3"/>
    <w:rsid w:val="009F5394"/>
    <w:rsid w:val="009F6A56"/>
    <w:rsid w:val="009F6CBE"/>
    <w:rsid w:val="009F6D66"/>
    <w:rsid w:val="009F7003"/>
    <w:rsid w:val="009F7889"/>
    <w:rsid w:val="009F7934"/>
    <w:rsid w:val="00A0004C"/>
    <w:rsid w:val="00A008BF"/>
    <w:rsid w:val="00A01437"/>
    <w:rsid w:val="00A0239E"/>
    <w:rsid w:val="00A0353A"/>
    <w:rsid w:val="00A03B5A"/>
    <w:rsid w:val="00A040EF"/>
    <w:rsid w:val="00A04694"/>
    <w:rsid w:val="00A04B9A"/>
    <w:rsid w:val="00A05461"/>
    <w:rsid w:val="00A055C1"/>
    <w:rsid w:val="00A05D17"/>
    <w:rsid w:val="00A05FF4"/>
    <w:rsid w:val="00A06044"/>
    <w:rsid w:val="00A06E2D"/>
    <w:rsid w:val="00A07169"/>
    <w:rsid w:val="00A07423"/>
    <w:rsid w:val="00A10619"/>
    <w:rsid w:val="00A133F1"/>
    <w:rsid w:val="00A13E3F"/>
    <w:rsid w:val="00A14049"/>
    <w:rsid w:val="00A14276"/>
    <w:rsid w:val="00A149FF"/>
    <w:rsid w:val="00A15C4D"/>
    <w:rsid w:val="00A16150"/>
    <w:rsid w:val="00A164FD"/>
    <w:rsid w:val="00A167B7"/>
    <w:rsid w:val="00A2018E"/>
    <w:rsid w:val="00A2028A"/>
    <w:rsid w:val="00A21218"/>
    <w:rsid w:val="00A2243F"/>
    <w:rsid w:val="00A225DC"/>
    <w:rsid w:val="00A23916"/>
    <w:rsid w:val="00A23EDF"/>
    <w:rsid w:val="00A2423A"/>
    <w:rsid w:val="00A244C6"/>
    <w:rsid w:val="00A24CAD"/>
    <w:rsid w:val="00A25F5A"/>
    <w:rsid w:val="00A267E4"/>
    <w:rsid w:val="00A27139"/>
    <w:rsid w:val="00A27783"/>
    <w:rsid w:val="00A3093F"/>
    <w:rsid w:val="00A31060"/>
    <w:rsid w:val="00A31114"/>
    <w:rsid w:val="00A31CAE"/>
    <w:rsid w:val="00A31CFE"/>
    <w:rsid w:val="00A31E9D"/>
    <w:rsid w:val="00A3264D"/>
    <w:rsid w:val="00A32EC6"/>
    <w:rsid w:val="00A32FB7"/>
    <w:rsid w:val="00A341F3"/>
    <w:rsid w:val="00A35F58"/>
    <w:rsid w:val="00A36A42"/>
    <w:rsid w:val="00A379D0"/>
    <w:rsid w:val="00A4004F"/>
    <w:rsid w:val="00A40B0C"/>
    <w:rsid w:val="00A40B69"/>
    <w:rsid w:val="00A4138A"/>
    <w:rsid w:val="00A41C14"/>
    <w:rsid w:val="00A41ECD"/>
    <w:rsid w:val="00A42ADC"/>
    <w:rsid w:val="00A431ED"/>
    <w:rsid w:val="00A439F6"/>
    <w:rsid w:val="00A43ECE"/>
    <w:rsid w:val="00A442BD"/>
    <w:rsid w:val="00A4430C"/>
    <w:rsid w:val="00A45430"/>
    <w:rsid w:val="00A4660D"/>
    <w:rsid w:val="00A473EB"/>
    <w:rsid w:val="00A47485"/>
    <w:rsid w:val="00A5060D"/>
    <w:rsid w:val="00A50D71"/>
    <w:rsid w:val="00A51BEC"/>
    <w:rsid w:val="00A5234C"/>
    <w:rsid w:val="00A52ACC"/>
    <w:rsid w:val="00A53497"/>
    <w:rsid w:val="00A53F95"/>
    <w:rsid w:val="00A53FCC"/>
    <w:rsid w:val="00A54070"/>
    <w:rsid w:val="00A54148"/>
    <w:rsid w:val="00A543CE"/>
    <w:rsid w:val="00A54448"/>
    <w:rsid w:val="00A54475"/>
    <w:rsid w:val="00A55967"/>
    <w:rsid w:val="00A55B06"/>
    <w:rsid w:val="00A56850"/>
    <w:rsid w:val="00A609C8"/>
    <w:rsid w:val="00A60C75"/>
    <w:rsid w:val="00A611CE"/>
    <w:rsid w:val="00A61338"/>
    <w:rsid w:val="00A629A4"/>
    <w:rsid w:val="00A62BF4"/>
    <w:rsid w:val="00A62FC9"/>
    <w:rsid w:val="00A63B6C"/>
    <w:rsid w:val="00A648AE"/>
    <w:rsid w:val="00A64BC9"/>
    <w:rsid w:val="00A658C2"/>
    <w:rsid w:val="00A675F7"/>
    <w:rsid w:val="00A67F5D"/>
    <w:rsid w:val="00A70FAD"/>
    <w:rsid w:val="00A71604"/>
    <w:rsid w:val="00A7289F"/>
    <w:rsid w:val="00A72A2F"/>
    <w:rsid w:val="00A741DC"/>
    <w:rsid w:val="00A7460D"/>
    <w:rsid w:val="00A74DC9"/>
    <w:rsid w:val="00A76408"/>
    <w:rsid w:val="00A76444"/>
    <w:rsid w:val="00A76880"/>
    <w:rsid w:val="00A77061"/>
    <w:rsid w:val="00A81883"/>
    <w:rsid w:val="00A8204D"/>
    <w:rsid w:val="00A8245A"/>
    <w:rsid w:val="00A82C7C"/>
    <w:rsid w:val="00A82CE6"/>
    <w:rsid w:val="00A82D07"/>
    <w:rsid w:val="00A8300D"/>
    <w:rsid w:val="00A836DB"/>
    <w:rsid w:val="00A83A1F"/>
    <w:rsid w:val="00A83EAD"/>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2EF1"/>
    <w:rsid w:val="00A9438D"/>
    <w:rsid w:val="00A9519D"/>
    <w:rsid w:val="00A9584A"/>
    <w:rsid w:val="00A96DD7"/>
    <w:rsid w:val="00A9734F"/>
    <w:rsid w:val="00A97967"/>
    <w:rsid w:val="00A97D7D"/>
    <w:rsid w:val="00AA136E"/>
    <w:rsid w:val="00AA228C"/>
    <w:rsid w:val="00AA2304"/>
    <w:rsid w:val="00AA2EAF"/>
    <w:rsid w:val="00AA2F84"/>
    <w:rsid w:val="00AA37F6"/>
    <w:rsid w:val="00AA3948"/>
    <w:rsid w:val="00AA3CD8"/>
    <w:rsid w:val="00AA400E"/>
    <w:rsid w:val="00AA40F3"/>
    <w:rsid w:val="00AA492F"/>
    <w:rsid w:val="00AA4FC9"/>
    <w:rsid w:val="00AA5F73"/>
    <w:rsid w:val="00AA619A"/>
    <w:rsid w:val="00AA69ED"/>
    <w:rsid w:val="00AA72EF"/>
    <w:rsid w:val="00AA7582"/>
    <w:rsid w:val="00AB02F1"/>
    <w:rsid w:val="00AB13C3"/>
    <w:rsid w:val="00AB1462"/>
    <w:rsid w:val="00AB271D"/>
    <w:rsid w:val="00AB30C7"/>
    <w:rsid w:val="00AB493A"/>
    <w:rsid w:val="00AB7060"/>
    <w:rsid w:val="00AB7176"/>
    <w:rsid w:val="00AB7C47"/>
    <w:rsid w:val="00AC0B1D"/>
    <w:rsid w:val="00AC10B1"/>
    <w:rsid w:val="00AC150B"/>
    <w:rsid w:val="00AC1DB2"/>
    <w:rsid w:val="00AC22D5"/>
    <w:rsid w:val="00AC2B73"/>
    <w:rsid w:val="00AC389F"/>
    <w:rsid w:val="00AC3C0F"/>
    <w:rsid w:val="00AC3E9C"/>
    <w:rsid w:val="00AC402A"/>
    <w:rsid w:val="00AC4044"/>
    <w:rsid w:val="00AC460A"/>
    <w:rsid w:val="00AC4DFF"/>
    <w:rsid w:val="00AC5141"/>
    <w:rsid w:val="00AC559D"/>
    <w:rsid w:val="00AC62CE"/>
    <w:rsid w:val="00AC69AA"/>
    <w:rsid w:val="00AC72F2"/>
    <w:rsid w:val="00AC75D1"/>
    <w:rsid w:val="00AD0948"/>
    <w:rsid w:val="00AD0C8A"/>
    <w:rsid w:val="00AD1491"/>
    <w:rsid w:val="00AD1D8C"/>
    <w:rsid w:val="00AD1F78"/>
    <w:rsid w:val="00AD2662"/>
    <w:rsid w:val="00AD3A57"/>
    <w:rsid w:val="00AD4B55"/>
    <w:rsid w:val="00AD4E16"/>
    <w:rsid w:val="00AD6166"/>
    <w:rsid w:val="00AD61F9"/>
    <w:rsid w:val="00AD67A9"/>
    <w:rsid w:val="00AD6C7F"/>
    <w:rsid w:val="00AE0522"/>
    <w:rsid w:val="00AE16EC"/>
    <w:rsid w:val="00AE1F77"/>
    <w:rsid w:val="00AE248A"/>
    <w:rsid w:val="00AE3072"/>
    <w:rsid w:val="00AE3BF7"/>
    <w:rsid w:val="00AE4142"/>
    <w:rsid w:val="00AE4415"/>
    <w:rsid w:val="00AE458A"/>
    <w:rsid w:val="00AE4D6D"/>
    <w:rsid w:val="00AE4DF8"/>
    <w:rsid w:val="00AE4FE6"/>
    <w:rsid w:val="00AE63AE"/>
    <w:rsid w:val="00AE6937"/>
    <w:rsid w:val="00AE7048"/>
    <w:rsid w:val="00AE70AC"/>
    <w:rsid w:val="00AE7922"/>
    <w:rsid w:val="00AE7B17"/>
    <w:rsid w:val="00AE7FE8"/>
    <w:rsid w:val="00AF02DB"/>
    <w:rsid w:val="00AF03FB"/>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319"/>
    <w:rsid w:val="00B007DE"/>
    <w:rsid w:val="00B01500"/>
    <w:rsid w:val="00B016C6"/>
    <w:rsid w:val="00B020A9"/>
    <w:rsid w:val="00B023CB"/>
    <w:rsid w:val="00B02A70"/>
    <w:rsid w:val="00B02C38"/>
    <w:rsid w:val="00B03181"/>
    <w:rsid w:val="00B032EC"/>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FC8"/>
    <w:rsid w:val="00B17E7D"/>
    <w:rsid w:val="00B17F65"/>
    <w:rsid w:val="00B20285"/>
    <w:rsid w:val="00B202D1"/>
    <w:rsid w:val="00B20F7B"/>
    <w:rsid w:val="00B21392"/>
    <w:rsid w:val="00B2289F"/>
    <w:rsid w:val="00B23BE0"/>
    <w:rsid w:val="00B24237"/>
    <w:rsid w:val="00B242AF"/>
    <w:rsid w:val="00B24548"/>
    <w:rsid w:val="00B24968"/>
    <w:rsid w:val="00B25183"/>
    <w:rsid w:val="00B26086"/>
    <w:rsid w:val="00B2687E"/>
    <w:rsid w:val="00B26D3F"/>
    <w:rsid w:val="00B26E2C"/>
    <w:rsid w:val="00B26ECF"/>
    <w:rsid w:val="00B271E4"/>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42A6"/>
    <w:rsid w:val="00B344E2"/>
    <w:rsid w:val="00B3503E"/>
    <w:rsid w:val="00B3508A"/>
    <w:rsid w:val="00B362D5"/>
    <w:rsid w:val="00B36559"/>
    <w:rsid w:val="00B36774"/>
    <w:rsid w:val="00B3686C"/>
    <w:rsid w:val="00B36FB1"/>
    <w:rsid w:val="00B3752D"/>
    <w:rsid w:val="00B375ED"/>
    <w:rsid w:val="00B401B5"/>
    <w:rsid w:val="00B4042D"/>
    <w:rsid w:val="00B416C4"/>
    <w:rsid w:val="00B4176C"/>
    <w:rsid w:val="00B42AE8"/>
    <w:rsid w:val="00B42F47"/>
    <w:rsid w:val="00B431E5"/>
    <w:rsid w:val="00B43567"/>
    <w:rsid w:val="00B4371A"/>
    <w:rsid w:val="00B43AD6"/>
    <w:rsid w:val="00B44530"/>
    <w:rsid w:val="00B44A85"/>
    <w:rsid w:val="00B459F9"/>
    <w:rsid w:val="00B4624E"/>
    <w:rsid w:val="00B4707E"/>
    <w:rsid w:val="00B47991"/>
    <w:rsid w:val="00B47A1D"/>
    <w:rsid w:val="00B47BAF"/>
    <w:rsid w:val="00B5060A"/>
    <w:rsid w:val="00B506BD"/>
    <w:rsid w:val="00B508A8"/>
    <w:rsid w:val="00B51645"/>
    <w:rsid w:val="00B521E0"/>
    <w:rsid w:val="00B52583"/>
    <w:rsid w:val="00B53881"/>
    <w:rsid w:val="00B55CFE"/>
    <w:rsid w:val="00B566DD"/>
    <w:rsid w:val="00B569DD"/>
    <w:rsid w:val="00B56ABA"/>
    <w:rsid w:val="00B572D9"/>
    <w:rsid w:val="00B60182"/>
    <w:rsid w:val="00B605F8"/>
    <w:rsid w:val="00B60694"/>
    <w:rsid w:val="00B610BA"/>
    <w:rsid w:val="00B613C0"/>
    <w:rsid w:val="00B61890"/>
    <w:rsid w:val="00B619BE"/>
    <w:rsid w:val="00B62ECE"/>
    <w:rsid w:val="00B64A17"/>
    <w:rsid w:val="00B65A44"/>
    <w:rsid w:val="00B65A76"/>
    <w:rsid w:val="00B65BDF"/>
    <w:rsid w:val="00B65F6D"/>
    <w:rsid w:val="00B65F7A"/>
    <w:rsid w:val="00B65FD7"/>
    <w:rsid w:val="00B6637E"/>
    <w:rsid w:val="00B666F9"/>
    <w:rsid w:val="00B66817"/>
    <w:rsid w:val="00B677F5"/>
    <w:rsid w:val="00B67BB7"/>
    <w:rsid w:val="00B70576"/>
    <w:rsid w:val="00B705A3"/>
    <w:rsid w:val="00B727C7"/>
    <w:rsid w:val="00B72D19"/>
    <w:rsid w:val="00B72FA6"/>
    <w:rsid w:val="00B732B3"/>
    <w:rsid w:val="00B73555"/>
    <w:rsid w:val="00B74C50"/>
    <w:rsid w:val="00B75D67"/>
    <w:rsid w:val="00B76785"/>
    <w:rsid w:val="00B77E4C"/>
    <w:rsid w:val="00B80289"/>
    <w:rsid w:val="00B805EC"/>
    <w:rsid w:val="00B80961"/>
    <w:rsid w:val="00B816E3"/>
    <w:rsid w:val="00B8187E"/>
    <w:rsid w:val="00B81C70"/>
    <w:rsid w:val="00B82057"/>
    <w:rsid w:val="00B82455"/>
    <w:rsid w:val="00B8292B"/>
    <w:rsid w:val="00B82BEF"/>
    <w:rsid w:val="00B82CF2"/>
    <w:rsid w:val="00B82F0C"/>
    <w:rsid w:val="00B83F21"/>
    <w:rsid w:val="00B84DD3"/>
    <w:rsid w:val="00B8542C"/>
    <w:rsid w:val="00B85604"/>
    <w:rsid w:val="00B85E16"/>
    <w:rsid w:val="00B86738"/>
    <w:rsid w:val="00B87402"/>
    <w:rsid w:val="00B90343"/>
    <w:rsid w:val="00B90D65"/>
    <w:rsid w:val="00B90F9E"/>
    <w:rsid w:val="00B9186E"/>
    <w:rsid w:val="00B91976"/>
    <w:rsid w:val="00B91A3D"/>
    <w:rsid w:val="00B92360"/>
    <w:rsid w:val="00B9288C"/>
    <w:rsid w:val="00B92894"/>
    <w:rsid w:val="00B93625"/>
    <w:rsid w:val="00B93E8E"/>
    <w:rsid w:val="00B949EC"/>
    <w:rsid w:val="00B950F0"/>
    <w:rsid w:val="00B95AE2"/>
    <w:rsid w:val="00B95CFA"/>
    <w:rsid w:val="00B95F03"/>
    <w:rsid w:val="00B96C7E"/>
    <w:rsid w:val="00B974A0"/>
    <w:rsid w:val="00BA230C"/>
    <w:rsid w:val="00BA2EAA"/>
    <w:rsid w:val="00BA34B7"/>
    <w:rsid w:val="00BA34DA"/>
    <w:rsid w:val="00BA35F1"/>
    <w:rsid w:val="00BA46CA"/>
    <w:rsid w:val="00BA5302"/>
    <w:rsid w:val="00BA5821"/>
    <w:rsid w:val="00BA7627"/>
    <w:rsid w:val="00BA7658"/>
    <w:rsid w:val="00BA7B03"/>
    <w:rsid w:val="00BB02BC"/>
    <w:rsid w:val="00BB0B31"/>
    <w:rsid w:val="00BB0EEB"/>
    <w:rsid w:val="00BB1081"/>
    <w:rsid w:val="00BB1291"/>
    <w:rsid w:val="00BB17AA"/>
    <w:rsid w:val="00BB2B3D"/>
    <w:rsid w:val="00BB3B00"/>
    <w:rsid w:val="00BB3FDD"/>
    <w:rsid w:val="00BB468F"/>
    <w:rsid w:val="00BB58D5"/>
    <w:rsid w:val="00BB5BF2"/>
    <w:rsid w:val="00BB5E2F"/>
    <w:rsid w:val="00BB5ED9"/>
    <w:rsid w:val="00BB65B6"/>
    <w:rsid w:val="00BB67B7"/>
    <w:rsid w:val="00BB6D6D"/>
    <w:rsid w:val="00BB71CC"/>
    <w:rsid w:val="00BB789D"/>
    <w:rsid w:val="00BB79B3"/>
    <w:rsid w:val="00BC020C"/>
    <w:rsid w:val="00BC0A59"/>
    <w:rsid w:val="00BC0D72"/>
    <w:rsid w:val="00BC0DF4"/>
    <w:rsid w:val="00BC1147"/>
    <w:rsid w:val="00BC4467"/>
    <w:rsid w:val="00BC4BA0"/>
    <w:rsid w:val="00BC50CB"/>
    <w:rsid w:val="00BC569B"/>
    <w:rsid w:val="00BC59AA"/>
    <w:rsid w:val="00BC6ABF"/>
    <w:rsid w:val="00BC7B21"/>
    <w:rsid w:val="00BC7BA6"/>
    <w:rsid w:val="00BC7BB3"/>
    <w:rsid w:val="00BD04D5"/>
    <w:rsid w:val="00BD0BAB"/>
    <w:rsid w:val="00BD1853"/>
    <w:rsid w:val="00BD1857"/>
    <w:rsid w:val="00BD28F8"/>
    <w:rsid w:val="00BD295B"/>
    <w:rsid w:val="00BD2994"/>
    <w:rsid w:val="00BD3A1B"/>
    <w:rsid w:val="00BD3E33"/>
    <w:rsid w:val="00BD3FE5"/>
    <w:rsid w:val="00BD4044"/>
    <w:rsid w:val="00BD4943"/>
    <w:rsid w:val="00BD615D"/>
    <w:rsid w:val="00BD7063"/>
    <w:rsid w:val="00BD7268"/>
    <w:rsid w:val="00BD7270"/>
    <w:rsid w:val="00BD7D82"/>
    <w:rsid w:val="00BE070E"/>
    <w:rsid w:val="00BE0D02"/>
    <w:rsid w:val="00BE19BC"/>
    <w:rsid w:val="00BE1D05"/>
    <w:rsid w:val="00BE1E31"/>
    <w:rsid w:val="00BE1E47"/>
    <w:rsid w:val="00BE2598"/>
    <w:rsid w:val="00BE29E4"/>
    <w:rsid w:val="00BE2F33"/>
    <w:rsid w:val="00BE2F3E"/>
    <w:rsid w:val="00BE3C4B"/>
    <w:rsid w:val="00BE3CEA"/>
    <w:rsid w:val="00BE4E62"/>
    <w:rsid w:val="00BE4FEB"/>
    <w:rsid w:val="00BE5495"/>
    <w:rsid w:val="00BE63D1"/>
    <w:rsid w:val="00BE6C4E"/>
    <w:rsid w:val="00BE6CBF"/>
    <w:rsid w:val="00BE759D"/>
    <w:rsid w:val="00BF0645"/>
    <w:rsid w:val="00BF08EB"/>
    <w:rsid w:val="00BF0C47"/>
    <w:rsid w:val="00BF1741"/>
    <w:rsid w:val="00BF2275"/>
    <w:rsid w:val="00BF2B26"/>
    <w:rsid w:val="00BF42E9"/>
    <w:rsid w:val="00BF4698"/>
    <w:rsid w:val="00BF59FF"/>
    <w:rsid w:val="00BF6934"/>
    <w:rsid w:val="00BF6A3A"/>
    <w:rsid w:val="00BF6A4C"/>
    <w:rsid w:val="00BF6FAC"/>
    <w:rsid w:val="00BF7692"/>
    <w:rsid w:val="00BF7F05"/>
    <w:rsid w:val="00C0053C"/>
    <w:rsid w:val="00C00626"/>
    <w:rsid w:val="00C01623"/>
    <w:rsid w:val="00C01E94"/>
    <w:rsid w:val="00C02011"/>
    <w:rsid w:val="00C0231A"/>
    <w:rsid w:val="00C02519"/>
    <w:rsid w:val="00C025E6"/>
    <w:rsid w:val="00C03109"/>
    <w:rsid w:val="00C036D0"/>
    <w:rsid w:val="00C037C7"/>
    <w:rsid w:val="00C04121"/>
    <w:rsid w:val="00C04227"/>
    <w:rsid w:val="00C04957"/>
    <w:rsid w:val="00C05DC6"/>
    <w:rsid w:val="00C069FB"/>
    <w:rsid w:val="00C06BEA"/>
    <w:rsid w:val="00C06D98"/>
    <w:rsid w:val="00C07759"/>
    <w:rsid w:val="00C07F76"/>
    <w:rsid w:val="00C1071A"/>
    <w:rsid w:val="00C10A48"/>
    <w:rsid w:val="00C11E5F"/>
    <w:rsid w:val="00C12481"/>
    <w:rsid w:val="00C12801"/>
    <w:rsid w:val="00C12C08"/>
    <w:rsid w:val="00C12D7D"/>
    <w:rsid w:val="00C13991"/>
    <w:rsid w:val="00C13C05"/>
    <w:rsid w:val="00C13C10"/>
    <w:rsid w:val="00C13E31"/>
    <w:rsid w:val="00C1459C"/>
    <w:rsid w:val="00C14CFE"/>
    <w:rsid w:val="00C1613F"/>
    <w:rsid w:val="00C1672A"/>
    <w:rsid w:val="00C16AB8"/>
    <w:rsid w:val="00C1753A"/>
    <w:rsid w:val="00C20464"/>
    <w:rsid w:val="00C204A5"/>
    <w:rsid w:val="00C21592"/>
    <w:rsid w:val="00C218B2"/>
    <w:rsid w:val="00C21C39"/>
    <w:rsid w:val="00C21E64"/>
    <w:rsid w:val="00C2205A"/>
    <w:rsid w:val="00C2298A"/>
    <w:rsid w:val="00C22C52"/>
    <w:rsid w:val="00C23116"/>
    <w:rsid w:val="00C235C9"/>
    <w:rsid w:val="00C23A0C"/>
    <w:rsid w:val="00C23EDD"/>
    <w:rsid w:val="00C241DA"/>
    <w:rsid w:val="00C24500"/>
    <w:rsid w:val="00C25738"/>
    <w:rsid w:val="00C25750"/>
    <w:rsid w:val="00C25C6B"/>
    <w:rsid w:val="00C25E18"/>
    <w:rsid w:val="00C25F07"/>
    <w:rsid w:val="00C2660B"/>
    <w:rsid w:val="00C2665E"/>
    <w:rsid w:val="00C27369"/>
    <w:rsid w:val="00C30134"/>
    <w:rsid w:val="00C30150"/>
    <w:rsid w:val="00C3048D"/>
    <w:rsid w:val="00C30877"/>
    <w:rsid w:val="00C32D8D"/>
    <w:rsid w:val="00C32ED2"/>
    <w:rsid w:val="00C33889"/>
    <w:rsid w:val="00C33BE9"/>
    <w:rsid w:val="00C33E4A"/>
    <w:rsid w:val="00C34153"/>
    <w:rsid w:val="00C343BD"/>
    <w:rsid w:val="00C344E5"/>
    <w:rsid w:val="00C34D6E"/>
    <w:rsid w:val="00C3528F"/>
    <w:rsid w:val="00C35ED3"/>
    <w:rsid w:val="00C37BF1"/>
    <w:rsid w:val="00C41220"/>
    <w:rsid w:val="00C412CE"/>
    <w:rsid w:val="00C4239E"/>
    <w:rsid w:val="00C42710"/>
    <w:rsid w:val="00C42CA6"/>
    <w:rsid w:val="00C42F0C"/>
    <w:rsid w:val="00C44B0A"/>
    <w:rsid w:val="00C44F96"/>
    <w:rsid w:val="00C45108"/>
    <w:rsid w:val="00C45D9E"/>
    <w:rsid w:val="00C4620C"/>
    <w:rsid w:val="00C46651"/>
    <w:rsid w:val="00C46A0C"/>
    <w:rsid w:val="00C47E20"/>
    <w:rsid w:val="00C50552"/>
    <w:rsid w:val="00C513E5"/>
    <w:rsid w:val="00C51FFF"/>
    <w:rsid w:val="00C523C3"/>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04A1"/>
    <w:rsid w:val="00C61162"/>
    <w:rsid w:val="00C6147C"/>
    <w:rsid w:val="00C62D65"/>
    <w:rsid w:val="00C63248"/>
    <w:rsid w:val="00C63632"/>
    <w:rsid w:val="00C63854"/>
    <w:rsid w:val="00C63D24"/>
    <w:rsid w:val="00C64566"/>
    <w:rsid w:val="00C646F2"/>
    <w:rsid w:val="00C6495F"/>
    <w:rsid w:val="00C64F3C"/>
    <w:rsid w:val="00C66225"/>
    <w:rsid w:val="00C66563"/>
    <w:rsid w:val="00C66BA0"/>
    <w:rsid w:val="00C66D1D"/>
    <w:rsid w:val="00C66D5D"/>
    <w:rsid w:val="00C6709D"/>
    <w:rsid w:val="00C675C9"/>
    <w:rsid w:val="00C717E3"/>
    <w:rsid w:val="00C72084"/>
    <w:rsid w:val="00C72C1C"/>
    <w:rsid w:val="00C72E42"/>
    <w:rsid w:val="00C73327"/>
    <w:rsid w:val="00C739BF"/>
    <w:rsid w:val="00C74275"/>
    <w:rsid w:val="00C74CEA"/>
    <w:rsid w:val="00C75370"/>
    <w:rsid w:val="00C7550B"/>
    <w:rsid w:val="00C75778"/>
    <w:rsid w:val="00C75D94"/>
    <w:rsid w:val="00C76296"/>
    <w:rsid w:val="00C76303"/>
    <w:rsid w:val="00C76947"/>
    <w:rsid w:val="00C77E9A"/>
    <w:rsid w:val="00C80285"/>
    <w:rsid w:val="00C80DE3"/>
    <w:rsid w:val="00C80F01"/>
    <w:rsid w:val="00C8170D"/>
    <w:rsid w:val="00C81948"/>
    <w:rsid w:val="00C819DF"/>
    <w:rsid w:val="00C81D7E"/>
    <w:rsid w:val="00C8296E"/>
    <w:rsid w:val="00C82D1B"/>
    <w:rsid w:val="00C83E11"/>
    <w:rsid w:val="00C84418"/>
    <w:rsid w:val="00C84737"/>
    <w:rsid w:val="00C84B89"/>
    <w:rsid w:val="00C84EAC"/>
    <w:rsid w:val="00C85A3A"/>
    <w:rsid w:val="00C85CE4"/>
    <w:rsid w:val="00C8689C"/>
    <w:rsid w:val="00C86CC1"/>
    <w:rsid w:val="00C86E77"/>
    <w:rsid w:val="00C8711E"/>
    <w:rsid w:val="00C877BF"/>
    <w:rsid w:val="00C900EA"/>
    <w:rsid w:val="00C91A81"/>
    <w:rsid w:val="00C91E59"/>
    <w:rsid w:val="00C9206E"/>
    <w:rsid w:val="00C92702"/>
    <w:rsid w:val="00C92947"/>
    <w:rsid w:val="00C94892"/>
    <w:rsid w:val="00C948D1"/>
    <w:rsid w:val="00C94E8B"/>
    <w:rsid w:val="00C95170"/>
    <w:rsid w:val="00C9590D"/>
    <w:rsid w:val="00C961F6"/>
    <w:rsid w:val="00C96AC5"/>
    <w:rsid w:val="00C96F49"/>
    <w:rsid w:val="00C970AF"/>
    <w:rsid w:val="00C973C7"/>
    <w:rsid w:val="00C975B6"/>
    <w:rsid w:val="00C97981"/>
    <w:rsid w:val="00C97E3C"/>
    <w:rsid w:val="00C97EF1"/>
    <w:rsid w:val="00CA0969"/>
    <w:rsid w:val="00CA09BF"/>
    <w:rsid w:val="00CA22E1"/>
    <w:rsid w:val="00CA2BF7"/>
    <w:rsid w:val="00CA2E03"/>
    <w:rsid w:val="00CA3561"/>
    <w:rsid w:val="00CA3876"/>
    <w:rsid w:val="00CA48A5"/>
    <w:rsid w:val="00CA504A"/>
    <w:rsid w:val="00CA55A2"/>
    <w:rsid w:val="00CA598A"/>
    <w:rsid w:val="00CA5B7C"/>
    <w:rsid w:val="00CA5E19"/>
    <w:rsid w:val="00CA6779"/>
    <w:rsid w:val="00CA6CB9"/>
    <w:rsid w:val="00CA6DFD"/>
    <w:rsid w:val="00CA729D"/>
    <w:rsid w:val="00CB0F8B"/>
    <w:rsid w:val="00CB102D"/>
    <w:rsid w:val="00CB1701"/>
    <w:rsid w:val="00CB173F"/>
    <w:rsid w:val="00CB2F89"/>
    <w:rsid w:val="00CB4635"/>
    <w:rsid w:val="00CB6405"/>
    <w:rsid w:val="00CB733D"/>
    <w:rsid w:val="00CB7416"/>
    <w:rsid w:val="00CC03A9"/>
    <w:rsid w:val="00CC142C"/>
    <w:rsid w:val="00CC173E"/>
    <w:rsid w:val="00CC1775"/>
    <w:rsid w:val="00CC1933"/>
    <w:rsid w:val="00CC2414"/>
    <w:rsid w:val="00CC2682"/>
    <w:rsid w:val="00CC2959"/>
    <w:rsid w:val="00CC2986"/>
    <w:rsid w:val="00CC3D8A"/>
    <w:rsid w:val="00CC3DC9"/>
    <w:rsid w:val="00CC3E33"/>
    <w:rsid w:val="00CC4731"/>
    <w:rsid w:val="00CC61F4"/>
    <w:rsid w:val="00CC651D"/>
    <w:rsid w:val="00CC655C"/>
    <w:rsid w:val="00CC65AC"/>
    <w:rsid w:val="00CD07E2"/>
    <w:rsid w:val="00CD1AEF"/>
    <w:rsid w:val="00CD28C6"/>
    <w:rsid w:val="00CD4247"/>
    <w:rsid w:val="00CD4254"/>
    <w:rsid w:val="00CD4631"/>
    <w:rsid w:val="00CD6073"/>
    <w:rsid w:val="00CD6192"/>
    <w:rsid w:val="00CD6BD0"/>
    <w:rsid w:val="00CD73CF"/>
    <w:rsid w:val="00CD778C"/>
    <w:rsid w:val="00CE0159"/>
    <w:rsid w:val="00CE0358"/>
    <w:rsid w:val="00CE03A6"/>
    <w:rsid w:val="00CE0853"/>
    <w:rsid w:val="00CE092D"/>
    <w:rsid w:val="00CE0C53"/>
    <w:rsid w:val="00CE0CAA"/>
    <w:rsid w:val="00CE111B"/>
    <w:rsid w:val="00CE2810"/>
    <w:rsid w:val="00CE29DC"/>
    <w:rsid w:val="00CE3ADA"/>
    <w:rsid w:val="00CE3DBD"/>
    <w:rsid w:val="00CE5E19"/>
    <w:rsid w:val="00CE6306"/>
    <w:rsid w:val="00CE6844"/>
    <w:rsid w:val="00CE6917"/>
    <w:rsid w:val="00CE6EAF"/>
    <w:rsid w:val="00CE7CCB"/>
    <w:rsid w:val="00CF0281"/>
    <w:rsid w:val="00CF0ABD"/>
    <w:rsid w:val="00CF0D5C"/>
    <w:rsid w:val="00CF11A7"/>
    <w:rsid w:val="00CF169C"/>
    <w:rsid w:val="00CF19F9"/>
    <w:rsid w:val="00CF1A60"/>
    <w:rsid w:val="00CF2D8A"/>
    <w:rsid w:val="00CF3678"/>
    <w:rsid w:val="00CF38E1"/>
    <w:rsid w:val="00CF40EC"/>
    <w:rsid w:val="00CF569D"/>
    <w:rsid w:val="00CF58FA"/>
    <w:rsid w:val="00CF5DAE"/>
    <w:rsid w:val="00CF5E59"/>
    <w:rsid w:val="00CF60F2"/>
    <w:rsid w:val="00CF61BB"/>
    <w:rsid w:val="00CF691F"/>
    <w:rsid w:val="00CF6D49"/>
    <w:rsid w:val="00CF7085"/>
    <w:rsid w:val="00CF7093"/>
    <w:rsid w:val="00CF7F34"/>
    <w:rsid w:val="00D012C4"/>
    <w:rsid w:val="00D017A3"/>
    <w:rsid w:val="00D022E1"/>
    <w:rsid w:val="00D0238F"/>
    <w:rsid w:val="00D02AE6"/>
    <w:rsid w:val="00D02F23"/>
    <w:rsid w:val="00D02FAA"/>
    <w:rsid w:val="00D0487F"/>
    <w:rsid w:val="00D053E8"/>
    <w:rsid w:val="00D06569"/>
    <w:rsid w:val="00D067A8"/>
    <w:rsid w:val="00D068AF"/>
    <w:rsid w:val="00D10226"/>
    <w:rsid w:val="00D10A0C"/>
    <w:rsid w:val="00D10BEC"/>
    <w:rsid w:val="00D10C97"/>
    <w:rsid w:val="00D1104A"/>
    <w:rsid w:val="00D11CE3"/>
    <w:rsid w:val="00D11F6B"/>
    <w:rsid w:val="00D12899"/>
    <w:rsid w:val="00D134D7"/>
    <w:rsid w:val="00D13CFD"/>
    <w:rsid w:val="00D13D20"/>
    <w:rsid w:val="00D1419E"/>
    <w:rsid w:val="00D1458F"/>
    <w:rsid w:val="00D14962"/>
    <w:rsid w:val="00D149FF"/>
    <w:rsid w:val="00D15B39"/>
    <w:rsid w:val="00D164EC"/>
    <w:rsid w:val="00D1672C"/>
    <w:rsid w:val="00D17DDE"/>
    <w:rsid w:val="00D17FF4"/>
    <w:rsid w:val="00D204EB"/>
    <w:rsid w:val="00D2055E"/>
    <w:rsid w:val="00D2076B"/>
    <w:rsid w:val="00D21424"/>
    <w:rsid w:val="00D2223A"/>
    <w:rsid w:val="00D22382"/>
    <w:rsid w:val="00D2302C"/>
    <w:rsid w:val="00D23451"/>
    <w:rsid w:val="00D2443B"/>
    <w:rsid w:val="00D252C7"/>
    <w:rsid w:val="00D25456"/>
    <w:rsid w:val="00D25F43"/>
    <w:rsid w:val="00D274C9"/>
    <w:rsid w:val="00D27630"/>
    <w:rsid w:val="00D27A97"/>
    <w:rsid w:val="00D27F4F"/>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4FD4"/>
    <w:rsid w:val="00D35185"/>
    <w:rsid w:val="00D35215"/>
    <w:rsid w:val="00D3678A"/>
    <w:rsid w:val="00D3747B"/>
    <w:rsid w:val="00D37F5C"/>
    <w:rsid w:val="00D406FD"/>
    <w:rsid w:val="00D40C66"/>
    <w:rsid w:val="00D41514"/>
    <w:rsid w:val="00D41951"/>
    <w:rsid w:val="00D419FD"/>
    <w:rsid w:val="00D41FB1"/>
    <w:rsid w:val="00D420CB"/>
    <w:rsid w:val="00D421A9"/>
    <w:rsid w:val="00D42C57"/>
    <w:rsid w:val="00D436F0"/>
    <w:rsid w:val="00D437E8"/>
    <w:rsid w:val="00D43C9A"/>
    <w:rsid w:val="00D444E9"/>
    <w:rsid w:val="00D449DF"/>
    <w:rsid w:val="00D44B7F"/>
    <w:rsid w:val="00D453BC"/>
    <w:rsid w:val="00D4580A"/>
    <w:rsid w:val="00D45BA0"/>
    <w:rsid w:val="00D462EB"/>
    <w:rsid w:val="00D46AF2"/>
    <w:rsid w:val="00D501C1"/>
    <w:rsid w:val="00D50C1E"/>
    <w:rsid w:val="00D51FFB"/>
    <w:rsid w:val="00D52284"/>
    <w:rsid w:val="00D531B8"/>
    <w:rsid w:val="00D53608"/>
    <w:rsid w:val="00D54CFD"/>
    <w:rsid w:val="00D55113"/>
    <w:rsid w:val="00D55B25"/>
    <w:rsid w:val="00D55B61"/>
    <w:rsid w:val="00D56EF8"/>
    <w:rsid w:val="00D6046C"/>
    <w:rsid w:val="00D61A49"/>
    <w:rsid w:val="00D61C4D"/>
    <w:rsid w:val="00D622F1"/>
    <w:rsid w:val="00D62977"/>
    <w:rsid w:val="00D62D4E"/>
    <w:rsid w:val="00D62EE1"/>
    <w:rsid w:val="00D6310B"/>
    <w:rsid w:val="00D64CC0"/>
    <w:rsid w:val="00D65165"/>
    <w:rsid w:val="00D670A9"/>
    <w:rsid w:val="00D67559"/>
    <w:rsid w:val="00D67A03"/>
    <w:rsid w:val="00D67F30"/>
    <w:rsid w:val="00D70117"/>
    <w:rsid w:val="00D70348"/>
    <w:rsid w:val="00D703E8"/>
    <w:rsid w:val="00D704DD"/>
    <w:rsid w:val="00D7056E"/>
    <w:rsid w:val="00D70B76"/>
    <w:rsid w:val="00D70BCC"/>
    <w:rsid w:val="00D71357"/>
    <w:rsid w:val="00D713F2"/>
    <w:rsid w:val="00D716C0"/>
    <w:rsid w:val="00D71A61"/>
    <w:rsid w:val="00D72732"/>
    <w:rsid w:val="00D72DBD"/>
    <w:rsid w:val="00D7313E"/>
    <w:rsid w:val="00D73DD4"/>
    <w:rsid w:val="00D73F8A"/>
    <w:rsid w:val="00D73F9F"/>
    <w:rsid w:val="00D74057"/>
    <w:rsid w:val="00D740B5"/>
    <w:rsid w:val="00D742D5"/>
    <w:rsid w:val="00D75001"/>
    <w:rsid w:val="00D75B27"/>
    <w:rsid w:val="00D76290"/>
    <w:rsid w:val="00D7683D"/>
    <w:rsid w:val="00D769FB"/>
    <w:rsid w:val="00D77082"/>
    <w:rsid w:val="00D77B0E"/>
    <w:rsid w:val="00D8010F"/>
    <w:rsid w:val="00D808F8"/>
    <w:rsid w:val="00D820AD"/>
    <w:rsid w:val="00D82E5D"/>
    <w:rsid w:val="00D82F31"/>
    <w:rsid w:val="00D83471"/>
    <w:rsid w:val="00D8382B"/>
    <w:rsid w:val="00D83DEE"/>
    <w:rsid w:val="00D83EEC"/>
    <w:rsid w:val="00D849D2"/>
    <w:rsid w:val="00D84C00"/>
    <w:rsid w:val="00D8540D"/>
    <w:rsid w:val="00D859B2"/>
    <w:rsid w:val="00D8649F"/>
    <w:rsid w:val="00D867B9"/>
    <w:rsid w:val="00D86A80"/>
    <w:rsid w:val="00D86C6E"/>
    <w:rsid w:val="00D87B7E"/>
    <w:rsid w:val="00D90172"/>
    <w:rsid w:val="00D92DE4"/>
    <w:rsid w:val="00D93656"/>
    <w:rsid w:val="00D94136"/>
    <w:rsid w:val="00D9554B"/>
    <w:rsid w:val="00D95777"/>
    <w:rsid w:val="00D95894"/>
    <w:rsid w:val="00D95D44"/>
    <w:rsid w:val="00D967CA"/>
    <w:rsid w:val="00D96FA9"/>
    <w:rsid w:val="00D97338"/>
    <w:rsid w:val="00D97501"/>
    <w:rsid w:val="00DA06CB"/>
    <w:rsid w:val="00DA0794"/>
    <w:rsid w:val="00DA1CB0"/>
    <w:rsid w:val="00DA3C69"/>
    <w:rsid w:val="00DA4206"/>
    <w:rsid w:val="00DA45E4"/>
    <w:rsid w:val="00DA46F4"/>
    <w:rsid w:val="00DA56C0"/>
    <w:rsid w:val="00DA6300"/>
    <w:rsid w:val="00DA66B0"/>
    <w:rsid w:val="00DA7B35"/>
    <w:rsid w:val="00DB05F9"/>
    <w:rsid w:val="00DB2446"/>
    <w:rsid w:val="00DB2633"/>
    <w:rsid w:val="00DB493A"/>
    <w:rsid w:val="00DB4F50"/>
    <w:rsid w:val="00DB5001"/>
    <w:rsid w:val="00DB5D59"/>
    <w:rsid w:val="00DB6164"/>
    <w:rsid w:val="00DB6E35"/>
    <w:rsid w:val="00DB7504"/>
    <w:rsid w:val="00DB7BE1"/>
    <w:rsid w:val="00DB7C0E"/>
    <w:rsid w:val="00DB7E48"/>
    <w:rsid w:val="00DB7F14"/>
    <w:rsid w:val="00DC03EA"/>
    <w:rsid w:val="00DC04EA"/>
    <w:rsid w:val="00DC0589"/>
    <w:rsid w:val="00DC1421"/>
    <w:rsid w:val="00DC1680"/>
    <w:rsid w:val="00DC2BD1"/>
    <w:rsid w:val="00DC39C3"/>
    <w:rsid w:val="00DC4145"/>
    <w:rsid w:val="00DC532C"/>
    <w:rsid w:val="00DC5568"/>
    <w:rsid w:val="00DC5D55"/>
    <w:rsid w:val="00DC62A8"/>
    <w:rsid w:val="00DC64B8"/>
    <w:rsid w:val="00DC72BC"/>
    <w:rsid w:val="00DC733F"/>
    <w:rsid w:val="00DD0184"/>
    <w:rsid w:val="00DD03F9"/>
    <w:rsid w:val="00DD03FB"/>
    <w:rsid w:val="00DD0D60"/>
    <w:rsid w:val="00DD10D6"/>
    <w:rsid w:val="00DD19E8"/>
    <w:rsid w:val="00DD1B1A"/>
    <w:rsid w:val="00DD1BF4"/>
    <w:rsid w:val="00DD1D75"/>
    <w:rsid w:val="00DD1F7B"/>
    <w:rsid w:val="00DD2662"/>
    <w:rsid w:val="00DD2B7A"/>
    <w:rsid w:val="00DD3278"/>
    <w:rsid w:val="00DD34CF"/>
    <w:rsid w:val="00DD370B"/>
    <w:rsid w:val="00DD38CD"/>
    <w:rsid w:val="00DD38DC"/>
    <w:rsid w:val="00DD3DA4"/>
    <w:rsid w:val="00DD437E"/>
    <w:rsid w:val="00DD4EE7"/>
    <w:rsid w:val="00DD554B"/>
    <w:rsid w:val="00DD61FE"/>
    <w:rsid w:val="00DD62A7"/>
    <w:rsid w:val="00DD6B36"/>
    <w:rsid w:val="00DE0629"/>
    <w:rsid w:val="00DE1090"/>
    <w:rsid w:val="00DE1716"/>
    <w:rsid w:val="00DE26E1"/>
    <w:rsid w:val="00DE290C"/>
    <w:rsid w:val="00DE2B15"/>
    <w:rsid w:val="00DE2FF2"/>
    <w:rsid w:val="00DE3313"/>
    <w:rsid w:val="00DE3995"/>
    <w:rsid w:val="00DE3CB0"/>
    <w:rsid w:val="00DE3ECF"/>
    <w:rsid w:val="00DE49D4"/>
    <w:rsid w:val="00DE4BA1"/>
    <w:rsid w:val="00DE4EB2"/>
    <w:rsid w:val="00DE4ECB"/>
    <w:rsid w:val="00DE4F26"/>
    <w:rsid w:val="00DE596D"/>
    <w:rsid w:val="00DE60B6"/>
    <w:rsid w:val="00DE62A2"/>
    <w:rsid w:val="00DE6791"/>
    <w:rsid w:val="00DE6D48"/>
    <w:rsid w:val="00DE75DE"/>
    <w:rsid w:val="00DE77F0"/>
    <w:rsid w:val="00DE7816"/>
    <w:rsid w:val="00DF152B"/>
    <w:rsid w:val="00DF215B"/>
    <w:rsid w:val="00DF242D"/>
    <w:rsid w:val="00DF242E"/>
    <w:rsid w:val="00DF3051"/>
    <w:rsid w:val="00DF3576"/>
    <w:rsid w:val="00DF3BB4"/>
    <w:rsid w:val="00DF3C41"/>
    <w:rsid w:val="00DF4A3E"/>
    <w:rsid w:val="00DF4BA1"/>
    <w:rsid w:val="00DF4F71"/>
    <w:rsid w:val="00DF581A"/>
    <w:rsid w:val="00DF5E64"/>
    <w:rsid w:val="00DF61ED"/>
    <w:rsid w:val="00DF6AFA"/>
    <w:rsid w:val="00DF6FE2"/>
    <w:rsid w:val="00DF7609"/>
    <w:rsid w:val="00DF7850"/>
    <w:rsid w:val="00DF7E47"/>
    <w:rsid w:val="00E0051A"/>
    <w:rsid w:val="00E00883"/>
    <w:rsid w:val="00E0193E"/>
    <w:rsid w:val="00E02D42"/>
    <w:rsid w:val="00E035AD"/>
    <w:rsid w:val="00E05C4F"/>
    <w:rsid w:val="00E06848"/>
    <w:rsid w:val="00E06C71"/>
    <w:rsid w:val="00E1047D"/>
    <w:rsid w:val="00E1107E"/>
    <w:rsid w:val="00E11B0C"/>
    <w:rsid w:val="00E129F8"/>
    <w:rsid w:val="00E12F4E"/>
    <w:rsid w:val="00E13779"/>
    <w:rsid w:val="00E13A85"/>
    <w:rsid w:val="00E141DF"/>
    <w:rsid w:val="00E148EF"/>
    <w:rsid w:val="00E14AE5"/>
    <w:rsid w:val="00E1523E"/>
    <w:rsid w:val="00E1590F"/>
    <w:rsid w:val="00E16147"/>
    <w:rsid w:val="00E16368"/>
    <w:rsid w:val="00E16DBA"/>
    <w:rsid w:val="00E1779F"/>
    <w:rsid w:val="00E1794D"/>
    <w:rsid w:val="00E200E7"/>
    <w:rsid w:val="00E20187"/>
    <w:rsid w:val="00E202E0"/>
    <w:rsid w:val="00E20EDA"/>
    <w:rsid w:val="00E20FFA"/>
    <w:rsid w:val="00E21885"/>
    <w:rsid w:val="00E21F5A"/>
    <w:rsid w:val="00E221EC"/>
    <w:rsid w:val="00E230FF"/>
    <w:rsid w:val="00E23691"/>
    <w:rsid w:val="00E23D60"/>
    <w:rsid w:val="00E23FDC"/>
    <w:rsid w:val="00E245A0"/>
    <w:rsid w:val="00E2597D"/>
    <w:rsid w:val="00E25AB4"/>
    <w:rsid w:val="00E2604A"/>
    <w:rsid w:val="00E26C28"/>
    <w:rsid w:val="00E271F8"/>
    <w:rsid w:val="00E27254"/>
    <w:rsid w:val="00E27589"/>
    <w:rsid w:val="00E30C9F"/>
    <w:rsid w:val="00E30CD7"/>
    <w:rsid w:val="00E30FB9"/>
    <w:rsid w:val="00E31197"/>
    <w:rsid w:val="00E3147F"/>
    <w:rsid w:val="00E315F1"/>
    <w:rsid w:val="00E319B8"/>
    <w:rsid w:val="00E33454"/>
    <w:rsid w:val="00E3386F"/>
    <w:rsid w:val="00E33E51"/>
    <w:rsid w:val="00E3456F"/>
    <w:rsid w:val="00E34BFB"/>
    <w:rsid w:val="00E35098"/>
    <w:rsid w:val="00E35A09"/>
    <w:rsid w:val="00E35E6C"/>
    <w:rsid w:val="00E36EE6"/>
    <w:rsid w:val="00E40CB4"/>
    <w:rsid w:val="00E41AA9"/>
    <w:rsid w:val="00E41E94"/>
    <w:rsid w:val="00E42117"/>
    <w:rsid w:val="00E421FB"/>
    <w:rsid w:val="00E4241C"/>
    <w:rsid w:val="00E42637"/>
    <w:rsid w:val="00E42DF3"/>
    <w:rsid w:val="00E430F9"/>
    <w:rsid w:val="00E43D7E"/>
    <w:rsid w:val="00E43DAC"/>
    <w:rsid w:val="00E43EB7"/>
    <w:rsid w:val="00E43F18"/>
    <w:rsid w:val="00E44719"/>
    <w:rsid w:val="00E44905"/>
    <w:rsid w:val="00E45BDC"/>
    <w:rsid w:val="00E46CC6"/>
    <w:rsid w:val="00E51337"/>
    <w:rsid w:val="00E51A2E"/>
    <w:rsid w:val="00E51E85"/>
    <w:rsid w:val="00E52DD6"/>
    <w:rsid w:val="00E53048"/>
    <w:rsid w:val="00E53A6F"/>
    <w:rsid w:val="00E53AA7"/>
    <w:rsid w:val="00E53F88"/>
    <w:rsid w:val="00E5464D"/>
    <w:rsid w:val="00E54684"/>
    <w:rsid w:val="00E54A33"/>
    <w:rsid w:val="00E54DC4"/>
    <w:rsid w:val="00E55B99"/>
    <w:rsid w:val="00E56574"/>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CEE"/>
    <w:rsid w:val="00E66EE0"/>
    <w:rsid w:val="00E66FCC"/>
    <w:rsid w:val="00E674C2"/>
    <w:rsid w:val="00E67B46"/>
    <w:rsid w:val="00E67CB5"/>
    <w:rsid w:val="00E67EDD"/>
    <w:rsid w:val="00E701F2"/>
    <w:rsid w:val="00E7135D"/>
    <w:rsid w:val="00E7255A"/>
    <w:rsid w:val="00E72860"/>
    <w:rsid w:val="00E7312C"/>
    <w:rsid w:val="00E7338B"/>
    <w:rsid w:val="00E7355E"/>
    <w:rsid w:val="00E741D0"/>
    <w:rsid w:val="00E75994"/>
    <w:rsid w:val="00E75AE0"/>
    <w:rsid w:val="00E76097"/>
    <w:rsid w:val="00E76C37"/>
    <w:rsid w:val="00E76DD6"/>
    <w:rsid w:val="00E773CD"/>
    <w:rsid w:val="00E800A3"/>
    <w:rsid w:val="00E8088F"/>
    <w:rsid w:val="00E80C7D"/>
    <w:rsid w:val="00E825F7"/>
    <w:rsid w:val="00E82677"/>
    <w:rsid w:val="00E82A41"/>
    <w:rsid w:val="00E83495"/>
    <w:rsid w:val="00E839A6"/>
    <w:rsid w:val="00E84C5D"/>
    <w:rsid w:val="00E85E7E"/>
    <w:rsid w:val="00E8606A"/>
    <w:rsid w:val="00E865E0"/>
    <w:rsid w:val="00E86CDD"/>
    <w:rsid w:val="00E86E99"/>
    <w:rsid w:val="00E87D7E"/>
    <w:rsid w:val="00E9016A"/>
    <w:rsid w:val="00E90C8D"/>
    <w:rsid w:val="00E91B3F"/>
    <w:rsid w:val="00E91DA6"/>
    <w:rsid w:val="00E91EE2"/>
    <w:rsid w:val="00E92E50"/>
    <w:rsid w:val="00E9330F"/>
    <w:rsid w:val="00E93ADA"/>
    <w:rsid w:val="00E94A80"/>
    <w:rsid w:val="00E94EC1"/>
    <w:rsid w:val="00E95153"/>
    <w:rsid w:val="00E95E9A"/>
    <w:rsid w:val="00E95F02"/>
    <w:rsid w:val="00E961BB"/>
    <w:rsid w:val="00E97445"/>
    <w:rsid w:val="00E97648"/>
    <w:rsid w:val="00E97C18"/>
    <w:rsid w:val="00EA0350"/>
    <w:rsid w:val="00EA0379"/>
    <w:rsid w:val="00EA17EA"/>
    <w:rsid w:val="00EA1ACE"/>
    <w:rsid w:val="00EA218E"/>
    <w:rsid w:val="00EA24CE"/>
    <w:rsid w:val="00EA2674"/>
    <w:rsid w:val="00EA3149"/>
    <w:rsid w:val="00EA33DD"/>
    <w:rsid w:val="00EA383A"/>
    <w:rsid w:val="00EA3AB4"/>
    <w:rsid w:val="00EA3AEB"/>
    <w:rsid w:val="00EA3F1E"/>
    <w:rsid w:val="00EA5656"/>
    <w:rsid w:val="00EA5C2A"/>
    <w:rsid w:val="00EA6026"/>
    <w:rsid w:val="00EA6128"/>
    <w:rsid w:val="00EA613F"/>
    <w:rsid w:val="00EA6CB5"/>
    <w:rsid w:val="00EA6F69"/>
    <w:rsid w:val="00EA7798"/>
    <w:rsid w:val="00EA7BA5"/>
    <w:rsid w:val="00EB090D"/>
    <w:rsid w:val="00EB09FB"/>
    <w:rsid w:val="00EB0A20"/>
    <w:rsid w:val="00EB116F"/>
    <w:rsid w:val="00EB1525"/>
    <w:rsid w:val="00EB2002"/>
    <w:rsid w:val="00EB23FC"/>
    <w:rsid w:val="00EB2B8A"/>
    <w:rsid w:val="00EB2DCB"/>
    <w:rsid w:val="00EB3017"/>
    <w:rsid w:val="00EB3DC5"/>
    <w:rsid w:val="00EB4B0A"/>
    <w:rsid w:val="00EB5162"/>
    <w:rsid w:val="00EB52C6"/>
    <w:rsid w:val="00EB55C7"/>
    <w:rsid w:val="00EB579D"/>
    <w:rsid w:val="00EB5C25"/>
    <w:rsid w:val="00EB6511"/>
    <w:rsid w:val="00EB665C"/>
    <w:rsid w:val="00EB7EDA"/>
    <w:rsid w:val="00EC0083"/>
    <w:rsid w:val="00EC035B"/>
    <w:rsid w:val="00EC0B8D"/>
    <w:rsid w:val="00EC13CB"/>
    <w:rsid w:val="00EC14BE"/>
    <w:rsid w:val="00EC1AFE"/>
    <w:rsid w:val="00EC20BB"/>
    <w:rsid w:val="00EC35E7"/>
    <w:rsid w:val="00EC3C22"/>
    <w:rsid w:val="00EC4F4B"/>
    <w:rsid w:val="00EC5719"/>
    <w:rsid w:val="00ED0937"/>
    <w:rsid w:val="00ED0B11"/>
    <w:rsid w:val="00ED16D8"/>
    <w:rsid w:val="00ED1A6E"/>
    <w:rsid w:val="00ED1E60"/>
    <w:rsid w:val="00ED229B"/>
    <w:rsid w:val="00ED2AD6"/>
    <w:rsid w:val="00ED34FB"/>
    <w:rsid w:val="00ED3582"/>
    <w:rsid w:val="00ED4319"/>
    <w:rsid w:val="00ED6334"/>
    <w:rsid w:val="00ED68DC"/>
    <w:rsid w:val="00ED6FF1"/>
    <w:rsid w:val="00ED73E7"/>
    <w:rsid w:val="00ED7FA4"/>
    <w:rsid w:val="00EE0C22"/>
    <w:rsid w:val="00EE0C49"/>
    <w:rsid w:val="00EE14F8"/>
    <w:rsid w:val="00EE22E8"/>
    <w:rsid w:val="00EE246F"/>
    <w:rsid w:val="00EE28A3"/>
    <w:rsid w:val="00EE2EBF"/>
    <w:rsid w:val="00EE3375"/>
    <w:rsid w:val="00EE3FCA"/>
    <w:rsid w:val="00EE51AA"/>
    <w:rsid w:val="00EE6A55"/>
    <w:rsid w:val="00EE6E25"/>
    <w:rsid w:val="00EF09E0"/>
    <w:rsid w:val="00EF1240"/>
    <w:rsid w:val="00EF1C22"/>
    <w:rsid w:val="00EF238B"/>
    <w:rsid w:val="00EF2539"/>
    <w:rsid w:val="00EF2648"/>
    <w:rsid w:val="00EF2AA5"/>
    <w:rsid w:val="00EF3FF7"/>
    <w:rsid w:val="00EF43B7"/>
    <w:rsid w:val="00EF4401"/>
    <w:rsid w:val="00EF446B"/>
    <w:rsid w:val="00EF48A0"/>
    <w:rsid w:val="00EF567B"/>
    <w:rsid w:val="00EF591D"/>
    <w:rsid w:val="00EF6839"/>
    <w:rsid w:val="00EF7684"/>
    <w:rsid w:val="00F0025E"/>
    <w:rsid w:val="00F00719"/>
    <w:rsid w:val="00F00C84"/>
    <w:rsid w:val="00F00E96"/>
    <w:rsid w:val="00F01ECD"/>
    <w:rsid w:val="00F034B1"/>
    <w:rsid w:val="00F03504"/>
    <w:rsid w:val="00F0455C"/>
    <w:rsid w:val="00F05481"/>
    <w:rsid w:val="00F05FA3"/>
    <w:rsid w:val="00F06390"/>
    <w:rsid w:val="00F06845"/>
    <w:rsid w:val="00F06904"/>
    <w:rsid w:val="00F1003F"/>
    <w:rsid w:val="00F10AF2"/>
    <w:rsid w:val="00F10B74"/>
    <w:rsid w:val="00F10D13"/>
    <w:rsid w:val="00F10E7E"/>
    <w:rsid w:val="00F11750"/>
    <w:rsid w:val="00F11BBA"/>
    <w:rsid w:val="00F12DFB"/>
    <w:rsid w:val="00F12ED1"/>
    <w:rsid w:val="00F137F8"/>
    <w:rsid w:val="00F13D71"/>
    <w:rsid w:val="00F13E2A"/>
    <w:rsid w:val="00F142BC"/>
    <w:rsid w:val="00F14E8F"/>
    <w:rsid w:val="00F15140"/>
    <w:rsid w:val="00F154B8"/>
    <w:rsid w:val="00F160B9"/>
    <w:rsid w:val="00F16706"/>
    <w:rsid w:val="00F174A4"/>
    <w:rsid w:val="00F17E3D"/>
    <w:rsid w:val="00F17E3F"/>
    <w:rsid w:val="00F17E95"/>
    <w:rsid w:val="00F2040D"/>
    <w:rsid w:val="00F2162E"/>
    <w:rsid w:val="00F2196F"/>
    <w:rsid w:val="00F21986"/>
    <w:rsid w:val="00F222E7"/>
    <w:rsid w:val="00F22D34"/>
    <w:rsid w:val="00F22E61"/>
    <w:rsid w:val="00F24BD5"/>
    <w:rsid w:val="00F252FF"/>
    <w:rsid w:val="00F26439"/>
    <w:rsid w:val="00F266D8"/>
    <w:rsid w:val="00F27224"/>
    <w:rsid w:val="00F315AB"/>
    <w:rsid w:val="00F31832"/>
    <w:rsid w:val="00F31DEF"/>
    <w:rsid w:val="00F3235D"/>
    <w:rsid w:val="00F32AB2"/>
    <w:rsid w:val="00F3309A"/>
    <w:rsid w:val="00F33779"/>
    <w:rsid w:val="00F33A24"/>
    <w:rsid w:val="00F34091"/>
    <w:rsid w:val="00F35A83"/>
    <w:rsid w:val="00F362C0"/>
    <w:rsid w:val="00F362DE"/>
    <w:rsid w:val="00F365AC"/>
    <w:rsid w:val="00F36705"/>
    <w:rsid w:val="00F37CE7"/>
    <w:rsid w:val="00F37F57"/>
    <w:rsid w:val="00F40146"/>
    <w:rsid w:val="00F41301"/>
    <w:rsid w:val="00F41312"/>
    <w:rsid w:val="00F41394"/>
    <w:rsid w:val="00F417AF"/>
    <w:rsid w:val="00F41F6D"/>
    <w:rsid w:val="00F420BE"/>
    <w:rsid w:val="00F42822"/>
    <w:rsid w:val="00F4307D"/>
    <w:rsid w:val="00F4573B"/>
    <w:rsid w:val="00F45F47"/>
    <w:rsid w:val="00F45FDE"/>
    <w:rsid w:val="00F46797"/>
    <w:rsid w:val="00F47076"/>
    <w:rsid w:val="00F50397"/>
    <w:rsid w:val="00F50B34"/>
    <w:rsid w:val="00F50FB7"/>
    <w:rsid w:val="00F512DA"/>
    <w:rsid w:val="00F517E6"/>
    <w:rsid w:val="00F51994"/>
    <w:rsid w:val="00F51C00"/>
    <w:rsid w:val="00F52FFF"/>
    <w:rsid w:val="00F53521"/>
    <w:rsid w:val="00F54147"/>
    <w:rsid w:val="00F541CA"/>
    <w:rsid w:val="00F546D0"/>
    <w:rsid w:val="00F5515C"/>
    <w:rsid w:val="00F555F6"/>
    <w:rsid w:val="00F56166"/>
    <w:rsid w:val="00F56E8F"/>
    <w:rsid w:val="00F573C8"/>
    <w:rsid w:val="00F57A5E"/>
    <w:rsid w:val="00F57C10"/>
    <w:rsid w:val="00F60790"/>
    <w:rsid w:val="00F60F7F"/>
    <w:rsid w:val="00F61781"/>
    <w:rsid w:val="00F61BCE"/>
    <w:rsid w:val="00F62062"/>
    <w:rsid w:val="00F62666"/>
    <w:rsid w:val="00F62B9F"/>
    <w:rsid w:val="00F63731"/>
    <w:rsid w:val="00F64342"/>
    <w:rsid w:val="00F64F7A"/>
    <w:rsid w:val="00F6510F"/>
    <w:rsid w:val="00F65918"/>
    <w:rsid w:val="00F6641F"/>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77D1A"/>
    <w:rsid w:val="00F800D5"/>
    <w:rsid w:val="00F802A1"/>
    <w:rsid w:val="00F8059F"/>
    <w:rsid w:val="00F8083C"/>
    <w:rsid w:val="00F809ED"/>
    <w:rsid w:val="00F80DB3"/>
    <w:rsid w:val="00F812B0"/>
    <w:rsid w:val="00F815D0"/>
    <w:rsid w:val="00F81A96"/>
    <w:rsid w:val="00F823A2"/>
    <w:rsid w:val="00F83315"/>
    <w:rsid w:val="00F833BE"/>
    <w:rsid w:val="00F834BD"/>
    <w:rsid w:val="00F842F0"/>
    <w:rsid w:val="00F84353"/>
    <w:rsid w:val="00F8487F"/>
    <w:rsid w:val="00F84D85"/>
    <w:rsid w:val="00F85862"/>
    <w:rsid w:val="00F85AEC"/>
    <w:rsid w:val="00F87211"/>
    <w:rsid w:val="00F906FA"/>
    <w:rsid w:val="00F90D98"/>
    <w:rsid w:val="00F90F1A"/>
    <w:rsid w:val="00F912CA"/>
    <w:rsid w:val="00F92029"/>
    <w:rsid w:val="00F92045"/>
    <w:rsid w:val="00F92453"/>
    <w:rsid w:val="00F92462"/>
    <w:rsid w:val="00F92F53"/>
    <w:rsid w:val="00F931AA"/>
    <w:rsid w:val="00F93634"/>
    <w:rsid w:val="00F94C2F"/>
    <w:rsid w:val="00F94CD3"/>
    <w:rsid w:val="00F94EE1"/>
    <w:rsid w:val="00F95EF4"/>
    <w:rsid w:val="00F97089"/>
    <w:rsid w:val="00F97A66"/>
    <w:rsid w:val="00F97C97"/>
    <w:rsid w:val="00F97E95"/>
    <w:rsid w:val="00F97F4B"/>
    <w:rsid w:val="00FA0C67"/>
    <w:rsid w:val="00FA1D6D"/>
    <w:rsid w:val="00FA209D"/>
    <w:rsid w:val="00FA24A2"/>
    <w:rsid w:val="00FA2C3A"/>
    <w:rsid w:val="00FA3510"/>
    <w:rsid w:val="00FA3643"/>
    <w:rsid w:val="00FA3BD4"/>
    <w:rsid w:val="00FA419A"/>
    <w:rsid w:val="00FA5E32"/>
    <w:rsid w:val="00FA6291"/>
    <w:rsid w:val="00FA696F"/>
    <w:rsid w:val="00FA79EC"/>
    <w:rsid w:val="00FA7A36"/>
    <w:rsid w:val="00FA7B88"/>
    <w:rsid w:val="00FB10D4"/>
    <w:rsid w:val="00FB138A"/>
    <w:rsid w:val="00FB1D8D"/>
    <w:rsid w:val="00FB2907"/>
    <w:rsid w:val="00FB2EE2"/>
    <w:rsid w:val="00FB3CCB"/>
    <w:rsid w:val="00FB5EC1"/>
    <w:rsid w:val="00FB733D"/>
    <w:rsid w:val="00FB7BD2"/>
    <w:rsid w:val="00FC05E6"/>
    <w:rsid w:val="00FC06C8"/>
    <w:rsid w:val="00FC0886"/>
    <w:rsid w:val="00FC22C2"/>
    <w:rsid w:val="00FC256E"/>
    <w:rsid w:val="00FC2991"/>
    <w:rsid w:val="00FC29CC"/>
    <w:rsid w:val="00FC2F3C"/>
    <w:rsid w:val="00FC345B"/>
    <w:rsid w:val="00FC4053"/>
    <w:rsid w:val="00FC539F"/>
    <w:rsid w:val="00FC53F0"/>
    <w:rsid w:val="00FC5518"/>
    <w:rsid w:val="00FC5688"/>
    <w:rsid w:val="00FC6045"/>
    <w:rsid w:val="00FC61B7"/>
    <w:rsid w:val="00FC62CF"/>
    <w:rsid w:val="00FC7ECA"/>
    <w:rsid w:val="00FD020C"/>
    <w:rsid w:val="00FD03E3"/>
    <w:rsid w:val="00FD0843"/>
    <w:rsid w:val="00FD09B0"/>
    <w:rsid w:val="00FD0A70"/>
    <w:rsid w:val="00FD113C"/>
    <w:rsid w:val="00FD12AE"/>
    <w:rsid w:val="00FD18BA"/>
    <w:rsid w:val="00FD1DC5"/>
    <w:rsid w:val="00FD1F7E"/>
    <w:rsid w:val="00FD2FA4"/>
    <w:rsid w:val="00FD3EF8"/>
    <w:rsid w:val="00FD3FB7"/>
    <w:rsid w:val="00FD4D69"/>
    <w:rsid w:val="00FD4FB1"/>
    <w:rsid w:val="00FD6074"/>
    <w:rsid w:val="00FD6498"/>
    <w:rsid w:val="00FD708D"/>
    <w:rsid w:val="00FD7D75"/>
    <w:rsid w:val="00FD7DFA"/>
    <w:rsid w:val="00FE01AF"/>
    <w:rsid w:val="00FE07AD"/>
    <w:rsid w:val="00FE0D8C"/>
    <w:rsid w:val="00FE1B8C"/>
    <w:rsid w:val="00FE308B"/>
    <w:rsid w:val="00FE3B24"/>
    <w:rsid w:val="00FE40FD"/>
    <w:rsid w:val="00FE4E7F"/>
    <w:rsid w:val="00FE53AD"/>
    <w:rsid w:val="00FE5BF0"/>
    <w:rsid w:val="00FE764C"/>
    <w:rsid w:val="00FF1BD6"/>
    <w:rsid w:val="00FF1E71"/>
    <w:rsid w:val="00FF20D7"/>
    <w:rsid w:val="00FF24A1"/>
    <w:rsid w:val="00FF2CAB"/>
    <w:rsid w:val="00FF353D"/>
    <w:rsid w:val="00FF35F6"/>
    <w:rsid w:val="00FF3629"/>
    <w:rsid w:val="00FF4237"/>
    <w:rsid w:val="00FF4CD6"/>
    <w:rsid w:val="00FF5F03"/>
    <w:rsid w:val="00FF6B9A"/>
    <w:rsid w:val="00FF6E5F"/>
    <w:rsid w:val="00FF7F68"/>
    <w:rsid w:val="02ED10CC"/>
    <w:rsid w:val="032E481C"/>
    <w:rsid w:val="04E672BC"/>
    <w:rsid w:val="04F46DC1"/>
    <w:rsid w:val="0BB93035"/>
    <w:rsid w:val="0BFE313E"/>
    <w:rsid w:val="0C806573"/>
    <w:rsid w:val="0CB345EF"/>
    <w:rsid w:val="0EEF3211"/>
    <w:rsid w:val="0F056591"/>
    <w:rsid w:val="10127F8E"/>
    <w:rsid w:val="13016439"/>
    <w:rsid w:val="13EB1B1B"/>
    <w:rsid w:val="14603AA4"/>
    <w:rsid w:val="17F00651"/>
    <w:rsid w:val="18950921"/>
    <w:rsid w:val="1DF83562"/>
    <w:rsid w:val="1E9811D0"/>
    <w:rsid w:val="1F4909C1"/>
    <w:rsid w:val="1F9D2ECA"/>
    <w:rsid w:val="20001ED6"/>
    <w:rsid w:val="206D21E8"/>
    <w:rsid w:val="233174FD"/>
    <w:rsid w:val="281907FF"/>
    <w:rsid w:val="2A115E97"/>
    <w:rsid w:val="2A727AC6"/>
    <w:rsid w:val="2B51698E"/>
    <w:rsid w:val="2BE512DE"/>
    <w:rsid w:val="375A4E1C"/>
    <w:rsid w:val="38BE762D"/>
    <w:rsid w:val="46F13959"/>
    <w:rsid w:val="48301F3C"/>
    <w:rsid w:val="49583FC9"/>
    <w:rsid w:val="498937E6"/>
    <w:rsid w:val="49940662"/>
    <w:rsid w:val="4B6C4CC7"/>
    <w:rsid w:val="4FCD54FB"/>
    <w:rsid w:val="4FD40E3A"/>
    <w:rsid w:val="50253322"/>
    <w:rsid w:val="54857525"/>
    <w:rsid w:val="54C84C70"/>
    <w:rsid w:val="552125EF"/>
    <w:rsid w:val="564E3947"/>
    <w:rsid w:val="59A10231"/>
    <w:rsid w:val="5BAA5AC3"/>
    <w:rsid w:val="608C39E9"/>
    <w:rsid w:val="618C17C7"/>
    <w:rsid w:val="627110E9"/>
    <w:rsid w:val="651915C4"/>
    <w:rsid w:val="6C5A3670"/>
    <w:rsid w:val="717E112C"/>
    <w:rsid w:val="7423420D"/>
    <w:rsid w:val="77D53A70"/>
    <w:rsid w:val="7A173ECC"/>
    <w:rsid w:val="7C6B49A3"/>
    <w:rsid w:val="7CE54755"/>
    <w:rsid w:val="7D393EA5"/>
    <w:rsid w:val="7F4021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45"/>
    <w:semiHidden/>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46"/>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43"/>
    <w:qFormat/>
    <w:uiPriority w:val="0"/>
    <w:pPr>
      <w:spacing w:after="120"/>
    </w:pPr>
    <w:rPr>
      <w:rFonts w:ascii="Times New Roman" w:hAnsi="Times New Roman" w:eastAsia="宋体" w:cs="Times New Roman"/>
      <w:szCs w:val="24"/>
    </w:rPr>
  </w:style>
  <w:style w:type="paragraph" w:styleId="7">
    <w:name w:val="Document Map"/>
    <w:basedOn w:val="1"/>
    <w:link w:val="55"/>
    <w:semiHidden/>
    <w:unhideWhenUsed/>
    <w:qFormat/>
    <w:uiPriority w:val="99"/>
    <w:rPr>
      <w:rFonts w:ascii="宋体" w:eastAsia="宋体"/>
      <w:sz w:val="18"/>
      <w:szCs w:val="18"/>
    </w:rPr>
  </w:style>
  <w:style w:type="paragraph" w:styleId="8">
    <w:name w:val="annotation text"/>
    <w:basedOn w:val="1"/>
    <w:link w:val="47"/>
    <w:unhideWhenUsed/>
    <w:qFormat/>
    <w:uiPriority w:val="0"/>
    <w:pPr>
      <w:jc w:val="left"/>
    </w:pPr>
  </w:style>
  <w:style w:type="paragraph" w:styleId="9">
    <w:name w:val="toc 3"/>
    <w:basedOn w:val="1"/>
    <w:next w:val="1"/>
    <w:autoRedefine/>
    <w:unhideWhenUsed/>
    <w:qFormat/>
    <w:uiPriority w:val="39"/>
    <w:pPr>
      <w:widowControl/>
      <w:spacing w:after="100" w:line="276" w:lineRule="auto"/>
      <w:ind w:left="440"/>
      <w:jc w:val="left"/>
    </w:pPr>
    <w:rPr>
      <w:kern w:val="0"/>
      <w:sz w:val="22"/>
    </w:rPr>
  </w:style>
  <w:style w:type="paragraph" w:styleId="10">
    <w:name w:val="Plain Text"/>
    <w:basedOn w:val="1"/>
    <w:link w:val="38"/>
    <w:qFormat/>
    <w:uiPriority w:val="0"/>
    <w:rPr>
      <w:rFonts w:ascii="宋体" w:hAnsi="Courier New" w:eastAsia="宋体"/>
      <w:szCs w:val="24"/>
    </w:rPr>
  </w:style>
  <w:style w:type="paragraph" w:styleId="11">
    <w:name w:val="Date"/>
    <w:basedOn w:val="1"/>
    <w:next w:val="1"/>
    <w:link w:val="28"/>
    <w:unhideWhenUsed/>
    <w:qFormat/>
    <w:uiPriority w:val="0"/>
    <w:pPr>
      <w:ind w:left="100" w:leftChars="2500"/>
    </w:pPr>
  </w:style>
  <w:style w:type="paragraph" w:styleId="12">
    <w:name w:val="Balloon Text"/>
    <w:basedOn w:val="1"/>
    <w:link w:val="27"/>
    <w:unhideWhenUsed/>
    <w:qFormat/>
    <w:uiPriority w:val="0"/>
    <w:rPr>
      <w:sz w:val="18"/>
      <w:szCs w:val="18"/>
    </w:rPr>
  </w:style>
  <w:style w:type="paragraph" w:styleId="13">
    <w:name w:val="footer"/>
    <w:basedOn w:val="1"/>
    <w:link w:val="33"/>
    <w:unhideWhenUsed/>
    <w:qFormat/>
    <w:uiPriority w:val="99"/>
    <w:pPr>
      <w:tabs>
        <w:tab w:val="center" w:pos="4153"/>
        <w:tab w:val="right" w:pos="8306"/>
      </w:tabs>
      <w:snapToGrid w:val="0"/>
      <w:jc w:val="left"/>
    </w:pPr>
    <w:rPr>
      <w:sz w:val="18"/>
      <w:szCs w:val="18"/>
    </w:rPr>
  </w:style>
  <w:style w:type="paragraph" w:styleId="14">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unhideWhenUsed/>
    <w:qFormat/>
    <w:uiPriority w:val="39"/>
    <w:pPr>
      <w:widowControl/>
      <w:tabs>
        <w:tab w:val="right" w:leader="dot" w:pos="8273"/>
      </w:tabs>
      <w:spacing w:line="360" w:lineRule="auto"/>
      <w:jc w:val="left"/>
    </w:pPr>
    <w:rPr>
      <w:rFonts w:eastAsia="黑体"/>
      <w:kern w:val="0"/>
      <w:sz w:val="22"/>
    </w:rPr>
  </w:style>
  <w:style w:type="paragraph" w:styleId="16">
    <w:name w:val="toc 2"/>
    <w:basedOn w:val="1"/>
    <w:next w:val="1"/>
    <w:autoRedefine/>
    <w:unhideWhenUsed/>
    <w:qFormat/>
    <w:uiPriority w:val="39"/>
    <w:pPr>
      <w:widowControl/>
      <w:tabs>
        <w:tab w:val="left" w:pos="709"/>
        <w:tab w:val="right" w:leader="dot" w:pos="8302"/>
      </w:tabs>
      <w:spacing w:after="100" w:line="276" w:lineRule="auto"/>
      <w:ind w:left="220"/>
      <w:jc w:val="left"/>
    </w:pPr>
    <w:rPr>
      <w:kern w:val="0"/>
      <w:sz w:val="22"/>
    </w:rPr>
  </w:style>
  <w:style w:type="paragraph" w:styleId="17">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18">
    <w:name w:val="annotation subject"/>
    <w:basedOn w:val="8"/>
    <w:next w:val="8"/>
    <w:link w:val="48"/>
    <w:semiHidden/>
    <w:unhideWhenUsed/>
    <w:qFormat/>
    <w:uiPriority w:val="99"/>
    <w:rPr>
      <w:b/>
      <w:bCs/>
    </w:rPr>
  </w:style>
  <w:style w:type="table" w:styleId="20">
    <w:name w:val="Table Grid"/>
    <w:basedOn w:val="1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FollowedHyperlink"/>
    <w:basedOn w:val="21"/>
    <w:semiHidden/>
    <w:unhideWhenUsed/>
    <w:qFormat/>
    <w:uiPriority w:val="99"/>
    <w:rPr>
      <w:color w:val="800080" w:themeColor="followedHyperlink"/>
      <w:u w:val="single"/>
      <w14:textFill>
        <w14:solidFill>
          <w14:schemeClr w14:val="folHlink"/>
        </w14:solidFill>
      </w14:textFill>
    </w:rPr>
  </w:style>
  <w:style w:type="character" w:styleId="24">
    <w:name w:val="Emphasis"/>
    <w:basedOn w:val="21"/>
    <w:qFormat/>
    <w:uiPriority w:val="20"/>
    <w:rPr>
      <w:i/>
      <w:iCs/>
    </w:rPr>
  </w:style>
  <w:style w:type="character" w:styleId="25">
    <w:name w:val="Hyperlink"/>
    <w:qFormat/>
    <w:uiPriority w:val="99"/>
    <w:rPr>
      <w:color w:val="0000FF"/>
      <w:u w:val="single"/>
    </w:rPr>
  </w:style>
  <w:style w:type="character" w:styleId="26">
    <w:name w:val="annotation reference"/>
    <w:basedOn w:val="21"/>
    <w:unhideWhenUsed/>
    <w:qFormat/>
    <w:uiPriority w:val="0"/>
    <w:rPr>
      <w:sz w:val="21"/>
      <w:szCs w:val="21"/>
    </w:rPr>
  </w:style>
  <w:style w:type="character" w:customStyle="1" w:styleId="27">
    <w:name w:val="批注框文本 字符"/>
    <w:basedOn w:val="21"/>
    <w:link w:val="12"/>
    <w:qFormat/>
    <w:uiPriority w:val="0"/>
    <w:rPr>
      <w:sz w:val="18"/>
      <w:szCs w:val="18"/>
    </w:rPr>
  </w:style>
  <w:style w:type="character" w:customStyle="1" w:styleId="28">
    <w:name w:val="日期 字符"/>
    <w:basedOn w:val="21"/>
    <w:link w:val="11"/>
    <w:semiHidden/>
    <w:qFormat/>
    <w:uiPriority w:val="99"/>
  </w:style>
  <w:style w:type="paragraph" w:styleId="29">
    <w:name w:val="List Paragraph"/>
    <w:basedOn w:val="1"/>
    <w:link w:val="44"/>
    <w:qFormat/>
    <w:uiPriority w:val="34"/>
    <w:pPr>
      <w:ind w:firstLine="420" w:firstLineChars="200"/>
    </w:pPr>
  </w:style>
  <w:style w:type="character" w:customStyle="1" w:styleId="30">
    <w:name w:val="p141"/>
    <w:qFormat/>
    <w:uiPriority w:val="0"/>
    <w:rPr>
      <w:sz w:val="21"/>
      <w:szCs w:val="21"/>
    </w:rPr>
  </w:style>
  <w:style w:type="character" w:customStyle="1" w:styleId="31">
    <w:name w:val="标题 1 字符"/>
    <w:basedOn w:val="21"/>
    <w:link w:val="3"/>
    <w:qFormat/>
    <w:uiPriority w:val="9"/>
    <w:rPr>
      <w:b/>
      <w:bCs/>
      <w:kern w:val="44"/>
      <w:sz w:val="44"/>
      <w:szCs w:val="44"/>
    </w:rPr>
  </w:style>
  <w:style w:type="character" w:customStyle="1" w:styleId="32">
    <w:name w:val="页眉 字符"/>
    <w:basedOn w:val="21"/>
    <w:link w:val="14"/>
    <w:qFormat/>
    <w:uiPriority w:val="99"/>
    <w:rPr>
      <w:sz w:val="18"/>
      <w:szCs w:val="18"/>
    </w:rPr>
  </w:style>
  <w:style w:type="character" w:customStyle="1" w:styleId="33">
    <w:name w:val="页脚 字符"/>
    <w:basedOn w:val="21"/>
    <w:link w:val="13"/>
    <w:qFormat/>
    <w:uiPriority w:val="99"/>
    <w:rPr>
      <w:sz w:val="18"/>
      <w:szCs w:val="18"/>
    </w:rPr>
  </w:style>
  <w:style w:type="paragraph" w:customStyle="1" w:styleId="34">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正文缩进2格"/>
    <w:basedOn w:val="1"/>
    <w:link w:val="36"/>
    <w:qFormat/>
    <w:uiPriority w:val="0"/>
    <w:pPr>
      <w:spacing w:line="600" w:lineRule="exact"/>
      <w:ind w:firstLine="639" w:firstLineChars="206"/>
    </w:pPr>
    <w:rPr>
      <w:rFonts w:ascii="仿宋_GB2312" w:hAnsi="宋体" w:eastAsia="仿宋_GB2312" w:cs="Times New Roman"/>
      <w:sz w:val="31"/>
      <w:szCs w:val="28"/>
    </w:rPr>
  </w:style>
  <w:style w:type="character" w:customStyle="1" w:styleId="36">
    <w:name w:val="正文缩进2格 Char"/>
    <w:link w:val="35"/>
    <w:qFormat/>
    <w:uiPriority w:val="0"/>
    <w:rPr>
      <w:rFonts w:ascii="仿宋_GB2312" w:hAnsi="宋体" w:eastAsia="仿宋_GB2312" w:cs="Times New Roman"/>
      <w:sz w:val="31"/>
      <w:szCs w:val="28"/>
    </w:rPr>
  </w:style>
  <w:style w:type="character" w:customStyle="1" w:styleId="37">
    <w:name w:val="标题 2 字符"/>
    <w:basedOn w:val="21"/>
    <w:link w:val="4"/>
    <w:qFormat/>
    <w:uiPriority w:val="9"/>
    <w:rPr>
      <w:rFonts w:asciiTheme="majorHAnsi" w:hAnsiTheme="majorHAnsi" w:eastAsiaTheme="majorEastAsia" w:cstheme="majorBidi"/>
      <w:b/>
      <w:bCs/>
      <w:sz w:val="32"/>
      <w:szCs w:val="32"/>
    </w:rPr>
  </w:style>
  <w:style w:type="character" w:customStyle="1" w:styleId="38">
    <w:name w:val="纯文本 字符"/>
    <w:basedOn w:val="21"/>
    <w:link w:val="10"/>
    <w:qFormat/>
    <w:uiPriority w:val="0"/>
    <w:rPr>
      <w:rFonts w:ascii="宋体" w:hAnsi="Courier New" w:eastAsia="宋体"/>
      <w:szCs w:val="24"/>
    </w:rPr>
  </w:style>
  <w:style w:type="character" w:customStyle="1" w:styleId="39">
    <w:name w:val="纯文本 Char"/>
    <w:basedOn w:val="21"/>
    <w:semiHidden/>
    <w:qFormat/>
    <w:uiPriority w:val="99"/>
    <w:rPr>
      <w:rFonts w:ascii="宋体" w:hAnsi="Courier New" w:eastAsia="宋体" w:cs="Courier New"/>
      <w:szCs w:val="21"/>
    </w:rPr>
  </w:style>
  <w:style w:type="character" w:customStyle="1" w:styleId="40">
    <w:name w:val="正文缩进2格 Char Char"/>
    <w:basedOn w:val="21"/>
    <w:qFormat/>
    <w:uiPriority w:val="0"/>
    <w:rPr>
      <w:rFonts w:ascii="仿宋_GB2312" w:hAnsi="宋体" w:eastAsia="仿宋_GB2312"/>
      <w:kern w:val="2"/>
      <w:sz w:val="31"/>
      <w:szCs w:val="28"/>
      <w:lang w:val="en-US" w:eastAsia="zh-CN" w:bidi="ar-SA"/>
    </w:rPr>
  </w:style>
  <w:style w:type="paragraph" w:customStyle="1" w:styleId="41">
    <w:name w:val="正文缩进4格"/>
    <w:basedOn w:val="35"/>
    <w:qFormat/>
    <w:uiPriority w:val="0"/>
    <w:pPr>
      <w:spacing w:line="340" w:lineRule="exact"/>
      <w:ind w:firstLine="315" w:firstLineChars="0"/>
    </w:pPr>
    <w:rPr>
      <w:rFonts w:ascii="宋体" w:eastAsia="宋体"/>
      <w:sz w:val="24"/>
      <w:szCs w:val="24"/>
    </w:rPr>
  </w:style>
  <w:style w:type="character" w:customStyle="1" w:styleId="42">
    <w:name w:val="正文文本 Char"/>
    <w:basedOn w:val="21"/>
    <w:semiHidden/>
    <w:qFormat/>
    <w:uiPriority w:val="99"/>
  </w:style>
  <w:style w:type="character" w:customStyle="1" w:styleId="43">
    <w:name w:val="正文文本 字符"/>
    <w:link w:val="2"/>
    <w:qFormat/>
    <w:uiPriority w:val="0"/>
    <w:rPr>
      <w:rFonts w:ascii="Times New Roman" w:hAnsi="Times New Roman" w:eastAsia="宋体" w:cs="Times New Roman"/>
      <w:szCs w:val="24"/>
    </w:rPr>
  </w:style>
  <w:style w:type="character" w:customStyle="1" w:styleId="44">
    <w:name w:val="列表段落 字符"/>
    <w:link w:val="29"/>
    <w:qFormat/>
    <w:uiPriority w:val="34"/>
  </w:style>
  <w:style w:type="character" w:customStyle="1" w:styleId="45">
    <w:name w:val="标题 3 字符"/>
    <w:basedOn w:val="21"/>
    <w:link w:val="5"/>
    <w:semiHidden/>
    <w:qFormat/>
    <w:uiPriority w:val="9"/>
    <w:rPr>
      <w:b/>
      <w:bCs/>
      <w:sz w:val="32"/>
      <w:szCs w:val="32"/>
    </w:rPr>
  </w:style>
  <w:style w:type="character" w:customStyle="1" w:styleId="46">
    <w:name w:val="标题 4 字符"/>
    <w:basedOn w:val="21"/>
    <w:link w:val="6"/>
    <w:semiHidden/>
    <w:qFormat/>
    <w:uiPriority w:val="9"/>
    <w:rPr>
      <w:rFonts w:asciiTheme="majorHAnsi" w:hAnsiTheme="majorHAnsi" w:eastAsiaTheme="majorEastAsia" w:cstheme="majorBidi"/>
      <w:b/>
      <w:bCs/>
      <w:sz w:val="28"/>
      <w:szCs w:val="28"/>
    </w:rPr>
  </w:style>
  <w:style w:type="character" w:customStyle="1" w:styleId="47">
    <w:name w:val="批注文字 字符"/>
    <w:basedOn w:val="21"/>
    <w:link w:val="8"/>
    <w:qFormat/>
    <w:uiPriority w:val="0"/>
  </w:style>
  <w:style w:type="character" w:customStyle="1" w:styleId="48">
    <w:name w:val="批注主题 字符"/>
    <w:basedOn w:val="47"/>
    <w:link w:val="18"/>
    <w:semiHidden/>
    <w:qFormat/>
    <w:uiPriority w:val="99"/>
    <w:rPr>
      <w:b/>
      <w:bCs/>
    </w:rPr>
  </w:style>
  <w:style w:type="paragraph" w:customStyle="1" w:styleId="49">
    <w:name w:val="保留正文"/>
    <w:basedOn w:val="2"/>
    <w:qFormat/>
    <w:uiPriority w:val="0"/>
    <w:pPr>
      <w:keepNext/>
      <w:spacing w:after="160"/>
    </w:pPr>
  </w:style>
  <w:style w:type="paragraph" w:customStyle="1" w:styleId="50">
    <w:name w:val="列出段落1"/>
    <w:basedOn w:val="1"/>
    <w:qFormat/>
    <w:uiPriority w:val="34"/>
    <w:pPr>
      <w:ind w:firstLine="420" w:firstLineChars="200"/>
    </w:pPr>
    <w:rPr>
      <w:rFonts w:ascii="Calibri" w:hAnsi="Calibri" w:eastAsia="宋体" w:cs="黑体"/>
    </w:rPr>
  </w:style>
  <w:style w:type="paragraph" w:customStyle="1" w:styleId="51">
    <w:name w:val="Revision"/>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52">
    <w:name w:val="_Style 202"/>
    <w:basedOn w:val="1"/>
    <w:qFormat/>
    <w:uiPriority w:val="0"/>
    <w:pPr>
      <w:tabs>
        <w:tab w:val="left" w:pos="360"/>
      </w:tabs>
    </w:pPr>
    <w:rPr>
      <w:rFonts w:ascii="Times New Roman" w:hAnsi="Times New Roman" w:eastAsia="宋体" w:cs="Times New Roman"/>
      <w:szCs w:val="24"/>
    </w:rPr>
  </w:style>
  <w:style w:type="paragraph" w:customStyle="1" w:styleId="53">
    <w:name w:val="Char1 Char Char Char"/>
    <w:basedOn w:val="1"/>
    <w:qFormat/>
    <w:uiPriority w:val="0"/>
    <w:rPr>
      <w:rFonts w:ascii="黑体" w:hAnsi="Verdana" w:eastAsia="黑体" w:cs="Times New Roman"/>
      <w:kern w:val="0"/>
      <w:sz w:val="32"/>
      <w:szCs w:val="32"/>
      <w:lang w:eastAsia="en-US"/>
    </w:rPr>
  </w:style>
  <w:style w:type="paragraph" w:customStyle="1" w:styleId="54">
    <w:name w:val="1 Char Char Char Char"/>
    <w:basedOn w:val="1"/>
    <w:qFormat/>
    <w:uiPriority w:val="0"/>
    <w:pPr>
      <w:spacing w:after="160" w:line="240" w:lineRule="exact"/>
    </w:pPr>
    <w:rPr>
      <w:rFonts w:ascii="Times New Roman" w:hAnsi="Times New Roman" w:eastAsia="宋体" w:cs="Times New Roman"/>
      <w:szCs w:val="24"/>
    </w:rPr>
  </w:style>
  <w:style w:type="character" w:customStyle="1" w:styleId="55">
    <w:name w:val="文档结构图 字符"/>
    <w:basedOn w:val="21"/>
    <w:link w:val="7"/>
    <w:semiHidden/>
    <w:qFormat/>
    <w:uiPriority w:val="99"/>
    <w:rPr>
      <w:rFonts w:ascii="宋体" w:eastAsia="宋体"/>
      <w:sz w:val="18"/>
      <w:szCs w:val="18"/>
    </w:rPr>
  </w:style>
  <w:style w:type="paragraph" w:customStyle="1" w:styleId="56">
    <w:name w:val="样式4"/>
    <w:basedOn w:val="1"/>
    <w:qFormat/>
    <w:uiPriority w:val="0"/>
    <w:pPr>
      <w:tabs>
        <w:tab w:val="left" w:pos="2328"/>
      </w:tabs>
      <w:ind w:left="2328" w:hanging="708"/>
    </w:pPr>
    <w:rPr>
      <w:rFonts w:ascii="Times New Roman" w:hAnsi="Times New Roman" w:eastAsia="宋体" w:cs="Times New Roman"/>
      <w:szCs w:val="24"/>
    </w:rPr>
  </w:style>
  <w:style w:type="paragraph" w:customStyle="1" w:styleId="57">
    <w:name w:val="Char Char Char Char Char Char Char Char Char Char Char Char1 Char Char Char Char"/>
    <w:basedOn w:val="1"/>
    <w:autoRedefine/>
    <w:qFormat/>
    <w:uiPriority w:val="0"/>
    <w:pPr>
      <w:widowControl/>
      <w:spacing w:after="160" w:line="240" w:lineRule="exact"/>
      <w:jc w:val="center"/>
    </w:pPr>
    <w:rPr>
      <w:rFonts w:ascii="黑体" w:hAnsi="Verdana" w:eastAsia="黑体" w:cs="Times New Roman"/>
      <w:kern w:val="0"/>
      <w:sz w:val="32"/>
      <w:szCs w:val="32"/>
      <w:lang w:eastAsia="en-US"/>
    </w:rPr>
  </w:style>
  <w:style w:type="character" w:customStyle="1" w:styleId="58">
    <w:name w:val="未处理的提及1"/>
    <w:basedOn w:val="21"/>
    <w:semiHidden/>
    <w:unhideWhenUsed/>
    <w:qFormat/>
    <w:uiPriority w:val="99"/>
    <w:rPr>
      <w:color w:val="605E5C"/>
      <w:shd w:val="clear" w:color="auto" w:fill="E1DFDD"/>
    </w:rPr>
  </w:style>
  <w:style w:type="character" w:customStyle="1" w:styleId="59">
    <w:name w:val="Unresolved Mention"/>
    <w:basedOn w:val="21"/>
    <w:semiHidden/>
    <w:unhideWhenUsed/>
    <w:qFormat/>
    <w:uiPriority w:val="99"/>
    <w:rPr>
      <w:color w:val="605E5C"/>
      <w:shd w:val="clear" w:color="auto" w:fill="E1DFDD"/>
    </w:rPr>
  </w:style>
  <w:style w:type="table" w:customStyle="1" w:styleId="60">
    <w:name w:val="Table Normal"/>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61">
    <w:name w:val="Table Paragraph"/>
    <w:basedOn w:val="1"/>
    <w:qFormat/>
    <w:uiPriority w:val="1"/>
    <w:pPr>
      <w:autoSpaceDE w:val="0"/>
      <w:autoSpaceDN w:val="0"/>
      <w:jc w:val="left"/>
    </w:pPr>
    <w:rPr>
      <w:rFonts w:ascii="宋体" w:hAnsi="宋体" w:eastAsia="宋体" w:cs="宋体"/>
      <w:kern w:val="0"/>
      <w:sz w:val="22"/>
      <w:lang w:eastAsia="en-US"/>
    </w:rPr>
  </w:style>
  <w:style w:type="paragraph" w:customStyle="1" w:styleId="62">
    <w:name w:val="图"/>
    <w:basedOn w:val="1"/>
    <w:qFormat/>
    <w:uiPriority w:val="0"/>
    <w:pPr>
      <w:keepNext/>
      <w:adjustRightInd w:val="0"/>
      <w:snapToGrid w:val="0"/>
      <w:spacing w:before="60" w:after="60" w:line="300" w:lineRule="auto"/>
      <w:jc w:val="center"/>
    </w:pPr>
    <w:rPr>
      <w:rFonts w:ascii="Times New Roman" w:hAnsi="Times New Roman" w:eastAsia="宋体" w:cs="Times New Roman"/>
      <w:spacing w:val="20"/>
      <w:sz w:val="24"/>
      <w:szCs w:val="20"/>
    </w:rPr>
  </w:style>
  <w:style w:type="character" w:customStyle="1" w:styleId="63">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C94D39-B335-4680-B641-3C5FA9A0C742}">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90</Pages>
  <Words>6218</Words>
  <Characters>6742</Characters>
  <Lines>318</Lines>
  <Paragraphs>89</Paragraphs>
  <TotalTime>5</TotalTime>
  <ScaleCrop>false</ScaleCrop>
  <LinksUpToDate>false</LinksUpToDate>
  <CharactersWithSpaces>6841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2022-11-17T02:11:00Z</dcterms:created>
  <dc:creator>YD-LING</dc:creator>
  <cp:lastModifiedBy>有德-陈佰仪</cp:lastModifiedBy>
  <cp:lastPrinted>2020-12-07T02:17:00Z</cp:lastPrinted>
  <dcterms:modified xsi:type="dcterms:W3CDTF">2025-10-17T06:45:27Z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eyJoZGlkIjoiZDA2MmNlZjA2NzliODg1NjcxMDhiMzFiNWQ0ZWVhYjQiLCJ1c2VySWQiOiI1NzI0NjcxOTYifQ==</vt:lpwstr>
  </property>
  <property fmtid="{D5CDD505-2E9C-101B-9397-08002B2CF9AE}" pid="3" name="KSOProductBuildVer">
    <vt:lpwstr>2052-12.1.0.23125</vt:lpwstr>
  </property>
  <property fmtid="{D5CDD505-2E9C-101B-9397-08002B2CF9AE}" pid="4" name="ICV">
    <vt:lpwstr>54D136D4E37B4D70A87DF444A8037A54_12</vt:lpwstr>
  </property>
</Properties>
</file>