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A7DF9">
      <w:pPr>
        <w:spacing w:before="624" w:beforeLines="200" w:after="624" w:afterLines="200"/>
        <w:jc w:val="center"/>
        <w:rPr>
          <w:rFonts w:hint="eastAsia" w:ascii="黑体" w:hAnsi="黑体" w:eastAsia="黑体" w:cs="黑体"/>
          <w:b/>
          <w:color w:val="auto"/>
          <w:spacing w:val="60"/>
          <w:sz w:val="120"/>
          <w:szCs w:val="120"/>
          <w:highlight w:val="none"/>
        </w:rPr>
      </w:pPr>
      <w:r>
        <w:rPr>
          <w:rFonts w:hint="eastAsia" w:ascii="黑体" w:hAnsi="黑体" w:eastAsia="黑体" w:cs="黑体"/>
          <w:b/>
          <w:color w:val="auto"/>
          <w:spacing w:val="60"/>
          <w:sz w:val="120"/>
          <w:szCs w:val="120"/>
          <w:highlight w:val="none"/>
        </w:rPr>
        <w:t>询价采购文件</w:t>
      </w:r>
      <w:r>
        <w:rPr>
          <w:rFonts w:hint="eastAsia" w:ascii="黑体" w:hAnsi="黑体" w:eastAsia="黑体" w:cs="黑体"/>
          <w:b/>
          <w:bCs/>
          <w:color w:val="auto"/>
          <w:sz w:val="32"/>
          <w:szCs w:val="32"/>
          <w:highlight w:val="none"/>
        </w:rPr>
        <w:drawing>
          <wp:inline distT="0" distB="0" distL="0" distR="0">
            <wp:extent cx="4073525" cy="4277360"/>
            <wp:effectExtent l="0" t="0" r="3175" b="8890"/>
            <wp:docPr id="3"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有德LOGO(小版)"/>
                    <pic:cNvPicPr>
                      <a:picLocks noChangeAspect="1" noChangeArrowheads="1"/>
                    </pic:cNvPicPr>
                  </pic:nvPicPr>
                  <pic:blipFill>
                    <a:blip r:embed="rId6" cstate="print"/>
                    <a:srcRect/>
                    <a:stretch>
                      <a:fillRect/>
                    </a:stretch>
                  </pic:blipFill>
                  <pic:spPr>
                    <a:xfrm>
                      <a:off x="0" y="0"/>
                      <a:ext cx="4115796" cy="4321323"/>
                    </a:xfrm>
                    <a:prstGeom prst="rect">
                      <a:avLst/>
                    </a:prstGeom>
                    <a:noFill/>
                    <a:ln w="9525">
                      <a:noFill/>
                      <a:miter lim="800000"/>
                      <a:headEnd/>
                      <a:tailEnd/>
                    </a:ln>
                  </pic:spPr>
                </pic:pic>
              </a:graphicData>
            </a:graphic>
          </wp:inline>
        </w:drawing>
      </w:r>
    </w:p>
    <w:tbl>
      <w:tblPr>
        <w:tblStyle w:val="20"/>
        <w:tblW w:w="8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753"/>
      </w:tblGrid>
      <w:tr w14:paraId="74CED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753" w:type="dxa"/>
            <w:vAlign w:val="top"/>
          </w:tcPr>
          <w:p w14:paraId="562F6F54">
            <w:pPr>
              <w:jc w:val="left"/>
              <w:rPr>
                <w:rFonts w:hint="eastAsia" w:ascii="黑体" w:hAnsi="黑体" w:eastAsia="黑体" w:cs="黑体"/>
                <w:b/>
                <w:color w:val="auto"/>
                <w:spacing w:val="0"/>
                <w:sz w:val="28"/>
                <w:szCs w:val="28"/>
                <w:highlight w:val="none"/>
              </w:rPr>
            </w:pPr>
            <w:r>
              <w:rPr>
                <w:rFonts w:hint="eastAsia" w:ascii="黑体" w:hAnsi="黑体" w:eastAsia="黑体" w:cs="黑体"/>
                <w:b/>
                <w:color w:val="auto"/>
                <w:spacing w:val="0"/>
                <w:sz w:val="28"/>
                <w:szCs w:val="28"/>
                <w:highlight w:val="none"/>
              </w:rPr>
              <w:t>项目名称：东莞理工学院松山湖校区多媒体教室常态化录播设备采购项目</w:t>
            </w:r>
          </w:p>
        </w:tc>
      </w:tr>
      <w:tr w14:paraId="7A73E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753" w:type="dxa"/>
            <w:vAlign w:val="top"/>
          </w:tcPr>
          <w:p w14:paraId="3E9BCF7E">
            <w:pPr>
              <w:jc w:val="left"/>
              <w:rPr>
                <w:rFonts w:hint="eastAsia" w:ascii="黑体" w:hAnsi="黑体" w:eastAsia="黑体" w:cs="黑体"/>
                <w:b/>
                <w:color w:val="auto"/>
                <w:spacing w:val="0"/>
                <w:sz w:val="28"/>
                <w:szCs w:val="28"/>
                <w:highlight w:val="none"/>
              </w:rPr>
            </w:pPr>
            <w:r>
              <w:rPr>
                <w:rFonts w:hint="eastAsia" w:ascii="黑体" w:hAnsi="黑体" w:eastAsia="黑体" w:cs="黑体"/>
                <w:b/>
                <w:color w:val="auto"/>
                <w:spacing w:val="0"/>
                <w:sz w:val="28"/>
                <w:szCs w:val="28"/>
                <w:highlight w:val="none"/>
              </w:rPr>
              <w:t>项目编号：DGUT-CG-2025-046</w:t>
            </w:r>
          </w:p>
        </w:tc>
      </w:tr>
      <w:tr w14:paraId="16A67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753" w:type="dxa"/>
            <w:vAlign w:val="top"/>
          </w:tcPr>
          <w:p w14:paraId="4B765BA4">
            <w:pPr>
              <w:jc w:val="left"/>
              <w:rPr>
                <w:rFonts w:hint="eastAsia" w:ascii="黑体" w:hAnsi="黑体" w:eastAsia="黑体" w:cs="黑体"/>
                <w:b/>
                <w:color w:val="auto"/>
                <w:spacing w:val="0"/>
                <w:sz w:val="28"/>
                <w:szCs w:val="28"/>
                <w:highlight w:val="none"/>
              </w:rPr>
            </w:pPr>
            <w:r>
              <w:rPr>
                <w:rFonts w:hint="eastAsia" w:ascii="黑体" w:hAnsi="黑体" w:eastAsia="黑体" w:cs="黑体"/>
                <w:b/>
                <w:color w:val="auto"/>
                <w:spacing w:val="0"/>
                <w:sz w:val="28"/>
                <w:szCs w:val="28"/>
                <w:highlight w:val="none"/>
              </w:rPr>
              <w:t>采购单位：东莞理工学院</w:t>
            </w:r>
          </w:p>
        </w:tc>
      </w:tr>
      <w:tr w14:paraId="5DD3F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753" w:type="dxa"/>
            <w:vAlign w:val="top"/>
          </w:tcPr>
          <w:p w14:paraId="0A78F823">
            <w:pPr>
              <w:jc w:val="left"/>
              <w:rPr>
                <w:rFonts w:hint="eastAsia" w:ascii="黑体" w:hAnsi="黑体" w:eastAsia="黑体" w:cs="黑体"/>
                <w:b/>
                <w:color w:val="auto"/>
                <w:spacing w:val="0"/>
                <w:sz w:val="28"/>
                <w:szCs w:val="28"/>
                <w:highlight w:val="none"/>
              </w:rPr>
            </w:pPr>
            <w:r>
              <w:rPr>
                <w:rFonts w:hint="eastAsia" w:ascii="黑体" w:hAnsi="黑体" w:eastAsia="黑体" w:cs="黑体"/>
                <w:b/>
                <w:color w:val="auto"/>
                <w:spacing w:val="0"/>
                <w:sz w:val="28"/>
                <w:szCs w:val="28"/>
                <w:highlight w:val="none"/>
              </w:rPr>
              <w:t>采购代理机构：广东有德招标采购有限公司</w:t>
            </w:r>
          </w:p>
        </w:tc>
      </w:tr>
    </w:tbl>
    <w:p w14:paraId="2847A61E">
      <w:pPr>
        <w:spacing w:before="312" w:beforeLines="100"/>
        <w:jc w:val="center"/>
        <w:rPr>
          <w:rFonts w:hint="eastAsia" w:ascii="黑体" w:hAnsi="黑体" w:eastAsia="黑体" w:cs="黑体"/>
          <w:b/>
          <w:color w:val="auto"/>
          <w:spacing w:val="60"/>
          <w:sz w:val="28"/>
          <w:szCs w:val="28"/>
          <w:highlight w:val="none"/>
        </w:rPr>
      </w:pPr>
      <w:r>
        <w:rPr>
          <w:rFonts w:hint="eastAsia" w:ascii="黑体" w:hAnsi="黑体" w:eastAsia="黑体" w:cs="黑体"/>
          <w:b/>
          <w:color w:val="auto"/>
          <w:spacing w:val="60"/>
          <w:sz w:val="28"/>
          <w:szCs w:val="28"/>
          <w:highlight w:val="none"/>
        </w:rPr>
        <w:t>二〇二</w:t>
      </w:r>
      <w:r>
        <w:rPr>
          <w:rFonts w:hint="eastAsia" w:ascii="黑体" w:hAnsi="黑体" w:eastAsia="黑体" w:cs="黑体"/>
          <w:b/>
          <w:color w:val="auto"/>
          <w:spacing w:val="60"/>
          <w:sz w:val="28"/>
          <w:szCs w:val="28"/>
          <w:highlight w:val="none"/>
          <w:lang w:val="en-US" w:eastAsia="zh-CN"/>
        </w:rPr>
        <w:t>五</w:t>
      </w:r>
      <w:r>
        <w:rPr>
          <w:rFonts w:hint="eastAsia" w:ascii="黑体" w:hAnsi="黑体" w:eastAsia="黑体" w:cs="黑体"/>
          <w:b/>
          <w:color w:val="auto"/>
          <w:spacing w:val="60"/>
          <w:sz w:val="28"/>
          <w:szCs w:val="28"/>
          <w:highlight w:val="none"/>
        </w:rPr>
        <w:t>年</w:t>
      </w:r>
      <w:r>
        <w:rPr>
          <w:rFonts w:hint="eastAsia" w:ascii="黑体" w:hAnsi="黑体" w:eastAsia="黑体" w:cs="黑体"/>
          <w:b/>
          <w:color w:val="auto"/>
          <w:spacing w:val="60"/>
          <w:sz w:val="28"/>
          <w:szCs w:val="28"/>
          <w:highlight w:val="none"/>
          <w:lang w:val="en-US" w:eastAsia="zh-CN"/>
        </w:rPr>
        <w:t>十一</w:t>
      </w:r>
      <w:r>
        <w:rPr>
          <w:rFonts w:hint="eastAsia" w:ascii="黑体" w:hAnsi="黑体" w:eastAsia="黑体" w:cs="黑体"/>
          <w:b/>
          <w:color w:val="auto"/>
          <w:spacing w:val="60"/>
          <w:sz w:val="28"/>
          <w:szCs w:val="28"/>
          <w:highlight w:val="none"/>
        </w:rPr>
        <w:t>月</w:t>
      </w:r>
    </w:p>
    <w:p w14:paraId="5FBC84DE">
      <w:pPr>
        <w:pageBreakBefore/>
        <w:spacing w:before="312" w:beforeLines="100" w:line="480" w:lineRule="auto"/>
        <w:jc w:val="center"/>
        <w:rPr>
          <w:rFonts w:hint="eastAsia" w:ascii="黑体" w:hAnsi="黑体" w:eastAsia="黑体" w:cs="黑体"/>
          <w:b/>
          <w:color w:val="auto"/>
          <w:spacing w:val="60"/>
          <w:sz w:val="32"/>
          <w:szCs w:val="32"/>
          <w:highlight w:val="none"/>
        </w:rPr>
      </w:pPr>
      <w:r>
        <w:rPr>
          <w:rFonts w:hint="eastAsia" w:ascii="黑体" w:hAnsi="黑体" w:eastAsia="黑体" w:cs="黑体"/>
          <w:b/>
          <w:color w:val="auto"/>
          <w:spacing w:val="60"/>
          <w:sz w:val="32"/>
          <w:szCs w:val="32"/>
          <w:highlight w:val="none"/>
        </w:rPr>
        <w:t>温馨提示</w:t>
      </w:r>
    </w:p>
    <w:p w14:paraId="5E422CC9">
      <w:pPr>
        <w:numPr>
          <w:ilvl w:val="0"/>
          <w:numId w:val="1"/>
        </w:numPr>
        <w:spacing w:line="480" w:lineRule="auto"/>
        <w:jc w:val="left"/>
        <w:rPr>
          <w:rFonts w:hint="eastAsia" w:ascii="黑体" w:hAnsi="黑体" w:eastAsia="黑体" w:cs="黑体"/>
          <w:color w:val="auto"/>
          <w:spacing w:val="-10"/>
          <w:szCs w:val="21"/>
          <w:highlight w:val="none"/>
        </w:rPr>
      </w:pPr>
      <w:r>
        <w:rPr>
          <w:rFonts w:hint="eastAsia" w:ascii="黑体" w:hAnsi="黑体" w:eastAsia="黑体" w:cs="黑体"/>
          <w:color w:val="auto"/>
          <w:szCs w:val="21"/>
          <w:highlight w:val="none"/>
        </w:rPr>
        <w:t>响应截止时间一到，本公司不接收任何响应文件，因此，请适当提前到达。</w:t>
      </w:r>
    </w:p>
    <w:p w14:paraId="2BBD09B1">
      <w:pPr>
        <w:numPr>
          <w:ilvl w:val="0"/>
          <w:numId w:val="1"/>
        </w:numPr>
        <w:spacing w:line="480" w:lineRule="auto"/>
        <w:jc w:val="left"/>
        <w:rPr>
          <w:rFonts w:hint="eastAsia" w:ascii="黑体" w:hAnsi="黑体" w:eastAsia="黑体" w:cs="黑体"/>
          <w:color w:val="auto"/>
          <w:highlight w:val="none"/>
        </w:rPr>
      </w:pPr>
      <w:r>
        <w:rPr>
          <w:rFonts w:hint="eastAsia" w:ascii="黑体" w:hAnsi="黑体" w:eastAsia="黑体" w:cs="黑体"/>
          <w:color w:val="auto"/>
          <w:highlight w:val="none"/>
        </w:rPr>
        <w:t>请正确填写《报价一览表》。多包项目请仔细检查包号，包号跟包名称必须一致。</w:t>
      </w:r>
    </w:p>
    <w:p w14:paraId="0E2989A5">
      <w:pPr>
        <w:numPr>
          <w:ilvl w:val="0"/>
          <w:numId w:val="1"/>
        </w:numPr>
        <w:spacing w:line="480" w:lineRule="auto"/>
        <w:jc w:val="left"/>
        <w:rPr>
          <w:rFonts w:hint="eastAsia" w:ascii="黑体" w:hAnsi="黑体" w:eastAsia="黑体" w:cs="黑体"/>
          <w:color w:val="auto"/>
          <w:highlight w:val="none"/>
        </w:rPr>
      </w:pPr>
      <w:r>
        <w:rPr>
          <w:rFonts w:hint="eastAsia" w:ascii="黑体" w:hAnsi="黑体" w:eastAsia="黑体" w:cs="黑体"/>
          <w:color w:val="auto"/>
          <w:highlight w:val="none"/>
        </w:rPr>
        <w:t>请仔细检查《法定代表人授权委托书》、《报价一览表》等重要格式文件是否有按要求盖公章、签名（或盖私章）、签署日期。</w:t>
      </w:r>
    </w:p>
    <w:p w14:paraId="6A923736">
      <w:pPr>
        <w:numPr>
          <w:ilvl w:val="0"/>
          <w:numId w:val="1"/>
        </w:numPr>
        <w:spacing w:line="480" w:lineRule="auto"/>
        <w:jc w:val="left"/>
        <w:rPr>
          <w:rFonts w:hint="eastAsia" w:ascii="黑体" w:hAnsi="黑体" w:eastAsia="黑体" w:cs="黑体"/>
          <w:color w:val="auto"/>
          <w:highlight w:val="none"/>
        </w:rPr>
      </w:pPr>
      <w:r>
        <w:rPr>
          <w:rFonts w:hint="eastAsia" w:ascii="黑体" w:hAnsi="黑体" w:eastAsia="黑体" w:cs="黑体"/>
          <w:color w:val="auto"/>
          <w:highlight w:val="none"/>
        </w:rPr>
        <w:t>加★号的条款必须一一响应。</w:t>
      </w:r>
    </w:p>
    <w:p w14:paraId="065CFC45">
      <w:pPr>
        <w:numPr>
          <w:ilvl w:val="0"/>
          <w:numId w:val="1"/>
        </w:numPr>
        <w:spacing w:line="480" w:lineRule="auto"/>
        <w:jc w:val="left"/>
        <w:rPr>
          <w:rFonts w:hint="eastAsia" w:ascii="黑体" w:hAnsi="黑体" w:eastAsia="黑体" w:cs="黑体"/>
          <w:color w:val="auto"/>
          <w:highlight w:val="none"/>
        </w:rPr>
      </w:pPr>
      <w:r>
        <w:rPr>
          <w:rFonts w:hint="eastAsia" w:ascii="黑体" w:hAnsi="黑体" w:eastAsia="黑体" w:cs="黑体"/>
          <w:color w:val="auto"/>
          <w:szCs w:val="21"/>
          <w:highlight w:val="none"/>
        </w:rPr>
        <w:t>响应文件</w:t>
      </w:r>
      <w:r>
        <w:rPr>
          <w:rFonts w:hint="eastAsia" w:ascii="黑体" w:hAnsi="黑体" w:eastAsia="黑体" w:cs="黑体"/>
          <w:color w:val="auto"/>
          <w:highlight w:val="none"/>
        </w:rPr>
        <w:t>应按顺序编制页码。</w:t>
      </w:r>
    </w:p>
    <w:p w14:paraId="38469AE4">
      <w:pPr>
        <w:numPr>
          <w:ilvl w:val="0"/>
          <w:numId w:val="1"/>
        </w:numPr>
        <w:spacing w:line="480" w:lineRule="auto"/>
        <w:jc w:val="left"/>
        <w:rPr>
          <w:rFonts w:hint="eastAsia" w:ascii="黑体" w:hAnsi="黑体" w:eastAsia="黑体" w:cs="黑体"/>
          <w:color w:val="auto"/>
          <w:highlight w:val="none"/>
        </w:rPr>
      </w:pPr>
      <w:r>
        <w:rPr>
          <w:rFonts w:hint="eastAsia" w:ascii="黑体" w:hAnsi="黑体" w:eastAsia="黑体" w:cs="黑体"/>
          <w:color w:val="auto"/>
          <w:highlight w:val="none"/>
        </w:rPr>
        <w:t>我公司为采购代理机构，不对供应商获取采购文件时提交的相关资料的真实性负责，如供应商发现相关资料被盗用或复制，应遵循法律途径解决，追究侵权者责任。</w:t>
      </w:r>
    </w:p>
    <w:p w14:paraId="17D7EE95">
      <w:pPr>
        <w:tabs>
          <w:tab w:val="left" w:pos="709"/>
        </w:tabs>
        <w:spacing w:line="600" w:lineRule="exact"/>
        <w:ind w:left="420"/>
        <w:rPr>
          <w:rFonts w:hint="eastAsia" w:ascii="黑体" w:hAnsi="黑体" w:eastAsia="黑体" w:cs="黑体"/>
          <w:color w:val="auto"/>
          <w:szCs w:val="21"/>
          <w:highlight w:val="none"/>
        </w:rPr>
      </w:pPr>
      <w:r>
        <w:rPr>
          <w:rFonts w:hint="eastAsia" w:ascii="黑体" w:hAnsi="黑体" w:eastAsia="黑体" w:cs="黑体"/>
          <w:b/>
          <w:color w:val="auto"/>
          <w:highlight w:val="none"/>
        </w:rPr>
        <w:t>(本提示内容非采购文件的组成部分，仅为善意提醒。如有不一致，以采购文件为准。)</w:t>
      </w:r>
    </w:p>
    <w:p w14:paraId="51E89056">
      <w:pPr>
        <w:tabs>
          <w:tab w:val="left" w:pos="709"/>
        </w:tabs>
        <w:spacing w:before="156" w:beforeLines="50" w:after="156" w:afterLines="50" w:line="600" w:lineRule="exact"/>
        <w:jc w:val="center"/>
        <w:rPr>
          <w:rFonts w:hint="eastAsia" w:ascii="黑体" w:hAnsi="黑体" w:eastAsia="黑体" w:cs="黑体"/>
          <w:b/>
          <w:color w:val="auto"/>
          <w:sz w:val="24"/>
          <w:szCs w:val="24"/>
          <w:highlight w:val="none"/>
        </w:rPr>
      </w:pPr>
      <w:r>
        <w:rPr>
          <w:rFonts w:hint="eastAsia" w:ascii="黑体" w:hAnsi="黑体" w:eastAsia="黑体" w:cs="黑体"/>
          <w:b/>
          <w:color w:val="auto"/>
          <w:sz w:val="32"/>
          <w:szCs w:val="32"/>
          <w:highlight w:val="none"/>
        </w:rPr>
        <w:drawing>
          <wp:anchor distT="0" distB="0" distL="114300" distR="114300" simplePos="0" relativeHeight="251659264" behindDoc="0" locked="0" layoutInCell="1" allowOverlap="1">
            <wp:simplePos x="0" y="0"/>
            <wp:positionH relativeFrom="column">
              <wp:posOffset>1414780</wp:posOffset>
            </wp:positionH>
            <wp:positionV relativeFrom="paragraph">
              <wp:posOffset>546100</wp:posOffset>
            </wp:positionV>
            <wp:extent cx="2580005" cy="2360930"/>
            <wp:effectExtent l="0" t="0" r="0" b="0"/>
            <wp:wrapNone/>
            <wp:docPr id="1" name="图片 1"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6b2d4e1d76675bde2c43827105fa874.jpg"/>
                    <pic:cNvPicPr>
                      <a:picLocks noChangeAspect="1" noChangeArrowheads="1"/>
                    </pic:cNvPicPr>
                  </pic:nvPicPr>
                  <pic:blipFill>
                    <a:blip r:embed="rId7" cstate="print"/>
                    <a:srcRect/>
                    <a:stretch>
                      <a:fillRect/>
                    </a:stretch>
                  </pic:blipFill>
                  <pic:spPr>
                    <a:xfrm>
                      <a:off x="0" y="0"/>
                      <a:ext cx="2583877" cy="2364810"/>
                    </a:xfrm>
                    <a:prstGeom prst="rect">
                      <a:avLst/>
                    </a:prstGeom>
                    <a:noFill/>
                    <a:ln w="9525">
                      <a:noFill/>
                      <a:miter lim="800000"/>
                      <a:headEnd/>
                      <a:tailEnd/>
                    </a:ln>
                  </pic:spPr>
                </pic:pic>
              </a:graphicData>
            </a:graphic>
          </wp:anchor>
        </w:drawing>
      </w:r>
      <w:r>
        <w:rPr>
          <w:rFonts w:hint="eastAsia" w:ascii="黑体" w:hAnsi="黑体" w:eastAsia="黑体" w:cs="黑体"/>
          <w:b/>
          <w:color w:val="auto"/>
          <w:sz w:val="24"/>
          <w:szCs w:val="24"/>
          <w:highlight w:val="none"/>
        </w:rPr>
        <w:t>使用微信扫描二维码在线获取采购文件</w:t>
      </w:r>
    </w:p>
    <w:p w14:paraId="61F614A6">
      <w:pPr>
        <w:tabs>
          <w:tab w:val="left" w:pos="709"/>
        </w:tabs>
        <w:spacing w:before="156" w:beforeLines="50" w:line="600" w:lineRule="exact"/>
        <w:jc w:val="center"/>
        <w:rPr>
          <w:rFonts w:hint="eastAsia" w:ascii="黑体" w:hAnsi="黑体" w:eastAsia="黑体" w:cs="黑体"/>
          <w:b/>
          <w:color w:val="auto"/>
          <w:sz w:val="32"/>
          <w:szCs w:val="32"/>
          <w:highlight w:val="none"/>
        </w:rPr>
      </w:pPr>
    </w:p>
    <w:p w14:paraId="3883033D">
      <w:pPr>
        <w:tabs>
          <w:tab w:val="left" w:pos="709"/>
        </w:tabs>
        <w:spacing w:before="156" w:beforeLines="50" w:line="600" w:lineRule="exact"/>
        <w:rPr>
          <w:rFonts w:hint="eastAsia" w:ascii="黑体" w:hAnsi="黑体" w:eastAsia="黑体" w:cs="黑体"/>
          <w:b/>
          <w:color w:val="auto"/>
          <w:highlight w:val="none"/>
        </w:rPr>
      </w:pPr>
    </w:p>
    <w:p w14:paraId="15201A52">
      <w:pPr>
        <w:widowControl/>
        <w:jc w:val="left"/>
        <w:rPr>
          <w:rFonts w:hint="eastAsia" w:ascii="黑体" w:hAnsi="黑体" w:eastAsia="黑体" w:cs="黑体"/>
          <w:color w:val="auto"/>
          <w:highlight w:val="none"/>
        </w:rPr>
      </w:pPr>
    </w:p>
    <w:p w14:paraId="0B9E897E">
      <w:pPr>
        <w:spacing w:before="312" w:beforeLines="100" w:line="480" w:lineRule="auto"/>
        <w:ind w:firstLine="420"/>
        <w:jc w:val="left"/>
        <w:rPr>
          <w:rFonts w:hint="eastAsia" w:ascii="黑体" w:hAnsi="黑体" w:eastAsia="黑体" w:cs="黑体"/>
          <w:color w:val="auto"/>
          <w:highlight w:val="none"/>
        </w:rPr>
      </w:pPr>
    </w:p>
    <w:sdt>
      <w:sdtPr>
        <w:rPr>
          <w:rFonts w:hint="eastAsia" w:ascii="黑体" w:hAnsi="黑体" w:eastAsia="黑体" w:cs="黑体"/>
          <w:b w:val="0"/>
          <w:bCs w:val="0"/>
          <w:color w:val="auto"/>
          <w:kern w:val="2"/>
          <w:sz w:val="21"/>
          <w:szCs w:val="22"/>
          <w:highlight w:val="none"/>
          <w:lang w:val="zh-CN"/>
        </w:rPr>
        <w:id w:val="15309391"/>
        <w:docPartObj>
          <w:docPartGallery w:val="Table of Contents"/>
          <w:docPartUnique/>
        </w:docPartObj>
      </w:sdtPr>
      <w:sdtEndPr>
        <w:rPr>
          <w:rFonts w:hint="eastAsia" w:ascii="黑体" w:hAnsi="黑体" w:eastAsia="黑体" w:cs="黑体"/>
          <w:b w:val="0"/>
          <w:bCs w:val="0"/>
          <w:color w:val="auto"/>
          <w:kern w:val="2"/>
          <w:sz w:val="21"/>
          <w:szCs w:val="22"/>
          <w:highlight w:val="none"/>
          <w:lang w:val="en-US"/>
        </w:rPr>
      </w:sdtEndPr>
      <w:sdtContent>
        <w:p w14:paraId="5C0D681C">
          <w:pPr>
            <w:pStyle w:val="44"/>
            <w:keepNext w:val="0"/>
            <w:keepLines w:val="0"/>
            <w:pageBreakBefore/>
            <w:widowControl w:val="0"/>
            <w:jc w:val="center"/>
            <w:rPr>
              <w:rFonts w:hint="eastAsia" w:ascii="黑体" w:hAnsi="黑体" w:eastAsia="黑体" w:cs="黑体"/>
              <w:b w:val="0"/>
              <w:color w:val="auto"/>
              <w:highlight w:val="none"/>
            </w:rPr>
          </w:pPr>
          <w:r>
            <w:rPr>
              <w:rFonts w:hint="eastAsia" w:ascii="黑体" w:hAnsi="黑体" w:eastAsia="黑体" w:cs="黑体"/>
              <w:color w:val="auto"/>
              <w:highlight w:val="none"/>
              <w:lang w:val="zh-CN"/>
            </w:rPr>
            <w:t>目    录</w:t>
          </w:r>
        </w:p>
        <w:p w14:paraId="13CB6B16">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TOC \o "1-3" \h \z \u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_Toc5445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第一部分 报价邀请函</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_Toc5445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F1EB5A7">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_Toc18364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第二部分 采购需求</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_Toc18364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6CFDA69">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_Toc20083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第三部分 报价须知前附表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_Toc20083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19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8EF6DCA">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_Toc21803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第四部分 报价须知</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_Toc21803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9FA6A7F">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_Toc20698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一、 说明</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_Toc20698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C89D961">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_Toc19702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 </w:t>
          </w:r>
          <w:r>
            <w:rPr>
              <w:rFonts w:hint="eastAsia" w:ascii="黑体" w:hAnsi="黑体" w:eastAsia="黑体" w:cs="黑体"/>
              <w:color w:val="auto"/>
              <w:szCs w:val="21"/>
              <w:highlight w:val="none"/>
            </w:rPr>
            <w:t>适用范围</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_Toc19702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3BEC2B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_Toc28442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 </w:t>
          </w:r>
          <w:r>
            <w:rPr>
              <w:rFonts w:hint="eastAsia" w:ascii="黑体" w:hAnsi="黑体" w:eastAsia="黑体" w:cs="黑体"/>
              <w:color w:val="auto"/>
              <w:szCs w:val="21"/>
              <w:highlight w:val="none"/>
            </w:rPr>
            <w:t>定义</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_Toc28442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6DA6063">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_Toc22904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 </w:t>
          </w:r>
          <w:r>
            <w:rPr>
              <w:rFonts w:hint="eastAsia" w:ascii="黑体" w:hAnsi="黑体" w:eastAsia="黑体" w:cs="黑体"/>
              <w:color w:val="auto"/>
              <w:szCs w:val="21"/>
              <w:highlight w:val="none"/>
            </w:rPr>
            <w:t>供应商的资格条件</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_Toc22904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6725C6C">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_Toc11120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4 </w:t>
          </w:r>
          <w:r>
            <w:rPr>
              <w:rFonts w:hint="eastAsia" w:ascii="黑体" w:hAnsi="黑体" w:eastAsia="黑体" w:cs="黑体"/>
              <w:color w:val="auto"/>
              <w:szCs w:val="21"/>
              <w:highlight w:val="none"/>
            </w:rPr>
            <w:t>合格的货物和服务</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_Toc11120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208D115">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_Toc14339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5 </w:t>
          </w:r>
          <w:r>
            <w:rPr>
              <w:rFonts w:hint="eastAsia" w:ascii="黑体" w:hAnsi="黑体" w:eastAsia="黑体" w:cs="黑体"/>
              <w:color w:val="auto"/>
              <w:szCs w:val="21"/>
              <w:highlight w:val="none"/>
            </w:rPr>
            <w:t>报价费用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_Toc14339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2BC3648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_Toc10697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二、 采购文件</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_Toc10697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4FB8DAC">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_Toc28969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6 </w:t>
          </w:r>
          <w:r>
            <w:rPr>
              <w:rFonts w:hint="eastAsia" w:ascii="黑体" w:hAnsi="黑体" w:eastAsia="黑体" w:cs="黑体"/>
              <w:color w:val="auto"/>
              <w:szCs w:val="21"/>
              <w:highlight w:val="none"/>
            </w:rPr>
            <w:t>采购文件的组成</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_Toc28969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3243E03C">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_Toc23394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7 </w:t>
          </w:r>
          <w:r>
            <w:rPr>
              <w:rFonts w:hint="eastAsia" w:ascii="黑体" w:hAnsi="黑体" w:eastAsia="黑体" w:cs="黑体"/>
              <w:color w:val="auto"/>
              <w:szCs w:val="21"/>
              <w:highlight w:val="none"/>
            </w:rPr>
            <w:t>采购文件的澄清</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_Toc23394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520301C">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_Toc22624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三、 响应文件的编制</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_Toc22624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DF882D0">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_Toc30807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8 </w:t>
          </w:r>
          <w:r>
            <w:rPr>
              <w:rFonts w:hint="eastAsia" w:ascii="黑体" w:hAnsi="黑体" w:eastAsia="黑体" w:cs="黑体"/>
              <w:color w:val="auto"/>
              <w:szCs w:val="21"/>
              <w:highlight w:val="none"/>
            </w:rPr>
            <w:t>响应文件的语言及计量单位</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_Toc30807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8049533">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_Toc13770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9 </w:t>
          </w:r>
          <w:r>
            <w:rPr>
              <w:rFonts w:hint="eastAsia" w:ascii="黑体" w:hAnsi="黑体" w:eastAsia="黑体" w:cs="黑体"/>
              <w:color w:val="auto"/>
              <w:szCs w:val="21"/>
              <w:highlight w:val="none"/>
            </w:rPr>
            <w:t>响应文件的组成</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_Toc13770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7C6339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_Toc16090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10 </w:t>
          </w:r>
          <w:r>
            <w:rPr>
              <w:rFonts w:hint="eastAsia" w:ascii="黑体" w:hAnsi="黑体" w:eastAsia="黑体" w:cs="黑体"/>
              <w:color w:val="auto"/>
              <w:szCs w:val="21"/>
              <w:highlight w:val="none"/>
            </w:rPr>
            <w:t>响应文件格式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_Toc16090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3ABA0B3">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_Toc21279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11 </w:t>
          </w:r>
          <w:r>
            <w:rPr>
              <w:rFonts w:hint="eastAsia" w:ascii="黑体" w:hAnsi="黑体" w:eastAsia="黑体" w:cs="黑体"/>
              <w:color w:val="auto"/>
              <w:szCs w:val="21"/>
              <w:highlight w:val="none"/>
            </w:rPr>
            <w:t>响应文件的份数和签署</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_Toc21279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1063C2E">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_Toc27876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12 </w:t>
          </w:r>
          <w:r>
            <w:rPr>
              <w:rFonts w:hint="eastAsia" w:ascii="黑体" w:hAnsi="黑体" w:eastAsia="黑体" w:cs="黑体"/>
              <w:color w:val="auto"/>
              <w:szCs w:val="21"/>
              <w:highlight w:val="none"/>
            </w:rPr>
            <w:t>报价</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_Toc27876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A59B8B1">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_Toc11533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13 </w:t>
          </w:r>
          <w:r>
            <w:rPr>
              <w:rFonts w:hint="eastAsia" w:ascii="黑体" w:hAnsi="黑体" w:eastAsia="黑体" w:cs="黑体"/>
              <w:color w:val="auto"/>
              <w:szCs w:val="21"/>
              <w:highlight w:val="none"/>
            </w:rPr>
            <w:t>报价货币</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_Toc11533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3B3F8BD3">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_Toc20631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14 </w:t>
          </w:r>
          <w:r>
            <w:rPr>
              <w:rFonts w:hint="eastAsia" w:ascii="黑体" w:hAnsi="黑体" w:eastAsia="黑体" w:cs="黑体"/>
              <w:color w:val="auto"/>
              <w:szCs w:val="21"/>
              <w:highlight w:val="none"/>
            </w:rPr>
            <w:t>报价有效期</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_Toc20631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2D2AD3D0">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_Toc21652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 xml:space="preserve">四、 </w:t>
          </w:r>
          <w:r>
            <w:rPr>
              <w:rFonts w:hint="eastAsia" w:ascii="黑体" w:hAnsi="黑体" w:eastAsia="黑体" w:cs="黑体"/>
              <w:color w:val="auto"/>
              <w:szCs w:val="21"/>
              <w:highlight w:val="none"/>
              <w:lang w:val="en-US" w:eastAsia="zh-CN"/>
            </w:rPr>
            <w:t>询价保证金</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_Toc21652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45F8CEB">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_Toc27836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15 </w:t>
          </w:r>
          <w:r>
            <w:rPr>
              <w:rFonts w:hint="eastAsia" w:ascii="黑体" w:hAnsi="黑体" w:eastAsia="黑体" w:cs="黑体"/>
              <w:color w:val="auto"/>
              <w:szCs w:val="21"/>
              <w:highlight w:val="none"/>
            </w:rPr>
            <w:t>供应商报价时须附有</w:t>
          </w:r>
          <w:r>
            <w:rPr>
              <w:rFonts w:hint="eastAsia" w:ascii="黑体" w:hAnsi="黑体" w:eastAsia="黑体" w:cs="黑体"/>
              <w:color w:val="auto"/>
              <w:szCs w:val="21"/>
              <w:highlight w:val="none"/>
              <w:lang w:eastAsia="zh-CN"/>
            </w:rPr>
            <w:t>询价保证金</w:t>
          </w:r>
          <w:r>
            <w:rPr>
              <w:rFonts w:hint="eastAsia" w:ascii="黑体" w:hAnsi="黑体" w:eastAsia="黑体" w:cs="黑体"/>
              <w:color w:val="auto"/>
              <w:szCs w:val="21"/>
              <w:highlight w:val="none"/>
            </w:rPr>
            <w:t>为：（详见报价须知前附表）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_Toc27836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23</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B653BDF">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_Toc10267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五、 响应文件的提交</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_Toc10267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24</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9E9FE19">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_Toc23022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16 </w:t>
          </w:r>
          <w:r>
            <w:rPr>
              <w:rFonts w:hint="eastAsia" w:ascii="黑体" w:hAnsi="黑体" w:eastAsia="黑体" w:cs="黑体"/>
              <w:color w:val="auto"/>
              <w:szCs w:val="21"/>
              <w:highlight w:val="none"/>
            </w:rPr>
            <w:t>响应文件的装订、密封和标记</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_Toc23022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24</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905A535">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_Toc2642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17 </w:t>
          </w:r>
          <w:r>
            <w:rPr>
              <w:rFonts w:hint="eastAsia" w:ascii="黑体" w:hAnsi="黑体" w:eastAsia="黑体" w:cs="黑体"/>
              <w:color w:val="auto"/>
              <w:szCs w:val="21"/>
              <w:highlight w:val="none"/>
            </w:rPr>
            <w:t>递交响应文件截止时间</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_Toc2642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52C8568">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_Toc4733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18 </w:t>
          </w:r>
          <w:r>
            <w:rPr>
              <w:rFonts w:hint="eastAsia" w:ascii="黑体" w:hAnsi="黑体" w:eastAsia="黑体" w:cs="黑体"/>
              <w:color w:val="auto"/>
              <w:szCs w:val="21"/>
              <w:highlight w:val="none"/>
            </w:rPr>
            <w:t>迟交的响应文件</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_Toc4733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7500C06">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_Toc11560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19 </w:t>
          </w:r>
          <w:r>
            <w:rPr>
              <w:rFonts w:hint="eastAsia" w:ascii="黑体" w:hAnsi="黑体" w:eastAsia="黑体" w:cs="黑体"/>
              <w:color w:val="auto"/>
              <w:szCs w:val="21"/>
              <w:highlight w:val="none"/>
            </w:rPr>
            <w:t>响应文件的补充、修改与撤回</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_Toc11560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2F93C649">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_Toc1551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六、 开标与评审</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_Toc1551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87330A2">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_Toc31062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20 </w:t>
          </w:r>
          <w:r>
            <w:rPr>
              <w:rFonts w:hint="eastAsia" w:ascii="黑体" w:hAnsi="黑体" w:eastAsia="黑体" w:cs="黑体"/>
              <w:color w:val="auto"/>
              <w:szCs w:val="21"/>
              <w:highlight w:val="none"/>
            </w:rPr>
            <w:t>开标</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_Toc31062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6A8E53B">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_Toc31613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21 </w:t>
          </w:r>
          <w:r>
            <w:rPr>
              <w:rFonts w:hint="eastAsia" w:ascii="黑体" w:hAnsi="黑体" w:eastAsia="黑体" w:cs="黑体"/>
              <w:color w:val="auto"/>
              <w:szCs w:val="21"/>
              <w:highlight w:val="none"/>
            </w:rPr>
            <w:t>询价小组</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_Toc31613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25</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A2256E1">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_Toc8010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22 </w:t>
          </w:r>
          <w:r>
            <w:rPr>
              <w:rFonts w:hint="eastAsia" w:ascii="黑体" w:hAnsi="黑体" w:eastAsia="黑体" w:cs="黑体"/>
              <w:color w:val="auto"/>
              <w:szCs w:val="21"/>
              <w:highlight w:val="none"/>
            </w:rPr>
            <w:t>评审原则和评审方法</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_Toc8010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26</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EABFD81">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_Toc14986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23 </w:t>
          </w:r>
          <w:r>
            <w:rPr>
              <w:rFonts w:hint="eastAsia" w:ascii="黑体" w:hAnsi="黑体" w:eastAsia="黑体" w:cs="黑体"/>
              <w:color w:val="auto"/>
              <w:szCs w:val="21"/>
              <w:highlight w:val="none"/>
            </w:rPr>
            <w:t>评审过程的保密</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_Toc14986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26</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9A3229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_Toc1153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24 </w:t>
          </w:r>
          <w:r>
            <w:rPr>
              <w:rFonts w:hint="eastAsia" w:ascii="黑体" w:hAnsi="黑体" w:eastAsia="黑体" w:cs="黑体"/>
              <w:color w:val="auto"/>
              <w:szCs w:val="21"/>
              <w:highlight w:val="none"/>
            </w:rPr>
            <w:t>初步评审与报价评审</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_Toc1153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26</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57D3D42">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_Toc1126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七、 合同的授予</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_Toc1126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92F96E9">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_Toc6283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25 </w:t>
          </w:r>
          <w:r>
            <w:rPr>
              <w:rFonts w:hint="eastAsia" w:ascii="黑体" w:hAnsi="黑体" w:eastAsia="黑体" w:cs="黑体"/>
              <w:color w:val="auto"/>
              <w:szCs w:val="21"/>
              <w:highlight w:val="none"/>
            </w:rPr>
            <w:t>合同授予标准</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_Toc6283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8F900FD">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_Toc22802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26 </w:t>
          </w:r>
          <w:r>
            <w:rPr>
              <w:rFonts w:hint="eastAsia" w:ascii="黑体" w:hAnsi="黑体" w:eastAsia="黑体" w:cs="黑体"/>
              <w:color w:val="auto"/>
              <w:szCs w:val="21"/>
              <w:highlight w:val="none"/>
            </w:rPr>
            <w:t>发布成交结果公告</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_Toc22802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255F6C0F">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_Toc14156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八、 合同签订和履行</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_Toc14156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A798B44">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_Toc14627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27 </w:t>
          </w:r>
          <w:r>
            <w:rPr>
              <w:rFonts w:hint="eastAsia" w:ascii="黑体" w:hAnsi="黑体" w:eastAsia="黑体" w:cs="黑体"/>
              <w:color w:val="auto"/>
              <w:szCs w:val="21"/>
              <w:highlight w:val="none"/>
            </w:rPr>
            <w:t>合同的签订</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_Toc14627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8611DF5">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_Toc10813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28 </w:t>
          </w:r>
          <w:r>
            <w:rPr>
              <w:rFonts w:hint="eastAsia" w:ascii="黑体" w:hAnsi="黑体" w:eastAsia="黑体" w:cs="黑体"/>
              <w:color w:val="auto"/>
              <w:szCs w:val="21"/>
              <w:highlight w:val="none"/>
            </w:rPr>
            <w:t>履约担保</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_Toc10813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29</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09E6C34">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_Toc20096 </w:instrText>
          </w:r>
          <w:r>
            <w:rPr>
              <w:rFonts w:hint="eastAsia" w:ascii="黑体" w:hAnsi="黑体" w:eastAsia="黑体" w:cs="黑体"/>
              <w:color w:val="auto"/>
              <w:highlight w:val="none"/>
            </w:rPr>
            <w:fldChar w:fldCharType="separate"/>
          </w:r>
          <w:r>
            <w:rPr>
              <w:rFonts w:hint="eastAsia" w:ascii="黑体" w:hAnsi="黑体" w:eastAsia="黑体" w:cs="黑体"/>
              <w:color w:val="auto"/>
              <w:szCs w:val="21"/>
              <w:highlight w:val="none"/>
            </w:rPr>
            <w:t>九、 询问、质疑、投诉</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_Toc20096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095F26CC">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_Toc10423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29 </w:t>
          </w:r>
          <w:r>
            <w:rPr>
              <w:rFonts w:hint="eastAsia" w:ascii="黑体" w:hAnsi="黑体" w:eastAsia="黑体" w:cs="黑体"/>
              <w:color w:val="auto"/>
              <w:szCs w:val="21"/>
              <w:highlight w:val="none"/>
            </w:rPr>
            <w:t>询问</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_Toc10423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D8C809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_Toc31744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30 </w:t>
          </w:r>
          <w:r>
            <w:rPr>
              <w:rFonts w:hint="eastAsia" w:ascii="黑体" w:hAnsi="黑体" w:eastAsia="黑体" w:cs="黑体"/>
              <w:color w:val="auto"/>
              <w:szCs w:val="21"/>
              <w:highlight w:val="none"/>
            </w:rPr>
            <w:t>质疑</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_Toc31744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30</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231C5BA">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_Toc30605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31 </w:t>
          </w:r>
          <w:r>
            <w:rPr>
              <w:rFonts w:hint="eastAsia" w:ascii="黑体" w:hAnsi="黑体" w:eastAsia="黑体" w:cs="黑体"/>
              <w:color w:val="auto"/>
              <w:szCs w:val="21"/>
              <w:highlight w:val="none"/>
            </w:rPr>
            <w:t>投诉</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_Toc30605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B9A5C22">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_Toc4891 </w:instrText>
          </w:r>
          <w:r>
            <w:rPr>
              <w:rFonts w:hint="eastAsia" w:ascii="黑体" w:hAnsi="黑体" w:eastAsia="黑体" w:cs="黑体"/>
              <w:color w:val="auto"/>
              <w:highlight w:val="none"/>
            </w:rPr>
            <w:fldChar w:fldCharType="separate"/>
          </w:r>
          <w:r>
            <w:rPr>
              <w:rFonts w:hint="eastAsia" w:ascii="黑体" w:hAnsi="黑体" w:eastAsia="黑体" w:cs="黑体"/>
              <w:bCs w:val="0"/>
              <w:color w:val="auto"/>
              <w:szCs w:val="21"/>
              <w:highlight w:val="none"/>
            </w:rPr>
            <w:t>十 、发票</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_Toc4891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26230D2">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_Toc2690 </w:instrText>
          </w:r>
          <w:r>
            <w:rPr>
              <w:rFonts w:hint="eastAsia" w:ascii="黑体" w:hAnsi="黑体" w:eastAsia="黑体" w:cs="黑体"/>
              <w:color w:val="auto"/>
              <w:highlight w:val="none"/>
            </w:rPr>
            <w:fldChar w:fldCharType="separate"/>
          </w:r>
          <w:r>
            <w:rPr>
              <w:rFonts w:hint="eastAsia" w:ascii="黑体" w:hAnsi="黑体" w:eastAsia="黑体" w:cs="黑体"/>
              <w:bCs w:val="0"/>
              <w:color w:val="auto"/>
              <w:szCs w:val="21"/>
              <w:highlight w:val="none"/>
            </w:rPr>
            <w:t>十一、 采购代理服务费</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_Toc2690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160C808">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_Toc10252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32 </w:t>
          </w:r>
          <w:r>
            <w:rPr>
              <w:rFonts w:hint="eastAsia" w:ascii="黑体" w:hAnsi="黑体" w:eastAsia="黑体" w:cs="黑体"/>
              <w:color w:val="auto"/>
              <w:szCs w:val="21"/>
              <w:highlight w:val="none"/>
            </w:rPr>
            <w:t>采购代理服务收费标准</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_Toc10252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31</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7C0AC952">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_Toc24155 </w:instrText>
          </w:r>
          <w:r>
            <w:rPr>
              <w:rFonts w:hint="eastAsia" w:ascii="黑体" w:hAnsi="黑体" w:eastAsia="黑体" w:cs="黑体"/>
              <w:color w:val="auto"/>
              <w:highlight w:val="none"/>
            </w:rPr>
            <w:fldChar w:fldCharType="separate"/>
          </w:r>
          <w:r>
            <w:rPr>
              <w:rFonts w:hint="eastAsia" w:ascii="黑体" w:hAnsi="黑体" w:eastAsia="黑体" w:cs="黑体"/>
              <w:bCs w:val="0"/>
              <w:color w:val="auto"/>
              <w:szCs w:val="21"/>
              <w:highlight w:val="none"/>
            </w:rPr>
            <w:t>十二、采购文件符号说明</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_Toc24155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39381E55">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_Toc22 </w:instrText>
          </w:r>
          <w:r>
            <w:rPr>
              <w:rFonts w:hint="eastAsia" w:ascii="黑体" w:hAnsi="黑体" w:eastAsia="黑体" w:cs="黑体"/>
              <w:color w:val="auto"/>
              <w:highlight w:val="none"/>
            </w:rPr>
            <w:fldChar w:fldCharType="separate"/>
          </w:r>
          <w:r>
            <w:rPr>
              <w:rFonts w:hint="eastAsia" w:ascii="黑体" w:hAnsi="黑体" w:eastAsia="黑体" w:cs="黑体"/>
              <w:bCs w:val="0"/>
              <w:color w:val="auto"/>
              <w:szCs w:val="21"/>
              <w:highlight w:val="none"/>
            </w:rPr>
            <w:t>十三、其他</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_Toc22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33C13AC7">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_Toc14496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33 </w:t>
          </w:r>
          <w:r>
            <w:rPr>
              <w:rFonts w:hint="eastAsia" w:ascii="黑体" w:hAnsi="黑体" w:eastAsia="黑体" w:cs="黑体"/>
              <w:color w:val="auto"/>
              <w:szCs w:val="21"/>
              <w:highlight w:val="none"/>
            </w:rPr>
            <w:t>适用法律</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_Toc14496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4DF7D3C6">
          <w:pPr>
            <w:pStyle w:val="8"/>
            <w:tabs>
              <w:tab w:val="right" w:leader="dot" w:pos="8306"/>
              <w:tab w:val="clear" w:pos="0"/>
              <w:tab w:val="clear" w:pos="567"/>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_Toc12994 </w:instrText>
          </w:r>
          <w:r>
            <w:rPr>
              <w:rFonts w:hint="eastAsia" w:ascii="黑体" w:hAnsi="黑体" w:eastAsia="黑体" w:cs="黑体"/>
              <w:color w:val="auto"/>
              <w:highlight w:val="none"/>
            </w:rPr>
            <w:fldChar w:fldCharType="separate"/>
          </w:r>
          <w:r>
            <w:rPr>
              <w:rFonts w:hint="eastAsia" w:ascii="黑体" w:hAnsi="黑体" w:eastAsia="黑体" w:cs="黑体"/>
              <w:bCs/>
              <w:color w:val="auto"/>
              <w:szCs w:val="21"/>
              <w:highlight w:val="none"/>
            </w:rPr>
            <w:t xml:space="preserve">34 </w:t>
          </w:r>
          <w:r>
            <w:rPr>
              <w:rFonts w:hint="eastAsia" w:ascii="黑体" w:hAnsi="黑体" w:eastAsia="黑体" w:cs="黑体"/>
              <w:color w:val="auto"/>
              <w:szCs w:val="21"/>
              <w:highlight w:val="none"/>
            </w:rPr>
            <w:t>采购文件解释权</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_Toc12994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32</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60653766">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_Toc8777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第五部分 合同书格式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_Toc8777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36</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57C1DB38">
          <w:pPr>
            <w:pStyle w:val="14"/>
            <w:tabs>
              <w:tab w:val="right" w:leader="dot" w:pos="8306"/>
              <w:tab w:val="clear" w:pos="0"/>
              <w:tab w:val="clear" w:pos="8296"/>
            </w:tabs>
            <w:rPr>
              <w:rFonts w:hint="eastAsia" w:ascii="黑体" w:hAnsi="黑体" w:eastAsia="黑体" w:cs="黑体"/>
              <w:color w:val="auto"/>
              <w:highlight w:val="none"/>
            </w:rPr>
          </w:pP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HYPERLINK \l _Toc7770 </w:instrText>
          </w:r>
          <w:r>
            <w:rPr>
              <w:rFonts w:hint="eastAsia" w:ascii="黑体" w:hAnsi="黑体" w:eastAsia="黑体" w:cs="黑体"/>
              <w:color w:val="auto"/>
              <w:highlight w:val="none"/>
            </w:rPr>
            <w:fldChar w:fldCharType="separate"/>
          </w:r>
          <w:r>
            <w:rPr>
              <w:rFonts w:hint="eastAsia" w:ascii="黑体" w:hAnsi="黑体" w:eastAsia="黑体" w:cs="黑体"/>
              <w:color w:val="auto"/>
              <w:spacing w:val="20"/>
              <w:szCs w:val="32"/>
              <w:highlight w:val="none"/>
            </w:rPr>
            <w:t>第六部分 响应文件格式</w:t>
          </w:r>
          <w:r>
            <w:rPr>
              <w:rFonts w:hint="eastAsia" w:ascii="黑体" w:hAnsi="黑体" w:eastAsia="黑体" w:cs="黑体"/>
              <w:color w:val="auto"/>
              <w:highlight w:val="none"/>
            </w:rPr>
            <w:tab/>
          </w:r>
          <w:r>
            <w:rPr>
              <w:rFonts w:hint="eastAsia" w:ascii="黑体" w:hAnsi="黑体" w:eastAsia="黑体" w:cs="黑体"/>
              <w:color w:val="auto"/>
              <w:highlight w:val="none"/>
            </w:rPr>
            <w:fldChar w:fldCharType="begin"/>
          </w:r>
          <w:r>
            <w:rPr>
              <w:rFonts w:hint="eastAsia" w:ascii="黑体" w:hAnsi="黑体" w:eastAsia="黑体" w:cs="黑体"/>
              <w:color w:val="auto"/>
              <w:highlight w:val="none"/>
            </w:rPr>
            <w:instrText xml:space="preserve"> PAGEREF _Toc7770 \h </w:instrText>
          </w:r>
          <w:r>
            <w:rPr>
              <w:rFonts w:hint="eastAsia" w:ascii="黑体" w:hAnsi="黑体" w:eastAsia="黑体" w:cs="黑体"/>
              <w:color w:val="auto"/>
              <w:highlight w:val="none"/>
            </w:rPr>
            <w:fldChar w:fldCharType="separate"/>
          </w:r>
          <w:r>
            <w:rPr>
              <w:rFonts w:hint="eastAsia" w:ascii="黑体" w:hAnsi="黑体" w:eastAsia="黑体" w:cs="黑体"/>
              <w:color w:val="auto"/>
              <w:highlight w:val="none"/>
            </w:rPr>
            <w:t>46</w:t>
          </w:r>
          <w:r>
            <w:rPr>
              <w:rFonts w:hint="eastAsia" w:ascii="黑体" w:hAnsi="黑体" w:eastAsia="黑体" w:cs="黑体"/>
              <w:color w:val="auto"/>
              <w:highlight w:val="none"/>
            </w:rPr>
            <w:fldChar w:fldCharType="end"/>
          </w:r>
          <w:r>
            <w:rPr>
              <w:rFonts w:hint="eastAsia" w:ascii="黑体" w:hAnsi="黑体" w:eastAsia="黑体" w:cs="黑体"/>
              <w:color w:val="auto"/>
              <w:highlight w:val="none"/>
            </w:rPr>
            <w:fldChar w:fldCharType="end"/>
          </w:r>
        </w:p>
        <w:p w14:paraId="16020D17">
          <w:pPr>
            <w:tabs>
              <w:tab w:val="left" w:pos="426"/>
              <w:tab w:val="left" w:pos="567"/>
            </w:tabs>
            <w:spacing w:line="400" w:lineRule="exact"/>
            <w:rPr>
              <w:rFonts w:hint="eastAsia" w:ascii="黑体" w:hAnsi="黑体" w:eastAsia="黑体" w:cs="黑体"/>
              <w:color w:val="auto"/>
              <w:highlight w:val="none"/>
            </w:rPr>
          </w:pPr>
          <w:r>
            <w:rPr>
              <w:rFonts w:hint="eastAsia" w:ascii="黑体" w:hAnsi="黑体" w:eastAsia="黑体" w:cs="黑体"/>
              <w:color w:val="auto"/>
              <w:highlight w:val="none"/>
            </w:rPr>
            <w:fldChar w:fldCharType="end"/>
          </w:r>
        </w:p>
      </w:sdtContent>
    </w:sdt>
    <w:p w14:paraId="67BCDBFB">
      <w:pPr>
        <w:tabs>
          <w:tab w:val="left" w:pos="426"/>
        </w:tabs>
        <w:spacing w:line="400" w:lineRule="exact"/>
        <w:ind w:firstLine="420"/>
        <w:jc w:val="left"/>
        <w:rPr>
          <w:rFonts w:hint="eastAsia" w:ascii="黑体" w:hAnsi="黑体" w:eastAsia="黑体" w:cs="黑体"/>
          <w:color w:val="auto"/>
          <w:highlight w:val="none"/>
        </w:rPr>
      </w:pPr>
    </w:p>
    <w:p w14:paraId="535027F7">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0" w:name="_Toc13732721"/>
      <w:bookmarkStart w:id="1" w:name="_Toc5445"/>
      <w:bookmarkStart w:id="2" w:name="_Toc391627747"/>
      <w:bookmarkStart w:id="3" w:name="_Toc391367873"/>
      <w:bookmarkStart w:id="4" w:name="_Toc405313951"/>
      <w:r>
        <w:rPr>
          <w:rFonts w:hint="eastAsia" w:ascii="黑体" w:hAnsi="黑体" w:eastAsia="黑体" w:cs="黑体"/>
          <w:color w:val="auto"/>
          <w:spacing w:val="20"/>
          <w:sz w:val="32"/>
          <w:szCs w:val="32"/>
          <w:highlight w:val="none"/>
        </w:rPr>
        <w:t>第一部分 报价邀请函</w:t>
      </w:r>
      <w:bookmarkEnd w:id="0"/>
      <w:bookmarkEnd w:id="1"/>
      <w:bookmarkEnd w:id="2"/>
      <w:bookmarkEnd w:id="3"/>
      <w:bookmarkEnd w:id="4"/>
    </w:p>
    <w:p w14:paraId="451A0B44">
      <w:pPr>
        <w:widowControl/>
        <w:spacing w:before="156" w:beforeLines="50" w:after="156" w:afterLines="50" w:line="360" w:lineRule="atLeast"/>
        <w:jc w:val="left"/>
        <w:rPr>
          <w:rFonts w:hint="eastAsia" w:ascii="黑体" w:hAnsi="黑体" w:eastAsia="黑体" w:cs="黑体"/>
          <w:b/>
          <w:color w:val="auto"/>
          <w:kern w:val="0"/>
          <w:sz w:val="24"/>
          <w:szCs w:val="24"/>
          <w:highlight w:val="none"/>
        </w:rPr>
      </w:pPr>
      <w:r>
        <w:rPr>
          <w:rFonts w:hint="eastAsia" w:ascii="黑体" w:hAnsi="黑体" w:eastAsia="黑体" w:cs="黑体"/>
          <w:b/>
          <w:color w:val="auto"/>
          <w:kern w:val="0"/>
          <w:sz w:val="24"/>
          <w:szCs w:val="24"/>
          <w:highlight w:val="none"/>
        </w:rPr>
        <w:t>项目概况</w:t>
      </w:r>
    </w:p>
    <w:p w14:paraId="132F160F">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东莞理工学院松山湖校区多媒体教室常态化录播设备采购项目</w:t>
      </w:r>
      <w:r>
        <w:rPr>
          <w:rFonts w:hint="eastAsia" w:ascii="黑体" w:hAnsi="黑体" w:eastAsia="黑体" w:cs="黑体"/>
          <w:color w:val="auto"/>
          <w:szCs w:val="21"/>
          <w:highlight w:val="none"/>
        </w:rPr>
        <w:t>的潜在供应商应在</w:t>
      </w:r>
      <w:r>
        <w:rPr>
          <w:rFonts w:hint="eastAsia" w:ascii="黑体" w:hAnsi="黑体" w:eastAsia="黑体" w:cs="黑体"/>
          <w:color w:val="auto"/>
          <w:szCs w:val="21"/>
          <w:highlight w:val="none"/>
          <w:u w:val="single"/>
        </w:rPr>
        <w:t>东莞市东城街道新源路海德琥珀台6栋1703室（有德招标）或使用微信扫描二维码进行获取（二维码详见</w:t>
      </w:r>
      <w:r>
        <w:rPr>
          <w:rFonts w:hint="eastAsia" w:ascii="黑体" w:hAnsi="黑体" w:eastAsia="黑体" w:cs="黑体"/>
          <w:color w:val="auto"/>
          <w:szCs w:val="21"/>
          <w:highlight w:val="none"/>
          <w:u w:val="single"/>
          <w:lang w:eastAsia="zh-CN"/>
        </w:rPr>
        <w:t>采购文件</w:t>
      </w:r>
      <w:r>
        <w:rPr>
          <w:rFonts w:hint="eastAsia" w:ascii="黑体" w:hAnsi="黑体" w:eastAsia="黑体" w:cs="黑体"/>
          <w:color w:val="auto"/>
          <w:szCs w:val="21"/>
          <w:highlight w:val="none"/>
          <w:u w:val="single"/>
        </w:rPr>
        <w:t>温馨提示）或微信搜索公众号“有德招标东莞分公司”</w:t>
      </w:r>
      <w:r>
        <w:rPr>
          <w:rFonts w:hint="eastAsia" w:ascii="黑体" w:hAnsi="黑体" w:eastAsia="黑体" w:cs="黑体"/>
          <w:color w:val="auto"/>
          <w:szCs w:val="21"/>
          <w:highlight w:val="none"/>
        </w:rPr>
        <w:t>获取采购文件，并于</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lang w:val="en-US" w:eastAsia="zh-CN"/>
        </w:rPr>
        <w:t>11</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lang w:val="en-US" w:eastAsia="zh-CN"/>
        </w:rPr>
        <w:t>24</w:t>
      </w:r>
      <w:r>
        <w:rPr>
          <w:rFonts w:hint="eastAsia" w:ascii="黑体" w:hAnsi="黑体" w:eastAsia="黑体" w:cs="黑体"/>
          <w:color w:val="auto"/>
          <w:szCs w:val="21"/>
          <w:highlight w:val="none"/>
        </w:rPr>
        <w:t>日</w:t>
      </w:r>
      <w:r>
        <w:rPr>
          <w:rFonts w:hint="eastAsia" w:ascii="黑体" w:hAnsi="黑体" w:eastAsia="黑体" w:cs="黑体"/>
          <w:color w:val="auto"/>
          <w:szCs w:val="21"/>
          <w:highlight w:val="none"/>
          <w:u w:val="single"/>
          <w:lang w:val="en-US" w:eastAsia="zh-CN"/>
        </w:rPr>
        <w:t>9</w:t>
      </w:r>
      <w:r>
        <w:rPr>
          <w:rFonts w:hint="eastAsia" w:ascii="黑体" w:hAnsi="黑体" w:eastAsia="黑体" w:cs="黑体"/>
          <w:color w:val="auto"/>
          <w:szCs w:val="21"/>
          <w:highlight w:val="none"/>
        </w:rPr>
        <w:t>点</w:t>
      </w:r>
      <w:r>
        <w:rPr>
          <w:rFonts w:hint="eastAsia" w:ascii="黑体" w:hAnsi="黑体" w:eastAsia="黑体" w:cs="黑体"/>
          <w:color w:val="auto"/>
          <w:szCs w:val="21"/>
          <w:highlight w:val="none"/>
          <w:u w:val="single"/>
          <w:lang w:val="en-US" w:eastAsia="zh-CN"/>
        </w:rPr>
        <w:t>30</w:t>
      </w:r>
      <w:r>
        <w:rPr>
          <w:rFonts w:hint="eastAsia" w:ascii="黑体" w:hAnsi="黑体" w:eastAsia="黑体" w:cs="黑体"/>
          <w:color w:val="auto"/>
          <w:szCs w:val="21"/>
          <w:highlight w:val="none"/>
        </w:rPr>
        <w:t>分（北京时间）前提交响应文件。</w:t>
      </w:r>
    </w:p>
    <w:p w14:paraId="106DF593">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项目基本情况：</w:t>
      </w:r>
    </w:p>
    <w:p w14:paraId="6572BDC0">
      <w:pPr>
        <w:tabs>
          <w:tab w:val="left" w:pos="426"/>
        </w:tabs>
        <w:spacing w:line="360" w:lineRule="auto"/>
        <w:ind w:left="420" w:hanging="420" w:hangingChars="20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 xml:space="preserve">项目编号：DGUT-CG-2025-046 </w:t>
      </w:r>
    </w:p>
    <w:p w14:paraId="7DE6552C">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项目名称：东莞理工学院松山湖校区多媒体教室常态化录播设备采购项目</w:t>
      </w:r>
    </w:p>
    <w:p w14:paraId="085E84CE">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采购方式：询价</w:t>
      </w:r>
    </w:p>
    <w:p w14:paraId="2D198437">
      <w:pPr>
        <w:tabs>
          <w:tab w:val="left" w:pos="426"/>
        </w:tabs>
        <w:spacing w:line="360" w:lineRule="auto"/>
        <w:ind w:left="420" w:hanging="420" w:hangingChars="200"/>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预算金额：992</w:t>
      </w:r>
      <w:r>
        <w:rPr>
          <w:rFonts w:hint="eastAsia" w:ascii="黑体" w:hAnsi="黑体" w:eastAsia="黑体" w:cs="黑体"/>
          <w:color w:val="auto"/>
          <w:szCs w:val="21"/>
          <w:highlight w:val="none"/>
          <w:lang w:val="en-US" w:eastAsia="zh-CN"/>
        </w:rPr>
        <w:t>,</w:t>
      </w:r>
      <w:r>
        <w:rPr>
          <w:rFonts w:hint="eastAsia" w:ascii="黑体" w:hAnsi="黑体" w:eastAsia="黑体" w:cs="黑体"/>
          <w:color w:val="auto"/>
          <w:szCs w:val="21"/>
          <w:highlight w:val="none"/>
        </w:rPr>
        <w:t>384</w:t>
      </w:r>
      <w:r>
        <w:rPr>
          <w:rFonts w:hint="eastAsia" w:ascii="黑体" w:hAnsi="黑体" w:eastAsia="黑体" w:cs="黑体"/>
          <w:color w:val="auto"/>
          <w:szCs w:val="21"/>
          <w:highlight w:val="none"/>
          <w:lang w:val="en-US" w:eastAsia="zh-CN"/>
        </w:rPr>
        <w:t>.00</w:t>
      </w:r>
    </w:p>
    <w:p w14:paraId="4D047CBF">
      <w:pPr>
        <w:tabs>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采购需求：</w:t>
      </w:r>
    </w:p>
    <w:tbl>
      <w:tblPr>
        <w:tblStyle w:val="19"/>
        <w:tblW w:w="4971"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3095"/>
        <w:gridCol w:w="1729"/>
        <w:gridCol w:w="587"/>
        <w:gridCol w:w="2589"/>
      </w:tblGrid>
      <w:tr w14:paraId="39D4EE7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9" w:type="pct"/>
            <w:vAlign w:val="center"/>
          </w:tcPr>
          <w:p w14:paraId="015E22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包号</w:t>
            </w:r>
          </w:p>
        </w:tc>
        <w:tc>
          <w:tcPr>
            <w:tcW w:w="1826" w:type="pct"/>
            <w:vAlign w:val="center"/>
          </w:tcPr>
          <w:p w14:paraId="136BC20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val="en-US" w:eastAsia="zh-CN"/>
              </w:rPr>
              <w:t>项目</w:t>
            </w:r>
            <w:r>
              <w:rPr>
                <w:rFonts w:hint="eastAsia" w:ascii="黑体" w:hAnsi="黑体" w:eastAsia="黑体" w:cs="黑体"/>
                <w:bCs/>
                <w:color w:val="auto"/>
                <w:szCs w:val="21"/>
                <w:highlight w:val="none"/>
              </w:rPr>
              <w:t>名称</w:t>
            </w:r>
          </w:p>
        </w:tc>
        <w:tc>
          <w:tcPr>
            <w:tcW w:w="1020" w:type="pct"/>
            <w:vAlign w:val="center"/>
          </w:tcPr>
          <w:p w14:paraId="79D1B68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采购包预算金额</w:t>
            </w:r>
          </w:p>
          <w:p w14:paraId="27FFBF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（元）</w:t>
            </w:r>
          </w:p>
        </w:tc>
        <w:tc>
          <w:tcPr>
            <w:tcW w:w="346" w:type="pct"/>
            <w:vAlign w:val="center"/>
          </w:tcPr>
          <w:p w14:paraId="197547C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527" w:type="pct"/>
            <w:vAlign w:val="center"/>
          </w:tcPr>
          <w:p w14:paraId="434E9C7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简要技术需求或服务要求</w:t>
            </w:r>
          </w:p>
        </w:tc>
      </w:tr>
      <w:tr w14:paraId="49D06BA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9" w:type="pct"/>
            <w:vAlign w:val="center"/>
          </w:tcPr>
          <w:p w14:paraId="38CCFEA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1826" w:type="pct"/>
            <w:vAlign w:val="center"/>
          </w:tcPr>
          <w:p w14:paraId="2B51578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东莞理工学院松山湖校区多媒体教室常态化录播设备采购项目</w:t>
            </w:r>
          </w:p>
        </w:tc>
        <w:tc>
          <w:tcPr>
            <w:tcW w:w="1020" w:type="pct"/>
            <w:vAlign w:val="center"/>
          </w:tcPr>
          <w:p w14:paraId="6A98C01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992</w:t>
            </w:r>
            <w:r>
              <w:rPr>
                <w:rFonts w:hint="eastAsia" w:ascii="黑体" w:hAnsi="黑体" w:eastAsia="黑体" w:cs="黑体"/>
                <w:color w:val="auto"/>
                <w:szCs w:val="21"/>
                <w:highlight w:val="none"/>
                <w:lang w:val="en-US" w:eastAsia="zh-CN"/>
              </w:rPr>
              <w:t>,</w:t>
            </w:r>
            <w:r>
              <w:rPr>
                <w:rFonts w:hint="eastAsia" w:ascii="黑体" w:hAnsi="黑体" w:eastAsia="黑体" w:cs="黑体"/>
                <w:color w:val="auto"/>
                <w:szCs w:val="21"/>
                <w:highlight w:val="none"/>
              </w:rPr>
              <w:t>384</w:t>
            </w:r>
            <w:r>
              <w:rPr>
                <w:rFonts w:hint="eastAsia" w:ascii="黑体" w:hAnsi="黑体" w:eastAsia="黑体" w:cs="黑体"/>
                <w:color w:val="auto"/>
                <w:szCs w:val="21"/>
                <w:highlight w:val="none"/>
                <w:lang w:val="en-US" w:eastAsia="zh-CN"/>
              </w:rPr>
              <w:t>.00</w:t>
            </w:r>
          </w:p>
        </w:tc>
        <w:tc>
          <w:tcPr>
            <w:tcW w:w="346" w:type="pct"/>
            <w:vAlign w:val="center"/>
          </w:tcPr>
          <w:p w14:paraId="010E4CF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1项</w:t>
            </w:r>
          </w:p>
        </w:tc>
        <w:tc>
          <w:tcPr>
            <w:tcW w:w="1527" w:type="pct"/>
            <w:vAlign w:val="center"/>
          </w:tcPr>
          <w:p w14:paraId="1CAA3C1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详见</w:t>
            </w:r>
            <w:r>
              <w:rPr>
                <w:rFonts w:hint="eastAsia" w:ascii="黑体" w:hAnsi="黑体" w:eastAsia="黑体" w:cs="黑体"/>
                <w:color w:val="auto"/>
                <w:kern w:val="0"/>
                <w:szCs w:val="21"/>
                <w:highlight w:val="none"/>
                <w:lang w:val="en-US" w:eastAsia="zh-CN"/>
              </w:rPr>
              <w:t>采购</w:t>
            </w:r>
            <w:r>
              <w:rPr>
                <w:rFonts w:hint="eastAsia" w:ascii="黑体" w:hAnsi="黑体" w:eastAsia="黑体" w:cs="黑体"/>
                <w:color w:val="auto"/>
                <w:kern w:val="0"/>
                <w:szCs w:val="21"/>
                <w:highlight w:val="none"/>
              </w:rPr>
              <w:t>文件采购需求</w:t>
            </w:r>
          </w:p>
        </w:tc>
      </w:tr>
    </w:tbl>
    <w:p w14:paraId="079426DB">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合同履行期限：合同签订之日起</w:t>
      </w:r>
      <w:r>
        <w:rPr>
          <w:rFonts w:hint="eastAsia" w:ascii="黑体" w:hAnsi="黑体" w:eastAsia="黑体" w:cs="黑体"/>
          <w:color w:val="auto"/>
          <w:szCs w:val="21"/>
          <w:highlight w:val="none"/>
          <w:lang w:val="en-US" w:eastAsia="zh-CN"/>
        </w:rPr>
        <w:t>15</w:t>
      </w:r>
      <w:r>
        <w:rPr>
          <w:rFonts w:hint="eastAsia" w:ascii="黑体" w:hAnsi="黑体" w:eastAsia="黑体" w:cs="黑体"/>
          <w:color w:val="auto"/>
          <w:szCs w:val="21"/>
          <w:highlight w:val="none"/>
        </w:rPr>
        <w:t>个日历日内完成供货、安装、调试。</w:t>
      </w:r>
    </w:p>
    <w:p w14:paraId="59A352E2">
      <w:pPr>
        <w:tabs>
          <w:tab w:val="left" w:pos="284"/>
        </w:tabs>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w:t>
      </w:r>
      <w:r>
        <w:rPr>
          <w:rFonts w:hint="eastAsia" w:ascii="黑体" w:hAnsi="黑体" w:eastAsia="黑体" w:cs="黑体"/>
          <w:color w:val="auto"/>
          <w:szCs w:val="21"/>
          <w:highlight w:val="none"/>
          <w:lang w:val="en-US" w:eastAsia="zh-CN"/>
        </w:rPr>
        <w:t>不</w:t>
      </w:r>
      <w:r>
        <w:rPr>
          <w:rFonts w:hint="eastAsia" w:ascii="黑体" w:hAnsi="黑体" w:eastAsia="黑体" w:cs="黑体"/>
          <w:color w:val="auto"/>
          <w:szCs w:val="21"/>
          <w:highlight w:val="none"/>
        </w:rPr>
        <w:t>接受联合体投标。</w:t>
      </w:r>
      <w:bookmarkStart w:id="320" w:name="_GoBack"/>
      <w:bookmarkEnd w:id="320"/>
    </w:p>
    <w:p w14:paraId="67CA33DE">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申请人的资格要求</w:t>
      </w:r>
    </w:p>
    <w:p w14:paraId="639AB2CE">
      <w:pPr>
        <w:pStyle w:val="31"/>
        <w:numPr>
          <w:ilvl w:val="0"/>
          <w:numId w:val="3"/>
        </w:numPr>
        <w:spacing w:line="360" w:lineRule="auto"/>
        <w:ind w:left="426" w:hanging="426" w:firstLineChars="0"/>
        <w:rPr>
          <w:rFonts w:hint="eastAsia" w:ascii="黑体" w:hAnsi="黑体" w:eastAsia="黑体" w:cs="黑体"/>
          <w:color w:val="auto"/>
          <w:szCs w:val="21"/>
          <w:highlight w:val="none"/>
        </w:rPr>
      </w:pPr>
      <w:bookmarkStart w:id="5" w:name="_Hlk58185024"/>
      <w:r>
        <w:rPr>
          <w:rFonts w:hint="eastAsia" w:ascii="黑体" w:hAnsi="黑体" w:eastAsia="黑体" w:cs="黑体"/>
          <w:color w:val="auto"/>
          <w:szCs w:val="21"/>
          <w:highlight w:val="none"/>
        </w:rPr>
        <w:t>供应商应具备《中华人民共和国政府采购法》第二十二条规定的条件，提供下列材料：</w:t>
      </w:r>
    </w:p>
    <w:p w14:paraId="40CA7B07">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2DE8E7D">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有依法缴纳税收和社会保障资金的良好记录，提供资格声明函，详见响应文件格式。</w:t>
      </w:r>
    </w:p>
    <w:p w14:paraId="1F0D2E2C">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bookmarkStart w:id="6" w:name="_Hlk90659088"/>
      <w:r>
        <w:rPr>
          <w:rFonts w:hint="eastAsia" w:ascii="黑体" w:hAnsi="黑体" w:eastAsia="黑体" w:cs="黑体"/>
          <w:color w:val="auto"/>
          <w:kern w:val="0"/>
          <w:szCs w:val="21"/>
          <w:highlight w:val="none"/>
        </w:rPr>
        <w:t>具有良好的商业信誉和健全的财务会计制度</w:t>
      </w:r>
      <w:bookmarkEnd w:id="6"/>
      <w:r>
        <w:rPr>
          <w:rFonts w:hint="eastAsia" w:ascii="黑体" w:hAnsi="黑体" w:eastAsia="黑体" w:cs="黑体"/>
          <w:color w:val="auto"/>
          <w:kern w:val="0"/>
          <w:szCs w:val="21"/>
          <w:highlight w:val="none"/>
        </w:rPr>
        <w:t>，提供资格声明函，详见响应文件格式。</w:t>
      </w:r>
    </w:p>
    <w:p w14:paraId="57B122E1">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履行合同所必须的设备和专业技术能力：</w:t>
      </w:r>
      <w:bookmarkStart w:id="7" w:name="_Hlk90659431"/>
      <w:r>
        <w:rPr>
          <w:rFonts w:hint="eastAsia" w:ascii="黑体" w:hAnsi="黑体" w:eastAsia="黑体" w:cs="黑体"/>
          <w:color w:val="auto"/>
          <w:kern w:val="0"/>
          <w:szCs w:val="21"/>
          <w:highlight w:val="none"/>
        </w:rPr>
        <w:t>提供资格声明函，详见响应文件格式。</w:t>
      </w:r>
      <w:bookmarkEnd w:id="7"/>
    </w:p>
    <w:p w14:paraId="2DB08E2B">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bookmarkStart w:id="8" w:name="_Hlk81177175"/>
      <w:r>
        <w:rPr>
          <w:rFonts w:hint="eastAsia" w:ascii="黑体" w:hAnsi="黑体" w:eastAsia="黑体" w:cs="黑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w:t>
      </w:r>
      <w:bookmarkEnd w:id="8"/>
      <w:r>
        <w:rPr>
          <w:rFonts w:hint="eastAsia" w:ascii="黑体" w:hAnsi="黑体" w:eastAsia="黑体" w:cs="黑体"/>
          <w:color w:val="auto"/>
          <w:kern w:val="0"/>
          <w:szCs w:val="21"/>
          <w:highlight w:val="none"/>
        </w:rPr>
        <w:t>。（根据财库〔2022〕3号文，“较大数额罚款”认定为200万元以上的罚款，法律、行政法规以及国务院有关部门明确规定相关领域“较大数额罚款”标准高于200万元的，从其规定。）提供资格声明函，详见</w:t>
      </w:r>
      <w:r>
        <w:rPr>
          <w:rFonts w:hint="eastAsia" w:ascii="黑体" w:hAnsi="黑体" w:eastAsia="黑体" w:cs="黑体"/>
          <w:color w:val="auto"/>
          <w:kern w:val="0"/>
          <w:szCs w:val="21"/>
          <w:highlight w:val="none"/>
          <w:lang w:eastAsia="zh-CN"/>
        </w:rPr>
        <w:t>响应文件</w:t>
      </w:r>
      <w:r>
        <w:rPr>
          <w:rFonts w:hint="eastAsia" w:ascii="黑体" w:hAnsi="黑体" w:eastAsia="黑体" w:cs="黑体"/>
          <w:color w:val="auto"/>
          <w:kern w:val="0"/>
          <w:szCs w:val="21"/>
          <w:highlight w:val="none"/>
        </w:rPr>
        <w:t>格式。</w:t>
      </w:r>
    </w:p>
    <w:p w14:paraId="4193E3DC">
      <w:pPr>
        <w:pStyle w:val="31"/>
        <w:widowControl/>
        <w:numPr>
          <w:ilvl w:val="0"/>
          <w:numId w:val="4"/>
        </w:numPr>
        <w:shd w:val="clear" w:color="auto" w:fill="FFFFFF"/>
        <w:spacing w:line="360" w:lineRule="auto"/>
        <w:ind w:left="426" w:hanging="426" w:firstLineChars="0"/>
        <w:textAlignment w:val="baseline"/>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t>
      </w:r>
      <w:r>
        <w:rPr>
          <w:rFonts w:hint="eastAsia" w:ascii="黑体" w:hAnsi="黑体" w:eastAsia="黑体" w:cs="黑体"/>
          <w:color w:val="auto"/>
          <w:kern w:val="0"/>
          <w:szCs w:val="21"/>
          <w:highlight w:val="none"/>
          <w:lang w:eastAsia="zh-CN"/>
        </w:rPr>
        <w:t>：</w:t>
      </w:r>
      <w:r>
        <w:rPr>
          <w:rFonts w:hint="eastAsia" w:ascii="黑体" w:hAnsi="黑体" w:eastAsia="黑体" w:cs="黑体"/>
          <w:color w:val="auto"/>
          <w:kern w:val="0"/>
          <w:szCs w:val="21"/>
          <w:highlight w:val="none"/>
        </w:rPr>
        <w:t>//www.ccgp.gov.cn/）查询结果为准，如相关失信记录已失效，供应商需提供相关证明资料）。</w:t>
      </w:r>
    </w:p>
    <w:p w14:paraId="50FC2D57">
      <w:pPr>
        <w:pStyle w:val="31"/>
        <w:numPr>
          <w:ilvl w:val="0"/>
          <w:numId w:val="3"/>
        </w:numPr>
        <w:spacing w:line="360" w:lineRule="auto"/>
        <w:ind w:left="426" w:hanging="426" w:firstLineChars="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9" w:name="_Hlk81178057"/>
      <w:r>
        <w:rPr>
          <w:rFonts w:hint="eastAsia" w:ascii="黑体" w:hAnsi="黑体" w:eastAsia="黑体" w:cs="黑体"/>
          <w:color w:val="auto"/>
          <w:kern w:val="0"/>
          <w:szCs w:val="21"/>
          <w:highlight w:val="none"/>
        </w:rPr>
        <w:t>提供资格声明函，详见响应文件格式。</w:t>
      </w:r>
      <w:bookmarkEnd w:id="9"/>
    </w:p>
    <w:p w14:paraId="7564309A">
      <w:pPr>
        <w:pStyle w:val="31"/>
        <w:numPr>
          <w:ilvl w:val="0"/>
          <w:numId w:val="3"/>
        </w:numPr>
        <w:spacing w:line="360" w:lineRule="auto"/>
        <w:ind w:left="426" w:hanging="426"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落实政府采购政策需满足的资格要求：本采购包不专门面向中小企业（即中型、小型、微型企业，下同）采购。中小企业须符合本项目采购标的对应行业（工业）的政策划分标准。监狱企业、残疾人福利单位视同小型、微型企业。注：中小企业以填写的《中小企业声明函》（见投标格式）为判定标准，残疾人福利性单位以填写的《残疾人福利性单位声明函》（见投标格式）为判定标准，监狱企业须提供由监狱管理局、戒毒管理局（含新疆生产建设兵团）出具的属于监狱企业的证明文件，否则不予认定。</w:t>
      </w:r>
    </w:p>
    <w:p w14:paraId="1FA98786">
      <w:pPr>
        <w:pStyle w:val="31"/>
        <w:numPr>
          <w:ilvl w:val="0"/>
          <w:numId w:val="3"/>
        </w:numPr>
        <w:spacing w:line="360" w:lineRule="auto"/>
        <w:ind w:left="426" w:hanging="426"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本项目的特定资格要求：</w:t>
      </w:r>
      <w:r>
        <w:rPr>
          <w:rFonts w:hint="eastAsia" w:ascii="黑体" w:hAnsi="黑体" w:eastAsia="黑体" w:cs="黑体"/>
          <w:color w:val="auto"/>
          <w:szCs w:val="21"/>
          <w:highlight w:val="none"/>
          <w:lang w:val="en-US" w:eastAsia="zh-CN"/>
        </w:rPr>
        <w:t>无。</w:t>
      </w:r>
    </w:p>
    <w:p w14:paraId="408223DD">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获取采购文件</w:t>
      </w:r>
    </w:p>
    <w:bookmarkEnd w:id="5"/>
    <w:p w14:paraId="5BA6BE1C">
      <w:pPr>
        <w:pStyle w:val="31"/>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时间：</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18</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rPr>
        <w:t>至</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u w:val="single"/>
        </w:rPr>
        <w:t>年</w:t>
      </w:r>
      <w:r>
        <w:rPr>
          <w:rFonts w:hint="eastAsia" w:ascii="黑体" w:hAnsi="黑体" w:eastAsia="黑体" w:cs="黑体"/>
          <w:color w:val="auto"/>
          <w:szCs w:val="21"/>
          <w:highlight w:val="none"/>
          <w:u w:val="single"/>
          <w:lang w:val="en-US" w:eastAsia="zh-CN"/>
        </w:rPr>
        <w:t>11</w:t>
      </w:r>
      <w:r>
        <w:rPr>
          <w:rFonts w:hint="eastAsia" w:ascii="黑体" w:hAnsi="黑体" w:eastAsia="黑体" w:cs="黑体"/>
          <w:color w:val="auto"/>
          <w:szCs w:val="21"/>
          <w:highlight w:val="none"/>
          <w:u w:val="single"/>
        </w:rPr>
        <w:t>月</w:t>
      </w:r>
      <w:r>
        <w:rPr>
          <w:rFonts w:hint="eastAsia" w:ascii="黑体" w:hAnsi="黑体" w:eastAsia="黑体" w:cs="黑体"/>
          <w:color w:val="auto"/>
          <w:szCs w:val="21"/>
          <w:highlight w:val="none"/>
          <w:u w:val="single"/>
          <w:lang w:val="en-US" w:eastAsia="zh-CN"/>
        </w:rPr>
        <w:t>21</w:t>
      </w:r>
      <w:r>
        <w:rPr>
          <w:rFonts w:hint="eastAsia" w:ascii="黑体" w:hAnsi="黑体" w:eastAsia="黑体" w:cs="黑体"/>
          <w:color w:val="auto"/>
          <w:szCs w:val="21"/>
          <w:highlight w:val="none"/>
          <w:u w:val="single"/>
        </w:rPr>
        <w:t>日</w:t>
      </w:r>
      <w:r>
        <w:rPr>
          <w:rFonts w:hint="eastAsia" w:ascii="黑体" w:hAnsi="黑体" w:eastAsia="黑体" w:cs="黑体"/>
          <w:color w:val="auto"/>
          <w:szCs w:val="21"/>
          <w:highlight w:val="none"/>
        </w:rPr>
        <w:t>，每天上午9：00至 12：00，下午2：30至5：30（北京时间，法定节假日除外）</w:t>
      </w:r>
    </w:p>
    <w:p w14:paraId="26D8166F">
      <w:pPr>
        <w:pStyle w:val="31"/>
        <w:spacing w:line="360" w:lineRule="auto"/>
        <w:ind w:left="420" w:firstLine="4" w:firstLineChars="2"/>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地点：到东莞市东城街道新源路海德琥珀台6栋1703室（有德招标）进行获取或使用微信扫描二维码进行获取（二维码详见</w:t>
      </w:r>
      <w:r>
        <w:rPr>
          <w:rFonts w:hint="eastAsia" w:ascii="黑体" w:hAnsi="黑体" w:eastAsia="黑体" w:cs="黑体"/>
          <w:color w:val="auto"/>
          <w:szCs w:val="21"/>
          <w:highlight w:val="none"/>
          <w:lang w:eastAsia="zh-CN"/>
        </w:rPr>
        <w:t>采购文件</w:t>
      </w:r>
      <w:r>
        <w:rPr>
          <w:rFonts w:hint="eastAsia" w:ascii="黑体" w:hAnsi="黑体" w:eastAsia="黑体" w:cs="黑体"/>
          <w:color w:val="auto"/>
          <w:szCs w:val="21"/>
          <w:highlight w:val="none"/>
        </w:rPr>
        <w:t>温馨提示）或微信搜索公众号“有德招标东莞分公司”进行获取。</w:t>
      </w:r>
    </w:p>
    <w:p w14:paraId="4AE16722">
      <w:pPr>
        <w:pStyle w:val="31"/>
        <w:spacing w:line="360" w:lineRule="auto"/>
        <w:ind w:left="420" w:firstLine="0" w:firstLineChars="0"/>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方式：现场或线上获取</w:t>
      </w:r>
    </w:p>
    <w:p w14:paraId="443E4FC7">
      <w:pPr>
        <w:pStyle w:val="31"/>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售价：</w:t>
      </w:r>
      <w:r>
        <w:rPr>
          <w:rFonts w:hint="eastAsia" w:ascii="黑体" w:hAnsi="黑体" w:eastAsia="黑体" w:cs="黑体"/>
          <w:color w:val="auto"/>
          <w:szCs w:val="21"/>
          <w:highlight w:val="none"/>
          <w:lang w:val="en-US" w:eastAsia="zh-CN"/>
        </w:rPr>
        <w:t>200.00</w:t>
      </w:r>
      <w:r>
        <w:rPr>
          <w:rFonts w:hint="eastAsia" w:ascii="黑体" w:hAnsi="黑体" w:eastAsia="黑体" w:cs="黑体"/>
          <w:color w:val="auto"/>
          <w:szCs w:val="21"/>
          <w:highlight w:val="none"/>
        </w:rPr>
        <w:t>元</w:t>
      </w:r>
    </w:p>
    <w:p w14:paraId="258769A0">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响应文件提交</w:t>
      </w:r>
    </w:p>
    <w:p w14:paraId="56EBDAEB">
      <w:pPr>
        <w:tabs>
          <w:tab w:val="left" w:pos="284"/>
          <w:tab w:val="left" w:pos="426"/>
        </w:tabs>
        <w:spacing w:line="360" w:lineRule="auto"/>
        <w:ind w:left="420" w:hanging="420" w:hanging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截止时间</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lang w:val="en-US" w:eastAsia="zh-CN"/>
        </w:rPr>
        <w:t>11</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lang w:val="en-US" w:eastAsia="zh-CN"/>
        </w:rPr>
        <w:t>24</w:t>
      </w:r>
      <w:r>
        <w:rPr>
          <w:rFonts w:hint="eastAsia" w:ascii="黑体" w:hAnsi="黑体" w:eastAsia="黑体" w:cs="黑体"/>
          <w:color w:val="auto"/>
          <w:szCs w:val="21"/>
          <w:highlight w:val="none"/>
        </w:rPr>
        <w:t>日</w:t>
      </w:r>
      <w:r>
        <w:rPr>
          <w:rFonts w:hint="eastAsia" w:ascii="黑体" w:hAnsi="黑体" w:eastAsia="黑体" w:cs="黑体"/>
          <w:color w:val="auto"/>
          <w:szCs w:val="21"/>
          <w:highlight w:val="none"/>
          <w:u w:val="single"/>
          <w:lang w:val="en-US" w:eastAsia="zh-CN"/>
        </w:rPr>
        <w:t>9</w:t>
      </w:r>
      <w:r>
        <w:rPr>
          <w:rFonts w:hint="eastAsia" w:ascii="黑体" w:hAnsi="黑体" w:eastAsia="黑体" w:cs="黑体"/>
          <w:color w:val="auto"/>
          <w:szCs w:val="21"/>
          <w:highlight w:val="none"/>
        </w:rPr>
        <w:t>点</w:t>
      </w:r>
      <w:r>
        <w:rPr>
          <w:rFonts w:hint="eastAsia" w:ascii="黑体" w:hAnsi="黑体" w:eastAsia="黑体" w:cs="黑体"/>
          <w:color w:val="auto"/>
          <w:szCs w:val="21"/>
          <w:highlight w:val="none"/>
          <w:u w:val="single"/>
          <w:lang w:val="en-US" w:eastAsia="zh-CN"/>
        </w:rPr>
        <w:t>30</w:t>
      </w:r>
      <w:r>
        <w:rPr>
          <w:rFonts w:hint="eastAsia" w:ascii="黑体" w:hAnsi="黑体" w:eastAsia="黑体" w:cs="黑体"/>
          <w:color w:val="auto"/>
          <w:szCs w:val="21"/>
          <w:highlight w:val="none"/>
        </w:rPr>
        <w:t>分（北京时间）</w:t>
      </w:r>
    </w:p>
    <w:p w14:paraId="313A4143">
      <w:pPr>
        <w:pStyle w:val="31"/>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地点：东莞市东城街道新源路海德琥珀台6栋1703室</w:t>
      </w:r>
    </w:p>
    <w:p w14:paraId="22E683A7">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开启</w:t>
      </w:r>
    </w:p>
    <w:p w14:paraId="00556F1F">
      <w:pPr>
        <w:pStyle w:val="31"/>
        <w:tabs>
          <w:tab w:val="left" w:pos="426"/>
        </w:tabs>
        <w:spacing w:line="360" w:lineRule="auto"/>
        <w:ind w:left="-1"/>
        <w:rPr>
          <w:rFonts w:hint="eastAsia" w:ascii="黑体" w:hAnsi="黑体" w:eastAsia="黑体" w:cs="黑体"/>
          <w:color w:val="auto"/>
          <w:szCs w:val="21"/>
          <w:highlight w:val="none"/>
        </w:rPr>
      </w:pPr>
      <w:r>
        <w:rPr>
          <w:rFonts w:hint="eastAsia" w:ascii="黑体" w:hAnsi="黑体" w:eastAsia="黑体" w:cs="黑体"/>
          <w:color w:val="auto"/>
          <w:szCs w:val="21"/>
          <w:highlight w:val="none"/>
        </w:rPr>
        <w:t>时间：</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lang w:val="en-US" w:eastAsia="zh-CN"/>
        </w:rPr>
        <w:t>11</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lang w:val="en-US" w:eastAsia="zh-CN"/>
        </w:rPr>
        <w:t>24</w:t>
      </w:r>
      <w:r>
        <w:rPr>
          <w:rFonts w:hint="eastAsia" w:ascii="黑体" w:hAnsi="黑体" w:eastAsia="黑体" w:cs="黑体"/>
          <w:color w:val="auto"/>
          <w:szCs w:val="21"/>
          <w:highlight w:val="none"/>
        </w:rPr>
        <w:t>日</w:t>
      </w:r>
      <w:r>
        <w:rPr>
          <w:rFonts w:hint="eastAsia" w:ascii="黑体" w:hAnsi="黑体" w:eastAsia="黑体" w:cs="黑体"/>
          <w:color w:val="auto"/>
          <w:szCs w:val="21"/>
          <w:highlight w:val="none"/>
          <w:u w:val="single"/>
          <w:lang w:val="en-US" w:eastAsia="zh-CN"/>
        </w:rPr>
        <w:t>9</w:t>
      </w:r>
      <w:r>
        <w:rPr>
          <w:rFonts w:hint="eastAsia" w:ascii="黑体" w:hAnsi="黑体" w:eastAsia="黑体" w:cs="黑体"/>
          <w:color w:val="auto"/>
          <w:szCs w:val="21"/>
          <w:highlight w:val="none"/>
        </w:rPr>
        <w:t>点</w:t>
      </w:r>
      <w:r>
        <w:rPr>
          <w:rFonts w:hint="eastAsia" w:ascii="黑体" w:hAnsi="黑体" w:eastAsia="黑体" w:cs="黑体"/>
          <w:color w:val="auto"/>
          <w:szCs w:val="21"/>
          <w:highlight w:val="none"/>
          <w:u w:val="single"/>
          <w:lang w:val="en-US" w:eastAsia="zh-CN"/>
        </w:rPr>
        <w:t>30</w:t>
      </w:r>
      <w:r>
        <w:rPr>
          <w:rFonts w:hint="eastAsia" w:ascii="黑体" w:hAnsi="黑体" w:eastAsia="黑体" w:cs="黑体"/>
          <w:color w:val="auto"/>
          <w:szCs w:val="21"/>
          <w:highlight w:val="none"/>
        </w:rPr>
        <w:t>分（北京时间）</w:t>
      </w:r>
    </w:p>
    <w:p w14:paraId="68949661">
      <w:pPr>
        <w:pStyle w:val="31"/>
        <w:tabs>
          <w:tab w:val="left" w:pos="426"/>
        </w:tabs>
        <w:spacing w:line="360" w:lineRule="auto"/>
        <w:ind w:left="-1"/>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地点：东莞市东城街道新源路海德琥珀台6栋1703室 </w:t>
      </w:r>
    </w:p>
    <w:p w14:paraId="275A0831">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公告期限</w:t>
      </w:r>
    </w:p>
    <w:p w14:paraId="43F918D1">
      <w:pPr>
        <w:pStyle w:val="31"/>
        <w:tabs>
          <w:tab w:val="left" w:pos="426"/>
        </w:tabs>
        <w:spacing w:line="360" w:lineRule="auto"/>
        <w:ind w:left="42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自本公告发布之日起3个工作日。</w:t>
      </w:r>
    </w:p>
    <w:p w14:paraId="4639DBAC">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其他补充事宜</w:t>
      </w:r>
    </w:p>
    <w:p w14:paraId="70487118">
      <w:pPr>
        <w:pStyle w:val="31"/>
        <w:keepNext w:val="0"/>
        <w:keepLines w:val="0"/>
        <w:pageBreakBefore w:val="0"/>
        <w:widowControl w:val="0"/>
        <w:numPr>
          <w:ilvl w:val="0"/>
          <w:numId w:val="5"/>
        </w:numPr>
        <w:tabs>
          <w:tab w:val="left" w:pos="426"/>
        </w:tabs>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2522F99C">
      <w:pPr>
        <w:pStyle w:val="31"/>
        <w:keepNext w:val="0"/>
        <w:keepLines w:val="0"/>
        <w:pageBreakBefore w:val="0"/>
        <w:widowControl w:val="0"/>
        <w:numPr>
          <w:ilvl w:val="0"/>
          <w:numId w:val="5"/>
        </w:numPr>
        <w:tabs>
          <w:tab w:val="left" w:pos="426"/>
        </w:tabs>
        <w:kinsoku/>
        <w:wordWrap/>
        <w:overflowPunct/>
        <w:topLinePunct w:val="0"/>
        <w:autoSpaceDE/>
        <w:autoSpaceDN/>
        <w:bidi w:val="0"/>
        <w:adjustRightInd/>
        <w:snapToGrid/>
        <w:spacing w:line="360" w:lineRule="auto"/>
        <w:ind w:left="426" w:hanging="426"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本项目采购标的所属行业为</w:t>
      </w:r>
      <w:r>
        <w:rPr>
          <w:rFonts w:hint="eastAsia" w:ascii="黑体" w:hAnsi="黑体" w:eastAsia="黑体" w:cs="黑体"/>
          <w:bCs/>
          <w:color w:val="auto"/>
          <w:szCs w:val="21"/>
          <w:highlight w:val="none"/>
          <w:u w:val="single"/>
          <w:lang w:val="en-US" w:eastAsia="zh-CN"/>
        </w:rPr>
        <w:t>工业</w:t>
      </w:r>
      <w:r>
        <w:rPr>
          <w:rFonts w:hint="eastAsia" w:ascii="黑体" w:hAnsi="黑体" w:eastAsia="黑体" w:cs="黑体"/>
          <w:bCs/>
          <w:color w:val="auto"/>
          <w:szCs w:val="21"/>
          <w:highlight w:val="none"/>
        </w:rPr>
        <w:t>。</w:t>
      </w:r>
    </w:p>
    <w:p w14:paraId="7599F887">
      <w:pPr>
        <w:pStyle w:val="31"/>
        <w:keepNext w:val="0"/>
        <w:keepLines w:val="0"/>
        <w:pageBreakBefore w:val="0"/>
        <w:widowControl w:val="0"/>
        <w:numPr>
          <w:ilvl w:val="0"/>
          <w:numId w:val="5"/>
        </w:numPr>
        <w:tabs>
          <w:tab w:val="left" w:pos="709"/>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采购文件公示/下载媒体</w:t>
      </w:r>
    </w:p>
    <w:p w14:paraId="519F9AB7">
      <w:pPr>
        <w:pStyle w:val="31"/>
        <w:keepNext w:val="0"/>
        <w:keepLines w:val="0"/>
        <w:pageBreakBefore w:val="0"/>
        <w:widowControl w:val="0"/>
        <w:kinsoku/>
        <w:wordWrap/>
        <w:overflowPunct/>
        <w:topLinePunct w:val="0"/>
        <w:autoSpaceDE/>
        <w:autoSpaceDN/>
        <w:bidi w:val="0"/>
        <w:adjustRightInd/>
        <w:snapToGrid/>
        <w:spacing w:line="360" w:lineRule="auto"/>
        <w:ind w:left="420" w:firstLine="0"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中国采购与招标网（http</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//www.chinabidding.com.cn/）、广东有德招标采购有限公司网站(http</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 xml:space="preserve">//www.youde.net/) </w:t>
      </w:r>
    </w:p>
    <w:p w14:paraId="6C4B87A2">
      <w:pPr>
        <w:pStyle w:val="31"/>
        <w:keepNext w:val="0"/>
        <w:keepLines w:val="0"/>
        <w:pageBreakBefore w:val="0"/>
        <w:widowControl w:val="0"/>
        <w:numPr>
          <w:ilvl w:val="0"/>
          <w:numId w:val="5"/>
        </w:numPr>
        <w:tabs>
          <w:tab w:val="left" w:pos="709"/>
        </w:tabs>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拟参加本项目的潜在供应商须在规定时间内按要求获取采购文件后方可参与本项目的投标。获取采购文件后而不参加报价的潜在供应商，请在开标日期三日前以书面形式通知采购代理机构。</w:t>
      </w:r>
    </w:p>
    <w:p w14:paraId="289F5594">
      <w:pPr>
        <w:pStyle w:val="31"/>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Chars="0"/>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获取采购文件联系人及联系方式：范小姐 （0769）23362836</w:t>
      </w:r>
      <w:r>
        <w:rPr>
          <w:rFonts w:hint="eastAsia" w:ascii="黑体" w:hAnsi="黑体" w:eastAsia="黑体" w:cs="黑体"/>
          <w:bCs/>
          <w:color w:val="auto"/>
          <w:szCs w:val="21"/>
          <w:highlight w:val="none"/>
          <w:lang w:eastAsia="zh-CN"/>
        </w:rPr>
        <w:t>，</w:t>
      </w:r>
      <w:r>
        <w:rPr>
          <w:rFonts w:hint="eastAsia" w:ascii="黑体" w:hAnsi="黑体" w:eastAsia="黑体" w:cs="黑体"/>
          <w:bCs/>
          <w:color w:val="auto"/>
          <w:szCs w:val="21"/>
          <w:highlight w:val="none"/>
        </w:rPr>
        <w:t>邮箱：</w:t>
      </w:r>
      <w:r>
        <w:rPr>
          <w:rFonts w:hint="eastAsia" w:ascii="黑体" w:hAnsi="黑体" w:eastAsia="黑体" w:cs="黑体"/>
          <w:color w:val="auto"/>
          <w:highlight w:val="none"/>
        </w:rPr>
        <w:t>youdedg@163.com</w:t>
      </w:r>
      <w:r>
        <w:rPr>
          <w:rFonts w:hint="eastAsia" w:ascii="黑体" w:hAnsi="黑体" w:eastAsia="黑体" w:cs="黑体"/>
          <w:bCs/>
          <w:color w:val="auto"/>
          <w:szCs w:val="21"/>
          <w:highlight w:val="none"/>
        </w:rPr>
        <w:t>。</w:t>
      </w:r>
    </w:p>
    <w:p w14:paraId="03A2CED5">
      <w:pPr>
        <w:pStyle w:val="31"/>
        <w:numPr>
          <w:ilvl w:val="0"/>
          <w:numId w:val="2"/>
        </w:numPr>
        <w:tabs>
          <w:tab w:val="left" w:pos="567"/>
        </w:tabs>
        <w:spacing w:before="156" w:beforeLines="50"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对本次采购提出询问，请按以下方式联系。</w:t>
      </w:r>
    </w:p>
    <w:p w14:paraId="17E58079">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采购人信息</w:t>
      </w:r>
    </w:p>
    <w:p w14:paraId="5A7E532F">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名 称：东莞理工学院　　　　　　　　　　　　</w:t>
      </w:r>
    </w:p>
    <w:p w14:paraId="3B4A18E0">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地址：东莞市松山湖科技产业园区大学路1号　　　　　　　　　　　　</w:t>
      </w:r>
    </w:p>
    <w:p w14:paraId="24A92B4F">
      <w:pPr>
        <w:tabs>
          <w:tab w:val="left" w:pos="567"/>
        </w:tabs>
        <w:spacing w:line="360" w:lineRule="auto"/>
        <w:ind w:left="424" w:leftChars="202"/>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联系方式：（0769）22861802、（0769）22861688　</w:t>
      </w:r>
      <w:r>
        <w:rPr>
          <w:rFonts w:hint="eastAsia" w:ascii="黑体" w:hAnsi="黑体" w:eastAsia="黑体" w:cs="黑体"/>
          <w:b/>
          <w:color w:val="auto"/>
          <w:szCs w:val="21"/>
          <w:highlight w:val="none"/>
        </w:rPr>
        <w:t xml:space="preserve">　　　　　　　　　　 </w:t>
      </w:r>
    </w:p>
    <w:p w14:paraId="08EF38B0">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采购代理机构信息</w:t>
      </w:r>
    </w:p>
    <w:p w14:paraId="5C5E7A3F">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名  称：</w:t>
      </w:r>
      <w:bookmarkStart w:id="10" w:name="_Hlk58184619"/>
      <w:r>
        <w:rPr>
          <w:rFonts w:hint="eastAsia" w:ascii="黑体" w:hAnsi="黑体" w:eastAsia="黑体" w:cs="黑体"/>
          <w:bCs/>
          <w:color w:val="auto"/>
          <w:szCs w:val="21"/>
          <w:highlight w:val="none"/>
        </w:rPr>
        <w:t>广东有德招标采购有限公司</w:t>
      </w:r>
      <w:bookmarkEnd w:id="10"/>
      <w:r>
        <w:rPr>
          <w:rFonts w:hint="eastAsia" w:ascii="黑体" w:hAnsi="黑体" w:eastAsia="黑体" w:cs="黑体"/>
          <w:bCs/>
          <w:color w:val="auto"/>
          <w:szCs w:val="21"/>
          <w:highlight w:val="none"/>
        </w:rPr>
        <w:t>　　　　　　　　　　　　</w:t>
      </w:r>
    </w:p>
    <w:p w14:paraId="2F84B993">
      <w:pPr>
        <w:tabs>
          <w:tab w:val="left" w:pos="567"/>
        </w:tabs>
        <w:spacing w:line="360" w:lineRule="auto"/>
        <w:ind w:left="424" w:leftChars="202"/>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地　址：</w:t>
      </w:r>
      <w:r>
        <w:rPr>
          <w:rFonts w:hint="eastAsia" w:ascii="黑体" w:hAnsi="黑体" w:eastAsia="黑体" w:cs="黑体"/>
          <w:color w:val="auto"/>
          <w:szCs w:val="21"/>
          <w:highlight w:val="none"/>
        </w:rPr>
        <w:t>东莞市东城街道新源路海德琥珀台6栋1703室</w:t>
      </w:r>
      <w:r>
        <w:rPr>
          <w:rFonts w:hint="eastAsia" w:ascii="黑体" w:hAnsi="黑体" w:eastAsia="黑体" w:cs="黑体"/>
          <w:bCs/>
          <w:color w:val="auto"/>
          <w:szCs w:val="21"/>
          <w:highlight w:val="none"/>
        </w:rPr>
        <w:t>　　　　　　　　　　</w:t>
      </w:r>
    </w:p>
    <w:p w14:paraId="11D00B74">
      <w:pPr>
        <w:tabs>
          <w:tab w:val="left" w:pos="567"/>
        </w:tabs>
        <w:spacing w:line="360" w:lineRule="auto"/>
        <w:ind w:left="424" w:leftChars="202"/>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联系方式：（0769）23362836-8021　</w:t>
      </w:r>
      <w:r>
        <w:rPr>
          <w:rFonts w:hint="eastAsia" w:ascii="黑体" w:hAnsi="黑体" w:eastAsia="黑体" w:cs="黑体"/>
          <w:b/>
          <w:color w:val="auto"/>
          <w:szCs w:val="21"/>
          <w:highlight w:val="none"/>
        </w:rPr>
        <w:t>　　　　　　　　　　　</w:t>
      </w:r>
    </w:p>
    <w:p w14:paraId="75542CD1">
      <w:pPr>
        <w:pStyle w:val="31"/>
        <w:numPr>
          <w:ilvl w:val="0"/>
          <w:numId w:val="6"/>
        </w:numPr>
        <w:tabs>
          <w:tab w:val="left" w:pos="567"/>
        </w:tabs>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项目联系方式</w:t>
      </w:r>
    </w:p>
    <w:p w14:paraId="3948394C">
      <w:pPr>
        <w:tabs>
          <w:tab w:val="left" w:pos="567"/>
        </w:tabs>
        <w:spacing w:line="360" w:lineRule="auto"/>
        <w:ind w:left="283" w:leftChars="135" w:firstLine="142" w:firstLineChars="68"/>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项目联系人：张宝娴</w:t>
      </w:r>
    </w:p>
    <w:p w14:paraId="22CAFDB1">
      <w:pPr>
        <w:tabs>
          <w:tab w:val="left" w:pos="567"/>
        </w:tabs>
        <w:spacing w:line="360" w:lineRule="auto"/>
        <w:ind w:left="283" w:leftChars="135" w:firstLine="142" w:firstLineChars="68"/>
        <w:rPr>
          <w:rFonts w:hint="eastAsia" w:ascii="黑体" w:hAnsi="黑体" w:eastAsia="黑体" w:cs="黑体"/>
          <w:b/>
          <w:color w:val="auto"/>
          <w:szCs w:val="21"/>
          <w:highlight w:val="none"/>
        </w:rPr>
      </w:pPr>
      <w:r>
        <w:rPr>
          <w:rFonts w:hint="eastAsia" w:ascii="黑体" w:hAnsi="黑体" w:eastAsia="黑体" w:cs="黑体"/>
          <w:bCs/>
          <w:color w:val="auto"/>
          <w:szCs w:val="21"/>
          <w:highlight w:val="none"/>
        </w:rPr>
        <w:t>电　话：（0769）23362836-8021　</w:t>
      </w:r>
      <w:r>
        <w:rPr>
          <w:rFonts w:hint="eastAsia" w:ascii="黑体" w:hAnsi="黑体" w:eastAsia="黑体" w:cs="黑体"/>
          <w:b/>
          <w:color w:val="auto"/>
          <w:szCs w:val="21"/>
          <w:highlight w:val="none"/>
        </w:rPr>
        <w:t>　　　　　　　　　　　</w:t>
      </w:r>
    </w:p>
    <w:p w14:paraId="3C3ADBC4">
      <w:pPr>
        <w:tabs>
          <w:tab w:val="left" w:pos="567"/>
        </w:tabs>
        <w:spacing w:before="840"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发布人：广东有德招标采购有限公司</w:t>
      </w:r>
    </w:p>
    <w:p w14:paraId="390DCE43">
      <w:pPr>
        <w:tabs>
          <w:tab w:val="left" w:pos="567"/>
        </w:tabs>
        <w:spacing w:before="156"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发布时间：</w:t>
      </w:r>
      <w:r>
        <w:rPr>
          <w:rFonts w:hint="eastAsia" w:ascii="黑体" w:hAnsi="黑体" w:eastAsia="黑体" w:cs="黑体"/>
          <w:b/>
          <w:color w:val="auto"/>
          <w:szCs w:val="21"/>
          <w:highlight w:val="none"/>
          <w:lang w:val="en-US" w:eastAsia="zh-CN"/>
        </w:rPr>
        <w:t>2025</w:t>
      </w:r>
      <w:r>
        <w:rPr>
          <w:rFonts w:hint="eastAsia" w:ascii="黑体" w:hAnsi="黑体" w:eastAsia="黑体" w:cs="黑体"/>
          <w:b/>
          <w:color w:val="auto"/>
          <w:szCs w:val="21"/>
          <w:highlight w:val="none"/>
        </w:rPr>
        <w:t>年</w:t>
      </w:r>
      <w:r>
        <w:rPr>
          <w:rFonts w:hint="eastAsia" w:ascii="黑体" w:hAnsi="黑体" w:eastAsia="黑体" w:cs="黑体"/>
          <w:b/>
          <w:color w:val="auto"/>
          <w:szCs w:val="21"/>
          <w:highlight w:val="none"/>
          <w:lang w:val="en-US" w:eastAsia="zh-CN"/>
        </w:rPr>
        <w:t>11</w:t>
      </w:r>
      <w:r>
        <w:rPr>
          <w:rFonts w:hint="eastAsia" w:ascii="黑体" w:hAnsi="黑体" w:eastAsia="黑体" w:cs="黑体"/>
          <w:b/>
          <w:color w:val="auto"/>
          <w:szCs w:val="21"/>
          <w:highlight w:val="none"/>
        </w:rPr>
        <w:t>月</w:t>
      </w:r>
      <w:r>
        <w:rPr>
          <w:rFonts w:hint="eastAsia" w:ascii="黑体" w:hAnsi="黑体" w:eastAsia="黑体" w:cs="黑体"/>
          <w:b/>
          <w:color w:val="auto"/>
          <w:szCs w:val="21"/>
          <w:highlight w:val="none"/>
          <w:lang w:val="en-US" w:eastAsia="zh-CN"/>
        </w:rPr>
        <w:t>18</w:t>
      </w:r>
      <w:r>
        <w:rPr>
          <w:rFonts w:hint="eastAsia" w:ascii="黑体" w:hAnsi="黑体" w:eastAsia="黑体" w:cs="黑体"/>
          <w:b/>
          <w:color w:val="auto"/>
          <w:szCs w:val="21"/>
          <w:highlight w:val="none"/>
        </w:rPr>
        <w:t>日</w:t>
      </w:r>
    </w:p>
    <w:p w14:paraId="61AEB4EF">
      <w:pPr>
        <w:rPr>
          <w:rFonts w:hint="eastAsia" w:ascii="黑体" w:hAnsi="黑体" w:eastAsia="黑体" w:cs="黑体"/>
          <w:color w:val="auto"/>
          <w:sz w:val="32"/>
          <w:szCs w:val="32"/>
          <w:highlight w:val="none"/>
        </w:rPr>
      </w:pPr>
    </w:p>
    <w:p w14:paraId="06601170">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11" w:name="_Toc405313952"/>
      <w:bookmarkStart w:id="12" w:name="_Toc521951723"/>
      <w:bookmarkStart w:id="13" w:name="_Toc18364"/>
      <w:r>
        <w:rPr>
          <w:rFonts w:hint="eastAsia" w:ascii="黑体" w:hAnsi="黑体" w:eastAsia="黑体" w:cs="黑体"/>
          <w:color w:val="auto"/>
          <w:spacing w:val="20"/>
          <w:sz w:val="32"/>
          <w:szCs w:val="32"/>
          <w:highlight w:val="none"/>
        </w:rPr>
        <w:t>第二部分 采购需求</w:t>
      </w:r>
      <w:bookmarkEnd w:id="11"/>
      <w:bookmarkEnd w:id="12"/>
      <w:bookmarkEnd w:id="13"/>
    </w:p>
    <w:p w14:paraId="0BA82ED5">
      <w:pPr>
        <w:spacing w:line="360" w:lineRule="auto"/>
        <w:contextualSpacing/>
        <w:rPr>
          <w:rFonts w:hint="eastAsia" w:ascii="黑体" w:hAnsi="黑体" w:eastAsia="黑体" w:cs="黑体"/>
          <w:b/>
          <w:color w:val="auto"/>
          <w:szCs w:val="21"/>
          <w:highlight w:val="none"/>
        </w:rPr>
      </w:pPr>
      <w:bookmarkStart w:id="14" w:name="_Toc405313953"/>
      <w:bookmarkStart w:id="15" w:name="_Toc13732723"/>
      <w:bookmarkStart w:id="16" w:name="_Toc391627749"/>
      <w:r>
        <w:rPr>
          <w:rFonts w:hint="eastAsia" w:ascii="黑体" w:hAnsi="黑体" w:eastAsia="黑体" w:cs="黑体"/>
          <w:b/>
          <w:color w:val="auto"/>
          <w:szCs w:val="21"/>
          <w:highlight w:val="none"/>
        </w:rPr>
        <w:t>说明：</w:t>
      </w:r>
    </w:p>
    <w:p w14:paraId="32133203">
      <w:pPr>
        <w:numPr>
          <w:ilvl w:val="0"/>
          <w:numId w:val="7"/>
        </w:num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采购需求中所有列出的相关货物技术要求均不是唯一指定，即</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可就货物提出替代标准，只要相当于（或优于）规定的货物品质和性能等技术参数要求，并提供满足采购需求要求的证明材料，则视为合格。但凡标有“★”的地方均被视为重要的技术指标要求或性能要求，</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要特别加以注意，必须对此回答并完全满足这些要求，否则若有一项带“★”的指标未响应或不满足，将按无效</w:t>
      </w:r>
      <w:r>
        <w:rPr>
          <w:rFonts w:hint="eastAsia" w:ascii="黑体" w:hAnsi="黑体" w:eastAsia="黑体" w:cs="黑体"/>
          <w:color w:val="auto"/>
          <w:szCs w:val="21"/>
          <w:highlight w:val="none"/>
          <w:lang w:eastAsia="zh-CN"/>
        </w:rPr>
        <w:t>响应文件</w:t>
      </w:r>
      <w:r>
        <w:rPr>
          <w:rFonts w:hint="eastAsia" w:ascii="黑体" w:hAnsi="黑体" w:eastAsia="黑体" w:cs="黑体"/>
          <w:color w:val="auto"/>
          <w:szCs w:val="21"/>
          <w:highlight w:val="none"/>
        </w:rPr>
        <w:t>处理。</w:t>
      </w:r>
    </w:p>
    <w:p w14:paraId="6BE3B0C9">
      <w:pPr>
        <w:pStyle w:val="31"/>
        <w:numPr>
          <w:ilvl w:val="0"/>
          <w:numId w:val="7"/>
        </w:numPr>
        <w:spacing w:line="360" w:lineRule="auto"/>
        <w:ind w:firstLineChars="0"/>
        <w:rPr>
          <w:rFonts w:hint="eastAsia" w:ascii="黑体" w:hAnsi="黑体" w:eastAsia="黑体" w:cs="黑体"/>
          <w:b/>
          <w:bCs/>
          <w:color w:val="auto"/>
          <w:szCs w:val="21"/>
          <w:highlight w:val="none"/>
          <w:u w:val="single"/>
        </w:rPr>
      </w:pPr>
      <w:bookmarkStart w:id="17" w:name="_Hlk119402098"/>
      <w:bookmarkStart w:id="18" w:name="_Hlk119354856"/>
      <w:r>
        <w:rPr>
          <w:rFonts w:hint="eastAsia" w:ascii="黑体" w:hAnsi="黑体" w:eastAsia="黑体" w:cs="黑体"/>
          <w:b/>
          <w:bCs/>
          <w:color w:val="auto"/>
          <w:szCs w:val="21"/>
          <w:highlight w:val="none"/>
          <w:u w:val="single"/>
        </w:rPr>
        <w:t>★如本项目响应的产品属于中国国家强制性产品认证（CCC）产品的，</w:t>
      </w:r>
      <w:r>
        <w:rPr>
          <w:rFonts w:hint="eastAsia" w:ascii="黑体" w:hAnsi="黑体" w:eastAsia="黑体" w:cs="黑体"/>
          <w:b/>
          <w:bCs/>
          <w:color w:val="auto"/>
          <w:szCs w:val="21"/>
          <w:highlight w:val="none"/>
          <w:u w:val="single"/>
          <w:lang w:val="en-US" w:eastAsia="zh-CN"/>
        </w:rPr>
        <w:t>供应商</w:t>
      </w:r>
      <w:r>
        <w:rPr>
          <w:rFonts w:hint="eastAsia" w:ascii="黑体" w:hAnsi="黑体" w:eastAsia="黑体" w:cs="黑体"/>
          <w:b/>
          <w:bCs/>
          <w:color w:val="auto"/>
          <w:szCs w:val="21"/>
          <w:highlight w:val="none"/>
          <w:u w:val="single"/>
        </w:rPr>
        <w:t>须在</w:t>
      </w:r>
      <w:r>
        <w:rPr>
          <w:rFonts w:hint="eastAsia" w:ascii="黑体" w:hAnsi="黑体" w:eastAsia="黑体" w:cs="黑体"/>
          <w:b/>
          <w:bCs/>
          <w:color w:val="auto"/>
          <w:szCs w:val="21"/>
          <w:highlight w:val="none"/>
          <w:u w:val="single"/>
          <w:lang w:val="en-US" w:eastAsia="zh-CN"/>
        </w:rPr>
        <w:t>响应</w:t>
      </w:r>
      <w:r>
        <w:rPr>
          <w:rFonts w:hint="eastAsia" w:ascii="黑体" w:hAnsi="黑体" w:eastAsia="黑体" w:cs="黑体"/>
          <w:b/>
          <w:bCs/>
          <w:color w:val="auto"/>
          <w:szCs w:val="21"/>
          <w:highlight w:val="none"/>
          <w:u w:val="single"/>
        </w:rPr>
        <w:t>文件中承诺在交货时能提供对应产品具有中国国家强制性产品认证（CCC）证书（承诺函格式自拟）。</w:t>
      </w:r>
    </w:p>
    <w:p w14:paraId="2623D66F">
      <w:pPr>
        <w:pStyle w:val="31"/>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节能、环境标志产品</w:t>
      </w:r>
      <w:bookmarkEnd w:id="17"/>
      <w:r>
        <w:rPr>
          <w:rFonts w:hint="eastAsia" w:ascii="黑体" w:hAnsi="黑体" w:eastAsia="黑体" w:cs="黑体"/>
          <w:color w:val="auto"/>
          <w:szCs w:val="21"/>
          <w:highlight w:val="none"/>
        </w:rPr>
        <w:t>：本项目采购产品中属于政府强制采购节能产品，</w:t>
      </w:r>
      <w:bookmarkStart w:id="19" w:name="_Hlk119355181"/>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需提供所投产品有效的节能产品认证证书</w:t>
      </w:r>
      <w:bookmarkEnd w:id="19"/>
      <w:bookmarkStart w:id="20" w:name="_Hlk119355251"/>
      <w:r>
        <w:rPr>
          <w:rFonts w:hint="eastAsia" w:ascii="黑体" w:hAnsi="黑体" w:eastAsia="黑体" w:cs="黑体"/>
          <w:color w:val="auto"/>
          <w:szCs w:val="21"/>
          <w:highlight w:val="none"/>
        </w:rPr>
        <w:t>复印件加盖</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公章</w:t>
      </w:r>
      <w:bookmarkEnd w:id="20"/>
      <w:r>
        <w:rPr>
          <w:rFonts w:hint="eastAsia" w:ascii="黑体" w:hAnsi="黑体" w:eastAsia="黑体" w:cs="黑体"/>
          <w:color w:val="auto"/>
          <w:szCs w:val="21"/>
          <w:highlight w:val="none"/>
        </w:rPr>
        <w:t>，不满足的将作为无效</w:t>
      </w:r>
      <w:r>
        <w:rPr>
          <w:rFonts w:hint="eastAsia" w:ascii="黑体" w:hAnsi="黑体" w:eastAsia="黑体" w:cs="黑体"/>
          <w:color w:val="auto"/>
          <w:szCs w:val="21"/>
          <w:highlight w:val="none"/>
          <w:lang w:val="en-US" w:eastAsia="zh-CN"/>
        </w:rPr>
        <w:t>响应</w:t>
      </w:r>
      <w:r>
        <w:rPr>
          <w:rFonts w:hint="eastAsia" w:ascii="黑体" w:hAnsi="黑体" w:eastAsia="黑体" w:cs="黑体"/>
          <w:color w:val="auto"/>
          <w:szCs w:val="21"/>
          <w:highlight w:val="none"/>
        </w:rPr>
        <w:t>处理；</w:t>
      </w:r>
      <w:bookmarkStart w:id="21" w:name="_Hlk119401082"/>
      <w:r>
        <w:rPr>
          <w:rFonts w:hint="eastAsia" w:ascii="黑体" w:hAnsi="黑体" w:eastAsia="黑体" w:cs="黑体"/>
          <w:color w:val="auto"/>
          <w:szCs w:val="21"/>
          <w:highlight w:val="none"/>
        </w:rPr>
        <w:t>属于</w:t>
      </w:r>
      <w:bookmarkEnd w:id="21"/>
      <w:r>
        <w:rPr>
          <w:rFonts w:hint="eastAsia" w:ascii="黑体" w:hAnsi="黑体" w:eastAsia="黑体" w:cs="黑体"/>
          <w:color w:val="auto"/>
          <w:szCs w:val="21"/>
          <w:highlight w:val="none"/>
        </w:rPr>
        <w:t>政府优先采购的节能产品，</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需提供所投产品有效的节能产品认证证书复印件加盖</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公章；属于政府优先采购的</w:t>
      </w:r>
      <w:bookmarkStart w:id="22" w:name="_Hlk119355230"/>
      <w:r>
        <w:rPr>
          <w:rFonts w:hint="eastAsia" w:ascii="黑体" w:hAnsi="黑体" w:eastAsia="黑体" w:cs="黑体"/>
          <w:color w:val="auto"/>
          <w:szCs w:val="21"/>
          <w:highlight w:val="none"/>
        </w:rPr>
        <w:t>环境标志产品</w:t>
      </w:r>
      <w:bookmarkEnd w:id="22"/>
      <w:r>
        <w:rPr>
          <w:rFonts w:hint="eastAsia" w:ascii="黑体" w:hAnsi="黑体" w:eastAsia="黑体" w:cs="黑体"/>
          <w:color w:val="auto"/>
          <w:szCs w:val="21"/>
          <w:highlight w:val="none"/>
        </w:rPr>
        <w:t>，</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需提供所投产品有效的环境标志产品产品认证证书复印件加盖</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公章。节能、环境标志产品实施优先采购的具体规定见</w:t>
      </w:r>
      <w:bookmarkEnd w:id="18"/>
      <w:r>
        <w:rPr>
          <w:rFonts w:hint="eastAsia" w:ascii="黑体" w:hAnsi="黑体" w:eastAsia="黑体" w:cs="黑体"/>
          <w:color w:val="auto"/>
          <w:szCs w:val="21"/>
          <w:highlight w:val="none"/>
        </w:rPr>
        <w:t>第</w:t>
      </w:r>
      <w:r>
        <w:rPr>
          <w:rFonts w:hint="eastAsia" w:ascii="黑体" w:hAnsi="黑体" w:eastAsia="黑体" w:cs="黑体"/>
          <w:color w:val="auto"/>
          <w:szCs w:val="21"/>
          <w:highlight w:val="none"/>
          <w:lang w:val="en-US" w:eastAsia="zh-CN"/>
        </w:rPr>
        <w:t>四</w:t>
      </w:r>
      <w:r>
        <w:rPr>
          <w:rFonts w:hint="eastAsia" w:ascii="黑体" w:hAnsi="黑体" w:eastAsia="黑体" w:cs="黑体"/>
          <w:color w:val="auto"/>
          <w:szCs w:val="21"/>
          <w:highlight w:val="none"/>
        </w:rPr>
        <w:t>部分《</w:t>
      </w:r>
      <w:r>
        <w:rPr>
          <w:rFonts w:hint="eastAsia" w:ascii="黑体" w:hAnsi="黑体" w:eastAsia="黑体" w:cs="黑体"/>
          <w:color w:val="auto"/>
          <w:szCs w:val="21"/>
          <w:highlight w:val="none"/>
          <w:lang w:val="en-US" w:eastAsia="zh-CN"/>
        </w:rPr>
        <w:t>报价须知</w:t>
      </w:r>
      <w:r>
        <w:rPr>
          <w:rFonts w:hint="eastAsia" w:ascii="黑体" w:hAnsi="黑体" w:eastAsia="黑体" w:cs="黑体"/>
          <w:color w:val="auto"/>
          <w:szCs w:val="21"/>
          <w:highlight w:val="none"/>
        </w:rPr>
        <w:t>》。</w:t>
      </w:r>
    </w:p>
    <w:p w14:paraId="16BF94CA">
      <w:pPr>
        <w:pStyle w:val="31"/>
        <w:numPr>
          <w:ilvl w:val="0"/>
          <w:numId w:val="7"/>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响应</w:t>
      </w:r>
      <w:r>
        <w:rPr>
          <w:rFonts w:hint="eastAsia" w:ascii="黑体" w:hAnsi="黑体" w:eastAsia="黑体" w:cs="黑体"/>
          <w:color w:val="auto"/>
          <w:szCs w:val="21"/>
          <w:highlight w:val="none"/>
        </w:rPr>
        <w:t>报价中不得包含</w:t>
      </w:r>
      <w:r>
        <w:rPr>
          <w:rFonts w:hint="eastAsia" w:ascii="黑体" w:hAnsi="黑体" w:eastAsia="黑体" w:cs="黑体"/>
          <w:color w:val="auto"/>
          <w:szCs w:val="21"/>
          <w:highlight w:val="none"/>
          <w:lang w:eastAsia="zh-CN"/>
        </w:rPr>
        <w:t>采购文件</w:t>
      </w:r>
      <w:r>
        <w:rPr>
          <w:rFonts w:hint="eastAsia" w:ascii="黑体" w:hAnsi="黑体" w:eastAsia="黑体" w:cs="黑体"/>
          <w:color w:val="auto"/>
          <w:szCs w:val="21"/>
          <w:highlight w:val="none"/>
        </w:rPr>
        <w:t>要求以外的内容，否则，在</w:t>
      </w:r>
      <w:r>
        <w:rPr>
          <w:rFonts w:hint="eastAsia" w:ascii="黑体" w:hAnsi="黑体" w:eastAsia="黑体" w:cs="黑体"/>
          <w:color w:val="auto"/>
          <w:szCs w:val="21"/>
          <w:highlight w:val="none"/>
          <w:lang w:val="en-US" w:eastAsia="zh-CN"/>
        </w:rPr>
        <w:t>评审</w:t>
      </w:r>
      <w:r>
        <w:rPr>
          <w:rFonts w:hint="eastAsia" w:ascii="黑体" w:hAnsi="黑体" w:eastAsia="黑体" w:cs="黑体"/>
          <w:color w:val="auto"/>
          <w:szCs w:val="21"/>
          <w:highlight w:val="none"/>
        </w:rPr>
        <w:t>时不予核减。若</w:t>
      </w:r>
      <w:r>
        <w:rPr>
          <w:rFonts w:hint="eastAsia" w:ascii="黑体" w:hAnsi="黑体" w:eastAsia="黑体" w:cs="黑体"/>
          <w:color w:val="auto"/>
          <w:szCs w:val="21"/>
          <w:highlight w:val="none"/>
          <w:lang w:val="en-US" w:eastAsia="zh-CN"/>
        </w:rPr>
        <w:t>响应</w:t>
      </w:r>
      <w:r>
        <w:rPr>
          <w:rFonts w:hint="eastAsia" w:ascii="黑体" w:hAnsi="黑体" w:eastAsia="黑体" w:cs="黑体"/>
          <w:color w:val="auto"/>
          <w:szCs w:val="21"/>
          <w:highlight w:val="none"/>
        </w:rPr>
        <w:t>报价有缺漏项的，缺漏项部分的价格视为已包含在</w:t>
      </w:r>
      <w:r>
        <w:rPr>
          <w:rFonts w:hint="eastAsia" w:ascii="黑体" w:hAnsi="黑体" w:eastAsia="黑体" w:cs="黑体"/>
          <w:color w:val="auto"/>
          <w:szCs w:val="21"/>
          <w:highlight w:val="none"/>
          <w:lang w:val="en-US" w:eastAsia="zh-CN"/>
        </w:rPr>
        <w:t>响应</w:t>
      </w:r>
      <w:r>
        <w:rPr>
          <w:rFonts w:hint="eastAsia" w:ascii="黑体" w:hAnsi="黑体" w:eastAsia="黑体" w:cs="黑体"/>
          <w:color w:val="auto"/>
          <w:szCs w:val="21"/>
          <w:highlight w:val="none"/>
        </w:rPr>
        <w:t>报价中，中标</w:t>
      </w:r>
      <w:r>
        <w:rPr>
          <w:rFonts w:hint="eastAsia" w:ascii="黑体" w:hAnsi="黑体" w:eastAsia="黑体" w:cs="黑体"/>
          <w:color w:val="auto"/>
          <w:szCs w:val="21"/>
          <w:highlight w:val="none"/>
          <w:lang w:val="en-US" w:eastAsia="zh-CN"/>
        </w:rPr>
        <w:t>成交</w:t>
      </w:r>
      <w:r>
        <w:rPr>
          <w:rFonts w:hint="eastAsia" w:ascii="黑体" w:hAnsi="黑体" w:eastAsia="黑体" w:cs="黑体"/>
          <w:color w:val="auto"/>
          <w:szCs w:val="21"/>
          <w:highlight w:val="none"/>
        </w:rPr>
        <w:t>后不作任何调整。</w:t>
      </w:r>
    </w:p>
    <w:p w14:paraId="12E759FE">
      <w:pPr>
        <w:pStyle w:val="31"/>
        <w:keepNext w:val="0"/>
        <w:keepLines w:val="0"/>
        <w:pageBreakBefore w:val="0"/>
        <w:widowControl w:val="0"/>
        <w:numPr>
          <w:ilvl w:val="0"/>
          <w:numId w:val="8"/>
        </w:numPr>
        <w:kinsoku/>
        <w:wordWrap/>
        <w:overflowPunct/>
        <w:topLinePunct w:val="0"/>
        <w:autoSpaceDE/>
        <w:autoSpaceDN/>
        <w:bidi w:val="0"/>
        <w:adjustRightInd/>
        <w:snapToGrid/>
        <w:spacing w:line="360" w:lineRule="auto"/>
        <w:ind w:left="499" w:hanging="499" w:firstLineChars="0"/>
        <w:contextualSpacing/>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采购标的</w:t>
      </w:r>
    </w:p>
    <w:p w14:paraId="50743153">
      <w:pPr>
        <w:pStyle w:val="31"/>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4483"/>
        <w:gridCol w:w="793"/>
        <w:gridCol w:w="703"/>
        <w:gridCol w:w="1909"/>
      </w:tblGrid>
      <w:tr w14:paraId="7089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vAlign w:val="center"/>
          </w:tcPr>
          <w:p w14:paraId="14952502">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2629" w:type="pct"/>
            <w:vAlign w:val="center"/>
          </w:tcPr>
          <w:p w14:paraId="38B967C3">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标的名称</w:t>
            </w:r>
          </w:p>
        </w:tc>
        <w:tc>
          <w:tcPr>
            <w:tcW w:w="465" w:type="pct"/>
            <w:vAlign w:val="center"/>
          </w:tcPr>
          <w:p w14:paraId="3BCE79DC">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单位</w:t>
            </w:r>
          </w:p>
        </w:tc>
        <w:tc>
          <w:tcPr>
            <w:tcW w:w="412" w:type="pct"/>
            <w:vAlign w:val="center"/>
          </w:tcPr>
          <w:p w14:paraId="594A6D82">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数量</w:t>
            </w:r>
          </w:p>
        </w:tc>
        <w:tc>
          <w:tcPr>
            <w:tcW w:w="1119" w:type="pct"/>
            <w:vAlign w:val="center"/>
          </w:tcPr>
          <w:p w14:paraId="7B25B47A">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采购标的所属行业</w:t>
            </w:r>
          </w:p>
        </w:tc>
      </w:tr>
      <w:tr w14:paraId="4C1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 w:type="pct"/>
            <w:vAlign w:val="center"/>
          </w:tcPr>
          <w:p w14:paraId="699BA5CE">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2629" w:type="pct"/>
            <w:vAlign w:val="center"/>
          </w:tcPr>
          <w:p w14:paraId="1334C3C1">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多媒体教室常态化录播设备采购</w:t>
            </w:r>
          </w:p>
        </w:tc>
        <w:tc>
          <w:tcPr>
            <w:tcW w:w="465" w:type="pct"/>
            <w:vAlign w:val="center"/>
          </w:tcPr>
          <w:p w14:paraId="6A467683">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项</w:t>
            </w:r>
          </w:p>
        </w:tc>
        <w:tc>
          <w:tcPr>
            <w:tcW w:w="412" w:type="pct"/>
            <w:vAlign w:val="center"/>
          </w:tcPr>
          <w:p w14:paraId="246E872D">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lang w:val="en-US" w:eastAsia="zh-CN"/>
              </w:rPr>
            </w:pPr>
            <w:r>
              <w:rPr>
                <w:rFonts w:hint="eastAsia" w:ascii="黑体" w:hAnsi="黑体" w:eastAsia="黑体" w:cs="黑体"/>
                <w:bCs/>
                <w:color w:val="auto"/>
                <w:szCs w:val="21"/>
                <w:highlight w:val="none"/>
                <w:lang w:val="en-US" w:eastAsia="zh-CN"/>
              </w:rPr>
              <w:t>1</w:t>
            </w:r>
          </w:p>
        </w:tc>
        <w:tc>
          <w:tcPr>
            <w:tcW w:w="1119" w:type="pct"/>
            <w:vAlign w:val="center"/>
          </w:tcPr>
          <w:p w14:paraId="2C3D70A8">
            <w:pPr>
              <w:keepNext w:val="0"/>
              <w:keepLines w:val="0"/>
              <w:pageBreakBefore w:val="0"/>
              <w:widowControl w:val="0"/>
              <w:kinsoku/>
              <w:wordWrap/>
              <w:overflowPunct/>
              <w:topLinePunct w:val="0"/>
              <w:autoSpaceDE/>
              <w:autoSpaceDN/>
              <w:bidi w:val="0"/>
              <w:adjustRightInd/>
              <w:snapToGrid/>
              <w:spacing w:line="360" w:lineRule="auto"/>
              <w:contextualSpacing/>
              <w:jc w:val="center"/>
              <w:textAlignment w:val="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val="en-US" w:eastAsia="zh-CN"/>
              </w:rPr>
              <w:t>工业</w:t>
            </w:r>
          </w:p>
        </w:tc>
      </w:tr>
    </w:tbl>
    <w:p w14:paraId="7D51099A">
      <w:pPr>
        <w:pStyle w:val="31"/>
        <w:keepNext w:val="0"/>
        <w:keepLines w:val="0"/>
        <w:pageBreakBefore w:val="0"/>
        <w:widowControl w:val="0"/>
        <w:numPr>
          <w:ilvl w:val="0"/>
          <w:numId w:val="8"/>
        </w:numPr>
        <w:kinsoku/>
        <w:wordWrap/>
        <w:overflowPunct/>
        <w:topLinePunct w:val="0"/>
        <w:autoSpaceDE/>
        <w:autoSpaceDN/>
        <w:bidi w:val="0"/>
        <w:adjustRightInd/>
        <w:snapToGrid/>
        <w:spacing w:line="360" w:lineRule="auto"/>
        <w:ind w:left="499" w:hanging="499" w:firstLineChars="0"/>
        <w:contextualSpacing/>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商务要求</w:t>
      </w:r>
    </w:p>
    <w:p w14:paraId="28EA5FE5">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交付时间</w:t>
      </w:r>
      <w:r>
        <w:rPr>
          <w:rFonts w:hint="eastAsia" w:ascii="黑体" w:hAnsi="黑体" w:eastAsia="黑体" w:cs="黑体"/>
          <w:iCs/>
          <w:color w:val="auto"/>
          <w:szCs w:val="21"/>
          <w:highlight w:val="none"/>
          <w:lang w:eastAsia="zh-CN"/>
        </w:rPr>
        <w:t>：</w:t>
      </w:r>
      <w:r>
        <w:rPr>
          <w:rFonts w:hint="eastAsia" w:ascii="黑体" w:hAnsi="黑体" w:eastAsia="黑体" w:cs="黑体"/>
          <w:color w:val="auto"/>
          <w:szCs w:val="21"/>
          <w:highlight w:val="none"/>
        </w:rPr>
        <w:t>合同签订之日起</w:t>
      </w:r>
      <w:r>
        <w:rPr>
          <w:rFonts w:hint="eastAsia" w:ascii="黑体" w:hAnsi="黑体" w:eastAsia="黑体" w:cs="黑体"/>
          <w:color w:val="auto"/>
          <w:szCs w:val="21"/>
          <w:highlight w:val="none"/>
          <w:lang w:val="en-US" w:eastAsia="zh-CN"/>
        </w:rPr>
        <w:t>15</w:t>
      </w:r>
      <w:r>
        <w:rPr>
          <w:rFonts w:hint="eastAsia" w:ascii="黑体" w:hAnsi="黑体" w:eastAsia="黑体" w:cs="黑体"/>
          <w:color w:val="auto"/>
          <w:szCs w:val="21"/>
          <w:highlight w:val="none"/>
        </w:rPr>
        <w:t>个日历日内</w:t>
      </w:r>
      <w:r>
        <w:rPr>
          <w:rFonts w:hint="eastAsia" w:ascii="黑体" w:hAnsi="黑体" w:eastAsia="黑体" w:cs="黑体"/>
          <w:color w:val="auto"/>
          <w:szCs w:val="21"/>
          <w:highlight w:val="none"/>
          <w:lang w:val="en-US" w:eastAsia="zh-CN"/>
        </w:rPr>
        <w:t>完成供</w:t>
      </w:r>
      <w:r>
        <w:rPr>
          <w:rFonts w:hint="eastAsia" w:ascii="黑体" w:hAnsi="黑体" w:eastAsia="黑体" w:cs="黑体"/>
          <w:color w:val="auto"/>
          <w:szCs w:val="21"/>
          <w:highlight w:val="none"/>
        </w:rPr>
        <w:t>货</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调试。</w:t>
      </w:r>
    </w:p>
    <w:p w14:paraId="426D8CEA">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交付地点</w:t>
      </w:r>
      <w:r>
        <w:rPr>
          <w:rFonts w:hint="eastAsia" w:ascii="黑体" w:hAnsi="黑体" w:eastAsia="黑体" w:cs="黑体"/>
          <w:iCs/>
          <w:color w:val="auto"/>
          <w:szCs w:val="21"/>
          <w:highlight w:val="none"/>
          <w:lang w:eastAsia="zh-CN"/>
        </w:rPr>
        <w:t>：</w:t>
      </w:r>
      <w:r>
        <w:rPr>
          <w:rFonts w:hint="eastAsia" w:ascii="黑体" w:hAnsi="黑体" w:eastAsia="黑体" w:cs="黑体"/>
          <w:color w:val="auto"/>
          <w:szCs w:val="21"/>
          <w:highlight w:val="none"/>
        </w:rPr>
        <w:t>东莞理工学院松山湖校区多媒体教室</w:t>
      </w:r>
      <w:r>
        <w:rPr>
          <w:rFonts w:hint="eastAsia" w:ascii="黑体" w:hAnsi="黑体" w:eastAsia="黑体" w:cs="黑体"/>
          <w:iCs/>
          <w:color w:val="auto"/>
          <w:szCs w:val="21"/>
          <w:highlight w:val="none"/>
          <w:lang w:val="en-US" w:eastAsia="zh-CN"/>
        </w:rPr>
        <w:t>。</w:t>
      </w:r>
    </w:p>
    <w:p w14:paraId="7FC3B3BD">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付款条件</w:t>
      </w:r>
    </w:p>
    <w:p w14:paraId="1AC83D3F">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1、</w:t>
      </w:r>
      <w:r>
        <w:rPr>
          <w:rFonts w:hint="eastAsia" w:ascii="黑体" w:hAnsi="黑体" w:eastAsia="黑体" w:cs="黑体"/>
          <w:iCs/>
          <w:color w:val="auto"/>
          <w:szCs w:val="21"/>
          <w:highlight w:val="none"/>
        </w:rPr>
        <w:t>待全部</w:t>
      </w:r>
      <w:r>
        <w:rPr>
          <w:rFonts w:hint="eastAsia" w:ascii="黑体" w:hAnsi="黑体" w:eastAsia="黑体" w:cs="黑体"/>
          <w:iCs/>
          <w:color w:val="auto"/>
          <w:szCs w:val="21"/>
          <w:highlight w:val="none"/>
          <w:lang w:val="en-US" w:eastAsia="zh-CN"/>
        </w:rPr>
        <w:t>货物</w:t>
      </w:r>
      <w:r>
        <w:rPr>
          <w:rFonts w:hint="eastAsia" w:ascii="黑体" w:hAnsi="黑体" w:eastAsia="黑体" w:cs="黑体"/>
          <w:color w:val="auto"/>
          <w:szCs w:val="21"/>
          <w:highlight w:val="none"/>
          <w:lang w:val="en-US" w:eastAsia="zh-CN"/>
        </w:rPr>
        <w:t>完成供</w:t>
      </w:r>
      <w:r>
        <w:rPr>
          <w:rFonts w:hint="eastAsia" w:ascii="黑体" w:hAnsi="黑体" w:eastAsia="黑体" w:cs="黑体"/>
          <w:color w:val="auto"/>
          <w:szCs w:val="21"/>
          <w:highlight w:val="none"/>
        </w:rPr>
        <w:t>货</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调试</w:t>
      </w:r>
      <w:r>
        <w:rPr>
          <w:rFonts w:hint="eastAsia" w:ascii="黑体" w:hAnsi="黑体" w:eastAsia="黑体" w:cs="黑体"/>
          <w:iCs/>
          <w:color w:val="auto"/>
          <w:szCs w:val="21"/>
          <w:highlight w:val="none"/>
        </w:rPr>
        <w:t>并经采购人全部验收合格后，</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提供相应的合格发票</w:t>
      </w:r>
      <w:r>
        <w:rPr>
          <w:rFonts w:hint="eastAsia" w:ascii="黑体" w:hAnsi="黑体" w:eastAsia="黑体" w:cs="黑体"/>
          <w:iCs/>
          <w:color w:val="auto"/>
          <w:szCs w:val="21"/>
          <w:highlight w:val="none"/>
          <w:lang w:val="en-US" w:eastAsia="zh-CN"/>
        </w:rPr>
        <w:t>以及相关请款资料</w:t>
      </w:r>
      <w:r>
        <w:rPr>
          <w:rFonts w:hint="eastAsia" w:ascii="黑体" w:hAnsi="黑体" w:eastAsia="黑体" w:cs="黑体"/>
          <w:iCs/>
          <w:color w:val="auto"/>
          <w:szCs w:val="21"/>
          <w:highlight w:val="none"/>
        </w:rPr>
        <w:t>给到采购人，采购人</w:t>
      </w:r>
      <w:r>
        <w:rPr>
          <w:rFonts w:hint="eastAsia" w:ascii="黑体" w:hAnsi="黑体" w:eastAsia="黑体" w:cs="黑体"/>
          <w:iCs/>
          <w:color w:val="auto"/>
          <w:szCs w:val="21"/>
          <w:highlight w:val="none"/>
          <w:lang w:val="en-US" w:eastAsia="zh-CN"/>
        </w:rPr>
        <w:t>在15个工作日内</w:t>
      </w:r>
      <w:r>
        <w:rPr>
          <w:rFonts w:hint="eastAsia" w:ascii="黑体" w:hAnsi="黑体" w:eastAsia="黑体" w:cs="黑体"/>
          <w:iCs/>
          <w:color w:val="auto"/>
          <w:szCs w:val="21"/>
          <w:highlight w:val="none"/>
        </w:rPr>
        <w:t>将合同款项一次性支付给</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w:t>
      </w:r>
    </w:p>
    <w:p w14:paraId="53796E3B">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2、请款资料包括但不限于：</w:t>
      </w:r>
      <w:r>
        <w:rPr>
          <w:rFonts w:hint="eastAsia" w:ascii="黑体" w:hAnsi="黑体" w:eastAsia="黑体" w:cs="黑体"/>
          <w:iCs/>
          <w:color w:val="auto"/>
          <w:szCs w:val="21"/>
          <w:highlight w:val="none"/>
        </w:rPr>
        <w:t>①合同复印件；②</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开具的增值税</w:t>
      </w:r>
      <w:r>
        <w:rPr>
          <w:rFonts w:hint="eastAsia" w:ascii="黑体" w:hAnsi="黑体" w:eastAsia="黑体" w:cs="黑体"/>
          <w:iCs/>
          <w:color w:val="auto"/>
          <w:szCs w:val="21"/>
          <w:highlight w:val="none"/>
          <w:lang w:val="en-US" w:eastAsia="zh-CN"/>
        </w:rPr>
        <w:t>专用</w:t>
      </w:r>
      <w:r>
        <w:rPr>
          <w:rFonts w:hint="eastAsia" w:ascii="黑体" w:hAnsi="黑体" w:eastAsia="黑体" w:cs="黑体"/>
          <w:iCs/>
          <w:color w:val="auto"/>
          <w:szCs w:val="21"/>
          <w:highlight w:val="none"/>
        </w:rPr>
        <w:t>发票；③验收报告复印件；④</w:t>
      </w:r>
      <w:r>
        <w:rPr>
          <w:rFonts w:hint="eastAsia" w:ascii="黑体" w:hAnsi="黑体" w:eastAsia="黑体" w:cs="黑体"/>
          <w:iCs/>
          <w:color w:val="auto"/>
          <w:szCs w:val="21"/>
          <w:highlight w:val="none"/>
          <w:lang w:eastAsia="zh-CN"/>
        </w:rPr>
        <w:t>成交通知书</w:t>
      </w:r>
      <w:r>
        <w:rPr>
          <w:rFonts w:hint="eastAsia" w:ascii="黑体" w:hAnsi="黑体" w:eastAsia="黑体" w:cs="黑体"/>
          <w:iCs/>
          <w:color w:val="auto"/>
          <w:szCs w:val="21"/>
          <w:highlight w:val="none"/>
        </w:rPr>
        <w:t>复印件</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rPr>
        <w:t>按以下程序付款：</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应在采购人支付货款前，将发票送至采购人单位。发票抬头名称与采购人单位名称一致。付款时间以付款划出款项之日为准。</w:t>
      </w:r>
    </w:p>
    <w:p w14:paraId="227D2BEF">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b/>
          <w:bCs/>
          <w:iCs/>
          <w:color w:val="auto"/>
          <w:szCs w:val="21"/>
          <w:highlight w:val="none"/>
        </w:rPr>
      </w:pPr>
      <w:r>
        <w:rPr>
          <w:rFonts w:hint="eastAsia" w:ascii="黑体" w:hAnsi="黑体" w:eastAsia="黑体" w:cs="黑体"/>
          <w:b/>
          <w:bCs/>
          <w:iCs/>
          <w:color w:val="auto"/>
          <w:szCs w:val="21"/>
          <w:highlight w:val="none"/>
        </w:rPr>
        <w:t>注：本项目资金来源为财政</w:t>
      </w:r>
      <w:r>
        <w:rPr>
          <w:rFonts w:hint="eastAsia" w:ascii="黑体" w:hAnsi="黑体" w:eastAsia="黑体" w:cs="黑体"/>
          <w:b/>
          <w:bCs/>
          <w:iCs/>
          <w:color w:val="auto"/>
          <w:szCs w:val="21"/>
          <w:highlight w:val="none"/>
          <w:lang w:val="en-US" w:eastAsia="zh-CN"/>
        </w:rPr>
        <w:t>性</w:t>
      </w:r>
      <w:r>
        <w:rPr>
          <w:rFonts w:hint="eastAsia" w:ascii="黑体" w:hAnsi="黑体" w:eastAsia="黑体" w:cs="黑体"/>
          <w:b/>
          <w:bCs/>
          <w:iCs/>
          <w:color w:val="auto"/>
          <w:szCs w:val="21"/>
          <w:highlight w:val="none"/>
        </w:rPr>
        <w:t>资金，相关付款程序严格遵守东莞市(或项目所在镇街)政府财政资金支付程序规定。因</w:t>
      </w:r>
      <w:r>
        <w:rPr>
          <w:rFonts w:hint="eastAsia" w:ascii="黑体" w:hAnsi="黑体" w:eastAsia="黑体" w:cs="黑体"/>
          <w:b/>
          <w:bCs/>
          <w:iCs/>
          <w:color w:val="auto"/>
          <w:szCs w:val="21"/>
          <w:highlight w:val="none"/>
          <w:lang w:eastAsia="zh-CN"/>
        </w:rPr>
        <w:t>成交供应商</w:t>
      </w:r>
      <w:r>
        <w:rPr>
          <w:rFonts w:hint="eastAsia" w:ascii="黑体" w:hAnsi="黑体" w:eastAsia="黑体" w:cs="黑体"/>
          <w:b/>
          <w:bCs/>
          <w:iCs/>
          <w:color w:val="auto"/>
          <w:szCs w:val="21"/>
          <w:highlight w:val="none"/>
        </w:rPr>
        <w:t>未按照要求向采购人提供请款资料，导致采购人延期付款的，由此产生的法律责任，由</w:t>
      </w:r>
      <w:r>
        <w:rPr>
          <w:rFonts w:hint="eastAsia" w:ascii="黑体" w:hAnsi="黑体" w:eastAsia="黑体" w:cs="黑体"/>
          <w:b/>
          <w:bCs/>
          <w:iCs/>
          <w:color w:val="auto"/>
          <w:szCs w:val="21"/>
          <w:highlight w:val="none"/>
          <w:lang w:eastAsia="zh-CN"/>
        </w:rPr>
        <w:t>成交供应商</w:t>
      </w:r>
      <w:r>
        <w:rPr>
          <w:rFonts w:hint="eastAsia" w:ascii="黑体" w:hAnsi="黑体" w:eastAsia="黑体" w:cs="黑体"/>
          <w:b/>
          <w:bCs/>
          <w:iCs/>
          <w:color w:val="auto"/>
          <w:szCs w:val="21"/>
          <w:highlight w:val="none"/>
        </w:rPr>
        <w:t>自行承担。</w:t>
      </w:r>
    </w:p>
    <w:p w14:paraId="7BFFFBA3">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报价要求</w:t>
      </w:r>
    </w:p>
    <w:p w14:paraId="71174F9C">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1、</w:t>
      </w:r>
      <w:r>
        <w:rPr>
          <w:rFonts w:hint="eastAsia" w:ascii="黑体" w:hAnsi="黑体" w:eastAsia="黑体" w:cs="黑体"/>
          <w:iCs/>
          <w:color w:val="auto"/>
          <w:szCs w:val="21"/>
          <w:highlight w:val="none"/>
        </w:rPr>
        <w:t>本项目采用人民币总价报价方式。</w:t>
      </w:r>
    </w:p>
    <w:p w14:paraId="619B9D0F">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2、</w:t>
      </w:r>
      <w:r>
        <w:rPr>
          <w:rFonts w:hint="eastAsia" w:ascii="黑体" w:hAnsi="黑体" w:eastAsia="黑体" w:cs="黑体"/>
          <w:iCs/>
          <w:color w:val="auto"/>
          <w:szCs w:val="21"/>
          <w:highlight w:val="none"/>
        </w:rPr>
        <w:t>报价包含全部设备及所需附件、包装、运费、安装调试、保险、税费、资料、质保期内维护、保养、维修、更换及合同实施过程中的不可预见费用等的全部费用。</w:t>
      </w:r>
    </w:p>
    <w:p w14:paraId="13848382">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lang w:val="en-US" w:eastAsia="zh-CN"/>
        </w:rPr>
      </w:pPr>
      <w:r>
        <w:rPr>
          <w:rFonts w:hint="eastAsia" w:ascii="黑体" w:hAnsi="黑体" w:eastAsia="黑体" w:cs="黑体"/>
          <w:iCs/>
          <w:color w:val="auto"/>
          <w:szCs w:val="21"/>
          <w:highlight w:val="none"/>
          <w:lang w:val="en-US" w:eastAsia="zh-CN"/>
        </w:rPr>
        <w:t>3、</w:t>
      </w:r>
      <w:r>
        <w:rPr>
          <w:rFonts w:hint="eastAsia" w:ascii="黑体" w:hAnsi="黑体" w:eastAsia="黑体" w:cs="黑体"/>
          <w:iCs/>
          <w:color w:val="auto"/>
          <w:szCs w:val="21"/>
          <w:highlight w:val="none"/>
        </w:rPr>
        <w:t>项目实施过程中不能在报价之外还有其他费用出现。</w:t>
      </w:r>
    </w:p>
    <w:p w14:paraId="11D3457C">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项目实施要求</w:t>
      </w:r>
    </w:p>
    <w:p w14:paraId="4EA72C06">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1</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除合同另有规定外，</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提供的全部货物均应按标准保护措施进行包装。该包装应适应于远距离运输、防潮、防尘、防震、防锈和防野蛮装卸，以确保货物安全无损运抵</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指定地点。由于包装不善所引起的货物损失、损坏、损毁或运输引起的灭失以及由此导致</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的损失均由</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承担。如货物损坏或货物质量不符合标准，</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有权拒收货物，</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应按照</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的要求在限定的时间内应予以更换或重新供货直至通过</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验收，货物交</w:t>
      </w:r>
      <w:r>
        <w:rPr>
          <w:rFonts w:hint="eastAsia" w:ascii="黑体" w:hAnsi="黑体" w:eastAsia="黑体" w:cs="黑体"/>
          <w:iCs/>
          <w:color w:val="auto"/>
          <w:szCs w:val="21"/>
          <w:highlight w:val="none"/>
          <w:lang w:val="en-US" w:eastAsia="zh-CN"/>
        </w:rPr>
        <w:t>付</w:t>
      </w:r>
      <w:r>
        <w:rPr>
          <w:rFonts w:hint="eastAsia" w:ascii="黑体" w:hAnsi="黑体" w:eastAsia="黑体" w:cs="黑体"/>
          <w:iCs/>
          <w:color w:val="auto"/>
          <w:szCs w:val="21"/>
          <w:highlight w:val="none"/>
        </w:rPr>
        <w:t>期不予顺延，否则</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有权按照本合同约定追究</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的违约责任。</w:t>
      </w:r>
    </w:p>
    <w:p w14:paraId="67105E01">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2</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所供货物应为制造商原装出厂，包装箱号与设备出厂批号一致。</w:t>
      </w:r>
    </w:p>
    <w:p w14:paraId="6F597333">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3</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需在</w:t>
      </w:r>
      <w:r>
        <w:rPr>
          <w:rFonts w:hint="eastAsia" w:ascii="黑体" w:hAnsi="黑体" w:eastAsia="黑体" w:cs="黑体"/>
          <w:iCs/>
          <w:color w:val="auto"/>
          <w:szCs w:val="21"/>
          <w:highlight w:val="none"/>
          <w:lang w:eastAsia="zh-CN"/>
        </w:rPr>
        <w:t>响应文件</w:t>
      </w:r>
      <w:r>
        <w:rPr>
          <w:rFonts w:hint="eastAsia" w:ascii="黑体" w:hAnsi="黑体" w:eastAsia="黑体" w:cs="黑体"/>
          <w:iCs/>
          <w:color w:val="auto"/>
          <w:szCs w:val="21"/>
          <w:highlight w:val="none"/>
        </w:rPr>
        <w:t>中注明所投标货物的生产商及产地，所有货物在交货时</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需向</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提供货物生产商的供货确认及售后服务技术支持的证明文件，并保证所提供的货物必须是国标产品，且是未使用过的、质量可靠的成熟的全新产品，</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需随货物装箱提供制造厂的货物检验、测试报告、货物检验合格证书、质量保证书和保修卡等证明文件。</w:t>
      </w:r>
    </w:p>
    <w:p w14:paraId="54ECC27F">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4</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货物及所有配套件的完整性和可靠性。对于文件没有列出，而对该货物的正常使用和维护必不可少的部件、配件等，</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有责任给予补充，且总报价已包含此部分内容。</w:t>
      </w:r>
    </w:p>
    <w:p w14:paraId="5B025CB6">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5</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保证其提供的货物的任何一部分都达到国家相关安全标准要求，如因货物的质量问题造成事故的，</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须对此承担责任。</w:t>
      </w:r>
    </w:p>
    <w:p w14:paraId="6BEC435B">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6</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所有货物须按</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的要求搬运至指定位置，货物及安装设备的运输、装卸、现场保管的费用全部由</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负责。</w:t>
      </w:r>
    </w:p>
    <w:p w14:paraId="27152F16">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7、</w:t>
      </w:r>
      <w:r>
        <w:rPr>
          <w:rFonts w:hint="eastAsia" w:ascii="黑体" w:hAnsi="黑体" w:eastAsia="黑体" w:cs="黑体"/>
          <w:iCs/>
          <w:color w:val="auto"/>
          <w:szCs w:val="21"/>
          <w:highlight w:val="none"/>
        </w:rPr>
        <w:t>安装：</w:t>
      </w:r>
    </w:p>
    <w:p w14:paraId="743B952C">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1）安装所需工具、设施、物料由</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自行运到现场，安装完成后自行运离现场。</w:t>
      </w:r>
    </w:p>
    <w:p w14:paraId="706F7B4F">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2）所有</w:t>
      </w:r>
      <w:r>
        <w:rPr>
          <w:rFonts w:hint="eastAsia" w:ascii="黑体" w:hAnsi="黑体" w:eastAsia="黑体" w:cs="黑体"/>
          <w:iCs/>
          <w:color w:val="auto"/>
          <w:szCs w:val="21"/>
          <w:highlight w:val="none"/>
          <w:lang w:val="en-US" w:eastAsia="zh-CN"/>
        </w:rPr>
        <w:t>货物</w:t>
      </w:r>
      <w:r>
        <w:rPr>
          <w:rFonts w:hint="eastAsia" w:ascii="黑体" w:hAnsi="黑体" w:eastAsia="黑体" w:cs="黑体"/>
          <w:iCs/>
          <w:color w:val="auto"/>
          <w:szCs w:val="21"/>
          <w:highlight w:val="none"/>
        </w:rPr>
        <w:t>安装过程中应符合国家和行业相关标准及规范，</w:t>
      </w:r>
      <w:r>
        <w:rPr>
          <w:rFonts w:hint="eastAsia" w:ascii="黑体" w:hAnsi="黑体" w:eastAsia="黑体" w:cs="黑体"/>
          <w:iCs/>
          <w:color w:val="auto"/>
          <w:szCs w:val="21"/>
          <w:highlight w:val="none"/>
          <w:lang w:val="en-US" w:eastAsia="zh-CN"/>
        </w:rPr>
        <w:t>货物</w:t>
      </w:r>
      <w:r>
        <w:rPr>
          <w:rFonts w:hint="eastAsia" w:ascii="黑体" w:hAnsi="黑体" w:eastAsia="黑体" w:cs="黑体"/>
          <w:iCs/>
          <w:color w:val="auto"/>
          <w:szCs w:val="21"/>
          <w:highlight w:val="none"/>
        </w:rPr>
        <w:t>安装前应与采购人相关人员确认后才能进行安装。</w:t>
      </w:r>
    </w:p>
    <w:p w14:paraId="49F4C383">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8、</w:t>
      </w:r>
      <w:r>
        <w:rPr>
          <w:rFonts w:hint="eastAsia" w:ascii="黑体" w:hAnsi="黑体" w:eastAsia="黑体" w:cs="黑体"/>
          <w:iCs/>
          <w:color w:val="auto"/>
          <w:szCs w:val="21"/>
          <w:highlight w:val="none"/>
        </w:rPr>
        <w:t>调试：按国家相关标准进行调试。</w:t>
      </w:r>
    </w:p>
    <w:p w14:paraId="08F00C27">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lang w:val="en-US" w:eastAsia="zh-CN"/>
        </w:rPr>
        <w:t>9、</w:t>
      </w:r>
      <w:r>
        <w:rPr>
          <w:rFonts w:hint="eastAsia" w:ascii="黑体" w:hAnsi="黑体" w:eastAsia="黑体" w:cs="黑体"/>
          <w:iCs/>
          <w:color w:val="auto"/>
          <w:szCs w:val="21"/>
          <w:highlight w:val="none"/>
        </w:rPr>
        <w:t>培训方案：</w:t>
      </w:r>
      <w:r>
        <w:rPr>
          <w:rFonts w:hint="eastAsia" w:ascii="黑体" w:hAnsi="黑体" w:eastAsia="黑体" w:cs="黑体"/>
          <w:iCs/>
          <w:color w:val="auto"/>
          <w:szCs w:val="21"/>
          <w:highlight w:val="none"/>
          <w:lang w:val="en-US" w:eastAsia="zh-CN"/>
        </w:rPr>
        <w:t>成交供应商</w:t>
      </w:r>
      <w:r>
        <w:rPr>
          <w:rFonts w:hint="eastAsia" w:ascii="黑体" w:hAnsi="黑体" w:eastAsia="黑体" w:cs="黑体"/>
          <w:iCs/>
          <w:color w:val="auto"/>
          <w:szCs w:val="21"/>
          <w:highlight w:val="none"/>
        </w:rPr>
        <w:t>需对</w:t>
      </w:r>
      <w:r>
        <w:rPr>
          <w:rFonts w:hint="eastAsia" w:ascii="黑体" w:hAnsi="黑体" w:eastAsia="黑体" w:cs="黑体"/>
          <w:iCs/>
          <w:color w:val="auto"/>
          <w:szCs w:val="21"/>
          <w:highlight w:val="none"/>
          <w:lang w:val="en-US" w:eastAsia="zh-CN"/>
        </w:rPr>
        <w:t>采购</w:t>
      </w:r>
      <w:r>
        <w:rPr>
          <w:rFonts w:hint="eastAsia" w:ascii="黑体" w:hAnsi="黑体" w:eastAsia="黑体" w:cs="黑体"/>
          <w:iCs/>
          <w:color w:val="auto"/>
          <w:szCs w:val="21"/>
          <w:highlight w:val="none"/>
        </w:rPr>
        <w:t>人相关使用人员进行培训，令使用者可以熟悉操作全部系统及进行简单的维护。</w:t>
      </w:r>
    </w:p>
    <w:p w14:paraId="5C2423FD">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1</w:t>
      </w:r>
      <w:r>
        <w:rPr>
          <w:rFonts w:hint="eastAsia" w:ascii="黑体" w:hAnsi="黑体" w:eastAsia="黑体" w:cs="黑体"/>
          <w:iCs/>
          <w:color w:val="auto"/>
          <w:szCs w:val="21"/>
          <w:highlight w:val="none"/>
          <w:lang w:val="en-US" w:eastAsia="zh-CN"/>
        </w:rPr>
        <w:t>0、</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需提供项目实施方案</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rPr>
        <w:t>对项目理解、人员设备投入安排、总体进度计划、安装调试方案、工期保证措施、风险管理等方面</w:t>
      </w:r>
      <w:r>
        <w:rPr>
          <w:rFonts w:hint="eastAsia" w:ascii="黑体" w:hAnsi="黑体" w:eastAsia="黑体" w:cs="黑体"/>
          <w:iCs/>
          <w:color w:val="auto"/>
          <w:szCs w:val="21"/>
          <w:highlight w:val="none"/>
          <w:lang w:eastAsia="zh-CN"/>
        </w:rPr>
        <w:t>）</w:t>
      </w:r>
      <w:r>
        <w:rPr>
          <w:rFonts w:hint="eastAsia" w:ascii="黑体" w:hAnsi="黑体" w:eastAsia="黑体" w:cs="黑体"/>
          <w:iCs/>
          <w:color w:val="auto"/>
          <w:szCs w:val="21"/>
          <w:highlight w:val="none"/>
        </w:rPr>
        <w:t>。</w:t>
      </w:r>
    </w:p>
    <w:p w14:paraId="711D6835">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售后服务（质保期）</w:t>
      </w:r>
    </w:p>
    <w:p w14:paraId="320AD9DE">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1</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须提供不少于1年的质保期。在质保期内，如货物非因</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的人为原因而出现的质量问题由</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负责维修或更换。</w:t>
      </w:r>
    </w:p>
    <w:p w14:paraId="30799A85">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2</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对</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的服务通知，</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在接到</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通知后2小时内</w:t>
      </w:r>
      <w:r>
        <w:rPr>
          <w:rFonts w:hint="eastAsia" w:ascii="黑体" w:hAnsi="黑体" w:eastAsia="黑体" w:cs="黑体"/>
          <w:iCs/>
          <w:color w:val="auto"/>
          <w:szCs w:val="21"/>
          <w:highlight w:val="none"/>
          <w:lang w:val="en-US" w:eastAsia="zh-CN"/>
        </w:rPr>
        <w:t>响应并到达现场</w:t>
      </w:r>
      <w:r>
        <w:rPr>
          <w:rFonts w:hint="eastAsia" w:ascii="黑体" w:hAnsi="黑体" w:eastAsia="黑体" w:cs="黑体"/>
          <w:iCs/>
          <w:color w:val="auto"/>
          <w:szCs w:val="21"/>
          <w:highlight w:val="none"/>
        </w:rPr>
        <w:t>，24小时内排除故障。若24小时内不能排除故障，须对设备进行维修，如设备维修预计时长超15个日历日，须在原设备送修之日起5个日历日内提供备用机并安装调试完毕，保证校内相关工作继续正常运行。</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负责所有因设备质量问题而产生的费用，如因非人为因素出现故障而造成短期停用时，则质保期和免费维修期相应顺延。如停用时间累计超过60天则质保期重新计算。</w:t>
      </w:r>
    </w:p>
    <w:p w14:paraId="037591FB">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3</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lang w:eastAsia="zh-CN"/>
        </w:rPr>
        <w:t>供应商</w:t>
      </w:r>
      <w:r>
        <w:rPr>
          <w:rFonts w:hint="eastAsia" w:ascii="黑体" w:hAnsi="黑体" w:eastAsia="黑体" w:cs="黑体"/>
          <w:iCs/>
          <w:color w:val="auto"/>
          <w:szCs w:val="21"/>
          <w:highlight w:val="none"/>
        </w:rPr>
        <w:t>保证365×24小时提供服务电话及现场支持服务和长期的维修支持。如产品发生故障，远程支持无法解决，派专业技术人员到达现场进行维修。</w:t>
      </w:r>
    </w:p>
    <w:p w14:paraId="1280C83E">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lang w:val="en-US" w:eastAsia="zh-CN"/>
        </w:rPr>
      </w:pPr>
      <w:r>
        <w:rPr>
          <w:rFonts w:hint="eastAsia" w:ascii="黑体" w:hAnsi="黑体" w:eastAsia="黑体" w:cs="黑体"/>
          <w:iCs/>
          <w:color w:val="auto"/>
          <w:szCs w:val="21"/>
          <w:highlight w:val="none"/>
          <w:lang w:val="en-US" w:eastAsia="zh-CN"/>
        </w:rPr>
        <w:t>4、售后服务所产生的全部费用由供应商承担。</w:t>
      </w:r>
    </w:p>
    <w:p w14:paraId="27DAD7CE">
      <w:pPr>
        <w:pStyle w:val="31"/>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验收要求</w:t>
      </w:r>
    </w:p>
    <w:p w14:paraId="73CDD3AB">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1</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和</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双方按</w:t>
      </w:r>
      <w:r>
        <w:rPr>
          <w:rFonts w:hint="eastAsia" w:ascii="黑体" w:hAnsi="黑体" w:eastAsia="黑体" w:cs="黑体"/>
          <w:iCs/>
          <w:color w:val="auto"/>
          <w:szCs w:val="21"/>
          <w:highlight w:val="none"/>
          <w:lang w:val="en-US" w:eastAsia="zh-CN"/>
        </w:rPr>
        <w:t>采购</w:t>
      </w:r>
      <w:r>
        <w:rPr>
          <w:rFonts w:hint="eastAsia" w:ascii="黑体" w:hAnsi="黑体" w:eastAsia="黑体" w:cs="黑体"/>
          <w:iCs/>
          <w:color w:val="auto"/>
          <w:szCs w:val="21"/>
          <w:highlight w:val="none"/>
        </w:rPr>
        <w:t>需求及合同的有关规定由</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验收组织部门进行验收。验收期：</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书面向学校验收组织部门提交经</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代表签字的验收申请，验收组织部门收到申请之日起在7个日历日内组织履约验收。</w:t>
      </w:r>
    </w:p>
    <w:p w14:paraId="731F5198">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2</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设备安装开始前，</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按照</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的书面通知，共同开箱检验，对设备的外观质量、原产地、数量、规格、性能等进行详细而全面检验，并将出厂检验合格证和交货检验记录交于</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，但不能作为有关标准、质量、规格、性能、数量、重量的最终认可。</w:t>
      </w:r>
    </w:p>
    <w:p w14:paraId="2DFB01F6">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3</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设备安装后，</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和</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及相关人员按</w:t>
      </w:r>
      <w:r>
        <w:rPr>
          <w:rFonts w:hint="eastAsia" w:ascii="黑体" w:hAnsi="黑体" w:eastAsia="黑体" w:cs="黑体"/>
          <w:iCs/>
          <w:color w:val="auto"/>
          <w:szCs w:val="21"/>
          <w:highlight w:val="none"/>
          <w:lang w:val="en-US" w:eastAsia="zh-CN"/>
        </w:rPr>
        <w:t>采购</w:t>
      </w:r>
      <w:r>
        <w:rPr>
          <w:rFonts w:hint="eastAsia" w:ascii="黑体" w:hAnsi="黑体" w:eastAsia="黑体" w:cs="黑体"/>
          <w:iCs/>
          <w:color w:val="auto"/>
          <w:szCs w:val="21"/>
          <w:highlight w:val="none"/>
        </w:rPr>
        <w:t>需求及合同的有关规定、国家有关标准、设计图纸及有关附件要求进行验收。如经</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验收不合格，</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无条件退、换货，直到验收合格，由此造成</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损失的，</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应予赔偿</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全部损失及支出，</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对货物的验收并不当然免除</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的产品质量保证责任。</w:t>
      </w:r>
    </w:p>
    <w:p w14:paraId="7CD825EE">
      <w:pPr>
        <w:pStyle w:val="31"/>
        <w:keepNext w:val="0"/>
        <w:keepLines w:val="0"/>
        <w:pageBreakBefore w:val="0"/>
        <w:widowControl w:val="0"/>
        <w:numPr>
          <w:ilvl w:val="0"/>
          <w:numId w:val="0"/>
        </w:numPr>
        <w:kinsoku/>
        <w:wordWrap/>
        <w:overflowPunct/>
        <w:topLinePunct w:val="0"/>
        <w:autoSpaceDE/>
        <w:autoSpaceDN/>
        <w:bidi w:val="0"/>
        <w:adjustRightInd/>
        <w:snapToGrid/>
        <w:spacing w:line="360" w:lineRule="auto"/>
        <w:contextualSpacing/>
        <w:textAlignment w:val="auto"/>
        <w:rPr>
          <w:rFonts w:hint="eastAsia" w:ascii="黑体" w:hAnsi="黑体" w:eastAsia="黑体" w:cs="黑体"/>
          <w:iCs/>
          <w:color w:val="auto"/>
          <w:szCs w:val="21"/>
          <w:highlight w:val="none"/>
        </w:rPr>
      </w:pPr>
      <w:r>
        <w:rPr>
          <w:rFonts w:hint="eastAsia" w:ascii="黑体" w:hAnsi="黑体" w:eastAsia="黑体" w:cs="黑体"/>
          <w:iCs/>
          <w:color w:val="auto"/>
          <w:szCs w:val="21"/>
          <w:highlight w:val="none"/>
        </w:rPr>
        <w:t>4</w:t>
      </w:r>
      <w:r>
        <w:rPr>
          <w:rFonts w:hint="eastAsia" w:ascii="黑体" w:hAnsi="黑体" w:eastAsia="黑体" w:cs="黑体"/>
          <w:iCs/>
          <w:color w:val="auto"/>
          <w:szCs w:val="21"/>
          <w:highlight w:val="none"/>
          <w:lang w:val="en-US" w:eastAsia="zh-CN"/>
        </w:rPr>
        <w:t>、</w:t>
      </w:r>
      <w:r>
        <w:rPr>
          <w:rFonts w:hint="eastAsia" w:ascii="黑体" w:hAnsi="黑体" w:eastAsia="黑体" w:cs="黑体"/>
          <w:iCs/>
          <w:color w:val="auto"/>
          <w:szCs w:val="21"/>
          <w:highlight w:val="none"/>
        </w:rPr>
        <w:t>因物品的质量问题发生争议，由广东省或东莞市质量技术监督部门进行质量鉴定。物品符合质量标准的，鉴定费由</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承担；物品不符合质量标准的，鉴定费及</w:t>
      </w:r>
      <w:r>
        <w:rPr>
          <w:rFonts w:hint="eastAsia" w:ascii="黑体" w:hAnsi="黑体" w:eastAsia="黑体" w:cs="黑体"/>
          <w:iCs/>
          <w:color w:val="auto"/>
          <w:szCs w:val="21"/>
          <w:highlight w:val="none"/>
          <w:lang w:eastAsia="zh-CN"/>
        </w:rPr>
        <w:t>采购人</w:t>
      </w:r>
      <w:r>
        <w:rPr>
          <w:rFonts w:hint="eastAsia" w:ascii="黑体" w:hAnsi="黑体" w:eastAsia="黑体" w:cs="黑体"/>
          <w:iCs/>
          <w:color w:val="auto"/>
          <w:szCs w:val="21"/>
          <w:highlight w:val="none"/>
        </w:rPr>
        <w:t>的损失由</w:t>
      </w:r>
      <w:r>
        <w:rPr>
          <w:rFonts w:hint="eastAsia" w:ascii="黑体" w:hAnsi="黑体" w:eastAsia="黑体" w:cs="黑体"/>
          <w:iCs/>
          <w:color w:val="auto"/>
          <w:szCs w:val="21"/>
          <w:highlight w:val="none"/>
          <w:lang w:eastAsia="zh-CN"/>
        </w:rPr>
        <w:t>成交供应商</w:t>
      </w:r>
      <w:r>
        <w:rPr>
          <w:rFonts w:hint="eastAsia" w:ascii="黑体" w:hAnsi="黑体" w:eastAsia="黑体" w:cs="黑体"/>
          <w:iCs/>
          <w:color w:val="auto"/>
          <w:szCs w:val="21"/>
          <w:highlight w:val="none"/>
        </w:rPr>
        <w:t>承担。</w:t>
      </w:r>
    </w:p>
    <w:p w14:paraId="1195D2B4">
      <w:pPr>
        <w:pStyle w:val="31"/>
        <w:keepNext w:val="0"/>
        <w:keepLines w:val="0"/>
        <w:pageBreakBefore w:val="0"/>
        <w:widowControl w:val="0"/>
        <w:numPr>
          <w:ilvl w:val="0"/>
          <w:numId w:val="8"/>
        </w:numPr>
        <w:kinsoku/>
        <w:wordWrap/>
        <w:overflowPunct/>
        <w:topLinePunct w:val="0"/>
        <w:autoSpaceDE/>
        <w:autoSpaceDN/>
        <w:bidi w:val="0"/>
        <w:adjustRightInd/>
        <w:snapToGrid/>
        <w:spacing w:line="360" w:lineRule="auto"/>
        <w:ind w:left="499" w:hanging="499" w:firstLineChars="0"/>
        <w:contextualSpacing/>
        <w:textAlignment w:val="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技术要求</w:t>
      </w:r>
    </w:p>
    <w:p w14:paraId="064A51D1">
      <w:pPr>
        <w:pStyle w:val="31"/>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技术概况</w:t>
      </w:r>
    </w:p>
    <w:p w14:paraId="34752F71">
      <w:pPr>
        <w:pStyle w:val="31"/>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0" w:firstLineChars="0"/>
        <w:contextualSpacing/>
        <w:textAlignment w:val="auto"/>
        <w:rPr>
          <w:rFonts w:hint="default" w:ascii="黑体" w:hAnsi="黑体" w:eastAsia="黑体" w:cs="黑体"/>
          <w:color w:val="auto"/>
          <w:szCs w:val="21"/>
          <w:highlight w:val="none"/>
          <w:lang w:val="en-US"/>
        </w:rPr>
      </w:pPr>
      <w:r>
        <w:rPr>
          <w:rFonts w:hint="default" w:ascii="黑体" w:hAnsi="黑体" w:eastAsia="黑体" w:cs="黑体"/>
          <w:color w:val="auto"/>
          <w:szCs w:val="21"/>
          <w:highlight w:val="none"/>
          <w:lang w:val="en-US"/>
        </w:rPr>
        <w:t>本项目</w:t>
      </w:r>
      <w:r>
        <w:rPr>
          <w:rFonts w:hint="eastAsia" w:ascii="黑体" w:hAnsi="黑体" w:eastAsia="黑体" w:cs="黑体"/>
          <w:color w:val="auto"/>
          <w:szCs w:val="21"/>
          <w:highlight w:val="none"/>
          <w:lang w:val="en-US" w:eastAsia="zh-CN"/>
        </w:rPr>
        <w:t>为</w:t>
      </w:r>
      <w:r>
        <w:rPr>
          <w:rFonts w:hint="default" w:ascii="黑体" w:hAnsi="黑体" w:eastAsia="黑体" w:cs="黑体"/>
          <w:color w:val="auto"/>
          <w:szCs w:val="21"/>
          <w:highlight w:val="none"/>
          <w:lang w:val="en-US"/>
        </w:rPr>
        <w:t>采购多媒体教室用常态化录播设备。录播设备支持与原有督导平台（品牌</w:t>
      </w:r>
      <w:r>
        <w:rPr>
          <w:rFonts w:hint="eastAsia" w:ascii="黑体" w:hAnsi="黑体" w:eastAsia="黑体" w:cs="黑体"/>
          <w:color w:val="auto"/>
          <w:szCs w:val="21"/>
          <w:highlight w:val="none"/>
          <w:lang w:val="en-US" w:eastAsia="zh-CN"/>
        </w:rPr>
        <w:t>为</w:t>
      </w:r>
      <w:r>
        <w:rPr>
          <w:rFonts w:hint="default" w:ascii="黑体" w:hAnsi="黑体" w:eastAsia="黑体" w:cs="黑体"/>
          <w:color w:val="auto"/>
          <w:szCs w:val="21"/>
          <w:highlight w:val="none"/>
          <w:lang w:val="en-US"/>
        </w:rPr>
        <w:t>青鹿，平台提供标准RTSP、RTMP视频流和API接口，供应商根据接口进行对接，本项目包含对接开发费用）连接，实现将教师电脑桌面画面推送至平台实时呈现；配合学校原有摄像机（品牌</w:t>
      </w:r>
      <w:r>
        <w:rPr>
          <w:rFonts w:hint="eastAsia" w:ascii="黑体" w:hAnsi="黑体" w:eastAsia="黑体" w:cs="黑体"/>
          <w:color w:val="auto"/>
          <w:szCs w:val="21"/>
          <w:highlight w:val="none"/>
          <w:lang w:val="en-US" w:eastAsia="zh-CN"/>
        </w:rPr>
        <w:t>为</w:t>
      </w:r>
      <w:r>
        <w:rPr>
          <w:rFonts w:hint="default" w:ascii="黑体" w:hAnsi="黑体" w:eastAsia="黑体" w:cs="黑体"/>
          <w:color w:val="auto"/>
          <w:szCs w:val="21"/>
          <w:highlight w:val="none"/>
          <w:lang w:val="en-US"/>
        </w:rPr>
        <w:t>青鹿），实现双视频画面的呈现。</w:t>
      </w:r>
    </w:p>
    <w:p w14:paraId="3BC10734">
      <w:pPr>
        <w:pStyle w:val="31"/>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Chars="0"/>
        <w:contextualSpacing/>
        <w:textAlignment w:val="auto"/>
        <w:rPr>
          <w:rFonts w:hint="eastAsia" w:ascii="黑体" w:hAnsi="黑体" w:eastAsia="黑体" w:cs="黑体"/>
          <w:color w:val="auto"/>
          <w:szCs w:val="21"/>
          <w:highlight w:val="none"/>
        </w:rPr>
      </w:pPr>
      <w:r>
        <w:rPr>
          <w:rFonts w:hint="eastAsia" w:ascii="黑体" w:hAnsi="黑体" w:eastAsia="黑体" w:cs="黑体"/>
          <w:iCs/>
          <w:color w:val="auto"/>
          <w:szCs w:val="21"/>
          <w:highlight w:val="none"/>
          <w:lang w:val="en-US" w:eastAsia="zh-CN"/>
        </w:rPr>
        <w:t>采购</w:t>
      </w:r>
      <w:r>
        <w:rPr>
          <w:rFonts w:hint="eastAsia" w:ascii="黑体" w:hAnsi="黑体" w:eastAsia="黑体" w:cs="黑体"/>
          <w:iCs/>
          <w:color w:val="auto"/>
          <w:szCs w:val="21"/>
          <w:highlight w:val="none"/>
        </w:rPr>
        <w:t>清单</w:t>
      </w:r>
    </w:p>
    <w:tbl>
      <w:tblPr>
        <w:tblStyle w:val="19"/>
        <w:tblW w:w="4997" w:type="pct"/>
        <w:jc w:val="center"/>
        <w:tblLayout w:type="autofit"/>
        <w:tblCellMar>
          <w:top w:w="0" w:type="dxa"/>
          <w:left w:w="108" w:type="dxa"/>
          <w:bottom w:w="0" w:type="dxa"/>
          <w:right w:w="108" w:type="dxa"/>
        </w:tblCellMar>
      </w:tblPr>
      <w:tblGrid>
        <w:gridCol w:w="661"/>
        <w:gridCol w:w="4168"/>
        <w:gridCol w:w="2362"/>
        <w:gridCol w:w="663"/>
        <w:gridCol w:w="663"/>
      </w:tblGrid>
      <w:tr w14:paraId="2F0BCD7D">
        <w:tblPrEx>
          <w:tblCellMar>
            <w:top w:w="0" w:type="dxa"/>
            <w:left w:w="108" w:type="dxa"/>
            <w:bottom w:w="0" w:type="dxa"/>
            <w:right w:w="108" w:type="dxa"/>
          </w:tblCellMar>
        </w:tblPrEx>
        <w:trPr>
          <w:trHeight w:val="567" w:hRule="exact"/>
          <w:jc w:val="center"/>
        </w:trPr>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77A3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序号</w:t>
            </w:r>
          </w:p>
        </w:tc>
        <w:tc>
          <w:tcPr>
            <w:tcW w:w="2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19A7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采购</w:t>
            </w:r>
            <w:r>
              <w:rPr>
                <w:rFonts w:hint="eastAsia" w:ascii="黑体" w:hAnsi="黑体" w:eastAsia="黑体" w:cs="黑体"/>
                <w:color w:val="auto"/>
                <w:kern w:val="0"/>
                <w:sz w:val="21"/>
                <w:szCs w:val="21"/>
                <w:highlight w:val="none"/>
              </w:rPr>
              <w:t>名称</w:t>
            </w:r>
          </w:p>
        </w:tc>
        <w:tc>
          <w:tcPr>
            <w:tcW w:w="1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88DF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技术标准与要求</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8F29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数量</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A5A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单位</w:t>
            </w:r>
          </w:p>
        </w:tc>
      </w:tr>
      <w:tr w14:paraId="40624688">
        <w:tblPrEx>
          <w:tblCellMar>
            <w:top w:w="0" w:type="dxa"/>
            <w:left w:w="108" w:type="dxa"/>
            <w:bottom w:w="0" w:type="dxa"/>
            <w:right w:w="108" w:type="dxa"/>
          </w:tblCellMar>
        </w:tblPrEx>
        <w:trPr>
          <w:trHeight w:val="567" w:hRule="exact"/>
          <w:jc w:val="center"/>
        </w:trPr>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02FF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1</w:t>
            </w:r>
          </w:p>
        </w:tc>
        <w:tc>
          <w:tcPr>
            <w:tcW w:w="2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CA18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智能摄像机</w:t>
            </w:r>
          </w:p>
        </w:tc>
        <w:tc>
          <w:tcPr>
            <w:tcW w:w="1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69CD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详细请见技术参数表1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EC18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68</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A8B38">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lang w:eastAsia="zh-CN"/>
              </w:rPr>
            </w:pPr>
            <w:r>
              <w:rPr>
                <w:rFonts w:hint="eastAsia" w:ascii="黑体" w:hAnsi="黑体" w:eastAsia="黑体" w:cs="黑体"/>
                <w:color w:val="auto"/>
                <w:kern w:val="0"/>
                <w:sz w:val="21"/>
                <w:szCs w:val="21"/>
                <w:highlight w:val="none"/>
                <w:lang w:val="en-US" w:eastAsia="zh-CN"/>
              </w:rPr>
              <w:t>台</w:t>
            </w:r>
          </w:p>
        </w:tc>
      </w:tr>
      <w:tr w14:paraId="685FCA4C">
        <w:tblPrEx>
          <w:tblCellMar>
            <w:top w:w="0" w:type="dxa"/>
            <w:left w:w="108" w:type="dxa"/>
            <w:bottom w:w="0" w:type="dxa"/>
            <w:right w:w="108" w:type="dxa"/>
          </w:tblCellMar>
        </w:tblPrEx>
        <w:trPr>
          <w:trHeight w:val="567" w:hRule="exact"/>
          <w:jc w:val="center"/>
        </w:trPr>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7323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2</w:t>
            </w:r>
          </w:p>
        </w:tc>
        <w:tc>
          <w:tcPr>
            <w:tcW w:w="2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B387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智慧教室主机</w:t>
            </w:r>
          </w:p>
        </w:tc>
        <w:tc>
          <w:tcPr>
            <w:tcW w:w="1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15A8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详细请见技术参数表2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FD2E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42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FD9D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lang w:val="en-US" w:eastAsia="zh-CN"/>
              </w:rPr>
              <w:t>台</w:t>
            </w:r>
          </w:p>
        </w:tc>
      </w:tr>
      <w:tr w14:paraId="5692E3FD">
        <w:tblPrEx>
          <w:tblCellMar>
            <w:top w:w="0" w:type="dxa"/>
            <w:left w:w="108" w:type="dxa"/>
            <w:bottom w:w="0" w:type="dxa"/>
            <w:right w:w="108" w:type="dxa"/>
          </w:tblCellMar>
        </w:tblPrEx>
        <w:trPr>
          <w:trHeight w:val="567" w:hRule="exact"/>
          <w:jc w:val="center"/>
        </w:trPr>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BD98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lang w:val="en-US" w:eastAsia="zh-CN"/>
              </w:rPr>
              <w:t>3</w:t>
            </w:r>
          </w:p>
        </w:tc>
        <w:tc>
          <w:tcPr>
            <w:tcW w:w="2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5A50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集成（</w:t>
            </w:r>
            <w:r>
              <w:rPr>
                <w:rFonts w:hint="eastAsia" w:ascii="黑体" w:hAnsi="黑体" w:eastAsia="黑体" w:cs="黑体"/>
                <w:color w:val="auto"/>
                <w:szCs w:val="21"/>
                <w:highlight w:val="none"/>
                <w:lang w:val="en-US" w:eastAsia="zh-CN"/>
              </w:rPr>
              <w:t>含</w:t>
            </w:r>
            <w:r>
              <w:rPr>
                <w:rFonts w:hint="eastAsia" w:ascii="黑体" w:hAnsi="黑体" w:eastAsia="黑体" w:cs="黑体"/>
                <w:color w:val="auto"/>
                <w:szCs w:val="21"/>
                <w:highlight w:val="none"/>
              </w:rPr>
              <w:t>材料及安装）</w:t>
            </w:r>
          </w:p>
        </w:tc>
        <w:tc>
          <w:tcPr>
            <w:tcW w:w="1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D479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rPr>
              <w:t>详细请见技术参数表</w:t>
            </w:r>
            <w:r>
              <w:rPr>
                <w:rFonts w:hint="eastAsia" w:ascii="黑体" w:hAnsi="黑体" w:eastAsia="黑体" w:cs="黑体"/>
                <w:color w:val="auto"/>
                <w:kern w:val="0"/>
                <w:sz w:val="21"/>
                <w:szCs w:val="21"/>
                <w:highlight w:val="none"/>
                <w:lang w:val="en-US" w:eastAsia="zh-CN"/>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5B56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lang w:val="en-US" w:eastAsia="zh-CN"/>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3113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黑体" w:hAnsi="黑体" w:eastAsia="黑体" w:cs="黑体"/>
                <w:color w:val="auto"/>
                <w:kern w:val="0"/>
                <w:sz w:val="21"/>
                <w:szCs w:val="21"/>
                <w:highlight w:val="none"/>
                <w:lang w:val="en-US" w:eastAsia="zh-CN"/>
              </w:rPr>
            </w:pPr>
            <w:r>
              <w:rPr>
                <w:rFonts w:hint="eastAsia" w:ascii="黑体" w:hAnsi="黑体" w:eastAsia="黑体" w:cs="黑体"/>
                <w:color w:val="auto"/>
                <w:kern w:val="0"/>
                <w:sz w:val="21"/>
                <w:szCs w:val="21"/>
                <w:highlight w:val="none"/>
                <w:lang w:val="en-US" w:eastAsia="zh-CN"/>
              </w:rPr>
              <w:t>项</w:t>
            </w:r>
          </w:p>
        </w:tc>
      </w:tr>
    </w:tbl>
    <w:p w14:paraId="53F996FA">
      <w:pPr>
        <w:pStyle w:val="31"/>
        <w:numPr>
          <w:ilvl w:val="0"/>
          <w:numId w:val="11"/>
        </w:numPr>
        <w:spacing w:line="360" w:lineRule="auto"/>
        <w:ind w:firstLineChars="0"/>
        <w:contextualSpacing/>
        <w:rPr>
          <w:rFonts w:hint="eastAsia" w:ascii="黑体" w:hAnsi="黑体" w:eastAsia="黑体" w:cs="黑体"/>
          <w:color w:val="auto"/>
          <w:szCs w:val="21"/>
          <w:highlight w:val="none"/>
        </w:rPr>
      </w:pPr>
      <w:r>
        <w:rPr>
          <w:rFonts w:hint="eastAsia" w:ascii="黑体" w:hAnsi="黑体" w:eastAsia="黑体" w:cs="黑体"/>
          <w:iCs/>
          <w:color w:val="auto"/>
          <w:szCs w:val="21"/>
          <w:highlight w:val="none"/>
        </w:rPr>
        <w:t>详细技术参数表</w:t>
      </w:r>
    </w:p>
    <w:tbl>
      <w:tblPr>
        <w:tblStyle w:val="19"/>
        <w:tblW w:w="4997" w:type="pct"/>
        <w:tblInd w:w="0" w:type="dxa"/>
        <w:tblLayout w:type="autofit"/>
        <w:tblCellMar>
          <w:top w:w="0" w:type="dxa"/>
          <w:left w:w="108" w:type="dxa"/>
          <w:bottom w:w="0" w:type="dxa"/>
          <w:right w:w="108" w:type="dxa"/>
        </w:tblCellMar>
      </w:tblPr>
      <w:tblGrid>
        <w:gridCol w:w="1066"/>
        <w:gridCol w:w="7451"/>
      </w:tblGrid>
      <w:tr w14:paraId="0C9FE543">
        <w:tblPrEx>
          <w:tblCellMar>
            <w:top w:w="0" w:type="dxa"/>
            <w:left w:w="108" w:type="dxa"/>
            <w:bottom w:w="0" w:type="dxa"/>
            <w:right w:w="108" w:type="dxa"/>
          </w:tblCellMar>
        </w:tblPrEx>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DEC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val="en-US" w:eastAsia="zh-CN"/>
              </w:rPr>
              <w:t>货物</w:t>
            </w:r>
            <w:r>
              <w:rPr>
                <w:rFonts w:hint="eastAsia" w:ascii="黑体" w:hAnsi="黑体" w:eastAsia="黑体" w:cs="黑体"/>
                <w:color w:val="auto"/>
                <w:sz w:val="21"/>
                <w:szCs w:val="21"/>
                <w:highlight w:val="none"/>
              </w:rPr>
              <w:t>名称</w:t>
            </w:r>
          </w:p>
        </w:tc>
        <w:tc>
          <w:tcPr>
            <w:tcW w:w="4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02B3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技术标准与要求</w:t>
            </w:r>
          </w:p>
        </w:tc>
      </w:tr>
      <w:tr w14:paraId="0F3F7890">
        <w:tblPrEx>
          <w:tblCellMar>
            <w:top w:w="0" w:type="dxa"/>
            <w:left w:w="108" w:type="dxa"/>
            <w:bottom w:w="0" w:type="dxa"/>
            <w:right w:w="108" w:type="dxa"/>
          </w:tblCellMar>
        </w:tblPrEx>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DE9E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智能摄像机</w:t>
            </w:r>
          </w:p>
        </w:tc>
        <w:tc>
          <w:tcPr>
            <w:tcW w:w="4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E834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kern w:val="2"/>
                <w:sz w:val="21"/>
                <w:szCs w:val="21"/>
                <w:highlight w:val="none"/>
                <w:lang w:val="en-US" w:eastAsia="zh-CN" w:bidi="ar-SA"/>
              </w:rPr>
              <w:t>一、</w:t>
            </w:r>
            <w:r>
              <w:rPr>
                <w:rFonts w:hint="eastAsia" w:ascii="黑体" w:hAnsi="黑体" w:eastAsia="黑体" w:cs="黑体"/>
                <w:color w:val="auto"/>
                <w:sz w:val="21"/>
                <w:szCs w:val="21"/>
                <w:highlight w:val="none"/>
                <w:lang w:val="en-US" w:eastAsia="zh-CN"/>
              </w:rPr>
              <w:t>配置要求</w:t>
            </w:r>
          </w:p>
          <w:p w14:paraId="0DA10246">
            <w:pPr>
              <w:keepNext w:val="0"/>
              <w:keepLines w:val="0"/>
              <w:pageBreakBefore w:val="0"/>
              <w:widowControl w:val="0"/>
              <w:numPr>
                <w:ilvl w:val="-1"/>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1.传感器：CMOS，1/2.8英寸，有效像素</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800万；</w:t>
            </w:r>
          </w:p>
          <w:p w14:paraId="4AB02FB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2.镜头：焦距：f=7.2mm，水平视场角：</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42°；</w:t>
            </w:r>
          </w:p>
          <w:p w14:paraId="792B2B4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3.数字变焦：</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8倍；</w:t>
            </w:r>
          </w:p>
          <w:p w14:paraId="2E3E246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4.电子快门：1/30s～1/10000s；</w:t>
            </w:r>
          </w:p>
          <w:p w14:paraId="6A4FB0C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5.最低照度：0.5Lux@（F1.8，AGC ON）；</w:t>
            </w:r>
          </w:p>
          <w:p w14:paraId="7E1E779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6.信噪比：</w:t>
            </w:r>
            <w:r>
              <w:rPr>
                <w:rFonts w:hint="eastAsia" w:ascii="黑体" w:hAnsi="黑体" w:eastAsia="黑体" w:cs="黑体"/>
                <w:color w:val="auto"/>
                <w:sz w:val="21"/>
                <w:szCs w:val="21"/>
                <w:highlight w:val="none"/>
                <w:lang w:val="en-US" w:eastAsia="zh-CN"/>
              </w:rPr>
              <w:t>≤</w:t>
            </w:r>
            <w:r>
              <w:rPr>
                <w:rFonts w:hint="eastAsia" w:ascii="黑体" w:hAnsi="黑体" w:eastAsia="黑体" w:cs="黑体"/>
                <w:color w:val="auto"/>
                <w:sz w:val="21"/>
                <w:szCs w:val="21"/>
                <w:highlight w:val="none"/>
              </w:rPr>
              <w:t>55dB；</w:t>
            </w:r>
          </w:p>
          <w:p w14:paraId="6B0671B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7.图像处理：背光补偿、2D，3D数字降噪、白平衡。</w:t>
            </w:r>
          </w:p>
          <w:p w14:paraId="61FE9F1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8.视频接口：3G-SDI</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1，支持PoC；</w:t>
            </w:r>
          </w:p>
          <w:p w14:paraId="6432C61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9.音频接口：Line in</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1，3芯凤凰口；</w:t>
            </w:r>
          </w:p>
          <w:p w14:paraId="49CB86B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10.USB接口：USB2.0</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1，A型插座；</w:t>
            </w:r>
          </w:p>
          <w:p w14:paraId="5BC5452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11.网络接口：RJ45</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1，10M/100M自适应；</w:t>
            </w:r>
          </w:p>
          <w:p w14:paraId="26F5E8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12.网络协议：TCP/IP、HTTP、RTSP、RTMP；</w:t>
            </w:r>
          </w:p>
          <w:p w14:paraId="0A82BD4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13.视频分辨率：3840</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2160、1920</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1080、1280</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720；</w:t>
            </w:r>
          </w:p>
          <w:p w14:paraId="04207C1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14.视频码率：可变码率、固定码率，码率范围32kbps～16384kbps；</w:t>
            </w:r>
          </w:p>
          <w:p w14:paraId="04F8E5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15.音频码率：96Kbps、128Kbps、256Kbps；</w:t>
            </w:r>
          </w:p>
          <w:p w14:paraId="2315ABC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16.视频编码：H.264、MJPEG；</w:t>
            </w:r>
          </w:p>
          <w:p w14:paraId="3A49AA9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17.音频编码：AAC、G.711A；</w:t>
            </w:r>
          </w:p>
          <w:p w14:paraId="73B68D9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18.电源支持：DC 12V、PoE（802.3af）；</w:t>
            </w:r>
          </w:p>
          <w:p w14:paraId="4BDD19C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rPr>
              <w:t>19.自动跟踪：内置图像识别和跟踪算法，实现人物自动跟踪</w:t>
            </w:r>
            <w:r>
              <w:rPr>
                <w:rFonts w:hint="eastAsia" w:ascii="黑体" w:hAnsi="黑体" w:eastAsia="黑体" w:cs="黑体"/>
                <w:color w:val="auto"/>
                <w:sz w:val="21"/>
                <w:szCs w:val="21"/>
                <w:highlight w:val="none"/>
                <w:lang w:eastAsia="zh-CN"/>
              </w:rPr>
              <w:t>；</w:t>
            </w:r>
          </w:p>
          <w:p w14:paraId="7E2A765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20.兼容性：支持与原有督导平台（青鹿）连接，配合学校原有摄像机，实现双视频画面的呈现。</w:t>
            </w:r>
          </w:p>
        </w:tc>
      </w:tr>
      <w:tr w14:paraId="60F3D3C2">
        <w:tblPrEx>
          <w:tblCellMar>
            <w:top w:w="0" w:type="dxa"/>
            <w:left w:w="108" w:type="dxa"/>
            <w:bottom w:w="0" w:type="dxa"/>
            <w:right w:w="108" w:type="dxa"/>
          </w:tblCellMar>
        </w:tblPrEx>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D0A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智慧教室主机</w:t>
            </w:r>
          </w:p>
        </w:tc>
        <w:tc>
          <w:tcPr>
            <w:tcW w:w="4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3452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一、配置要求：</w:t>
            </w:r>
          </w:p>
          <w:p w14:paraId="5BD0E1D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1.系统架构：需采用嵌入式架构设计，且为了便于设备的远程管理、维护和升级，需内置操作系统和智慧课堂管理软件；</w:t>
            </w:r>
          </w:p>
          <w:p w14:paraId="06A1A20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2.处理器：四核、1.8GHz及以上；</w:t>
            </w:r>
          </w:p>
          <w:p w14:paraId="731CA18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3.内存容量：≥2GB；</w:t>
            </w:r>
          </w:p>
          <w:p w14:paraId="67ED68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4.视频接口：HDMI in≥1，HDMI out≥1，分辨率≥1080P@30Hz；</w:t>
            </w:r>
          </w:p>
          <w:p w14:paraId="5C485A7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5.音频接口：Line in≥1，Line out≥1；</w:t>
            </w:r>
          </w:p>
          <w:p w14:paraId="41DD4E7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6.网络接口：RJ45≥1，100M/1000M自适应；</w:t>
            </w:r>
          </w:p>
          <w:p w14:paraId="478E5B8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7.数据接口：USB2.0≥1，USB3.0≥1；</w:t>
            </w:r>
          </w:p>
          <w:p w14:paraId="62AB942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8.控制接口：RJ45≥1；</w:t>
            </w:r>
          </w:p>
          <w:p w14:paraId="1DB1E1F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9.节能环保：设备功耗不超过24W，且采用无风扇散热设计，低噪音不影响正常授课；</w:t>
            </w:r>
          </w:p>
          <w:p w14:paraId="0E1AC5D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10.兼容性：要求兼容不同网段或IP子网，并支持接入手机、平板、笔记本等终端，且终端之间可进行投屏；同时设备还需支持不少于80台终端的画面广播同屏，且平均同屏延时应在1.0秒内；</w:t>
            </w:r>
          </w:p>
          <w:p w14:paraId="53061C4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11.稳定性：为保证设备运行的稳定性，要求整机使用平均无故障运行时间(MTBF)应≥200000小时；</w:t>
            </w:r>
          </w:p>
          <w:p w14:paraId="29CF018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12.</w:t>
            </w:r>
            <w:r>
              <w:rPr>
                <w:rFonts w:hint="default" w:ascii="黑体" w:hAnsi="黑体" w:eastAsia="黑体" w:cs="黑体"/>
                <w:b w:val="0"/>
                <w:bCs/>
                <w:color w:val="auto"/>
                <w:szCs w:val="21"/>
                <w:highlight w:val="none"/>
                <w:lang w:val="en-US" w:eastAsia="zh-CN"/>
              </w:rPr>
              <w:t>电脑桌面画面</w:t>
            </w:r>
            <w:r>
              <w:rPr>
                <w:rFonts w:hint="eastAsia" w:ascii="黑体" w:hAnsi="黑体" w:eastAsia="黑体" w:cs="黑体"/>
                <w:color w:val="auto"/>
                <w:sz w:val="21"/>
                <w:szCs w:val="21"/>
                <w:highlight w:val="none"/>
                <w:lang w:eastAsia="zh-CN"/>
              </w:rPr>
              <w:t>：支持与原有督导平台（</w:t>
            </w:r>
            <w:r>
              <w:rPr>
                <w:rFonts w:hint="eastAsia" w:ascii="黑体" w:hAnsi="黑体" w:eastAsia="黑体" w:cs="黑体"/>
                <w:color w:val="auto"/>
                <w:sz w:val="21"/>
                <w:szCs w:val="21"/>
                <w:highlight w:val="none"/>
                <w:lang w:val="en-US" w:eastAsia="zh-CN"/>
              </w:rPr>
              <w:t>青鹿</w:t>
            </w:r>
            <w:r>
              <w:rPr>
                <w:rFonts w:hint="eastAsia" w:ascii="黑体" w:hAnsi="黑体" w:eastAsia="黑体" w:cs="黑体"/>
                <w:color w:val="auto"/>
                <w:sz w:val="21"/>
                <w:szCs w:val="21"/>
                <w:highlight w:val="none"/>
                <w:lang w:eastAsia="zh-CN"/>
              </w:rPr>
              <w:t>）连接，实现将教师授课电脑桌面画面推送至平台实时呈现。</w:t>
            </w:r>
          </w:p>
          <w:p w14:paraId="2C12EB2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二、管理软件：</w:t>
            </w:r>
          </w:p>
          <w:p w14:paraId="4B318BC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1.系统架构：需采用B/S架构，且支持配置网络访问地址和端口号，方便对主机的管理和维护；</w:t>
            </w:r>
          </w:p>
          <w:p w14:paraId="6391A17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2.系统安全：需具备密码保护，且支持密码错误超过一定次数后自动锁定登录；</w:t>
            </w:r>
          </w:p>
          <w:p w14:paraId="7EC92CF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3.版本管理：支持检查系统版本，并提供在线或离线的系统升级方式；</w:t>
            </w:r>
          </w:p>
          <w:p w14:paraId="722FD06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4.系统时间：支持手动配置或自动同步网络时间；</w:t>
            </w:r>
          </w:p>
          <w:p w14:paraId="378341D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5.设备管理：支持远程手动重启或每天定时自动重启设备；</w:t>
            </w:r>
          </w:p>
          <w:p w14:paraId="43F6C62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6.数据同步：支持与平台对接，实现课前备课数据的下载、课堂互动数据的记录与同步；</w:t>
            </w:r>
          </w:p>
          <w:p w14:paraId="15E5A73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7.应用服务：可为课堂教学活动提供应用接入、处理、调度等服务，保证课堂互动的稳定开展；</w:t>
            </w:r>
          </w:p>
          <w:p w14:paraId="591295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8.要求软件在出厂时内嵌于智慧课堂主机中，且应具备</w:t>
            </w:r>
            <w:r>
              <w:rPr>
                <w:rFonts w:hint="eastAsia" w:ascii="黑体" w:hAnsi="黑体" w:eastAsia="黑体" w:cs="黑体"/>
                <w:color w:val="auto"/>
                <w:sz w:val="21"/>
                <w:szCs w:val="21"/>
                <w:highlight w:val="none"/>
                <w:lang w:val="en-US" w:eastAsia="zh-CN"/>
              </w:rPr>
              <w:t>计算机软件著作权证书</w:t>
            </w:r>
            <w:r>
              <w:rPr>
                <w:rFonts w:hint="eastAsia" w:ascii="黑体" w:hAnsi="黑体" w:eastAsia="黑体" w:cs="黑体"/>
                <w:color w:val="auto"/>
                <w:sz w:val="21"/>
                <w:szCs w:val="21"/>
                <w:highlight w:val="none"/>
                <w:lang w:eastAsia="zh-CN"/>
              </w:rPr>
              <w:t>。</w:t>
            </w:r>
          </w:p>
          <w:p w14:paraId="59D27CB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三、互动软件</w:t>
            </w:r>
          </w:p>
          <w:p w14:paraId="7D50E27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一</w:t>
            </w:r>
            <w:r>
              <w:rPr>
                <w:rFonts w:hint="eastAsia" w:ascii="黑体" w:hAnsi="黑体" w:eastAsia="黑体" w:cs="黑体"/>
                <w:color w:val="auto"/>
                <w:sz w:val="21"/>
                <w:szCs w:val="21"/>
                <w:highlight w:val="none"/>
                <w:lang w:eastAsia="zh-CN"/>
              </w:rPr>
              <w:t>）总体要求</w:t>
            </w:r>
          </w:p>
          <w:p w14:paraId="420D2F7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1.系统架构：为了保证软件使用的稳定性和高效性，需采用C/S架构，不接受纯软件架构和单机式软件。</w:t>
            </w:r>
          </w:p>
          <w:p w14:paraId="0A268B0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界面风格：教师端软件需采用浮动式工具栏，且工具栏支持显示、隐藏、左右切换和任意拖动等操作；学生端软件需支持手机、平板、PC电脑等终端，并兼容Android、iOS、Windows等操作系统，也支持微信小程序和H5页面形式，满足轻量化课堂学习的需要。</w:t>
            </w:r>
          </w:p>
          <w:p w14:paraId="6459F96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3.语言兼容：需至少支持简体中文、繁体中文和英文。</w:t>
            </w:r>
          </w:p>
          <w:p w14:paraId="2679103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4.软件应具备</w:t>
            </w:r>
            <w:r>
              <w:rPr>
                <w:rFonts w:hint="eastAsia" w:ascii="黑体" w:hAnsi="黑体" w:eastAsia="黑体" w:cs="黑体"/>
                <w:color w:val="auto"/>
                <w:sz w:val="21"/>
                <w:szCs w:val="21"/>
                <w:highlight w:val="none"/>
                <w:lang w:val="en-US" w:eastAsia="zh-CN"/>
              </w:rPr>
              <w:t>计算机软件著作权证书</w:t>
            </w:r>
            <w:r>
              <w:rPr>
                <w:rFonts w:hint="eastAsia" w:ascii="黑体" w:hAnsi="黑体" w:eastAsia="黑体" w:cs="黑体"/>
                <w:color w:val="auto"/>
                <w:sz w:val="21"/>
                <w:szCs w:val="21"/>
                <w:highlight w:val="none"/>
                <w:lang w:eastAsia="zh-CN"/>
              </w:rPr>
              <w:t>。</w:t>
            </w:r>
          </w:p>
          <w:p w14:paraId="0FCDA17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二</w:t>
            </w:r>
            <w:r>
              <w:rPr>
                <w:rFonts w:hint="eastAsia" w:ascii="黑体" w:hAnsi="黑体" w:eastAsia="黑体" w:cs="黑体"/>
                <w:color w:val="auto"/>
                <w:sz w:val="21"/>
                <w:szCs w:val="21"/>
                <w:highlight w:val="none"/>
                <w:lang w:eastAsia="zh-CN"/>
              </w:rPr>
              <w:t>）课堂授课</w:t>
            </w:r>
          </w:p>
          <w:p w14:paraId="2157D9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1.登录认证：支持账号密码和微信扫码认证两种登录方式，也支持自动关联课表免登录的方式。</w:t>
            </w:r>
          </w:p>
          <w:p w14:paraId="4AB50BC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2.课堂开课：支持按照教学计划进行正常开课和临时创建课程、班级进行临时开课。</w:t>
            </w:r>
          </w:p>
          <w:p w14:paraId="47D6861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3.课堂考勤：支持二维码和数字码两种加入课堂的考勤方式，且数字码具有4位、6位、9位可选，学生也可以旁听身份加入课堂，并支持实时查看学生的考勤名单。</w:t>
            </w:r>
          </w:p>
          <w:p w14:paraId="604A6D4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4.画笔批注：要求画笔粗细、颜色可选，满足教师对重点内容进行圈写、勾画等，且批注内容可撤销、恢复和清除，也可一键分享给学生。</w:t>
            </w:r>
          </w:p>
          <w:p w14:paraId="1134541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5.电子板书：要求板书底色、画笔粗细、颜色多种可选，且板书内容可擦除、撤销、恢复和清除，也可一键分享给学生。</w:t>
            </w:r>
          </w:p>
          <w:p w14:paraId="425A077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6.课件授课：支持同步平台备课资料，方便教师使用进行授课，而无需使用U盘拷贝的繁琐操作。</w:t>
            </w:r>
          </w:p>
          <w:p w14:paraId="648C181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7.文件分享：支持教师将课堂的文件资料分享给学生，免去学生使用U盘拷贝的麻烦。</w:t>
            </w:r>
          </w:p>
          <w:p w14:paraId="38625A6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8.移动授课：支持教师使用移动端远程控制课件的播放，也可拍摄照片进行实时展示、旋转与批注讲解，还支持实拍视频和录制视频的分享，对于录制视频还可控制其播放、暂停和进度；同时照片和视频还可自动归档，形成课堂相册，方便教师及时记录和分享精彩的课堂活动。</w:t>
            </w:r>
          </w:p>
          <w:p w14:paraId="2DED3B0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三</w:t>
            </w:r>
            <w:r>
              <w:rPr>
                <w:rFonts w:hint="eastAsia" w:ascii="黑体" w:hAnsi="黑体" w:eastAsia="黑体" w:cs="黑体"/>
                <w:color w:val="auto"/>
                <w:sz w:val="21"/>
                <w:szCs w:val="21"/>
                <w:highlight w:val="none"/>
                <w:lang w:eastAsia="zh-CN"/>
              </w:rPr>
              <w:t>）课堂互动</w:t>
            </w:r>
          </w:p>
          <w:p w14:paraId="0A8CCEE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1.选人互动：支持抢答、随机挑人两种选人方式。</w:t>
            </w:r>
          </w:p>
          <w:p w14:paraId="02428B7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2.弹幕互动：支持控制弹幕的开、关与滚动速度，且支持生成高频词词云。</w:t>
            </w:r>
          </w:p>
          <w:p w14:paraId="3876810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3.投票互动：支持截取任意授课内容发起实名或匿名投票，且支持教师在投票过程中实时查看学生的投票情况、设置倒计时。</w:t>
            </w:r>
          </w:p>
          <w:p w14:paraId="6885225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4.投屏互动：支持教师将教学内容广播给学生，学生也可以进行投屏展示，且在展示过程中可随时暂停拍摄画面，支持不少于4个学生同时投屏对比。</w:t>
            </w:r>
          </w:p>
          <w:p w14:paraId="3DC8F1C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5.作品展示：支持教师通过图片收集学生的作品并进行展示和对比，提供单画面、双画面、三画面、四画面及画中画等多种对比布局。</w:t>
            </w:r>
          </w:p>
          <w:p w14:paraId="03FD86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6.资料收集：支持教师通过文件收集学生的资料分享并进行展示和讲解。</w:t>
            </w:r>
          </w:p>
          <w:p w14:paraId="6F20F9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7.课堂提问：支持学生以文字、图片的形式向老师提问，教师可进行展示和解答。</w:t>
            </w:r>
          </w:p>
          <w:p w14:paraId="3FD29B1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8.课堂快照：支持教师开启/关闭课堂快照，开启后学生可自由获取当前教学内容的快照，并进行存档。</w:t>
            </w:r>
          </w:p>
          <w:p w14:paraId="2E2A69C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9.课堂评分：支持教师设置评分步长，并根据学生的课堂表现对个人或小组进行加减分，教师可自由选择学生进行评分，也可在选人互动环节对选中的学生进行评分。</w:t>
            </w:r>
          </w:p>
          <w:p w14:paraId="60D590E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10.课堂动态：支持以时间顺序展示各个课堂活动，学生可实时查看当前课堂学习动态，包含但不限于课堂评分情况、答题情况、弹幕、提问、选人情况等数据。</w:t>
            </w:r>
          </w:p>
          <w:p w14:paraId="05812BE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11.课堂资料：支持学生查看课堂的过程性资料，包含但不限于批注、板书、文件、快照等，可按课程、资料类型和时间段进行筛选，也可按时间排序和关键字检索，方便查找定位资料。</w:t>
            </w:r>
          </w:p>
          <w:p w14:paraId="48D868A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12.课堂报告：支持学生查看所有课堂报告，并可按课程、时间段进行筛选和按时间排序查看，课堂报告内容包含但不限于课堂评分、互动频次、答题统计、课堂资料、弹幕、课堂提问等，方便学生课后进行回顾学习和记录心得体会。</w:t>
            </w:r>
          </w:p>
          <w:p w14:paraId="76A06C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四</w:t>
            </w:r>
            <w:r>
              <w:rPr>
                <w:rFonts w:hint="eastAsia" w:ascii="黑体" w:hAnsi="黑体" w:eastAsia="黑体" w:cs="黑体"/>
                <w:color w:val="auto"/>
                <w:sz w:val="21"/>
                <w:szCs w:val="21"/>
                <w:highlight w:val="none"/>
                <w:lang w:eastAsia="zh-CN"/>
              </w:rPr>
              <w:t>）课堂测验</w:t>
            </w:r>
          </w:p>
          <w:p w14:paraId="7326441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测验方式：支持课前预设、本地文件和截屏等多种课堂测验方式，课前预设支持同步教师课前在平台上预先备好的测验题，本地文件支持教师直接导入本地测验文件，截屏支持教师截取任意教学内容作为测验题。</w:t>
            </w:r>
          </w:p>
          <w:p w14:paraId="0EEC55A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2.测验题型：支持单选、多选、判断、解答等多种测验题型。</w:t>
            </w:r>
          </w:p>
          <w:p w14:paraId="22CE3BE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3.测验答题：三种测验方式均需支持同时布置多道题，且需至少支持选择答案、文字输入和拍照等答题方式，支持教师在测验过程中实时查看学生的答题进度，也可通过倒计时自动收卷或手动收卷。</w:t>
            </w:r>
          </w:p>
          <w:p w14:paraId="398FCDD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4.测验统计：支持客观题自动统计正确率并以可视化图表呈现，主观题以照片墙形式呈现学生答案，教师可同时浏览多个学生答案，也可选择答案进行展示讲解。</w:t>
            </w:r>
          </w:p>
          <w:p w14:paraId="422CBC5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五</w:t>
            </w:r>
            <w:r>
              <w:rPr>
                <w:rFonts w:hint="eastAsia" w:ascii="黑体" w:hAnsi="黑体" w:eastAsia="黑体" w:cs="黑体"/>
                <w:color w:val="auto"/>
                <w:sz w:val="21"/>
                <w:szCs w:val="21"/>
                <w:highlight w:val="none"/>
                <w:lang w:eastAsia="zh-CN"/>
              </w:rPr>
              <w:t>）分组教学</w:t>
            </w:r>
          </w:p>
          <w:p w14:paraId="0BCB3C4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分组方式：支持课前预设、随机分组和自由分组多种分组方式，满足不同学科不同分组教学场景的需要；课前预设可同步教师在平台上定义的分组，随机分组可由系统随机分配小组成员，自由分组可由学生自主选组，也可教师进行调配。</w:t>
            </w:r>
          </w:p>
          <w:p w14:paraId="12E350D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2.分组互动：支持不少于8个分组，在分组过程中，教师可设置倒计时，也可选择任意分组进行答题、分发文件、抢答和随机挑人。</w:t>
            </w:r>
          </w:p>
          <w:p w14:paraId="12D5947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lang w:val="en-US" w:eastAsia="zh-CN"/>
              </w:rPr>
              <w:t>六</w:t>
            </w:r>
            <w:r>
              <w:rPr>
                <w:rFonts w:hint="eastAsia" w:ascii="黑体" w:hAnsi="黑体" w:eastAsia="黑体" w:cs="黑体"/>
                <w:color w:val="auto"/>
                <w:sz w:val="21"/>
                <w:szCs w:val="21"/>
                <w:highlight w:val="none"/>
                <w:lang w:eastAsia="zh-CN"/>
              </w:rPr>
              <w:t>）双屏教学</w:t>
            </w:r>
          </w:p>
          <w:p w14:paraId="7CE0349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1.双屏模式：支持识别和使用双屏幕显示的场景，非强制开启，教师可根据需要自主开启或关闭双屏模式，且支持状态保留，关闭后重新开启可恢复状态。</w:t>
            </w:r>
          </w:p>
          <w:p w14:paraId="382063D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2.课件展示：双屏均支持同时打开并展示多个课件资源，包含但不限于Word、图片、PPT等，且支持自由拖动和在双屏之间进行飞屏穿越。</w:t>
            </w:r>
          </w:p>
          <w:p w14:paraId="7C01F2D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3.双屏播放：支持PPT上下页连动功能，支持一屏播放PPT动画，另一屏显示PPT上一页的内容，且当PPT翻页时，显示上一页的屏幕内容也会自动跟随切换。也支持主屏幕在播放PPT时可以使辅屏同屏显示。</w:t>
            </w:r>
          </w:p>
          <w:p w14:paraId="0DFC70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4.单屏播放：支持一屏播放PPT，另一屏同时打开并展示多个课件资源，包含但不限于Word、图片、PPT等，且可一键互换两个屏幕的显示内容。</w:t>
            </w:r>
          </w:p>
          <w:p w14:paraId="61CCA5A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eastAsia="zh-CN"/>
              </w:rPr>
              <w:t>5.电子板书：支持三指下拉手势唤出电子板书，且双屏之间可共享同一板书内容。</w:t>
            </w:r>
          </w:p>
        </w:tc>
      </w:tr>
      <w:tr w14:paraId="4BF15089">
        <w:tblPrEx>
          <w:tblCellMar>
            <w:top w:w="0" w:type="dxa"/>
            <w:left w:w="108" w:type="dxa"/>
            <w:bottom w:w="0" w:type="dxa"/>
            <w:right w:w="108" w:type="dxa"/>
          </w:tblCellMar>
        </w:tblPrEx>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EC4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集成（含材料及安装）</w:t>
            </w:r>
          </w:p>
        </w:tc>
        <w:tc>
          <w:tcPr>
            <w:tcW w:w="43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A671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一、集成要求</w:t>
            </w:r>
          </w:p>
          <w:p w14:paraId="400C9EF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1.为</w:t>
            </w:r>
            <w:r>
              <w:rPr>
                <w:rFonts w:hint="eastAsia" w:ascii="黑体" w:hAnsi="黑体" w:eastAsia="黑体" w:cs="黑体"/>
                <w:color w:val="auto"/>
                <w:sz w:val="21"/>
                <w:szCs w:val="21"/>
                <w:highlight w:val="none"/>
                <w:lang w:eastAsia="zh-CN"/>
              </w:rPr>
              <w:t>每间</w:t>
            </w:r>
            <w:r>
              <w:rPr>
                <w:rFonts w:hint="eastAsia" w:ascii="黑体" w:hAnsi="黑体" w:eastAsia="黑体" w:cs="黑体"/>
                <w:color w:val="auto"/>
                <w:sz w:val="21"/>
                <w:szCs w:val="21"/>
                <w:highlight w:val="none"/>
                <w:lang w:val="en-US" w:eastAsia="zh-CN"/>
              </w:rPr>
              <w:t>多媒体</w:t>
            </w:r>
            <w:r>
              <w:rPr>
                <w:rFonts w:hint="eastAsia" w:ascii="黑体" w:hAnsi="黑体" w:eastAsia="黑体" w:cs="黑体"/>
                <w:color w:val="auto"/>
                <w:sz w:val="21"/>
                <w:szCs w:val="21"/>
                <w:highlight w:val="none"/>
                <w:lang w:eastAsia="zh-CN"/>
              </w:rPr>
              <w:t>教室</w:t>
            </w:r>
            <w:r>
              <w:rPr>
                <w:rFonts w:hint="eastAsia" w:ascii="黑体" w:hAnsi="黑体" w:eastAsia="黑体" w:cs="黑体"/>
                <w:color w:val="auto"/>
                <w:sz w:val="21"/>
                <w:szCs w:val="21"/>
                <w:highlight w:val="none"/>
                <w:lang w:val="en-US" w:eastAsia="zh-CN"/>
              </w:rPr>
              <w:t>配备</w:t>
            </w:r>
            <w:r>
              <w:rPr>
                <w:rFonts w:hint="eastAsia" w:ascii="黑体" w:hAnsi="黑体" w:eastAsia="黑体" w:cs="黑体"/>
                <w:color w:val="auto"/>
                <w:sz w:val="21"/>
                <w:szCs w:val="21"/>
                <w:highlight w:val="none"/>
                <w:lang w:eastAsia="zh-CN"/>
              </w:rPr>
              <w:t>网线、音频线、电源线、辅材、线材、线管、螺丝、码仔、电工胶布、波纹管等。</w:t>
            </w:r>
          </w:p>
          <w:p w14:paraId="58DFC06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2.</w:t>
            </w:r>
            <w:r>
              <w:rPr>
                <w:rFonts w:hint="eastAsia" w:ascii="黑体" w:hAnsi="黑体" w:eastAsia="黑体" w:cs="黑体"/>
                <w:color w:val="auto"/>
                <w:sz w:val="21"/>
                <w:szCs w:val="21"/>
                <w:highlight w:val="none"/>
                <w:lang w:eastAsia="zh-CN"/>
              </w:rPr>
              <w:t>固定摄像头吊装使用的铝合金支架材质为高强度铝合金，具有质量轻、耐腐蚀、强度高的特点，能确保摄像头稳固安装，长期使用不易变形 。</w:t>
            </w:r>
          </w:p>
          <w:p w14:paraId="2C9F58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3.</w:t>
            </w:r>
            <w:r>
              <w:rPr>
                <w:rFonts w:hint="eastAsia" w:ascii="黑体" w:hAnsi="黑体" w:eastAsia="黑体" w:cs="黑体"/>
                <w:color w:val="auto"/>
                <w:sz w:val="21"/>
                <w:szCs w:val="21"/>
                <w:highlight w:val="none"/>
                <w:lang w:eastAsia="zh-CN"/>
              </w:rPr>
              <w:t>摄像机安装、网线电源综合布线、摄像机调试，</w:t>
            </w:r>
            <w:r>
              <w:rPr>
                <w:rFonts w:hint="eastAsia" w:ascii="黑体" w:hAnsi="黑体" w:eastAsia="黑体" w:cs="黑体"/>
                <w:color w:val="auto"/>
                <w:sz w:val="21"/>
                <w:szCs w:val="21"/>
                <w:highlight w:val="none"/>
                <w:lang w:val="en-US" w:eastAsia="zh-CN"/>
              </w:rPr>
              <w:t>服务</w:t>
            </w:r>
            <w:r>
              <w:rPr>
                <w:rFonts w:hint="eastAsia" w:ascii="黑体" w:hAnsi="黑体" w:eastAsia="黑体" w:cs="黑体"/>
                <w:color w:val="auto"/>
                <w:sz w:val="21"/>
                <w:szCs w:val="21"/>
                <w:highlight w:val="none"/>
                <w:lang w:eastAsia="zh-CN"/>
              </w:rPr>
              <w:t>人员要熟练掌握线槽安装、线缆穿管等技术，确保布线整齐、规范，同时避免信号干扰，保障各类信号稳定传输 。</w:t>
            </w:r>
          </w:p>
          <w:p w14:paraId="028BF38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4.</w:t>
            </w:r>
            <w:r>
              <w:rPr>
                <w:rFonts w:hint="eastAsia" w:ascii="黑体" w:hAnsi="黑体" w:eastAsia="黑体" w:cs="黑体"/>
                <w:color w:val="auto"/>
                <w:sz w:val="21"/>
                <w:szCs w:val="21"/>
                <w:highlight w:val="none"/>
                <w:lang w:eastAsia="zh-CN"/>
              </w:rPr>
              <w:t>摄像机接入学校现有的督导巡课平台（青鹿），保证视频数据能够实时、准确地传输至平台 。</w:t>
            </w:r>
          </w:p>
          <w:p w14:paraId="597699C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5.</w:t>
            </w:r>
            <w:r>
              <w:rPr>
                <w:rFonts w:hint="eastAsia" w:ascii="黑体" w:hAnsi="黑体" w:eastAsia="黑体" w:cs="黑体"/>
                <w:color w:val="auto"/>
                <w:sz w:val="21"/>
                <w:szCs w:val="21"/>
                <w:highlight w:val="none"/>
                <w:lang w:eastAsia="zh-CN"/>
              </w:rPr>
              <w:t>对接基础数据，需要根据课表在教师空间中自动创建课程。</w:t>
            </w:r>
          </w:p>
          <w:p w14:paraId="6FB3534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lang w:eastAsia="zh-CN"/>
              </w:rPr>
            </w:pPr>
            <w:r>
              <w:rPr>
                <w:rFonts w:hint="eastAsia" w:ascii="黑体" w:hAnsi="黑体" w:eastAsia="黑体" w:cs="黑体"/>
                <w:color w:val="auto"/>
                <w:sz w:val="21"/>
                <w:szCs w:val="21"/>
                <w:highlight w:val="none"/>
                <w:lang w:val="en-US" w:eastAsia="zh-CN"/>
              </w:rPr>
              <w:t>6.</w:t>
            </w:r>
            <w:r>
              <w:rPr>
                <w:rFonts w:hint="eastAsia" w:ascii="黑体" w:hAnsi="黑体" w:eastAsia="黑体" w:cs="黑体"/>
                <w:color w:val="auto"/>
                <w:sz w:val="21"/>
                <w:szCs w:val="21"/>
                <w:highlight w:val="none"/>
                <w:lang w:eastAsia="zh-CN"/>
              </w:rPr>
              <w:t>录制结束视频根据任课老师进行归档，后期任课老师登录到优课的教学空间，可对自己某节课的视频进行回看或者下载、删除。</w:t>
            </w:r>
          </w:p>
        </w:tc>
      </w:tr>
    </w:tbl>
    <w:p w14:paraId="4E75A8A2">
      <w:pPr>
        <w:pStyle w:val="31"/>
        <w:numPr>
          <w:ilvl w:val="0"/>
          <w:numId w:val="11"/>
        </w:numPr>
        <w:spacing w:line="360" w:lineRule="auto"/>
        <w:ind w:firstLineChars="0"/>
        <w:contextualSpacing/>
        <w:rPr>
          <w:rFonts w:hint="eastAsia" w:ascii="黑体" w:hAnsi="黑体" w:eastAsia="黑体" w:cs="黑体"/>
          <w:b/>
          <w:bCs w:val="0"/>
          <w:color w:val="auto"/>
          <w:highlight w:val="none"/>
        </w:rPr>
      </w:pPr>
      <w:r>
        <w:rPr>
          <w:rFonts w:hint="eastAsia" w:ascii="黑体" w:hAnsi="黑体" w:eastAsia="黑体" w:cs="黑体"/>
          <w:b/>
          <w:bCs w:val="0"/>
          <w:color w:val="auto"/>
          <w:highlight w:val="none"/>
          <w:lang w:val="en-US" w:eastAsia="zh-CN"/>
        </w:rPr>
        <w:t>★现场演示</w:t>
      </w:r>
    </w:p>
    <w:p w14:paraId="1FEC4E90">
      <w:pPr>
        <w:tabs>
          <w:tab w:val="left" w:pos="585"/>
        </w:tabs>
        <w:autoSpaceDE w:val="0"/>
        <w:autoSpaceDN w:val="0"/>
        <w:adjustRightInd w:val="0"/>
        <w:spacing w:line="360" w:lineRule="auto"/>
        <w:rPr>
          <w:rFonts w:hint="eastAsia" w:ascii="黑体" w:hAnsi="黑体" w:eastAsia="黑体" w:cs="黑体"/>
          <w:b/>
          <w:bCs w:val="0"/>
          <w:color w:val="auto"/>
          <w:szCs w:val="21"/>
          <w:highlight w:val="none"/>
          <w:lang w:val="zh-CN"/>
        </w:rPr>
      </w:pPr>
      <w:r>
        <w:rPr>
          <w:rFonts w:hint="eastAsia" w:ascii="黑体" w:hAnsi="黑体" w:eastAsia="黑体" w:cs="黑体"/>
          <w:b/>
          <w:bCs w:val="0"/>
          <w:color w:val="auto"/>
          <w:szCs w:val="21"/>
          <w:highlight w:val="none"/>
          <w:lang w:val="zh-CN"/>
        </w:rPr>
        <w:t>1.演示时间：现场计时，每个</w:t>
      </w:r>
      <w:r>
        <w:rPr>
          <w:rFonts w:hint="eastAsia" w:ascii="黑体" w:hAnsi="黑体" w:eastAsia="黑体" w:cs="黑体"/>
          <w:b/>
          <w:bCs w:val="0"/>
          <w:color w:val="auto"/>
          <w:szCs w:val="21"/>
          <w:highlight w:val="none"/>
          <w:lang w:val="en-US" w:eastAsia="zh-CN"/>
        </w:rPr>
        <w:t>供应商</w:t>
      </w:r>
      <w:r>
        <w:rPr>
          <w:rFonts w:hint="eastAsia" w:ascii="黑体" w:hAnsi="黑体" w:eastAsia="黑体" w:cs="黑体"/>
          <w:b/>
          <w:bCs w:val="0"/>
          <w:color w:val="auto"/>
          <w:szCs w:val="21"/>
          <w:highlight w:val="none"/>
          <w:lang w:val="zh-CN"/>
        </w:rPr>
        <w:t>演示时间不得超过</w:t>
      </w:r>
      <w:r>
        <w:rPr>
          <w:rFonts w:hint="eastAsia" w:ascii="黑体" w:hAnsi="黑体" w:eastAsia="黑体" w:cs="黑体"/>
          <w:b/>
          <w:bCs w:val="0"/>
          <w:color w:val="auto"/>
          <w:szCs w:val="21"/>
          <w:highlight w:val="none"/>
        </w:rPr>
        <w:t>20</w:t>
      </w:r>
      <w:r>
        <w:rPr>
          <w:rFonts w:hint="eastAsia" w:ascii="黑体" w:hAnsi="黑体" w:eastAsia="黑体" w:cs="黑体"/>
          <w:b/>
          <w:bCs w:val="0"/>
          <w:color w:val="auto"/>
          <w:szCs w:val="21"/>
          <w:highlight w:val="none"/>
          <w:lang w:val="zh-CN"/>
        </w:rPr>
        <w:t>分钟，在规定时间内演示，超过演示时间则停止演示。</w:t>
      </w:r>
    </w:p>
    <w:p w14:paraId="49836532">
      <w:pPr>
        <w:tabs>
          <w:tab w:val="left" w:pos="585"/>
        </w:tabs>
        <w:autoSpaceDE w:val="0"/>
        <w:autoSpaceDN w:val="0"/>
        <w:adjustRightInd w:val="0"/>
        <w:spacing w:line="360" w:lineRule="auto"/>
        <w:rPr>
          <w:rFonts w:hint="eastAsia" w:ascii="黑体" w:hAnsi="黑体" w:eastAsia="黑体" w:cs="黑体"/>
          <w:b/>
          <w:bCs w:val="0"/>
          <w:color w:val="auto"/>
          <w:szCs w:val="21"/>
          <w:highlight w:val="none"/>
          <w:lang w:val="zh-CN"/>
        </w:rPr>
      </w:pPr>
      <w:r>
        <w:rPr>
          <w:rFonts w:hint="eastAsia" w:ascii="黑体" w:hAnsi="黑体" w:eastAsia="黑体" w:cs="黑体"/>
          <w:b/>
          <w:bCs w:val="0"/>
          <w:color w:val="auto"/>
          <w:szCs w:val="21"/>
          <w:highlight w:val="none"/>
          <w:lang w:val="zh-CN"/>
        </w:rPr>
        <w:t>2.演示顺序：按</w:t>
      </w:r>
      <w:r>
        <w:rPr>
          <w:rFonts w:hint="eastAsia" w:ascii="黑体" w:hAnsi="黑体" w:eastAsia="黑体" w:cs="黑体"/>
          <w:b/>
          <w:bCs w:val="0"/>
          <w:color w:val="auto"/>
          <w:szCs w:val="21"/>
          <w:highlight w:val="none"/>
          <w:lang w:val="en-US" w:eastAsia="zh-CN"/>
        </w:rPr>
        <w:t>供应商</w:t>
      </w:r>
      <w:r>
        <w:rPr>
          <w:rFonts w:hint="eastAsia" w:ascii="黑体" w:hAnsi="黑体" w:eastAsia="黑体" w:cs="黑体"/>
          <w:b/>
          <w:bCs w:val="0"/>
          <w:color w:val="auto"/>
          <w:szCs w:val="21"/>
          <w:highlight w:val="none"/>
          <w:lang w:val="zh-CN"/>
        </w:rPr>
        <w:t>签到</w:t>
      </w:r>
      <w:r>
        <w:rPr>
          <w:rFonts w:hint="eastAsia" w:ascii="黑体" w:hAnsi="黑体" w:eastAsia="黑体" w:cs="黑体"/>
          <w:b/>
          <w:bCs w:val="0"/>
          <w:color w:val="auto"/>
          <w:szCs w:val="21"/>
          <w:highlight w:val="none"/>
        </w:rPr>
        <w:t>先后</w:t>
      </w:r>
      <w:r>
        <w:rPr>
          <w:rFonts w:hint="eastAsia" w:ascii="黑体" w:hAnsi="黑体" w:eastAsia="黑体" w:cs="黑体"/>
          <w:b/>
          <w:bCs w:val="0"/>
          <w:color w:val="auto"/>
          <w:szCs w:val="21"/>
          <w:highlight w:val="none"/>
          <w:lang w:val="zh-CN"/>
        </w:rPr>
        <w:t>顺序进行。</w:t>
      </w:r>
    </w:p>
    <w:p w14:paraId="12D6A842">
      <w:pPr>
        <w:tabs>
          <w:tab w:val="left" w:pos="585"/>
        </w:tabs>
        <w:autoSpaceDE w:val="0"/>
        <w:autoSpaceDN w:val="0"/>
        <w:adjustRightInd w:val="0"/>
        <w:spacing w:line="360" w:lineRule="auto"/>
        <w:rPr>
          <w:rFonts w:hint="eastAsia" w:ascii="黑体" w:hAnsi="黑体" w:eastAsia="黑体" w:cs="黑体"/>
          <w:b/>
          <w:bCs w:val="0"/>
          <w:color w:val="auto"/>
          <w:szCs w:val="21"/>
          <w:highlight w:val="none"/>
          <w:lang w:val="zh-CN"/>
        </w:rPr>
      </w:pPr>
      <w:r>
        <w:rPr>
          <w:rFonts w:hint="eastAsia" w:ascii="黑体" w:hAnsi="黑体" w:eastAsia="黑体" w:cs="黑体"/>
          <w:b/>
          <w:bCs w:val="0"/>
          <w:color w:val="auto"/>
          <w:szCs w:val="21"/>
          <w:highlight w:val="none"/>
          <w:lang w:val="zh-CN"/>
        </w:rPr>
        <w:t>3.</w:t>
      </w:r>
      <w:r>
        <w:rPr>
          <w:rFonts w:hint="eastAsia" w:ascii="黑体" w:hAnsi="黑体" w:eastAsia="黑体" w:cs="黑体"/>
          <w:b/>
          <w:bCs w:val="0"/>
          <w:color w:val="auto"/>
          <w:szCs w:val="21"/>
          <w:highlight w:val="none"/>
          <w:lang w:val="en-US" w:eastAsia="zh-CN"/>
        </w:rPr>
        <w:t>供应商</w:t>
      </w:r>
      <w:r>
        <w:rPr>
          <w:rFonts w:hint="eastAsia" w:ascii="黑体" w:hAnsi="黑体" w:eastAsia="黑体" w:cs="黑体"/>
          <w:b/>
          <w:bCs w:val="0"/>
          <w:color w:val="auto"/>
          <w:szCs w:val="21"/>
          <w:highlight w:val="none"/>
          <w:lang w:val="zh-CN"/>
        </w:rPr>
        <w:t>需自行配备演示设备，演示现场提供电源及投影屏幕（适用HDMI和VGA接口，其他转接口须自行准备）。</w:t>
      </w:r>
    </w:p>
    <w:p w14:paraId="0432BE2B">
      <w:pPr>
        <w:tabs>
          <w:tab w:val="left" w:pos="585"/>
        </w:tabs>
        <w:autoSpaceDE w:val="0"/>
        <w:autoSpaceDN w:val="0"/>
        <w:adjustRightInd w:val="0"/>
        <w:spacing w:line="360" w:lineRule="auto"/>
        <w:rPr>
          <w:rFonts w:hint="eastAsia" w:ascii="黑体" w:hAnsi="黑体" w:eastAsia="黑体" w:cs="黑体"/>
          <w:b/>
          <w:bCs w:val="0"/>
          <w:color w:val="auto"/>
          <w:szCs w:val="21"/>
          <w:highlight w:val="none"/>
          <w:lang w:val="zh-CN"/>
        </w:rPr>
      </w:pPr>
      <w:r>
        <w:rPr>
          <w:rFonts w:hint="eastAsia" w:ascii="黑体" w:hAnsi="黑体" w:eastAsia="黑体" w:cs="黑体"/>
          <w:b/>
          <w:bCs w:val="0"/>
          <w:color w:val="auto"/>
          <w:szCs w:val="21"/>
          <w:highlight w:val="none"/>
          <w:lang w:val="zh-CN"/>
        </w:rPr>
        <w:t>4.演示人员不得超过2人。</w:t>
      </w:r>
    </w:p>
    <w:p w14:paraId="3D08C1CF">
      <w:pPr>
        <w:pStyle w:val="31"/>
        <w:numPr>
          <w:ilvl w:val="0"/>
          <w:numId w:val="0"/>
        </w:numPr>
        <w:spacing w:line="360" w:lineRule="auto"/>
        <w:ind w:leftChars="0"/>
        <w:contextualSpacing/>
        <w:rPr>
          <w:rFonts w:hint="eastAsia" w:ascii="黑体" w:hAnsi="黑体" w:eastAsia="黑体" w:cs="黑体"/>
          <w:b/>
          <w:bCs w:val="0"/>
          <w:color w:val="auto"/>
          <w:szCs w:val="21"/>
          <w:highlight w:val="none"/>
          <w:lang w:val="zh-CN"/>
        </w:rPr>
      </w:pPr>
      <w:r>
        <w:rPr>
          <w:rFonts w:hint="eastAsia" w:ascii="黑体" w:hAnsi="黑体" w:eastAsia="黑体" w:cs="黑体"/>
          <w:b/>
          <w:bCs w:val="0"/>
          <w:color w:val="auto"/>
          <w:szCs w:val="21"/>
          <w:highlight w:val="none"/>
          <w:lang w:val="zh-CN"/>
        </w:rPr>
        <w:t>5.本项目</w:t>
      </w:r>
      <w:r>
        <w:rPr>
          <w:rFonts w:hint="eastAsia" w:ascii="黑体" w:hAnsi="黑体" w:eastAsia="黑体" w:cs="黑体"/>
          <w:b/>
          <w:bCs w:val="0"/>
          <w:color w:val="auto"/>
          <w:szCs w:val="21"/>
          <w:highlight w:val="none"/>
        </w:rPr>
        <w:t>须</w:t>
      </w:r>
      <w:r>
        <w:rPr>
          <w:rFonts w:hint="eastAsia" w:ascii="黑体" w:hAnsi="黑体" w:eastAsia="黑体" w:cs="黑体"/>
          <w:b/>
          <w:bCs w:val="0"/>
          <w:color w:val="auto"/>
          <w:szCs w:val="21"/>
          <w:highlight w:val="none"/>
          <w:lang w:val="zh-CN"/>
        </w:rPr>
        <w:t>在现场进行实际系统演示（PPT、word、录制视频或远程等演示方式无效）。</w:t>
      </w:r>
    </w:p>
    <w:p w14:paraId="55CFC964">
      <w:pPr>
        <w:pStyle w:val="31"/>
        <w:numPr>
          <w:ilvl w:val="0"/>
          <w:numId w:val="0"/>
        </w:numPr>
        <w:spacing w:line="360" w:lineRule="auto"/>
        <w:ind w:leftChars="0"/>
        <w:contextualSpacing/>
        <w:rPr>
          <w:rFonts w:hint="eastAsia"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6.供应商按下列要求提供相应功能的演示，不完全满足或未演示该项中的任意一个演示点均为无效响应：</w:t>
      </w:r>
    </w:p>
    <w:p w14:paraId="21C7883A">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default" w:ascii="黑体" w:hAnsi="黑体" w:eastAsia="黑体" w:cs="黑体"/>
          <w:b/>
          <w:bCs w:val="0"/>
          <w:color w:val="auto"/>
          <w:szCs w:val="21"/>
          <w:highlight w:val="none"/>
          <w:lang w:val="en-US" w:eastAsia="zh-CN"/>
        </w:rPr>
        <w:t>智能摄像机</w:t>
      </w:r>
      <w:r>
        <w:rPr>
          <w:rFonts w:hint="eastAsia" w:ascii="黑体" w:hAnsi="黑体" w:eastAsia="黑体" w:cs="黑体"/>
          <w:b/>
          <w:bCs w:val="0"/>
          <w:color w:val="auto"/>
          <w:szCs w:val="21"/>
          <w:highlight w:val="none"/>
          <w:lang w:val="en-US" w:eastAsia="zh-CN"/>
        </w:rPr>
        <w:t>部分：</w:t>
      </w:r>
    </w:p>
    <w:p w14:paraId="72C87D26">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①</w:t>
      </w:r>
      <w:r>
        <w:rPr>
          <w:rFonts w:hint="default" w:ascii="黑体" w:hAnsi="黑体" w:eastAsia="黑体" w:cs="黑体"/>
          <w:b/>
          <w:bCs w:val="0"/>
          <w:color w:val="auto"/>
          <w:szCs w:val="21"/>
          <w:highlight w:val="none"/>
          <w:lang w:val="en-US" w:eastAsia="zh-CN"/>
        </w:rPr>
        <w:t>兼容性：支持与原有督导平台</w:t>
      </w:r>
      <w:r>
        <w:rPr>
          <w:rFonts w:hint="eastAsia" w:ascii="黑体" w:hAnsi="黑体" w:eastAsia="黑体" w:cs="黑体"/>
          <w:b/>
          <w:bCs w:val="0"/>
          <w:color w:val="auto"/>
          <w:szCs w:val="21"/>
          <w:highlight w:val="none"/>
          <w:lang w:val="en-US" w:eastAsia="zh-CN"/>
        </w:rPr>
        <w:t>（青鹿）</w:t>
      </w:r>
      <w:r>
        <w:rPr>
          <w:rFonts w:hint="default" w:ascii="黑体" w:hAnsi="黑体" w:eastAsia="黑体" w:cs="黑体"/>
          <w:b/>
          <w:bCs w:val="0"/>
          <w:color w:val="auto"/>
          <w:szCs w:val="21"/>
          <w:highlight w:val="none"/>
          <w:lang w:val="en-US" w:eastAsia="zh-CN"/>
        </w:rPr>
        <w:t>连接，实现双视频画面的呈现。</w:t>
      </w:r>
    </w:p>
    <w:p w14:paraId="151DB461">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default" w:ascii="黑体" w:hAnsi="黑体" w:eastAsia="黑体" w:cs="黑体"/>
          <w:b/>
          <w:bCs w:val="0"/>
          <w:color w:val="auto"/>
          <w:szCs w:val="21"/>
          <w:highlight w:val="none"/>
          <w:lang w:val="en-US" w:eastAsia="zh-CN"/>
        </w:rPr>
        <w:t>智慧教室主机</w:t>
      </w:r>
      <w:r>
        <w:rPr>
          <w:rFonts w:hint="eastAsia" w:ascii="黑体" w:hAnsi="黑体" w:eastAsia="黑体" w:cs="黑体"/>
          <w:b/>
          <w:bCs w:val="0"/>
          <w:color w:val="auto"/>
          <w:szCs w:val="21"/>
          <w:highlight w:val="none"/>
          <w:lang w:val="en-US" w:eastAsia="zh-CN"/>
        </w:rPr>
        <w:t>部分：</w:t>
      </w:r>
    </w:p>
    <w:p w14:paraId="6A02CD91">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②</w:t>
      </w:r>
      <w:r>
        <w:rPr>
          <w:rFonts w:hint="default" w:ascii="黑体" w:hAnsi="黑体" w:eastAsia="黑体" w:cs="黑体"/>
          <w:b/>
          <w:bCs w:val="0"/>
          <w:color w:val="auto"/>
          <w:szCs w:val="21"/>
          <w:highlight w:val="none"/>
          <w:lang w:val="en-US" w:eastAsia="zh-CN"/>
        </w:rPr>
        <w:t>课堂考勤：支持二维码和数字码两种加入课堂的考勤方式，且数字码具有4位、6位、9位可选，学生也可以旁听身份加入课堂，并支持实时查看学生的考勤名单。</w:t>
      </w:r>
    </w:p>
    <w:p w14:paraId="71EA42DC">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③</w:t>
      </w:r>
      <w:r>
        <w:rPr>
          <w:rFonts w:hint="default" w:ascii="黑体" w:hAnsi="黑体" w:eastAsia="黑体" w:cs="黑体"/>
          <w:b/>
          <w:bCs w:val="0"/>
          <w:color w:val="auto"/>
          <w:szCs w:val="21"/>
          <w:highlight w:val="none"/>
          <w:lang w:val="en-US" w:eastAsia="zh-CN"/>
        </w:rPr>
        <w:t>移动授课：支持教师使用移动端远程控制课件的播放，也可拍摄照片进行实时展示、旋转与批注讲解，还支持实拍视频和录制视频的分享，对于录制视频还可控制其播放、暂停和进度；同时照片和视频还可自动归档，形成课堂相册，方便教师及时记录和分享精彩的课堂活动。</w:t>
      </w:r>
    </w:p>
    <w:p w14:paraId="23EAE7E0">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④</w:t>
      </w:r>
      <w:r>
        <w:rPr>
          <w:rFonts w:hint="default" w:ascii="黑体" w:hAnsi="黑体" w:eastAsia="黑体" w:cs="黑体"/>
          <w:b/>
          <w:bCs w:val="0"/>
          <w:color w:val="auto"/>
          <w:szCs w:val="21"/>
          <w:highlight w:val="none"/>
          <w:lang w:val="en-US" w:eastAsia="zh-CN"/>
        </w:rPr>
        <w:t>课堂评分：支持教师设置评分步长，并根据学生的课堂表现对个人或小组进行加减分，教师可自由选择学生进行评分，也可在选人互动环节对选中的学生进行评分。</w:t>
      </w:r>
    </w:p>
    <w:p w14:paraId="3EC4053D">
      <w:pPr>
        <w:pStyle w:val="31"/>
        <w:numPr>
          <w:ilvl w:val="0"/>
          <w:numId w:val="0"/>
        </w:numPr>
        <w:spacing w:line="360" w:lineRule="auto"/>
        <w:ind w:leftChars="0"/>
        <w:contextualSpacing/>
        <w:rPr>
          <w:rFonts w:hint="default" w:ascii="黑体" w:hAnsi="黑体" w:eastAsia="黑体" w:cs="黑体"/>
          <w:b/>
          <w:bCs w:val="0"/>
          <w:color w:val="auto"/>
          <w:szCs w:val="21"/>
          <w:highlight w:val="none"/>
          <w:lang w:val="en-US" w:eastAsia="zh-CN"/>
        </w:rPr>
      </w:pPr>
      <w:r>
        <w:rPr>
          <w:rFonts w:hint="eastAsia" w:ascii="黑体" w:hAnsi="黑体" w:eastAsia="黑体" w:cs="黑体"/>
          <w:b/>
          <w:bCs w:val="0"/>
          <w:color w:val="auto"/>
          <w:szCs w:val="21"/>
          <w:highlight w:val="none"/>
          <w:lang w:val="en-US" w:eastAsia="zh-CN"/>
        </w:rPr>
        <w:t>⑤</w:t>
      </w:r>
      <w:r>
        <w:rPr>
          <w:rFonts w:hint="default" w:ascii="黑体" w:hAnsi="黑体" w:eastAsia="黑体" w:cs="黑体"/>
          <w:b/>
          <w:bCs w:val="0"/>
          <w:color w:val="auto"/>
          <w:szCs w:val="21"/>
          <w:highlight w:val="none"/>
          <w:lang w:val="en-US" w:eastAsia="zh-CN"/>
        </w:rPr>
        <w:t>电脑桌面画面：支持与原有督导平台</w:t>
      </w:r>
      <w:r>
        <w:rPr>
          <w:rFonts w:hint="eastAsia" w:ascii="黑体" w:hAnsi="黑体" w:eastAsia="黑体" w:cs="黑体"/>
          <w:b/>
          <w:bCs w:val="0"/>
          <w:color w:val="auto"/>
          <w:szCs w:val="21"/>
          <w:highlight w:val="none"/>
          <w:lang w:val="en-US" w:eastAsia="zh-CN"/>
        </w:rPr>
        <w:t>（青鹿）</w:t>
      </w:r>
      <w:r>
        <w:rPr>
          <w:rFonts w:hint="default" w:ascii="黑体" w:hAnsi="黑体" w:eastAsia="黑体" w:cs="黑体"/>
          <w:b/>
          <w:bCs w:val="0"/>
          <w:color w:val="auto"/>
          <w:szCs w:val="21"/>
          <w:highlight w:val="none"/>
          <w:lang w:val="en-US" w:eastAsia="zh-CN"/>
        </w:rPr>
        <w:t>连接，实现将教师授课电脑桌面画面推送至平台实时呈现。</w:t>
      </w:r>
    </w:p>
    <w:p w14:paraId="65048031">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bookmarkStart w:id="23" w:name="_Toc20083"/>
      <w:r>
        <w:rPr>
          <w:rFonts w:hint="eastAsia" w:ascii="黑体" w:hAnsi="黑体" w:eastAsia="黑体" w:cs="黑体"/>
          <w:color w:val="auto"/>
          <w:spacing w:val="20"/>
          <w:sz w:val="32"/>
          <w:szCs w:val="32"/>
          <w:highlight w:val="none"/>
        </w:rPr>
        <w:t>第三部分 报价须知前附表</w:t>
      </w:r>
      <w:bookmarkEnd w:id="14"/>
      <w:bookmarkEnd w:id="15"/>
      <w:bookmarkEnd w:id="16"/>
      <w:bookmarkEnd w:id="23"/>
    </w:p>
    <w:p w14:paraId="78B6B5E8">
      <w:pPr>
        <w:tabs>
          <w:tab w:val="left" w:pos="426"/>
        </w:tabs>
        <w:spacing w:after="156" w:afterLines="50"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本表的条款项号是与报价须知条款项号对应的，或增加的条款，是对第四部分《报价须知》的补充、修改和完善，如果有矛盾的话，应以本表为准。</w:t>
      </w:r>
    </w:p>
    <w:tbl>
      <w:tblPr>
        <w:tblStyle w:val="19"/>
        <w:tblW w:w="4991"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01"/>
        <w:gridCol w:w="7406"/>
      </w:tblGrid>
      <w:tr w14:paraId="42B38F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146D8AE2">
            <w:pPr>
              <w:spacing w:line="360" w:lineRule="auto"/>
              <w:ind w:right="-183"/>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rPr>
              <w:t>条款项号</w:t>
            </w:r>
          </w:p>
        </w:tc>
        <w:tc>
          <w:tcPr>
            <w:tcW w:w="4352" w:type="pct"/>
            <w:tcBorders>
              <w:top w:val="single" w:color="auto" w:sz="4" w:space="0"/>
              <w:left w:val="single" w:color="auto" w:sz="4" w:space="0"/>
              <w:bottom w:val="single" w:color="auto" w:sz="4" w:space="0"/>
              <w:right w:val="single" w:color="auto" w:sz="4" w:space="0"/>
            </w:tcBorders>
            <w:vAlign w:val="center"/>
          </w:tcPr>
          <w:p w14:paraId="4975AE7B">
            <w:pPr>
              <w:spacing w:line="360" w:lineRule="auto"/>
              <w:ind w:right="-183"/>
              <w:jc w:val="center"/>
              <w:rPr>
                <w:rFonts w:hint="eastAsia" w:ascii="黑体" w:hAnsi="黑体" w:eastAsia="黑体" w:cs="黑体"/>
                <w:color w:val="auto"/>
                <w:spacing w:val="20"/>
                <w:szCs w:val="21"/>
                <w:highlight w:val="none"/>
              </w:rPr>
            </w:pPr>
            <w:r>
              <w:rPr>
                <w:rFonts w:hint="eastAsia" w:ascii="黑体" w:hAnsi="黑体" w:eastAsia="黑体" w:cs="黑体"/>
                <w:color w:val="auto"/>
                <w:spacing w:val="20"/>
                <w:szCs w:val="21"/>
                <w:highlight w:val="none"/>
              </w:rPr>
              <w:t>对应或增加的条款内容</w:t>
            </w:r>
          </w:p>
        </w:tc>
      </w:tr>
      <w:tr w14:paraId="4C7C0F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D8AAF82">
            <w:pPr>
              <w:spacing w:line="360" w:lineRule="auto"/>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对第四部分《报价须知》的修改及补充：</w:t>
            </w:r>
          </w:p>
        </w:tc>
      </w:tr>
      <w:tr w14:paraId="049AC7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14:paraId="4E73416F">
            <w:pPr>
              <w:spacing w:line="360" w:lineRule="auto"/>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1.2</w:t>
            </w:r>
          </w:p>
        </w:tc>
        <w:tc>
          <w:tcPr>
            <w:tcW w:w="4352" w:type="pct"/>
            <w:tcBorders>
              <w:top w:val="single" w:color="auto" w:sz="4" w:space="0"/>
              <w:left w:val="single" w:color="auto" w:sz="6" w:space="0"/>
              <w:bottom w:val="single" w:color="auto" w:sz="4" w:space="0"/>
              <w:right w:val="single" w:color="auto" w:sz="4" w:space="0"/>
            </w:tcBorders>
            <w:vAlign w:val="center"/>
          </w:tcPr>
          <w:p w14:paraId="36A21F62">
            <w:pPr>
              <w:spacing w:line="360" w:lineRule="auto"/>
              <w:ind w:right="-183"/>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资金来源：财政</w:t>
            </w:r>
            <w:r>
              <w:rPr>
                <w:rFonts w:hint="eastAsia" w:ascii="黑体" w:hAnsi="黑体" w:eastAsia="黑体" w:cs="黑体"/>
                <w:color w:val="auto"/>
                <w:szCs w:val="21"/>
                <w:highlight w:val="none"/>
                <w:lang w:val="en-US" w:eastAsia="zh-CN"/>
              </w:rPr>
              <w:t>性</w:t>
            </w:r>
            <w:r>
              <w:rPr>
                <w:rFonts w:hint="eastAsia" w:ascii="黑体" w:hAnsi="黑体" w:eastAsia="黑体" w:cs="黑体"/>
                <w:color w:val="auto"/>
                <w:szCs w:val="21"/>
                <w:highlight w:val="none"/>
              </w:rPr>
              <w:t>资金</w:t>
            </w:r>
          </w:p>
        </w:tc>
      </w:tr>
      <w:tr w14:paraId="00154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14:paraId="40D8A5C7">
            <w:pPr>
              <w:spacing w:line="360" w:lineRule="auto"/>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2.1</w:t>
            </w:r>
          </w:p>
        </w:tc>
        <w:tc>
          <w:tcPr>
            <w:tcW w:w="4352" w:type="pct"/>
            <w:tcBorders>
              <w:top w:val="single" w:color="auto" w:sz="4" w:space="0"/>
              <w:left w:val="single" w:color="auto" w:sz="6" w:space="0"/>
              <w:bottom w:val="single" w:color="auto" w:sz="4" w:space="0"/>
              <w:right w:val="single" w:color="auto" w:sz="4" w:space="0"/>
            </w:tcBorders>
            <w:vAlign w:val="center"/>
          </w:tcPr>
          <w:p w14:paraId="2AA3296F">
            <w:pPr>
              <w:keepNext w:val="0"/>
              <w:keepLines w:val="0"/>
              <w:pageBreakBefore w:val="0"/>
              <w:widowControl w:val="0"/>
              <w:kinsoku/>
              <w:wordWrap/>
              <w:overflowPunct/>
              <w:topLinePunct w:val="0"/>
              <w:autoSpaceDE/>
              <w:autoSpaceDN/>
              <w:bidi w:val="0"/>
              <w:adjustRightInd/>
              <w:snapToGrid/>
              <w:spacing w:line="360" w:lineRule="auto"/>
              <w:ind w:right="-183"/>
              <w:textAlignment w:val="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“采购人”是指：东莞理工学院</w:t>
            </w:r>
          </w:p>
          <w:p w14:paraId="5079636A">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hint="eastAsia" w:ascii="黑体" w:hAnsi="黑体" w:eastAsia="黑体" w:cs="黑体"/>
                <w:color w:val="auto"/>
                <w:szCs w:val="21"/>
                <w:highlight w:val="none"/>
                <w:lang w:val="en-US" w:eastAsia="zh-CN"/>
              </w:rPr>
            </w:pPr>
            <w:r>
              <w:rPr>
                <w:rFonts w:hint="eastAsia" w:ascii="黑体" w:hAnsi="黑体" w:eastAsia="黑体" w:cs="黑体"/>
                <w:color w:val="auto"/>
                <w:szCs w:val="21"/>
                <w:highlight w:val="none"/>
              </w:rPr>
              <w:t>采购人联系人：</w:t>
            </w:r>
            <w:r>
              <w:rPr>
                <w:rFonts w:hint="eastAsia" w:ascii="黑体" w:hAnsi="黑体" w:eastAsia="黑体" w:cs="黑体"/>
                <w:color w:val="auto"/>
                <w:szCs w:val="21"/>
                <w:highlight w:val="none"/>
                <w:lang w:val="en-US" w:eastAsia="zh-CN"/>
              </w:rPr>
              <w:t>陈老师</w:t>
            </w:r>
          </w:p>
          <w:p w14:paraId="5BE7AD0D">
            <w:pPr>
              <w:keepNext w:val="0"/>
              <w:keepLines w:val="0"/>
              <w:pageBreakBefore w:val="0"/>
              <w:widowControl w:val="0"/>
              <w:kinsoku/>
              <w:wordWrap/>
              <w:overflowPunct/>
              <w:topLinePunct w:val="0"/>
              <w:autoSpaceDE/>
              <w:autoSpaceDN/>
              <w:bidi w:val="0"/>
              <w:adjustRightInd/>
              <w:snapToGrid/>
              <w:spacing w:line="360" w:lineRule="auto"/>
              <w:ind w:right="-183" w:firstLine="105" w:firstLineChars="50"/>
              <w:textAlignment w:val="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  话：</w:t>
            </w:r>
            <w:r>
              <w:rPr>
                <w:rFonts w:hint="eastAsia" w:ascii="黑体" w:hAnsi="黑体" w:eastAsia="黑体" w:cs="黑体"/>
                <w:bCs/>
                <w:color w:val="auto"/>
                <w:szCs w:val="21"/>
                <w:highlight w:val="none"/>
              </w:rPr>
              <w:t>（0769）22861802、（0769）22861688</w:t>
            </w:r>
          </w:p>
          <w:p w14:paraId="7E805CA1">
            <w:pPr>
              <w:spacing w:line="360" w:lineRule="auto"/>
              <w:ind w:right="-183" w:firstLine="105" w:firstLineChars="5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bCs/>
                <w:color w:val="auto"/>
                <w:szCs w:val="21"/>
                <w:highlight w:val="none"/>
              </w:rPr>
              <w:t>广东省东莞市松山湖科技产业园区大学路1号</w:t>
            </w:r>
          </w:p>
        </w:tc>
      </w:tr>
      <w:tr w14:paraId="69AC6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6" w:space="0"/>
              <w:left w:val="single" w:color="auto" w:sz="6" w:space="0"/>
              <w:bottom w:val="single" w:color="auto" w:sz="6" w:space="0"/>
              <w:right w:val="single" w:color="auto" w:sz="6" w:space="0"/>
            </w:tcBorders>
            <w:vAlign w:val="center"/>
          </w:tcPr>
          <w:p w14:paraId="24493A38">
            <w:pPr>
              <w:spacing w:line="360" w:lineRule="auto"/>
              <w:jc w:val="left"/>
              <w:rPr>
                <w:rFonts w:hint="eastAsia" w:ascii="黑体" w:hAnsi="黑体" w:eastAsia="黑体" w:cs="黑体"/>
                <w:color w:val="auto"/>
                <w:szCs w:val="21"/>
                <w:highlight w:val="none"/>
                <w:lang w:val="zh-CN" w:eastAsia="zh-CN"/>
              </w:rPr>
            </w:pPr>
            <w:r>
              <w:rPr>
                <w:rFonts w:hint="eastAsia" w:ascii="黑体" w:hAnsi="黑体" w:eastAsia="黑体" w:cs="黑体"/>
                <w:color w:val="auto"/>
                <w:szCs w:val="21"/>
                <w:highlight w:val="none"/>
                <w:lang w:val="zh-CN"/>
              </w:rPr>
              <w:t>2.</w:t>
            </w:r>
            <w:r>
              <w:rPr>
                <w:rFonts w:hint="eastAsia" w:ascii="黑体" w:hAnsi="黑体" w:eastAsia="黑体" w:cs="黑体"/>
                <w:color w:val="auto"/>
                <w:szCs w:val="21"/>
                <w:highlight w:val="none"/>
                <w:lang w:val="en-US" w:eastAsia="zh-CN"/>
              </w:rPr>
              <w:t>2</w:t>
            </w:r>
          </w:p>
        </w:tc>
        <w:tc>
          <w:tcPr>
            <w:tcW w:w="4352" w:type="pct"/>
            <w:tcBorders>
              <w:top w:val="single" w:color="auto" w:sz="4" w:space="0"/>
              <w:left w:val="single" w:color="auto" w:sz="6" w:space="0"/>
              <w:bottom w:val="single" w:color="auto" w:sz="4" w:space="0"/>
              <w:right w:val="single" w:color="auto" w:sz="4" w:space="0"/>
            </w:tcBorders>
            <w:vAlign w:val="center"/>
          </w:tcPr>
          <w:p w14:paraId="284B3E94">
            <w:pPr>
              <w:spacing w:line="360" w:lineRule="auto"/>
              <w:ind w:right="-183"/>
              <w:rPr>
                <w:rFonts w:hint="eastAsia" w:ascii="黑体" w:hAnsi="黑体" w:eastAsia="黑体" w:cs="黑体"/>
                <w:color w:val="auto"/>
                <w:highlight w:val="none"/>
              </w:rPr>
            </w:pPr>
            <w:r>
              <w:rPr>
                <w:rFonts w:hint="eastAsia" w:ascii="黑体" w:hAnsi="黑体" w:eastAsia="黑体" w:cs="黑体"/>
                <w:color w:val="auto"/>
                <w:szCs w:val="21"/>
                <w:highlight w:val="none"/>
              </w:rPr>
              <w:t>“采购代理机构”是指：</w:t>
            </w:r>
            <w:bookmarkStart w:id="24" w:name="_Hlk46719640"/>
            <w:r>
              <w:rPr>
                <w:rFonts w:hint="eastAsia" w:ascii="黑体" w:hAnsi="黑体" w:eastAsia="黑体" w:cs="黑体"/>
                <w:color w:val="auto"/>
                <w:szCs w:val="21"/>
                <w:highlight w:val="none"/>
              </w:rPr>
              <w:t>广东有德招标采购有限公司</w:t>
            </w:r>
            <w:bookmarkEnd w:id="24"/>
          </w:p>
        </w:tc>
      </w:tr>
      <w:tr w14:paraId="730A49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16970079">
            <w:pPr>
              <w:spacing w:line="360" w:lineRule="auto"/>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11.1</w:t>
            </w:r>
          </w:p>
        </w:tc>
        <w:tc>
          <w:tcPr>
            <w:tcW w:w="4352" w:type="pct"/>
            <w:tcBorders>
              <w:top w:val="single" w:color="auto" w:sz="4" w:space="0"/>
              <w:left w:val="single" w:color="auto" w:sz="4" w:space="0"/>
              <w:bottom w:val="single" w:color="auto" w:sz="4" w:space="0"/>
              <w:right w:val="single" w:color="auto" w:sz="4" w:space="0"/>
            </w:tcBorders>
            <w:vAlign w:val="center"/>
          </w:tcPr>
          <w:p w14:paraId="42CDFA5B">
            <w:pPr>
              <w:spacing w:line="360" w:lineRule="auto"/>
              <w:ind w:right="-181"/>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响应文件份数：正本一份，副本三份；电子文件：一份。</w:t>
            </w:r>
          </w:p>
        </w:tc>
      </w:tr>
      <w:tr w14:paraId="0525A7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6CB2A889">
            <w:pPr>
              <w:spacing w:line="360" w:lineRule="auto"/>
              <w:ind w:right="-183"/>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12.5</w:t>
            </w:r>
          </w:p>
        </w:tc>
        <w:tc>
          <w:tcPr>
            <w:tcW w:w="4352" w:type="pct"/>
            <w:tcBorders>
              <w:top w:val="single" w:color="auto" w:sz="4" w:space="0"/>
              <w:left w:val="single" w:color="auto" w:sz="4" w:space="0"/>
              <w:bottom w:val="single" w:color="auto" w:sz="4" w:space="0"/>
              <w:right w:val="single" w:color="auto" w:sz="4" w:space="0"/>
            </w:tcBorders>
            <w:vAlign w:val="center"/>
          </w:tcPr>
          <w:p w14:paraId="1CF8857C">
            <w:pPr>
              <w:spacing w:line="360" w:lineRule="auto"/>
              <w:ind w:right="-183"/>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供应商的报价在合同执行期间是固定不变的，不得以任何理由予以变更。</w:t>
            </w:r>
          </w:p>
        </w:tc>
      </w:tr>
      <w:tr w14:paraId="002590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1090638F">
            <w:pPr>
              <w:spacing w:line="360" w:lineRule="auto"/>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14.1</w:t>
            </w:r>
          </w:p>
        </w:tc>
        <w:tc>
          <w:tcPr>
            <w:tcW w:w="4352" w:type="pct"/>
            <w:tcBorders>
              <w:top w:val="single" w:color="auto" w:sz="4" w:space="0"/>
              <w:left w:val="single" w:color="auto" w:sz="4" w:space="0"/>
              <w:bottom w:val="single" w:color="auto" w:sz="4" w:space="0"/>
              <w:right w:val="single" w:color="auto" w:sz="4" w:space="0"/>
            </w:tcBorders>
            <w:vAlign w:val="center"/>
          </w:tcPr>
          <w:p w14:paraId="0E4820F8">
            <w:pPr>
              <w:spacing w:line="360" w:lineRule="auto"/>
              <w:ind w:right="-40"/>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报价有效期：递交响应文件截止日后的</w:t>
            </w:r>
            <w:r>
              <w:rPr>
                <w:rFonts w:hint="eastAsia" w:ascii="黑体" w:hAnsi="黑体" w:eastAsia="黑体" w:cs="黑体"/>
                <w:color w:val="auto"/>
                <w:szCs w:val="21"/>
                <w:highlight w:val="none"/>
                <w:u w:val="single"/>
                <w:lang w:val="zh-CN"/>
              </w:rPr>
              <w:t>90</w:t>
            </w:r>
            <w:r>
              <w:rPr>
                <w:rFonts w:hint="eastAsia" w:ascii="黑体" w:hAnsi="黑体" w:eastAsia="黑体" w:cs="黑体"/>
                <w:color w:val="auto"/>
                <w:szCs w:val="21"/>
                <w:highlight w:val="none"/>
                <w:lang w:val="zh-CN"/>
              </w:rPr>
              <w:t>天</w:t>
            </w:r>
          </w:p>
        </w:tc>
      </w:tr>
      <w:tr w14:paraId="3AC411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3C265AFE">
            <w:pPr>
              <w:spacing w:line="360" w:lineRule="auto"/>
              <w:ind w:right="-183"/>
              <w:jc w:val="left"/>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rPr>
              <w:t>15.1</w:t>
            </w:r>
          </w:p>
        </w:tc>
        <w:tc>
          <w:tcPr>
            <w:tcW w:w="4352" w:type="pct"/>
            <w:tcBorders>
              <w:top w:val="single" w:color="auto" w:sz="4" w:space="0"/>
              <w:left w:val="single" w:color="auto" w:sz="4" w:space="0"/>
              <w:bottom w:val="single" w:color="auto" w:sz="4" w:space="0"/>
              <w:right w:val="single" w:color="auto" w:sz="4" w:space="0"/>
            </w:tcBorders>
            <w:vAlign w:val="center"/>
          </w:tcPr>
          <w:p w14:paraId="267D94D9">
            <w:pPr>
              <w:spacing w:line="360" w:lineRule="auto"/>
              <w:ind w:right="-183"/>
              <w:rPr>
                <w:rFonts w:hint="eastAsia" w:ascii="黑体" w:hAnsi="黑体" w:eastAsia="黑体" w:cs="黑体"/>
                <w:bCs/>
                <w:color w:val="auto"/>
                <w:spacing w:val="-4"/>
                <w:szCs w:val="21"/>
                <w:highlight w:val="none"/>
              </w:rPr>
            </w:pPr>
            <w:r>
              <w:rPr>
                <w:rFonts w:hint="eastAsia" w:ascii="黑体" w:hAnsi="黑体" w:eastAsia="黑体" w:cs="黑体"/>
                <w:bCs/>
                <w:color w:val="auto"/>
                <w:spacing w:val="-4"/>
                <w:szCs w:val="21"/>
                <w:highlight w:val="none"/>
                <w:lang w:eastAsia="zh-CN"/>
              </w:rPr>
              <w:t>供应商</w:t>
            </w:r>
            <w:r>
              <w:rPr>
                <w:rFonts w:hint="eastAsia" w:ascii="黑体" w:hAnsi="黑体" w:eastAsia="黑体" w:cs="黑体"/>
                <w:bCs/>
                <w:color w:val="auto"/>
                <w:spacing w:val="-4"/>
                <w:szCs w:val="21"/>
                <w:highlight w:val="none"/>
              </w:rPr>
              <w:t>投标时须附有</w:t>
            </w:r>
            <w:r>
              <w:rPr>
                <w:rFonts w:hint="eastAsia" w:ascii="黑体" w:hAnsi="黑体" w:eastAsia="黑体" w:cs="黑体"/>
                <w:bCs/>
                <w:color w:val="auto"/>
                <w:spacing w:val="-4"/>
                <w:szCs w:val="21"/>
                <w:highlight w:val="none"/>
                <w:lang w:eastAsia="zh-CN"/>
              </w:rPr>
              <w:t>询价保证金</w:t>
            </w:r>
            <w:r>
              <w:rPr>
                <w:rFonts w:hint="eastAsia" w:ascii="黑体" w:hAnsi="黑体" w:eastAsia="黑体" w:cs="黑体"/>
                <w:bCs/>
                <w:color w:val="auto"/>
                <w:spacing w:val="-4"/>
                <w:szCs w:val="21"/>
                <w:highlight w:val="none"/>
              </w:rPr>
              <w:t>为：</w:t>
            </w:r>
            <w:r>
              <w:rPr>
                <w:rFonts w:hint="eastAsia" w:ascii="黑体" w:hAnsi="黑体" w:eastAsia="黑体" w:cs="黑体"/>
                <w:bCs/>
                <w:color w:val="auto"/>
                <w:spacing w:val="-4"/>
                <w:szCs w:val="21"/>
                <w:highlight w:val="none"/>
                <w:u w:val="single"/>
                <w:lang w:val="en-US" w:eastAsia="zh-CN"/>
              </w:rPr>
              <w:t>本项目不收取询价保证金。</w:t>
            </w:r>
          </w:p>
        </w:tc>
      </w:tr>
      <w:tr w14:paraId="6AA285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79964FBA">
            <w:pPr>
              <w:spacing w:line="360" w:lineRule="auto"/>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22.2</w:t>
            </w:r>
          </w:p>
        </w:tc>
        <w:tc>
          <w:tcPr>
            <w:tcW w:w="4352" w:type="pct"/>
            <w:tcBorders>
              <w:top w:val="single" w:color="auto" w:sz="4" w:space="0"/>
              <w:left w:val="single" w:color="auto" w:sz="4" w:space="0"/>
              <w:bottom w:val="single" w:color="auto" w:sz="4" w:space="0"/>
              <w:right w:val="single" w:color="auto" w:sz="4" w:space="0"/>
            </w:tcBorders>
            <w:vAlign w:val="center"/>
          </w:tcPr>
          <w:p w14:paraId="167D93F9">
            <w:pPr>
              <w:spacing w:line="360" w:lineRule="auto"/>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 xml:space="preserve">评审方法：最低评标价法 </w:t>
            </w:r>
          </w:p>
        </w:tc>
      </w:tr>
      <w:tr w14:paraId="3C0092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77EC7674">
            <w:pPr>
              <w:spacing w:line="360" w:lineRule="auto"/>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27.1</w:t>
            </w:r>
          </w:p>
        </w:tc>
        <w:tc>
          <w:tcPr>
            <w:tcW w:w="4352" w:type="pct"/>
            <w:tcBorders>
              <w:top w:val="single" w:color="auto" w:sz="4" w:space="0"/>
              <w:left w:val="single" w:color="auto" w:sz="4" w:space="0"/>
              <w:bottom w:val="single" w:color="auto" w:sz="4" w:space="0"/>
              <w:right w:val="single" w:color="auto" w:sz="4" w:space="0"/>
            </w:tcBorders>
            <w:vAlign w:val="center"/>
          </w:tcPr>
          <w:p w14:paraId="4589369A">
            <w:pPr>
              <w:spacing w:line="360" w:lineRule="auto"/>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合同签订时间：自成交通知书发出之日起30日内</w:t>
            </w:r>
          </w:p>
        </w:tc>
      </w:tr>
      <w:tr w14:paraId="3AE430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right w:val="single" w:color="auto" w:sz="4" w:space="0"/>
            </w:tcBorders>
            <w:vAlign w:val="center"/>
          </w:tcPr>
          <w:p w14:paraId="7D02240C">
            <w:pPr>
              <w:spacing w:line="360" w:lineRule="auto"/>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28.1</w:t>
            </w:r>
          </w:p>
        </w:tc>
        <w:tc>
          <w:tcPr>
            <w:tcW w:w="4352" w:type="pct"/>
            <w:tcBorders>
              <w:top w:val="single" w:color="auto" w:sz="4" w:space="0"/>
              <w:left w:val="single" w:color="auto" w:sz="4" w:space="0"/>
              <w:bottom w:val="single" w:color="auto" w:sz="4" w:space="0"/>
              <w:right w:val="single" w:color="auto" w:sz="4" w:space="0"/>
            </w:tcBorders>
            <w:vAlign w:val="center"/>
          </w:tcPr>
          <w:p w14:paraId="6DF15E9A">
            <w:pPr>
              <w:spacing w:line="360" w:lineRule="auto"/>
              <w:ind w:right="-4"/>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履约保证金：</w:t>
            </w:r>
            <w:r>
              <w:rPr>
                <w:rFonts w:hint="eastAsia" w:ascii="黑体" w:hAnsi="黑体" w:eastAsia="黑体" w:cs="黑体"/>
                <w:bCs/>
                <w:color w:val="auto"/>
                <w:spacing w:val="-4"/>
                <w:szCs w:val="21"/>
                <w:highlight w:val="none"/>
                <w:u w:val="single"/>
                <w:lang w:val="en-US" w:eastAsia="zh-CN"/>
              </w:rPr>
              <w:t>本项目不收取履约保证金。</w:t>
            </w:r>
          </w:p>
        </w:tc>
      </w:tr>
      <w:tr w14:paraId="39EFDE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47" w:type="pct"/>
            <w:tcBorders>
              <w:top w:val="single" w:color="auto" w:sz="4" w:space="0"/>
              <w:left w:val="single" w:color="auto" w:sz="4" w:space="0"/>
              <w:bottom w:val="single" w:color="auto" w:sz="4" w:space="0"/>
              <w:right w:val="single" w:color="auto" w:sz="4" w:space="0"/>
            </w:tcBorders>
            <w:vAlign w:val="center"/>
          </w:tcPr>
          <w:p w14:paraId="4E7C4787">
            <w:pPr>
              <w:spacing w:line="360" w:lineRule="auto"/>
              <w:ind w:right="-4"/>
              <w:jc w:val="left"/>
              <w:rPr>
                <w:rFonts w:hint="eastAsia" w:ascii="黑体" w:hAnsi="黑体" w:eastAsia="黑体" w:cs="黑体"/>
                <w:color w:val="auto"/>
                <w:szCs w:val="21"/>
                <w:highlight w:val="none"/>
                <w:lang w:val="zh-CN"/>
              </w:rPr>
            </w:pPr>
            <w:r>
              <w:rPr>
                <w:rFonts w:hint="eastAsia" w:ascii="黑体" w:hAnsi="黑体" w:eastAsia="黑体" w:cs="黑体"/>
                <w:color w:val="auto"/>
                <w:szCs w:val="21"/>
                <w:highlight w:val="none"/>
                <w:lang w:val="zh-CN"/>
              </w:rPr>
              <w:t>32.2</w:t>
            </w:r>
          </w:p>
        </w:tc>
        <w:tc>
          <w:tcPr>
            <w:tcW w:w="4352" w:type="pct"/>
            <w:tcBorders>
              <w:top w:val="single" w:color="auto" w:sz="4" w:space="0"/>
              <w:left w:val="single" w:color="auto" w:sz="4" w:space="0"/>
              <w:bottom w:val="single" w:color="auto" w:sz="4" w:space="0"/>
              <w:right w:val="single" w:color="auto" w:sz="4" w:space="0"/>
            </w:tcBorders>
            <w:vAlign w:val="center"/>
          </w:tcPr>
          <w:p w14:paraId="10D0EBB9">
            <w:pPr>
              <w:spacing w:line="360" w:lineRule="auto"/>
              <w:ind w:right="-4"/>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本项目类型为：</w:t>
            </w:r>
            <w:r>
              <w:rPr>
                <w:rFonts w:hint="eastAsia" w:ascii="黑体" w:hAnsi="黑体" w:eastAsia="黑体" w:cs="黑体"/>
                <w:bCs/>
                <w:color w:val="auto"/>
                <w:szCs w:val="21"/>
                <w:highlight w:val="none"/>
                <w:u w:val="single"/>
              </w:rPr>
              <w:t xml:space="preserve"> 货物类 </w:t>
            </w:r>
            <w:r>
              <w:rPr>
                <w:rFonts w:hint="eastAsia" w:ascii="黑体" w:hAnsi="黑体" w:eastAsia="黑体" w:cs="黑体"/>
                <w:bCs/>
                <w:color w:val="auto"/>
                <w:szCs w:val="21"/>
                <w:highlight w:val="none"/>
              </w:rPr>
              <w:t>。</w:t>
            </w:r>
          </w:p>
        </w:tc>
      </w:tr>
    </w:tbl>
    <w:p w14:paraId="1973F082">
      <w:pPr>
        <w:pStyle w:val="2"/>
        <w:keepNext w:val="0"/>
        <w:keepLines w:val="0"/>
        <w:pageBreakBefore/>
        <w:spacing w:before="300" w:after="240" w:line="360" w:lineRule="auto"/>
        <w:jc w:val="center"/>
        <w:rPr>
          <w:rFonts w:hint="eastAsia" w:ascii="黑体" w:hAnsi="黑体" w:eastAsia="黑体" w:cs="黑体"/>
          <w:color w:val="auto"/>
          <w:spacing w:val="20"/>
          <w:sz w:val="32"/>
          <w:szCs w:val="32"/>
          <w:highlight w:val="none"/>
        </w:rPr>
      </w:pPr>
      <w:bookmarkStart w:id="25" w:name="_Toc21803"/>
      <w:r>
        <w:rPr>
          <w:rFonts w:hint="eastAsia" w:ascii="黑体" w:hAnsi="黑体" w:eastAsia="黑体" w:cs="黑体"/>
          <w:color w:val="auto"/>
          <w:spacing w:val="20"/>
          <w:sz w:val="32"/>
          <w:szCs w:val="32"/>
          <w:highlight w:val="none"/>
        </w:rPr>
        <w:t>第四部分 报价须知</w:t>
      </w:r>
      <w:bookmarkEnd w:id="25"/>
    </w:p>
    <w:p w14:paraId="0FDE7C74">
      <w:pPr>
        <w:pStyle w:val="4"/>
        <w:numPr>
          <w:ilvl w:val="0"/>
          <w:numId w:val="12"/>
        </w:numPr>
        <w:tabs>
          <w:tab w:val="left" w:pos="426"/>
        </w:tabs>
        <w:spacing w:before="0" w:after="0" w:line="360" w:lineRule="auto"/>
        <w:rPr>
          <w:rFonts w:hint="eastAsia" w:ascii="黑体" w:hAnsi="黑体" w:eastAsia="黑体" w:cs="黑体"/>
          <w:color w:val="auto"/>
          <w:sz w:val="21"/>
          <w:szCs w:val="21"/>
          <w:highlight w:val="none"/>
        </w:rPr>
      </w:pPr>
      <w:bookmarkStart w:id="26" w:name="_Toc447008850"/>
      <w:bookmarkStart w:id="27" w:name="_Toc451249674"/>
      <w:bookmarkStart w:id="28" w:name="_Toc30167662"/>
      <w:bookmarkStart w:id="29" w:name="_Toc20698"/>
      <w:bookmarkStart w:id="30" w:name="_Toc345488385"/>
      <w:bookmarkStart w:id="31" w:name="_Toc30320975"/>
      <w:bookmarkStart w:id="32" w:name="_Toc411519059"/>
      <w:bookmarkStart w:id="33" w:name="_Toc416446509"/>
      <w:bookmarkStart w:id="34" w:name="_Toc429647617"/>
      <w:r>
        <w:rPr>
          <w:rFonts w:hint="eastAsia" w:ascii="黑体" w:hAnsi="黑体" w:eastAsia="黑体" w:cs="黑体"/>
          <w:color w:val="auto"/>
          <w:sz w:val="21"/>
          <w:szCs w:val="21"/>
          <w:highlight w:val="none"/>
        </w:rPr>
        <w:t>说明</w:t>
      </w:r>
      <w:bookmarkEnd w:id="26"/>
      <w:bookmarkEnd w:id="27"/>
      <w:bookmarkEnd w:id="28"/>
      <w:bookmarkEnd w:id="29"/>
      <w:bookmarkEnd w:id="30"/>
      <w:bookmarkEnd w:id="31"/>
    </w:p>
    <w:p w14:paraId="65592938">
      <w:pPr>
        <w:pStyle w:val="41"/>
        <w:numPr>
          <w:ilvl w:val="0"/>
          <w:numId w:val="13"/>
        </w:numPr>
        <w:spacing w:before="0" w:after="0" w:line="360" w:lineRule="auto"/>
        <w:rPr>
          <w:rFonts w:hint="eastAsia" w:ascii="黑体" w:hAnsi="黑体" w:eastAsia="黑体" w:cs="黑体"/>
          <w:color w:val="auto"/>
          <w:sz w:val="21"/>
          <w:szCs w:val="21"/>
          <w:highlight w:val="none"/>
        </w:rPr>
      </w:pPr>
      <w:bookmarkStart w:id="35" w:name="_Toc30320976"/>
      <w:bookmarkStart w:id="36" w:name="_Toc451249675"/>
      <w:bookmarkStart w:id="37" w:name="_Toc19702"/>
      <w:bookmarkStart w:id="38" w:name="_Toc345488386"/>
      <w:bookmarkStart w:id="39" w:name="_Toc30167663"/>
      <w:bookmarkStart w:id="40" w:name="_Toc447008851"/>
      <w:r>
        <w:rPr>
          <w:rFonts w:hint="eastAsia" w:ascii="黑体" w:hAnsi="黑体" w:eastAsia="黑体" w:cs="黑体"/>
          <w:color w:val="auto"/>
          <w:sz w:val="21"/>
          <w:szCs w:val="21"/>
          <w:highlight w:val="none"/>
        </w:rPr>
        <w:t>适用范围</w:t>
      </w:r>
      <w:bookmarkEnd w:id="35"/>
      <w:bookmarkEnd w:id="36"/>
      <w:bookmarkEnd w:id="37"/>
      <w:bookmarkEnd w:id="38"/>
      <w:bookmarkEnd w:id="39"/>
      <w:bookmarkEnd w:id="40"/>
    </w:p>
    <w:p w14:paraId="288F3EF2">
      <w:pPr>
        <w:pStyle w:val="39"/>
        <w:numPr>
          <w:ilvl w:val="0"/>
          <w:numId w:val="14"/>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本采购文件仅适用于本次采购邀请中所叙述的设备供货、安装、调试及维修保养服务采购。</w:t>
      </w:r>
    </w:p>
    <w:p w14:paraId="1A6E93CC">
      <w:pPr>
        <w:pStyle w:val="39"/>
        <w:numPr>
          <w:ilvl w:val="0"/>
          <w:numId w:val="14"/>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资金来源：财政</w:t>
      </w:r>
      <w:r>
        <w:rPr>
          <w:rFonts w:hint="eastAsia" w:ascii="黑体" w:hAnsi="黑体" w:eastAsia="黑体" w:cs="黑体"/>
          <w:color w:val="auto"/>
          <w:sz w:val="21"/>
          <w:szCs w:val="21"/>
          <w:highlight w:val="none"/>
          <w:lang w:val="en-US" w:eastAsia="zh-CN"/>
        </w:rPr>
        <w:t>性</w:t>
      </w:r>
      <w:r>
        <w:rPr>
          <w:rFonts w:hint="eastAsia" w:ascii="黑体" w:hAnsi="黑体" w:eastAsia="黑体" w:cs="黑体"/>
          <w:color w:val="auto"/>
          <w:sz w:val="21"/>
          <w:szCs w:val="21"/>
          <w:highlight w:val="none"/>
        </w:rPr>
        <w:t>资金</w:t>
      </w:r>
      <w:r>
        <w:rPr>
          <w:rFonts w:hint="eastAsia" w:ascii="黑体" w:hAnsi="黑体" w:eastAsia="黑体" w:cs="黑体"/>
          <w:color w:val="auto"/>
          <w:sz w:val="21"/>
          <w:szCs w:val="21"/>
          <w:highlight w:val="none"/>
          <w:lang w:eastAsia="zh-CN"/>
        </w:rPr>
        <w:t>。</w:t>
      </w:r>
    </w:p>
    <w:p w14:paraId="1F28B055">
      <w:pPr>
        <w:pStyle w:val="41"/>
        <w:numPr>
          <w:ilvl w:val="0"/>
          <w:numId w:val="13"/>
        </w:numPr>
        <w:spacing w:before="0" w:after="0" w:line="360" w:lineRule="auto"/>
        <w:rPr>
          <w:rFonts w:hint="eastAsia" w:ascii="黑体" w:hAnsi="黑体" w:eastAsia="黑体" w:cs="黑体"/>
          <w:color w:val="auto"/>
          <w:sz w:val="21"/>
          <w:szCs w:val="21"/>
          <w:highlight w:val="none"/>
        </w:rPr>
      </w:pPr>
      <w:bookmarkStart w:id="41" w:name="_Toc28442"/>
      <w:bookmarkStart w:id="42" w:name="_Toc30167664"/>
      <w:bookmarkStart w:id="43" w:name="_Toc345488387"/>
      <w:bookmarkStart w:id="44" w:name="_Toc30320977"/>
      <w:bookmarkStart w:id="45" w:name="_Toc447008852"/>
      <w:bookmarkStart w:id="46" w:name="_Toc451249676"/>
      <w:r>
        <w:rPr>
          <w:rFonts w:hint="eastAsia" w:ascii="黑体" w:hAnsi="黑体" w:eastAsia="黑体" w:cs="黑体"/>
          <w:color w:val="auto"/>
          <w:sz w:val="21"/>
          <w:szCs w:val="21"/>
          <w:highlight w:val="none"/>
        </w:rPr>
        <w:t>定义</w:t>
      </w:r>
      <w:bookmarkEnd w:id="41"/>
      <w:bookmarkEnd w:id="42"/>
      <w:bookmarkEnd w:id="43"/>
      <w:bookmarkEnd w:id="44"/>
      <w:bookmarkEnd w:id="45"/>
      <w:bookmarkEnd w:id="46"/>
    </w:p>
    <w:p w14:paraId="770181B2">
      <w:pPr>
        <w:pStyle w:val="39"/>
        <w:numPr>
          <w:ilvl w:val="0"/>
          <w:numId w:val="15"/>
        </w:numPr>
        <w:spacing w:line="360" w:lineRule="auto"/>
        <w:ind w:firstLineChars="0"/>
        <w:rPr>
          <w:rFonts w:hint="eastAsia" w:ascii="黑体" w:hAnsi="黑体" w:eastAsia="黑体" w:cs="黑体"/>
          <w:color w:val="auto"/>
          <w:sz w:val="21"/>
          <w:szCs w:val="21"/>
          <w:highlight w:val="none"/>
        </w:rPr>
      </w:pPr>
      <w:bookmarkStart w:id="47" w:name="_Toc451249677"/>
      <w:bookmarkStart w:id="48" w:name="_Toc345488388"/>
      <w:bookmarkStart w:id="49" w:name="_Toc447008853"/>
      <w:r>
        <w:rPr>
          <w:rFonts w:hint="eastAsia" w:ascii="黑体" w:hAnsi="黑体" w:eastAsia="黑体" w:cs="黑体"/>
          <w:color w:val="auto"/>
          <w:sz w:val="21"/>
          <w:szCs w:val="21"/>
          <w:highlight w:val="none"/>
        </w:rPr>
        <w:t>采购人：东莞理工学院。</w:t>
      </w:r>
    </w:p>
    <w:p w14:paraId="255774BF">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采购代理机构：广东有德招标采购有限公司。</w:t>
      </w:r>
    </w:p>
    <w:p w14:paraId="27267F7B">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供应商：指向采购人提供货物或者服务的法人、其他组织或者自然人。</w:t>
      </w:r>
    </w:p>
    <w:p w14:paraId="0AF55F17">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询价小组：询价小组是依据《中华人民共和国政府采购法》及其实施条例、《政府采购非采购采购方式管理办法》等组建的专门负责本次采购其评审工作的临时性机构。</w:t>
      </w:r>
    </w:p>
    <w:p w14:paraId="024D9AD3">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日期：指公历日。</w:t>
      </w:r>
    </w:p>
    <w:p w14:paraId="76393D3B">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时间：指北京时间。</w:t>
      </w:r>
    </w:p>
    <w:p w14:paraId="0CEF0390">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合同：指由本次报价所产生的合同或合约文件。</w:t>
      </w:r>
    </w:p>
    <w:p w14:paraId="486870EC">
      <w:pPr>
        <w:pStyle w:val="39"/>
        <w:numPr>
          <w:ilvl w:val="0"/>
          <w:numId w:val="15"/>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询价通知书中所规定“书面形式”，是指任何手写的、打印的或印刷的通讯，包括传真发送。</w:t>
      </w:r>
    </w:p>
    <w:bookmarkEnd w:id="47"/>
    <w:bookmarkEnd w:id="48"/>
    <w:bookmarkEnd w:id="49"/>
    <w:p w14:paraId="69C0DDC1">
      <w:pPr>
        <w:pStyle w:val="41"/>
        <w:numPr>
          <w:ilvl w:val="0"/>
          <w:numId w:val="13"/>
        </w:numPr>
        <w:spacing w:before="0" w:after="0" w:line="360" w:lineRule="auto"/>
        <w:rPr>
          <w:rFonts w:hint="eastAsia" w:ascii="黑体" w:hAnsi="黑体" w:eastAsia="黑体" w:cs="黑体"/>
          <w:color w:val="auto"/>
          <w:sz w:val="21"/>
          <w:szCs w:val="21"/>
          <w:highlight w:val="none"/>
        </w:rPr>
      </w:pPr>
      <w:bookmarkStart w:id="50" w:name="_Toc30320978"/>
      <w:bookmarkStart w:id="51" w:name="_Toc30167665"/>
      <w:bookmarkStart w:id="52" w:name="_Toc22904"/>
      <w:r>
        <w:rPr>
          <w:rFonts w:hint="eastAsia" w:ascii="黑体" w:hAnsi="黑体" w:eastAsia="黑体" w:cs="黑体"/>
          <w:color w:val="auto"/>
          <w:sz w:val="21"/>
          <w:szCs w:val="21"/>
          <w:highlight w:val="none"/>
        </w:rPr>
        <w:t>供应商的资格条件</w:t>
      </w:r>
      <w:bookmarkEnd w:id="50"/>
      <w:bookmarkEnd w:id="51"/>
      <w:bookmarkEnd w:id="52"/>
    </w:p>
    <w:p w14:paraId="27083505">
      <w:pPr>
        <w:spacing w:line="360" w:lineRule="auto"/>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详见《第一部分</w:t>
      </w:r>
      <w:r>
        <w:rPr>
          <w:rFonts w:hint="eastAsia" w:ascii="黑体" w:hAnsi="黑体" w:eastAsia="黑体" w:cs="黑体"/>
          <w:color w:val="auto"/>
          <w:highlight w:val="none"/>
          <w:lang w:val="en-US" w:eastAsia="zh-CN"/>
        </w:rPr>
        <w:t xml:space="preserve"> </w:t>
      </w:r>
      <w:r>
        <w:rPr>
          <w:rFonts w:hint="eastAsia" w:ascii="黑体" w:hAnsi="黑体" w:eastAsia="黑体" w:cs="黑体"/>
          <w:color w:val="auto"/>
          <w:highlight w:val="none"/>
        </w:rPr>
        <w:t>报价邀请函》申请人的资格要求。</w:t>
      </w:r>
    </w:p>
    <w:p w14:paraId="00E6B69E">
      <w:pPr>
        <w:pStyle w:val="41"/>
        <w:numPr>
          <w:ilvl w:val="0"/>
          <w:numId w:val="13"/>
        </w:numPr>
        <w:spacing w:before="0" w:after="0" w:line="360" w:lineRule="auto"/>
        <w:rPr>
          <w:rFonts w:hint="eastAsia" w:ascii="黑体" w:hAnsi="黑体" w:eastAsia="黑体" w:cs="黑体"/>
          <w:color w:val="auto"/>
          <w:sz w:val="21"/>
          <w:szCs w:val="21"/>
          <w:highlight w:val="none"/>
        </w:rPr>
      </w:pPr>
      <w:bookmarkStart w:id="53" w:name="_Toc30167666"/>
      <w:bookmarkStart w:id="54" w:name="_Toc30320979"/>
      <w:bookmarkStart w:id="55" w:name="_Toc11120"/>
      <w:bookmarkStart w:id="56" w:name="_Toc345488389"/>
      <w:bookmarkStart w:id="57" w:name="_Toc451249678"/>
      <w:bookmarkStart w:id="58" w:name="_Toc447008854"/>
      <w:r>
        <w:rPr>
          <w:rFonts w:hint="eastAsia" w:ascii="黑体" w:hAnsi="黑体" w:eastAsia="黑体" w:cs="黑体"/>
          <w:color w:val="auto"/>
          <w:sz w:val="21"/>
          <w:szCs w:val="21"/>
          <w:highlight w:val="none"/>
        </w:rPr>
        <w:t>合格的货物和服务</w:t>
      </w:r>
      <w:bookmarkEnd w:id="53"/>
      <w:bookmarkEnd w:id="54"/>
      <w:bookmarkEnd w:id="55"/>
      <w:bookmarkEnd w:id="56"/>
      <w:bookmarkEnd w:id="57"/>
      <w:bookmarkEnd w:id="58"/>
    </w:p>
    <w:p w14:paraId="2DF88EE9">
      <w:pPr>
        <w:pStyle w:val="39"/>
        <w:numPr>
          <w:ilvl w:val="0"/>
          <w:numId w:val="16"/>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货物是指供应商制造或组织符合采购文件要求的货物等。采购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14:paraId="338F4D60">
      <w:pPr>
        <w:pStyle w:val="39"/>
        <w:numPr>
          <w:ilvl w:val="0"/>
          <w:numId w:val="16"/>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服务是指除货物和工程以外的其他采购对象，其中包括供应商须承担的运输、安装、技术支持、培训及采购文件规定的其它服务。</w:t>
      </w:r>
    </w:p>
    <w:p w14:paraId="1B981ADB">
      <w:pPr>
        <w:pStyle w:val="39"/>
        <w:numPr>
          <w:ilvl w:val="0"/>
          <w:numId w:val="16"/>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若所响应产品属于政府强制采购节能产品的，则响应供应商必须提供该产品国家强制性节能产品进行响应，并提供有效的国家强制性节能产品认证证书，否则视为无效响应。</w:t>
      </w:r>
    </w:p>
    <w:p w14:paraId="354AFD84">
      <w:pPr>
        <w:pStyle w:val="39"/>
        <w:numPr>
          <w:ilvl w:val="0"/>
          <w:numId w:val="16"/>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供应商应保证,采购人在中华人民共和国使用货物或服务的任何一部分时,采购人免受第三方提出侵犯其专利权、商标权或其它知识产权的起诉。</w:t>
      </w:r>
    </w:p>
    <w:p w14:paraId="18EC8AC2">
      <w:pPr>
        <w:pStyle w:val="39"/>
        <w:numPr>
          <w:ilvl w:val="0"/>
          <w:numId w:val="16"/>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验收。</w:t>
      </w:r>
    </w:p>
    <w:p w14:paraId="4593EF7C">
      <w:pPr>
        <w:pStyle w:val="39"/>
        <w:numPr>
          <w:ilvl w:val="0"/>
          <w:numId w:val="17"/>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验收工作由采购人（或采购人指定的单位）与供应商共同进行。</w:t>
      </w:r>
    </w:p>
    <w:p w14:paraId="57573050">
      <w:pPr>
        <w:pStyle w:val="39"/>
        <w:numPr>
          <w:ilvl w:val="0"/>
          <w:numId w:val="17"/>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在验收时，供应商应向采购人提供货物或服务的相关资料，按采购人提出的方式验收。</w:t>
      </w:r>
    </w:p>
    <w:p w14:paraId="46E56180">
      <w:pPr>
        <w:pStyle w:val="39"/>
        <w:numPr>
          <w:ilvl w:val="0"/>
          <w:numId w:val="17"/>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由采购人对货物或服务的质量、规格和数量及其他进行检验。如发现质量、规格和数量等任何一项与采购要求规定不符，采购人有权拒绝接受。</w:t>
      </w:r>
    </w:p>
    <w:p w14:paraId="68DA4FAD">
      <w:pPr>
        <w:pStyle w:val="41"/>
        <w:numPr>
          <w:ilvl w:val="0"/>
          <w:numId w:val="13"/>
        </w:numPr>
        <w:spacing w:before="0" w:after="0" w:line="360" w:lineRule="auto"/>
        <w:rPr>
          <w:rFonts w:hint="eastAsia" w:ascii="黑体" w:hAnsi="黑体" w:eastAsia="黑体" w:cs="黑体"/>
          <w:color w:val="auto"/>
          <w:sz w:val="21"/>
          <w:szCs w:val="21"/>
          <w:highlight w:val="none"/>
        </w:rPr>
      </w:pPr>
      <w:bookmarkStart w:id="59" w:name="_Toc345488390"/>
      <w:bookmarkStart w:id="60" w:name="_Toc451249679"/>
      <w:bookmarkStart w:id="61" w:name="_Toc30320980"/>
      <w:bookmarkStart w:id="62" w:name="_Toc447008855"/>
      <w:bookmarkStart w:id="63" w:name="_Toc14339"/>
      <w:bookmarkStart w:id="64" w:name="_Toc30167667"/>
      <w:r>
        <w:rPr>
          <w:rFonts w:hint="eastAsia" w:ascii="黑体" w:hAnsi="黑体" w:eastAsia="黑体" w:cs="黑体"/>
          <w:color w:val="auto"/>
          <w:sz w:val="21"/>
          <w:szCs w:val="21"/>
          <w:highlight w:val="none"/>
        </w:rPr>
        <w:t>报价费用</w:t>
      </w:r>
      <w:bookmarkEnd w:id="59"/>
      <w:bookmarkEnd w:id="60"/>
      <w:bookmarkEnd w:id="61"/>
      <w:bookmarkEnd w:id="62"/>
      <w:bookmarkEnd w:id="63"/>
      <w:bookmarkEnd w:id="64"/>
    </w:p>
    <w:p w14:paraId="1A2F9A6F">
      <w:pPr>
        <w:pStyle w:val="39"/>
        <w:numPr>
          <w:ilvl w:val="0"/>
          <w:numId w:val="18"/>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供应商应承担一切与准备和递交响应文件有关的费用。</w:t>
      </w:r>
    </w:p>
    <w:p w14:paraId="2F444E18">
      <w:pPr>
        <w:pStyle w:val="39"/>
        <w:numPr>
          <w:ilvl w:val="0"/>
          <w:numId w:val="18"/>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不论报价的结果如何，采购代理机构和采购人均无义务和责任承担这些费用。</w:t>
      </w:r>
    </w:p>
    <w:p w14:paraId="6A74CA47">
      <w:pPr>
        <w:pStyle w:val="39"/>
        <w:numPr>
          <w:ilvl w:val="0"/>
          <w:numId w:val="18"/>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本次采购，采购代理机构不向成交供应商收取采购代理服务费。</w:t>
      </w:r>
    </w:p>
    <w:p w14:paraId="1D8104A6">
      <w:pPr>
        <w:pStyle w:val="4"/>
        <w:numPr>
          <w:ilvl w:val="0"/>
          <w:numId w:val="12"/>
        </w:numPr>
        <w:tabs>
          <w:tab w:val="left" w:pos="426"/>
        </w:tabs>
        <w:spacing w:before="0" w:after="0" w:line="360" w:lineRule="auto"/>
        <w:rPr>
          <w:rFonts w:hint="eastAsia" w:ascii="黑体" w:hAnsi="黑体" w:eastAsia="黑体" w:cs="黑体"/>
          <w:color w:val="auto"/>
          <w:sz w:val="21"/>
          <w:szCs w:val="21"/>
          <w:highlight w:val="none"/>
        </w:rPr>
      </w:pPr>
      <w:bookmarkStart w:id="65" w:name="_Toc10697"/>
      <w:r>
        <w:rPr>
          <w:rFonts w:hint="eastAsia" w:ascii="黑体" w:hAnsi="黑体" w:eastAsia="黑体" w:cs="黑体"/>
          <w:color w:val="auto"/>
          <w:sz w:val="21"/>
          <w:szCs w:val="21"/>
          <w:highlight w:val="none"/>
        </w:rPr>
        <w:t>采购文件</w:t>
      </w:r>
      <w:bookmarkEnd w:id="65"/>
    </w:p>
    <w:p w14:paraId="799C1BA2">
      <w:pPr>
        <w:pStyle w:val="41"/>
        <w:numPr>
          <w:ilvl w:val="0"/>
          <w:numId w:val="13"/>
        </w:numPr>
        <w:spacing w:before="0" w:after="0" w:line="360" w:lineRule="auto"/>
        <w:rPr>
          <w:rFonts w:hint="eastAsia" w:ascii="黑体" w:hAnsi="黑体" w:eastAsia="黑体" w:cs="黑体"/>
          <w:color w:val="auto"/>
          <w:sz w:val="21"/>
          <w:szCs w:val="21"/>
          <w:highlight w:val="none"/>
        </w:rPr>
      </w:pPr>
      <w:bookmarkStart w:id="66" w:name="_Toc30167669"/>
      <w:bookmarkStart w:id="67" w:name="_Toc28969"/>
      <w:bookmarkStart w:id="68" w:name="_Toc30320982"/>
      <w:bookmarkStart w:id="69" w:name="_Toc345488392"/>
      <w:bookmarkStart w:id="70" w:name="_Toc447008857"/>
      <w:bookmarkStart w:id="71" w:name="_Toc451249681"/>
      <w:r>
        <w:rPr>
          <w:rFonts w:hint="eastAsia" w:ascii="黑体" w:hAnsi="黑体" w:eastAsia="黑体" w:cs="黑体"/>
          <w:color w:val="auto"/>
          <w:sz w:val="21"/>
          <w:szCs w:val="21"/>
          <w:highlight w:val="none"/>
        </w:rPr>
        <w:t>采购文件的组成</w:t>
      </w:r>
      <w:bookmarkEnd w:id="66"/>
      <w:bookmarkEnd w:id="67"/>
      <w:bookmarkEnd w:id="68"/>
      <w:bookmarkEnd w:id="69"/>
      <w:bookmarkEnd w:id="70"/>
      <w:bookmarkEnd w:id="71"/>
    </w:p>
    <w:p w14:paraId="74DD130E">
      <w:pPr>
        <w:pStyle w:val="39"/>
        <w:numPr>
          <w:ilvl w:val="0"/>
          <w:numId w:val="19"/>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采购文件包括：</w:t>
      </w:r>
    </w:p>
    <w:p w14:paraId="6030EE01">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报价邀请；</w:t>
      </w:r>
    </w:p>
    <w:p w14:paraId="5027882F">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采购需求</w:t>
      </w:r>
    </w:p>
    <w:p w14:paraId="17A05B87">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报价须知前附表； </w:t>
      </w:r>
    </w:p>
    <w:p w14:paraId="7DE40575">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报价须知；</w:t>
      </w:r>
    </w:p>
    <w:p w14:paraId="2FB25B48">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合同书格式；</w:t>
      </w:r>
    </w:p>
    <w:p w14:paraId="6864A3B5">
      <w:pPr>
        <w:pStyle w:val="42"/>
        <w:numPr>
          <w:ilvl w:val="0"/>
          <w:numId w:val="20"/>
        </w:numPr>
        <w:tabs>
          <w:tab w:val="left" w:pos="567"/>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响应文件格式。</w:t>
      </w:r>
    </w:p>
    <w:p w14:paraId="77E94CB0">
      <w:pPr>
        <w:pStyle w:val="39"/>
        <w:numPr>
          <w:ilvl w:val="0"/>
          <w:numId w:val="19"/>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应认真阅读采购文件中所有的事项、格式、条款和规范等要求。供应商没有按照采购文件要求提交全部资料或者响应文件没有对采购文件在各方面都做出实质性响应是供应商的风险，有可能导致其报价被拒绝，或被认定为无效响应文件。</w:t>
      </w:r>
    </w:p>
    <w:p w14:paraId="4C2FF865">
      <w:pPr>
        <w:pStyle w:val="41"/>
        <w:numPr>
          <w:ilvl w:val="0"/>
          <w:numId w:val="13"/>
        </w:numPr>
        <w:spacing w:before="0" w:after="0" w:line="360" w:lineRule="auto"/>
        <w:rPr>
          <w:rFonts w:hint="eastAsia" w:ascii="黑体" w:hAnsi="黑体" w:eastAsia="黑体" w:cs="黑体"/>
          <w:color w:val="auto"/>
          <w:sz w:val="21"/>
          <w:szCs w:val="21"/>
          <w:highlight w:val="none"/>
        </w:rPr>
      </w:pPr>
      <w:bookmarkStart w:id="72" w:name="_Toc36971218"/>
      <w:bookmarkStart w:id="73" w:name="_Toc451249682"/>
      <w:bookmarkStart w:id="74" w:name="_Toc447008858"/>
      <w:bookmarkStart w:id="75" w:name="_Toc345488393"/>
      <w:bookmarkStart w:id="76" w:name="_Toc39071043"/>
      <w:bookmarkStart w:id="77" w:name="_Toc23394"/>
      <w:bookmarkStart w:id="78" w:name="_Toc30167670"/>
      <w:bookmarkStart w:id="79" w:name="_Toc30320983"/>
      <w:r>
        <w:rPr>
          <w:rFonts w:hint="eastAsia" w:ascii="黑体" w:hAnsi="黑体" w:eastAsia="黑体" w:cs="黑体"/>
          <w:color w:val="auto"/>
          <w:sz w:val="21"/>
          <w:szCs w:val="21"/>
          <w:highlight w:val="none"/>
        </w:rPr>
        <w:t>采购文件的澄清</w:t>
      </w:r>
      <w:bookmarkEnd w:id="72"/>
      <w:bookmarkEnd w:id="73"/>
      <w:bookmarkEnd w:id="74"/>
      <w:bookmarkEnd w:id="75"/>
      <w:bookmarkEnd w:id="76"/>
      <w:bookmarkEnd w:id="77"/>
      <w:bookmarkEnd w:id="78"/>
      <w:bookmarkEnd w:id="79"/>
    </w:p>
    <w:p w14:paraId="6759094A">
      <w:pPr>
        <w:pStyle w:val="39"/>
        <w:numPr>
          <w:ilvl w:val="0"/>
          <w:numId w:val="21"/>
        </w:numPr>
        <w:spacing w:line="360" w:lineRule="auto"/>
        <w:ind w:left="426" w:hanging="426"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对已发出的采购文件进行必要的澄清或者修改，澄清或者修改的内容可能影响响应文件编制的，采购人、采购代理机构或者询价小组应当在提交响应文件截止之日3个工作日前，以书面形式通知所有接收采购文件的供应商，不足3个工作日的，应当顺延提交响应文件截止之日。</w:t>
      </w:r>
    </w:p>
    <w:p w14:paraId="5DC64A7A">
      <w:pPr>
        <w:pStyle w:val="39"/>
        <w:numPr>
          <w:ilvl w:val="0"/>
          <w:numId w:val="21"/>
        </w:numPr>
        <w:spacing w:line="360" w:lineRule="auto"/>
        <w:ind w:left="426" w:hanging="426"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采购文件的澄清或者修改内容作为采购文件的组成部分，并对供应商具有约束力。当采购文件、采购文件的澄清或修改在同一内容的表述上不一致时，以最后发出的文件内容为准。</w:t>
      </w:r>
    </w:p>
    <w:p w14:paraId="1B24080F">
      <w:pPr>
        <w:pStyle w:val="4"/>
        <w:numPr>
          <w:ilvl w:val="0"/>
          <w:numId w:val="12"/>
        </w:numPr>
        <w:tabs>
          <w:tab w:val="left" w:pos="426"/>
        </w:tabs>
        <w:spacing w:before="0" w:after="0" w:line="360" w:lineRule="auto"/>
        <w:rPr>
          <w:rFonts w:hint="eastAsia" w:ascii="黑体" w:hAnsi="黑体" w:eastAsia="黑体" w:cs="黑体"/>
          <w:color w:val="auto"/>
          <w:sz w:val="21"/>
          <w:szCs w:val="21"/>
          <w:highlight w:val="none"/>
        </w:rPr>
      </w:pPr>
      <w:bookmarkStart w:id="80" w:name="_Toc30167671"/>
      <w:bookmarkStart w:id="81" w:name="_Toc30320984"/>
      <w:bookmarkStart w:id="82" w:name="_Toc451249684"/>
      <w:bookmarkStart w:id="83" w:name="_Toc345488395"/>
      <w:bookmarkStart w:id="84" w:name="_Toc447008860"/>
      <w:bookmarkStart w:id="85" w:name="_Toc22624"/>
      <w:r>
        <w:rPr>
          <w:rFonts w:hint="eastAsia" w:ascii="黑体" w:hAnsi="黑体" w:eastAsia="黑体" w:cs="黑体"/>
          <w:color w:val="auto"/>
          <w:sz w:val="21"/>
          <w:szCs w:val="21"/>
          <w:highlight w:val="none"/>
        </w:rPr>
        <w:t>响应文件的编制</w:t>
      </w:r>
      <w:bookmarkEnd w:id="80"/>
      <w:bookmarkEnd w:id="81"/>
      <w:bookmarkEnd w:id="82"/>
      <w:bookmarkEnd w:id="83"/>
      <w:bookmarkEnd w:id="84"/>
      <w:bookmarkEnd w:id="85"/>
    </w:p>
    <w:p w14:paraId="5055E3D7">
      <w:pPr>
        <w:pStyle w:val="41"/>
        <w:numPr>
          <w:ilvl w:val="0"/>
          <w:numId w:val="13"/>
        </w:numPr>
        <w:spacing w:before="0" w:after="0" w:line="360" w:lineRule="auto"/>
        <w:rPr>
          <w:rFonts w:hint="eastAsia" w:ascii="黑体" w:hAnsi="黑体" w:eastAsia="黑体" w:cs="黑体"/>
          <w:color w:val="auto"/>
          <w:sz w:val="21"/>
          <w:szCs w:val="21"/>
          <w:highlight w:val="none"/>
        </w:rPr>
      </w:pPr>
      <w:bookmarkStart w:id="86" w:name="_Toc451249685"/>
      <w:bookmarkStart w:id="87" w:name="_Toc30320985"/>
      <w:bookmarkStart w:id="88" w:name="_Toc447008861"/>
      <w:bookmarkStart w:id="89" w:name="_Toc345488396"/>
      <w:bookmarkStart w:id="90" w:name="_Toc30807"/>
      <w:bookmarkStart w:id="91" w:name="_Toc30167672"/>
      <w:r>
        <w:rPr>
          <w:rFonts w:hint="eastAsia" w:ascii="黑体" w:hAnsi="黑体" w:eastAsia="黑体" w:cs="黑体"/>
          <w:color w:val="auto"/>
          <w:sz w:val="21"/>
          <w:szCs w:val="21"/>
          <w:highlight w:val="none"/>
        </w:rPr>
        <w:t>响应文件的语言及计量单位</w:t>
      </w:r>
      <w:bookmarkEnd w:id="86"/>
      <w:bookmarkEnd w:id="87"/>
      <w:bookmarkEnd w:id="88"/>
      <w:bookmarkEnd w:id="89"/>
      <w:bookmarkEnd w:id="90"/>
      <w:bookmarkEnd w:id="91"/>
    </w:p>
    <w:p w14:paraId="0A129862">
      <w:pPr>
        <w:pStyle w:val="39"/>
        <w:numPr>
          <w:ilvl w:val="0"/>
          <w:numId w:val="22"/>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提交响应文件以及供应商与采购代理机构就有关报价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14:paraId="066CA2F3">
      <w:pPr>
        <w:pStyle w:val="39"/>
        <w:numPr>
          <w:ilvl w:val="0"/>
          <w:numId w:val="22"/>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除非采购文件在技术规格中另有规定，供应商在响应文件中及其与采购代理机构和采购人所有往来文件中的所有计量单位均应采用中华人民共和国法定计量单位。</w:t>
      </w:r>
    </w:p>
    <w:p w14:paraId="10B3F25D">
      <w:pPr>
        <w:pStyle w:val="41"/>
        <w:numPr>
          <w:ilvl w:val="0"/>
          <w:numId w:val="13"/>
        </w:numPr>
        <w:spacing w:before="0" w:after="0" w:line="360" w:lineRule="auto"/>
        <w:rPr>
          <w:rFonts w:hint="eastAsia" w:ascii="黑体" w:hAnsi="黑体" w:eastAsia="黑体" w:cs="黑体"/>
          <w:color w:val="auto"/>
          <w:sz w:val="21"/>
          <w:szCs w:val="21"/>
          <w:highlight w:val="none"/>
        </w:rPr>
      </w:pPr>
      <w:bookmarkStart w:id="92" w:name="_Toc13770"/>
      <w:bookmarkStart w:id="93" w:name="_Toc451249686"/>
      <w:bookmarkStart w:id="94" w:name="_Toc30320986"/>
      <w:bookmarkStart w:id="95" w:name="_Toc345488397"/>
      <w:bookmarkStart w:id="96" w:name="_Toc30167673"/>
      <w:bookmarkStart w:id="97" w:name="_Toc447008862"/>
      <w:r>
        <w:rPr>
          <w:rFonts w:hint="eastAsia" w:ascii="黑体" w:hAnsi="黑体" w:eastAsia="黑体" w:cs="黑体"/>
          <w:color w:val="auto"/>
          <w:sz w:val="21"/>
          <w:szCs w:val="21"/>
          <w:highlight w:val="none"/>
        </w:rPr>
        <w:t>响应文件的组成</w:t>
      </w:r>
      <w:bookmarkEnd w:id="92"/>
      <w:bookmarkEnd w:id="93"/>
      <w:bookmarkEnd w:id="94"/>
      <w:bookmarkEnd w:id="95"/>
      <w:bookmarkEnd w:id="96"/>
      <w:bookmarkEnd w:id="97"/>
    </w:p>
    <w:p w14:paraId="62658218">
      <w:pPr>
        <w:pStyle w:val="42"/>
        <w:numPr>
          <w:ilvl w:val="0"/>
          <w:numId w:val="23"/>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供应商编写的响应文件应包括价格文件、商务文件、技术文件。</w:t>
      </w:r>
    </w:p>
    <w:p w14:paraId="6B3CC847">
      <w:pPr>
        <w:pStyle w:val="42"/>
        <w:numPr>
          <w:ilvl w:val="0"/>
          <w:numId w:val="23"/>
        </w:numPr>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响应文件的构成应符合法律、法规及采购文件的要求。</w:t>
      </w:r>
    </w:p>
    <w:p w14:paraId="15DC4BC6">
      <w:pPr>
        <w:pStyle w:val="41"/>
        <w:numPr>
          <w:ilvl w:val="0"/>
          <w:numId w:val="13"/>
        </w:numPr>
        <w:spacing w:before="0" w:after="0" w:line="360" w:lineRule="auto"/>
        <w:rPr>
          <w:rFonts w:hint="eastAsia" w:ascii="黑体" w:hAnsi="黑体" w:eastAsia="黑体" w:cs="黑体"/>
          <w:color w:val="auto"/>
          <w:sz w:val="21"/>
          <w:szCs w:val="21"/>
          <w:highlight w:val="none"/>
        </w:rPr>
      </w:pPr>
      <w:bookmarkStart w:id="98" w:name="_Toc345488398"/>
      <w:bookmarkStart w:id="99" w:name="_Toc16090"/>
      <w:bookmarkStart w:id="100" w:name="_Toc30167674"/>
      <w:bookmarkStart w:id="101" w:name="_Toc447008863"/>
      <w:bookmarkStart w:id="102" w:name="_Toc451249687"/>
      <w:bookmarkStart w:id="103" w:name="_Toc30320987"/>
      <w:r>
        <w:rPr>
          <w:rFonts w:hint="eastAsia" w:ascii="黑体" w:hAnsi="黑体" w:eastAsia="黑体" w:cs="黑体"/>
          <w:color w:val="auto"/>
          <w:sz w:val="21"/>
          <w:szCs w:val="21"/>
          <w:highlight w:val="none"/>
        </w:rPr>
        <w:t>响应文件格式</w:t>
      </w:r>
      <w:bookmarkEnd w:id="98"/>
      <w:bookmarkEnd w:id="99"/>
      <w:bookmarkEnd w:id="100"/>
      <w:bookmarkEnd w:id="101"/>
      <w:bookmarkEnd w:id="102"/>
      <w:bookmarkEnd w:id="103"/>
    </w:p>
    <w:p w14:paraId="3F53A7B2">
      <w:pPr>
        <w:pStyle w:val="39"/>
        <w:spacing w:line="360" w:lineRule="auto"/>
        <w:ind w:firstLine="420" w:firstLineChars="20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供应商提交的响应文件应当按照采购文件的响应文件格式（表格可以按同样格式扩展）。</w:t>
      </w:r>
    </w:p>
    <w:p w14:paraId="07553D6C">
      <w:pPr>
        <w:pStyle w:val="41"/>
        <w:numPr>
          <w:ilvl w:val="0"/>
          <w:numId w:val="13"/>
        </w:numPr>
        <w:spacing w:before="0" w:after="0" w:line="360" w:lineRule="auto"/>
        <w:rPr>
          <w:rFonts w:hint="eastAsia" w:ascii="黑体" w:hAnsi="黑体" w:eastAsia="黑体" w:cs="黑体"/>
          <w:color w:val="auto"/>
          <w:sz w:val="21"/>
          <w:szCs w:val="21"/>
          <w:highlight w:val="none"/>
        </w:rPr>
      </w:pPr>
      <w:bookmarkStart w:id="104" w:name="_Toc30167675"/>
      <w:bookmarkStart w:id="105" w:name="_Toc447008864"/>
      <w:bookmarkStart w:id="106" w:name="_Toc451249688"/>
      <w:bookmarkStart w:id="107" w:name="_Toc21279"/>
      <w:bookmarkStart w:id="108" w:name="_Toc30320988"/>
      <w:bookmarkStart w:id="109" w:name="_Toc345488399"/>
      <w:r>
        <w:rPr>
          <w:rFonts w:hint="eastAsia" w:ascii="黑体" w:hAnsi="黑体" w:eastAsia="黑体" w:cs="黑体"/>
          <w:color w:val="auto"/>
          <w:sz w:val="21"/>
          <w:szCs w:val="21"/>
          <w:highlight w:val="none"/>
        </w:rPr>
        <w:t>响应文件的份数和签署</w:t>
      </w:r>
      <w:bookmarkEnd w:id="104"/>
      <w:bookmarkEnd w:id="105"/>
      <w:bookmarkEnd w:id="106"/>
      <w:bookmarkEnd w:id="107"/>
      <w:bookmarkEnd w:id="108"/>
      <w:bookmarkEnd w:id="109"/>
    </w:p>
    <w:p w14:paraId="6C21FEF8">
      <w:pPr>
        <w:pStyle w:val="39"/>
        <w:numPr>
          <w:ilvl w:val="0"/>
          <w:numId w:val="24"/>
        </w:numPr>
        <w:tabs>
          <w:tab w:val="left" w:pos="567"/>
        </w:tabs>
        <w:spacing w:line="360" w:lineRule="auto"/>
        <w:ind w:left="567" w:hanging="567" w:firstLineChars="0"/>
        <w:rPr>
          <w:rFonts w:hint="eastAsia" w:ascii="黑体" w:hAnsi="黑体" w:eastAsia="黑体" w:cs="黑体"/>
          <w:b/>
          <w:color w:val="auto"/>
          <w:sz w:val="21"/>
          <w:szCs w:val="21"/>
          <w:highlight w:val="none"/>
          <w:u w:val="single"/>
        </w:rPr>
      </w:pPr>
      <w:r>
        <w:rPr>
          <w:rFonts w:hint="eastAsia" w:ascii="黑体" w:hAnsi="黑体" w:eastAsia="黑体" w:cs="黑体"/>
          <w:b/>
          <w:color w:val="auto"/>
          <w:sz w:val="21"/>
          <w:szCs w:val="21"/>
          <w:highlight w:val="none"/>
        </w:rPr>
        <w:t>供应商应提交响应文件份数详见</w:t>
      </w:r>
      <w:r>
        <w:rPr>
          <w:rFonts w:hint="eastAsia" w:ascii="黑体" w:hAnsi="黑体" w:eastAsia="黑体" w:cs="黑体"/>
          <w:b/>
          <w:color w:val="auto"/>
          <w:sz w:val="21"/>
          <w:szCs w:val="21"/>
          <w:highlight w:val="none"/>
          <w:u w:val="single"/>
        </w:rPr>
        <w:t>报价须知前附表。</w:t>
      </w:r>
    </w:p>
    <w:p w14:paraId="6F3F6CC6">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电子版响应文件限U盘或光盘形式，不留密码，无病毒，内容应与供应商打印产生的纸质响应文件内容一致，如有不同，以纸质响应文件为准。</w:t>
      </w:r>
    </w:p>
    <w:p w14:paraId="6F3CCB5B">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正本均需打印或用不褪色墨水书写，并由法定代表人或经其正式授权代表签字或盖章。响应文件的副本可采用正本的响应文件复印件，每套响应文件应当标明“正本”、“副本”的字样。若正本与副本不符，以正本为准。</w:t>
      </w:r>
    </w:p>
    <w:p w14:paraId="0A5263C3">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如供应商对采购文件多个包组进行报价的，其响应文件可按每个包组的要求编制和提交；或者将所投包组的内容在同一套响应文件编制和提交，并在响应文件中明确各包组的报价内容。</w:t>
      </w:r>
    </w:p>
    <w:p w14:paraId="15C9F381">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响应文件中的任何重要的插字、涂改和增删，必须由法定代表人或其正式授权代表在旁边签字或盖章才有效。</w:t>
      </w:r>
    </w:p>
    <w:p w14:paraId="7F8F5029">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供应商必须对响应文件所提供的全部资料的真实性承担法律责任，并接受采购代理机构、采购人等对其中任何资料进行核实的要求。</w:t>
      </w:r>
    </w:p>
    <w:p w14:paraId="38032CDB">
      <w:pPr>
        <w:pStyle w:val="39"/>
        <w:spacing w:line="360" w:lineRule="auto"/>
        <w:ind w:firstLine="565" w:firstLineChars="268"/>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如经核实确定，供应商在响应文件中提供虚假或与事实不符的材料，则其本次响应报价视为无效报价。</w:t>
      </w:r>
    </w:p>
    <w:p w14:paraId="6CDCA00D">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传真或电传的响应文件将拒绝接收。</w:t>
      </w:r>
    </w:p>
    <w:p w14:paraId="66F51266">
      <w:pPr>
        <w:pStyle w:val="39"/>
        <w:numPr>
          <w:ilvl w:val="0"/>
          <w:numId w:val="24"/>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所有文件都应装订成册，不得采用活页夹。</w:t>
      </w:r>
    </w:p>
    <w:p w14:paraId="62CFC0AC">
      <w:pPr>
        <w:pStyle w:val="41"/>
        <w:numPr>
          <w:ilvl w:val="0"/>
          <w:numId w:val="13"/>
        </w:numPr>
        <w:spacing w:before="0" w:after="0" w:line="360" w:lineRule="auto"/>
        <w:rPr>
          <w:rFonts w:hint="eastAsia" w:ascii="黑体" w:hAnsi="黑体" w:eastAsia="黑体" w:cs="黑体"/>
          <w:color w:val="auto"/>
          <w:sz w:val="21"/>
          <w:szCs w:val="21"/>
          <w:highlight w:val="none"/>
        </w:rPr>
      </w:pPr>
      <w:bookmarkStart w:id="110" w:name="_Toc27876"/>
      <w:bookmarkStart w:id="111" w:name="_Toc451249689"/>
      <w:bookmarkStart w:id="112" w:name="_Toc345488400"/>
      <w:bookmarkStart w:id="113" w:name="_Toc30167676"/>
      <w:bookmarkStart w:id="114" w:name="_Toc30320989"/>
      <w:bookmarkStart w:id="115" w:name="_Toc447008865"/>
      <w:r>
        <w:rPr>
          <w:rFonts w:hint="eastAsia" w:ascii="黑体" w:hAnsi="黑体" w:eastAsia="黑体" w:cs="黑体"/>
          <w:color w:val="auto"/>
          <w:sz w:val="21"/>
          <w:szCs w:val="21"/>
          <w:highlight w:val="none"/>
        </w:rPr>
        <w:t>报价</w:t>
      </w:r>
      <w:bookmarkEnd w:id="110"/>
      <w:bookmarkEnd w:id="111"/>
      <w:bookmarkEnd w:id="112"/>
      <w:bookmarkEnd w:id="113"/>
      <w:bookmarkEnd w:id="114"/>
      <w:bookmarkEnd w:id="115"/>
    </w:p>
    <w:p w14:paraId="571F7CB8">
      <w:pPr>
        <w:pStyle w:val="39"/>
        <w:numPr>
          <w:ilvl w:val="0"/>
          <w:numId w:val="25"/>
        </w:numPr>
        <w:tabs>
          <w:tab w:val="left" w:pos="709"/>
        </w:tabs>
        <w:spacing w:line="360" w:lineRule="auto"/>
        <w:ind w:left="567" w:hanging="567" w:firstLineChars="0"/>
        <w:rPr>
          <w:rFonts w:hint="eastAsia" w:ascii="黑体" w:hAnsi="黑体" w:eastAsia="黑体" w:cs="黑体"/>
          <w:b/>
          <w:bCs/>
          <w:color w:val="auto"/>
          <w:sz w:val="21"/>
          <w:szCs w:val="21"/>
          <w:highlight w:val="none"/>
        </w:rPr>
      </w:pPr>
      <w:r>
        <w:rPr>
          <w:rFonts w:hint="eastAsia" w:ascii="黑体" w:hAnsi="黑体" w:eastAsia="黑体" w:cs="黑体"/>
          <w:b/>
          <w:color w:val="auto"/>
          <w:sz w:val="21"/>
          <w:szCs w:val="21"/>
          <w:highlight w:val="none"/>
        </w:rPr>
        <w:t>本次采购，</w:t>
      </w:r>
      <w:r>
        <w:rPr>
          <w:rFonts w:hint="eastAsia" w:ascii="黑体" w:hAnsi="黑体" w:eastAsia="黑体" w:cs="黑体"/>
          <w:b/>
          <w:bCs/>
          <w:color w:val="auto"/>
          <w:sz w:val="21"/>
          <w:szCs w:val="21"/>
          <w:highlight w:val="none"/>
        </w:rPr>
        <w:t>供应商须对所有货物及其服务报价。</w:t>
      </w:r>
    </w:p>
    <w:p w14:paraId="6E0090CF">
      <w:pPr>
        <w:pStyle w:val="39"/>
        <w:numPr>
          <w:ilvl w:val="0"/>
          <w:numId w:val="25"/>
        </w:numPr>
        <w:tabs>
          <w:tab w:val="left" w:pos="709"/>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报价为交钥匙价，应包含货物购置费、安装调试、各种税务费及合同实施过程中的不可预见费用等全部费用（含满足采购要求所需的辅助材料及工程费用)和售后服务费等。</w:t>
      </w:r>
    </w:p>
    <w:p w14:paraId="26C0399B">
      <w:pPr>
        <w:pStyle w:val="39"/>
        <w:numPr>
          <w:ilvl w:val="0"/>
          <w:numId w:val="25"/>
        </w:numPr>
        <w:tabs>
          <w:tab w:val="left" w:pos="709"/>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报价应包括所提供货物或服务所需的专利权和版权、设计或其他知识产权而需要向其他方支付的版税。</w:t>
      </w:r>
    </w:p>
    <w:p w14:paraId="376EB212">
      <w:pPr>
        <w:pStyle w:val="39"/>
        <w:numPr>
          <w:ilvl w:val="0"/>
          <w:numId w:val="25"/>
        </w:numPr>
        <w:tabs>
          <w:tab w:val="left" w:pos="709"/>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若报价小写金额与大写金额存在差异，以大写金额为准。</w:t>
      </w:r>
    </w:p>
    <w:p w14:paraId="2CB2304F">
      <w:pPr>
        <w:pStyle w:val="39"/>
        <w:numPr>
          <w:ilvl w:val="0"/>
          <w:numId w:val="25"/>
        </w:numPr>
        <w:tabs>
          <w:tab w:val="left" w:pos="709"/>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供应商的报价在合同执行期间是固定不变的，不得以任何理由予以变更。</w:t>
      </w:r>
    </w:p>
    <w:p w14:paraId="4AF42363">
      <w:pPr>
        <w:pStyle w:val="39"/>
        <w:numPr>
          <w:ilvl w:val="0"/>
          <w:numId w:val="25"/>
        </w:numPr>
        <w:tabs>
          <w:tab w:val="left" w:pos="709"/>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成交后开出的所有发票必须与成交供应商的名称一致。</w:t>
      </w:r>
    </w:p>
    <w:p w14:paraId="12FE5AE5">
      <w:pPr>
        <w:pStyle w:val="41"/>
        <w:numPr>
          <w:ilvl w:val="0"/>
          <w:numId w:val="13"/>
        </w:numPr>
        <w:spacing w:before="0" w:after="0" w:line="360" w:lineRule="auto"/>
        <w:rPr>
          <w:rFonts w:hint="eastAsia" w:ascii="黑体" w:hAnsi="黑体" w:eastAsia="黑体" w:cs="黑体"/>
          <w:color w:val="auto"/>
          <w:sz w:val="21"/>
          <w:szCs w:val="21"/>
          <w:highlight w:val="none"/>
        </w:rPr>
      </w:pPr>
      <w:bookmarkStart w:id="116" w:name="_Toc451249690"/>
      <w:bookmarkStart w:id="117" w:name="_Toc345488401"/>
      <w:bookmarkStart w:id="118" w:name="_Toc11533"/>
      <w:bookmarkStart w:id="119" w:name="_Toc447008866"/>
      <w:bookmarkStart w:id="120" w:name="_Toc30167677"/>
      <w:bookmarkStart w:id="121" w:name="_Toc30320990"/>
      <w:r>
        <w:rPr>
          <w:rFonts w:hint="eastAsia" w:ascii="黑体" w:hAnsi="黑体" w:eastAsia="黑体" w:cs="黑体"/>
          <w:color w:val="auto"/>
          <w:sz w:val="21"/>
          <w:szCs w:val="21"/>
          <w:highlight w:val="none"/>
        </w:rPr>
        <w:t>报价货币</w:t>
      </w:r>
      <w:bookmarkEnd w:id="116"/>
      <w:bookmarkEnd w:id="117"/>
      <w:bookmarkEnd w:id="118"/>
      <w:bookmarkEnd w:id="119"/>
      <w:bookmarkEnd w:id="120"/>
      <w:bookmarkEnd w:id="121"/>
    </w:p>
    <w:p w14:paraId="42F1B312">
      <w:pPr>
        <w:pStyle w:val="39"/>
        <w:spacing w:line="360" w:lineRule="auto"/>
        <w:ind w:firstLine="433"/>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响应文件中，全部内容的报价，必须用人民币报价。</w:t>
      </w:r>
    </w:p>
    <w:p w14:paraId="4D6F9600">
      <w:pPr>
        <w:pStyle w:val="41"/>
        <w:numPr>
          <w:ilvl w:val="0"/>
          <w:numId w:val="13"/>
        </w:numPr>
        <w:spacing w:before="0" w:after="0" w:line="360" w:lineRule="auto"/>
        <w:rPr>
          <w:rFonts w:hint="eastAsia" w:ascii="黑体" w:hAnsi="黑体" w:eastAsia="黑体" w:cs="黑体"/>
          <w:color w:val="auto"/>
          <w:sz w:val="21"/>
          <w:szCs w:val="21"/>
          <w:highlight w:val="none"/>
        </w:rPr>
      </w:pPr>
      <w:bookmarkStart w:id="122" w:name="_Toc345488402"/>
      <w:bookmarkStart w:id="123" w:name="_Toc451249691"/>
      <w:bookmarkStart w:id="124" w:name="_Toc30320991"/>
      <w:bookmarkStart w:id="125" w:name="_Toc447008867"/>
      <w:bookmarkStart w:id="126" w:name="_Toc20631"/>
      <w:bookmarkStart w:id="127" w:name="_Toc30167678"/>
      <w:r>
        <w:rPr>
          <w:rFonts w:hint="eastAsia" w:ascii="黑体" w:hAnsi="黑体" w:eastAsia="黑体" w:cs="黑体"/>
          <w:color w:val="auto"/>
          <w:sz w:val="21"/>
          <w:szCs w:val="21"/>
          <w:highlight w:val="none"/>
        </w:rPr>
        <w:t>报价有效期</w:t>
      </w:r>
      <w:bookmarkEnd w:id="122"/>
      <w:bookmarkEnd w:id="123"/>
      <w:bookmarkEnd w:id="124"/>
      <w:bookmarkEnd w:id="125"/>
      <w:bookmarkEnd w:id="126"/>
      <w:bookmarkEnd w:id="127"/>
    </w:p>
    <w:p w14:paraId="4CDA5D62">
      <w:pPr>
        <w:pStyle w:val="39"/>
        <w:numPr>
          <w:ilvl w:val="0"/>
          <w:numId w:val="26"/>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响应文件应根据报价须知的规定在递交响应文件截止时间后的90天内保持有效。报价有效期比规定期限短的将被视为不响应采购文件而予以拒绝。</w:t>
      </w:r>
    </w:p>
    <w:p w14:paraId="703D5B34">
      <w:pPr>
        <w:pStyle w:val="39"/>
        <w:numPr>
          <w:ilvl w:val="0"/>
          <w:numId w:val="26"/>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特殊情况下，在原有递交响应文件截止时间之前，采购代理机构可要求供应商同意延长报价有效期。这种要求与答复均应以书面形式（须加盖公章）提交。供应商可拒绝采购代理机构的这种要求。接受报价有效期延长的供应商将不会被要求和允许修正其响应文件。</w:t>
      </w:r>
    </w:p>
    <w:p w14:paraId="7CE0DB97">
      <w:pPr>
        <w:pStyle w:val="4"/>
        <w:numPr>
          <w:ilvl w:val="0"/>
          <w:numId w:val="12"/>
        </w:numPr>
        <w:tabs>
          <w:tab w:val="left" w:pos="426"/>
        </w:tabs>
        <w:spacing w:before="0" w:after="0" w:line="360" w:lineRule="auto"/>
        <w:rPr>
          <w:rFonts w:hint="eastAsia" w:ascii="黑体" w:hAnsi="黑体" w:eastAsia="黑体" w:cs="黑体"/>
          <w:color w:val="auto"/>
          <w:sz w:val="21"/>
          <w:szCs w:val="21"/>
          <w:highlight w:val="none"/>
        </w:rPr>
      </w:pPr>
      <w:bookmarkStart w:id="128" w:name="_Toc21652"/>
      <w:bookmarkStart w:id="129" w:name="_Toc447008868"/>
      <w:bookmarkStart w:id="130" w:name="_Toc451249692"/>
      <w:bookmarkStart w:id="131" w:name="_Toc345488403"/>
      <w:r>
        <w:rPr>
          <w:rFonts w:hint="eastAsia" w:ascii="黑体" w:hAnsi="黑体" w:eastAsia="黑体" w:cs="黑体"/>
          <w:color w:val="auto"/>
          <w:sz w:val="21"/>
          <w:szCs w:val="21"/>
          <w:highlight w:val="none"/>
          <w:lang w:val="en-US" w:eastAsia="zh-CN"/>
        </w:rPr>
        <w:t>询价保证金</w:t>
      </w:r>
      <w:bookmarkEnd w:id="128"/>
    </w:p>
    <w:p w14:paraId="595519E1">
      <w:pPr>
        <w:pStyle w:val="41"/>
        <w:numPr>
          <w:ilvl w:val="0"/>
          <w:numId w:val="13"/>
        </w:numPr>
        <w:spacing w:before="0" w:after="0" w:line="360" w:lineRule="auto"/>
        <w:rPr>
          <w:rFonts w:hint="eastAsia" w:ascii="黑体" w:hAnsi="黑体" w:eastAsia="黑体" w:cs="黑体"/>
          <w:color w:val="auto"/>
          <w:sz w:val="21"/>
          <w:szCs w:val="21"/>
          <w:highlight w:val="none"/>
        </w:rPr>
      </w:pPr>
      <w:bookmarkStart w:id="132" w:name="_Toc27836"/>
      <w:r>
        <w:rPr>
          <w:rFonts w:hint="eastAsia" w:ascii="黑体" w:hAnsi="黑体" w:eastAsia="黑体" w:cs="黑体"/>
          <w:color w:val="auto"/>
          <w:sz w:val="21"/>
          <w:szCs w:val="21"/>
          <w:highlight w:val="none"/>
        </w:rPr>
        <w:t>供应商报价时须附有</w:t>
      </w:r>
      <w:r>
        <w:rPr>
          <w:rFonts w:hint="eastAsia" w:ascii="黑体" w:hAnsi="黑体" w:eastAsia="黑体" w:cs="黑体"/>
          <w:color w:val="auto"/>
          <w:sz w:val="21"/>
          <w:szCs w:val="21"/>
          <w:highlight w:val="none"/>
          <w:lang w:eastAsia="zh-CN"/>
        </w:rPr>
        <w:t>询价保证金</w:t>
      </w:r>
      <w:r>
        <w:rPr>
          <w:rFonts w:hint="eastAsia" w:ascii="黑体" w:hAnsi="黑体" w:eastAsia="黑体" w:cs="黑体"/>
          <w:color w:val="auto"/>
          <w:sz w:val="21"/>
          <w:szCs w:val="21"/>
          <w:highlight w:val="none"/>
        </w:rPr>
        <w:t>为：</w:t>
      </w:r>
      <w:r>
        <w:rPr>
          <w:rFonts w:hint="eastAsia" w:ascii="黑体" w:hAnsi="黑体" w:eastAsia="黑体" w:cs="黑体"/>
          <w:color w:val="auto"/>
          <w:sz w:val="21"/>
          <w:szCs w:val="21"/>
          <w:highlight w:val="none"/>
          <w:u w:val="single"/>
        </w:rPr>
        <w:t>（详见报价须知前附表）</w:t>
      </w:r>
      <w:bookmarkEnd w:id="132"/>
      <w:r>
        <w:rPr>
          <w:rFonts w:hint="eastAsia" w:ascii="黑体" w:hAnsi="黑体" w:eastAsia="黑体" w:cs="黑体"/>
          <w:color w:val="auto"/>
          <w:sz w:val="21"/>
          <w:szCs w:val="21"/>
          <w:highlight w:val="none"/>
        </w:rPr>
        <w:t xml:space="preserve"> </w:t>
      </w:r>
    </w:p>
    <w:p w14:paraId="1D515662">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询价保证金</w:t>
      </w:r>
      <w:r>
        <w:rPr>
          <w:rFonts w:hint="eastAsia" w:ascii="黑体" w:hAnsi="黑体" w:eastAsia="黑体" w:cs="黑体"/>
          <w:color w:val="auto"/>
          <w:szCs w:val="21"/>
          <w:highlight w:val="none"/>
        </w:rPr>
        <w:t>作为供应商价的组成部分，与响应文件一同递交。</w:t>
      </w:r>
    </w:p>
    <w:p w14:paraId="71501DC0">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bCs/>
          <w:color w:val="auto"/>
          <w:szCs w:val="21"/>
          <w:highlight w:val="none"/>
          <w:lang w:eastAsia="zh-CN"/>
        </w:rPr>
        <w:t>询价保证金</w:t>
      </w:r>
      <w:r>
        <w:rPr>
          <w:rFonts w:hint="eastAsia" w:ascii="黑体" w:hAnsi="黑体" w:eastAsia="黑体" w:cs="黑体"/>
          <w:bCs/>
          <w:color w:val="auto"/>
          <w:szCs w:val="21"/>
          <w:highlight w:val="none"/>
        </w:rPr>
        <w:t>应当以支票、汇票、本票或者金融机构、担保机构出具的保函等非现金形式提交。供应商与交款人名称必须一致，非供应商缴纳的</w:t>
      </w:r>
      <w:r>
        <w:rPr>
          <w:rFonts w:hint="eastAsia" w:ascii="黑体" w:hAnsi="黑体" w:eastAsia="黑体" w:cs="黑体"/>
          <w:bCs/>
          <w:color w:val="auto"/>
          <w:szCs w:val="21"/>
          <w:highlight w:val="none"/>
          <w:lang w:eastAsia="zh-CN"/>
        </w:rPr>
        <w:t>询价保证金</w:t>
      </w:r>
      <w:r>
        <w:rPr>
          <w:rFonts w:hint="eastAsia" w:ascii="黑体" w:hAnsi="黑体" w:eastAsia="黑体" w:cs="黑体"/>
          <w:bCs/>
          <w:color w:val="auto"/>
          <w:szCs w:val="21"/>
          <w:highlight w:val="none"/>
        </w:rPr>
        <w:t>无效。</w:t>
      </w:r>
    </w:p>
    <w:p w14:paraId="10C991C5">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如项目出现分包情况的，供应商必须按包号分别提交</w:t>
      </w:r>
      <w:r>
        <w:rPr>
          <w:rFonts w:hint="eastAsia" w:ascii="黑体" w:hAnsi="黑体" w:eastAsia="黑体" w:cs="黑体"/>
          <w:color w:val="auto"/>
          <w:szCs w:val="21"/>
          <w:highlight w:val="none"/>
          <w:lang w:eastAsia="zh-CN"/>
        </w:rPr>
        <w:t>询价保证金</w:t>
      </w:r>
      <w:r>
        <w:rPr>
          <w:rFonts w:hint="eastAsia" w:ascii="黑体" w:hAnsi="黑体" w:eastAsia="黑体" w:cs="黑体"/>
          <w:color w:val="auto"/>
          <w:szCs w:val="21"/>
          <w:highlight w:val="none"/>
        </w:rPr>
        <w:t>并注明包号；</w:t>
      </w:r>
    </w:p>
    <w:p w14:paraId="1FE9DEEE">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提交保证金时应符合下列规定：</w:t>
      </w:r>
    </w:p>
    <w:p w14:paraId="6A1A08F4">
      <w:pPr>
        <w:pStyle w:val="31"/>
        <w:numPr>
          <w:ilvl w:val="0"/>
          <w:numId w:val="28"/>
        </w:numPr>
        <w:tabs>
          <w:tab w:val="left" w:pos="709"/>
        </w:tabs>
        <w:spacing w:line="360" w:lineRule="auto"/>
        <w:ind w:left="709" w:hanging="709"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lang w:eastAsia="zh-CN"/>
        </w:rPr>
        <w:t>询价保证金</w:t>
      </w:r>
      <w:r>
        <w:rPr>
          <w:rFonts w:hint="eastAsia" w:ascii="黑体" w:hAnsi="黑体" w:eastAsia="黑体" w:cs="黑体"/>
          <w:color w:val="auto"/>
          <w:szCs w:val="21"/>
          <w:highlight w:val="none"/>
        </w:rPr>
        <w:t>以转账形式递交的，请务必按以下信息填写汇款单</w:t>
      </w:r>
      <w:r>
        <w:rPr>
          <w:rFonts w:hint="eastAsia" w:ascii="黑体" w:hAnsi="黑体" w:eastAsia="黑体" w:cs="黑体"/>
          <w:color w:val="auto"/>
          <w:szCs w:val="21"/>
          <w:highlight w:val="none"/>
          <w:u w:val="single"/>
        </w:rPr>
        <w:t>：（详见报价须知前附表）账户上；</w:t>
      </w:r>
    </w:p>
    <w:p w14:paraId="03D67733">
      <w:pPr>
        <w:pStyle w:val="31"/>
        <w:numPr>
          <w:ilvl w:val="0"/>
          <w:numId w:val="28"/>
        </w:numPr>
        <w:tabs>
          <w:tab w:val="left" w:pos="709"/>
        </w:tabs>
        <w:spacing w:line="360" w:lineRule="auto"/>
        <w:ind w:left="709" w:hanging="709"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采用《采购投标担保函》递交的，报价担保函有效期应与报价有效期一致；</w:t>
      </w:r>
    </w:p>
    <w:p w14:paraId="55A78AFC">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任何未按第15.1款和第15.4款规定的要求提交</w:t>
      </w:r>
      <w:r>
        <w:rPr>
          <w:rFonts w:hint="eastAsia" w:ascii="黑体" w:hAnsi="黑体" w:eastAsia="黑体" w:cs="黑体"/>
          <w:color w:val="auto"/>
          <w:szCs w:val="21"/>
          <w:highlight w:val="none"/>
          <w:lang w:eastAsia="zh-CN"/>
        </w:rPr>
        <w:t>询价保证金</w:t>
      </w:r>
      <w:r>
        <w:rPr>
          <w:rFonts w:hint="eastAsia" w:ascii="黑体" w:hAnsi="黑体" w:eastAsia="黑体" w:cs="黑体"/>
          <w:color w:val="auto"/>
          <w:szCs w:val="21"/>
          <w:highlight w:val="none"/>
        </w:rPr>
        <w:t>的报价，将被视为非响应性报价予以拒绝。</w:t>
      </w:r>
    </w:p>
    <w:p w14:paraId="178BCCE0">
      <w:pPr>
        <w:pStyle w:val="31"/>
        <w:numPr>
          <w:ilvl w:val="0"/>
          <w:numId w:val="27"/>
        </w:numPr>
        <w:spacing w:line="360" w:lineRule="auto"/>
        <w:ind w:left="567" w:hanging="567" w:firstLineChars="0"/>
        <w:rPr>
          <w:rFonts w:hint="eastAsia" w:ascii="黑体" w:hAnsi="黑体" w:eastAsia="黑体" w:cs="黑体"/>
          <w:color w:val="auto"/>
          <w:szCs w:val="21"/>
          <w:highlight w:val="none"/>
        </w:rPr>
      </w:pPr>
      <w:bookmarkStart w:id="133" w:name="_Toc30167680"/>
      <w:bookmarkStart w:id="134" w:name="_Toc30320993"/>
      <w:r>
        <w:rPr>
          <w:rFonts w:hint="eastAsia" w:ascii="黑体" w:hAnsi="黑体" w:eastAsia="黑体" w:cs="黑体"/>
          <w:color w:val="auto"/>
          <w:szCs w:val="21"/>
          <w:highlight w:val="none"/>
        </w:rPr>
        <w:t>未成交供应商的保证金应当在成交通知书发出后5个工作日内退还，成交供应商的保证金应当在采购合同签订后5个工作日内退还。</w:t>
      </w:r>
    </w:p>
    <w:p w14:paraId="693F735B">
      <w:pPr>
        <w:pStyle w:val="31"/>
        <w:numPr>
          <w:ilvl w:val="0"/>
          <w:numId w:val="2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有下列情形之一的，保证金将被没收：</w:t>
      </w:r>
    </w:p>
    <w:p w14:paraId="42395CED">
      <w:pPr>
        <w:pStyle w:val="31"/>
        <w:numPr>
          <w:ilvl w:val="0"/>
          <w:numId w:val="29"/>
        </w:numPr>
        <w:tabs>
          <w:tab w:val="left" w:pos="709"/>
        </w:tabs>
        <w:spacing w:line="360" w:lineRule="auto"/>
        <w:ind w:left="141" w:hanging="140" w:hanging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供应商在提交响应文件截止时间后撤回响应文件的；</w:t>
      </w:r>
    </w:p>
    <w:p w14:paraId="2DAEB508">
      <w:pPr>
        <w:pStyle w:val="31"/>
        <w:numPr>
          <w:ilvl w:val="0"/>
          <w:numId w:val="29"/>
        </w:numPr>
        <w:tabs>
          <w:tab w:val="left" w:pos="709"/>
        </w:tabs>
        <w:spacing w:line="360" w:lineRule="auto"/>
        <w:ind w:left="141" w:hanging="140" w:hanging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供应商在响应文件中提供虚假材料的；</w:t>
      </w:r>
    </w:p>
    <w:p w14:paraId="2263D1F2">
      <w:pPr>
        <w:pStyle w:val="31"/>
        <w:numPr>
          <w:ilvl w:val="0"/>
          <w:numId w:val="29"/>
        </w:numPr>
        <w:tabs>
          <w:tab w:val="left" w:pos="709"/>
        </w:tabs>
        <w:spacing w:line="360" w:lineRule="auto"/>
        <w:ind w:left="708" w:hanging="707" w:hangingChars="337"/>
        <w:rPr>
          <w:rFonts w:hint="eastAsia" w:ascii="黑体" w:hAnsi="黑体" w:eastAsia="黑体" w:cs="黑体"/>
          <w:color w:val="auto"/>
          <w:szCs w:val="21"/>
          <w:highlight w:val="none"/>
        </w:rPr>
      </w:pPr>
      <w:r>
        <w:rPr>
          <w:rFonts w:hint="eastAsia" w:ascii="黑体" w:hAnsi="黑体" w:eastAsia="黑体" w:cs="黑体"/>
          <w:color w:val="auto"/>
          <w:szCs w:val="21"/>
          <w:highlight w:val="none"/>
        </w:rPr>
        <w:t>成交供应商不与采购人签订合同的；</w:t>
      </w:r>
    </w:p>
    <w:p w14:paraId="6A79E2D0">
      <w:pPr>
        <w:pStyle w:val="31"/>
        <w:numPr>
          <w:ilvl w:val="0"/>
          <w:numId w:val="29"/>
        </w:numPr>
        <w:tabs>
          <w:tab w:val="left" w:pos="709"/>
        </w:tabs>
        <w:spacing w:line="360" w:lineRule="auto"/>
        <w:ind w:left="141" w:hanging="140" w:hanging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供应商与采购人、其他供应商或者采购代理机构恶意串通的；</w:t>
      </w:r>
    </w:p>
    <w:p w14:paraId="60FF44B7">
      <w:pPr>
        <w:pStyle w:val="31"/>
        <w:numPr>
          <w:ilvl w:val="0"/>
          <w:numId w:val="29"/>
        </w:numPr>
        <w:tabs>
          <w:tab w:val="left" w:pos="709"/>
        </w:tabs>
        <w:spacing w:line="360" w:lineRule="auto"/>
        <w:ind w:left="141" w:hanging="140" w:hanging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采购文件规定的其他情形。</w:t>
      </w:r>
    </w:p>
    <w:p w14:paraId="3BFC03B0">
      <w:pPr>
        <w:pStyle w:val="4"/>
        <w:numPr>
          <w:ilvl w:val="0"/>
          <w:numId w:val="12"/>
        </w:numPr>
        <w:tabs>
          <w:tab w:val="left" w:pos="426"/>
        </w:tabs>
        <w:spacing w:before="0" w:after="0" w:line="360" w:lineRule="auto"/>
        <w:rPr>
          <w:rFonts w:hint="eastAsia" w:ascii="黑体" w:hAnsi="黑体" w:eastAsia="黑体" w:cs="黑体"/>
          <w:color w:val="auto"/>
          <w:sz w:val="21"/>
          <w:szCs w:val="21"/>
          <w:highlight w:val="none"/>
        </w:rPr>
      </w:pPr>
      <w:bookmarkStart w:id="135" w:name="_Toc10267"/>
      <w:r>
        <w:rPr>
          <w:rFonts w:hint="eastAsia" w:ascii="黑体" w:hAnsi="黑体" w:eastAsia="黑体" w:cs="黑体"/>
          <w:color w:val="auto"/>
          <w:sz w:val="21"/>
          <w:szCs w:val="21"/>
          <w:highlight w:val="none"/>
        </w:rPr>
        <w:t>响应文件的提交</w:t>
      </w:r>
      <w:bookmarkEnd w:id="129"/>
      <w:bookmarkEnd w:id="130"/>
      <w:bookmarkEnd w:id="131"/>
      <w:bookmarkEnd w:id="133"/>
      <w:bookmarkEnd w:id="134"/>
      <w:bookmarkEnd w:id="135"/>
    </w:p>
    <w:p w14:paraId="4E263D4B">
      <w:pPr>
        <w:pStyle w:val="41"/>
        <w:numPr>
          <w:ilvl w:val="0"/>
          <w:numId w:val="13"/>
        </w:numPr>
        <w:spacing w:before="0" w:after="0" w:line="360" w:lineRule="auto"/>
        <w:rPr>
          <w:rFonts w:hint="eastAsia" w:ascii="黑体" w:hAnsi="黑体" w:eastAsia="黑体" w:cs="黑体"/>
          <w:color w:val="auto"/>
          <w:sz w:val="21"/>
          <w:szCs w:val="21"/>
          <w:highlight w:val="none"/>
        </w:rPr>
      </w:pPr>
      <w:bookmarkStart w:id="136" w:name="_Toc30167681"/>
      <w:bookmarkStart w:id="137" w:name="_Toc30320994"/>
      <w:bookmarkStart w:id="138" w:name="_Toc23022"/>
      <w:bookmarkStart w:id="139" w:name="_Toc451249693"/>
      <w:bookmarkStart w:id="140" w:name="_Toc447008869"/>
      <w:bookmarkStart w:id="141" w:name="_Toc345488404"/>
      <w:r>
        <w:rPr>
          <w:rFonts w:hint="eastAsia" w:ascii="黑体" w:hAnsi="黑体" w:eastAsia="黑体" w:cs="黑体"/>
          <w:color w:val="auto"/>
          <w:sz w:val="21"/>
          <w:szCs w:val="21"/>
          <w:highlight w:val="none"/>
        </w:rPr>
        <w:t>响应文件的装订、密封和标记</w:t>
      </w:r>
      <w:bookmarkEnd w:id="136"/>
      <w:bookmarkEnd w:id="137"/>
      <w:bookmarkEnd w:id="138"/>
      <w:bookmarkEnd w:id="139"/>
      <w:bookmarkEnd w:id="140"/>
      <w:bookmarkEnd w:id="141"/>
    </w:p>
    <w:p w14:paraId="2C0A5597">
      <w:pPr>
        <w:pStyle w:val="39"/>
        <w:numPr>
          <w:ilvl w:val="0"/>
          <w:numId w:val="30"/>
        </w:numPr>
        <w:spacing w:line="360" w:lineRule="auto"/>
        <w:ind w:left="567" w:right="31"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响应文件的装订要求。所有响应文件必须装订成册，出现掉页和漏页的由供应商自己承担。</w:t>
      </w:r>
    </w:p>
    <w:p w14:paraId="2382588D">
      <w:pPr>
        <w:pStyle w:val="39"/>
        <w:numPr>
          <w:ilvl w:val="0"/>
          <w:numId w:val="30"/>
        </w:numPr>
        <w:spacing w:line="360" w:lineRule="auto"/>
        <w:ind w:left="567" w:right="31"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响应文件的装订如下：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611"/>
        <w:gridCol w:w="2604"/>
        <w:gridCol w:w="3596"/>
      </w:tblGrid>
      <w:tr w14:paraId="1C969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17" w:type="pct"/>
            <w:vAlign w:val="center"/>
          </w:tcPr>
          <w:p w14:paraId="5A8BD2C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序号</w:t>
            </w:r>
          </w:p>
        </w:tc>
        <w:tc>
          <w:tcPr>
            <w:tcW w:w="945" w:type="pct"/>
            <w:vAlign w:val="center"/>
          </w:tcPr>
          <w:p w14:paraId="4121963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文件名称</w:t>
            </w:r>
          </w:p>
        </w:tc>
        <w:tc>
          <w:tcPr>
            <w:tcW w:w="1527" w:type="pct"/>
            <w:vAlign w:val="center"/>
          </w:tcPr>
          <w:p w14:paraId="408CED9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装订</w:t>
            </w:r>
          </w:p>
        </w:tc>
        <w:tc>
          <w:tcPr>
            <w:tcW w:w="2109" w:type="pct"/>
            <w:vAlign w:val="center"/>
          </w:tcPr>
          <w:p w14:paraId="7982738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备注</w:t>
            </w:r>
          </w:p>
        </w:tc>
      </w:tr>
      <w:tr w14:paraId="6B684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7" w:type="pct"/>
            <w:vAlign w:val="center"/>
          </w:tcPr>
          <w:p w14:paraId="5821162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945" w:type="pct"/>
            <w:vAlign w:val="center"/>
          </w:tcPr>
          <w:p w14:paraId="085B423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价格文件</w:t>
            </w:r>
          </w:p>
        </w:tc>
        <w:tc>
          <w:tcPr>
            <w:tcW w:w="1527" w:type="pct"/>
            <w:vAlign w:val="center"/>
          </w:tcPr>
          <w:p w14:paraId="3008EBDD">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每份独立装订</w:t>
            </w:r>
          </w:p>
        </w:tc>
        <w:tc>
          <w:tcPr>
            <w:tcW w:w="2109" w:type="pct"/>
            <w:vAlign w:val="center"/>
          </w:tcPr>
          <w:p w14:paraId="614D3E9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正本、副本一起密封包装</w:t>
            </w:r>
          </w:p>
        </w:tc>
      </w:tr>
      <w:tr w14:paraId="15E1B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7" w:type="pct"/>
            <w:vAlign w:val="center"/>
          </w:tcPr>
          <w:p w14:paraId="19CF52C1">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945" w:type="pct"/>
            <w:vAlign w:val="center"/>
          </w:tcPr>
          <w:p w14:paraId="41A67D12">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商务技术文件</w:t>
            </w:r>
          </w:p>
        </w:tc>
        <w:tc>
          <w:tcPr>
            <w:tcW w:w="1527" w:type="pct"/>
            <w:vAlign w:val="center"/>
          </w:tcPr>
          <w:p w14:paraId="2B18F5E7">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每份独立装订</w:t>
            </w:r>
          </w:p>
        </w:tc>
        <w:tc>
          <w:tcPr>
            <w:tcW w:w="2109" w:type="pct"/>
            <w:vAlign w:val="center"/>
          </w:tcPr>
          <w:p w14:paraId="779E7B0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正本、副本一起密封包装</w:t>
            </w:r>
          </w:p>
        </w:tc>
      </w:tr>
    </w:tbl>
    <w:p w14:paraId="2ED205E4">
      <w:pPr>
        <w:pStyle w:val="39"/>
        <w:numPr>
          <w:ilvl w:val="0"/>
          <w:numId w:val="30"/>
        </w:numPr>
        <w:spacing w:line="360" w:lineRule="auto"/>
        <w:ind w:left="567" w:right="31"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电子文件</w:t>
      </w:r>
      <w:bookmarkStart w:id="142" w:name="_Hlk86740118"/>
      <w:r>
        <w:rPr>
          <w:rFonts w:hint="eastAsia" w:ascii="黑体" w:hAnsi="黑体" w:eastAsia="黑体" w:cs="黑体"/>
          <w:color w:val="auto"/>
          <w:sz w:val="21"/>
          <w:szCs w:val="21"/>
          <w:highlight w:val="none"/>
        </w:rPr>
        <w:t>须同时提交以下文件</w:t>
      </w:r>
      <w:bookmarkEnd w:id="142"/>
      <w:r>
        <w:rPr>
          <w:rFonts w:hint="eastAsia" w:ascii="黑体" w:hAnsi="黑体" w:eastAsia="黑体" w:cs="黑体"/>
          <w:color w:val="auto"/>
          <w:sz w:val="21"/>
          <w:szCs w:val="21"/>
          <w:highlight w:val="none"/>
        </w:rPr>
        <w:t>：</w:t>
      </w:r>
      <w:bookmarkStart w:id="143" w:name="_Hlk86740096"/>
      <w:r>
        <w:rPr>
          <w:rFonts w:hint="eastAsia" w:ascii="黑体" w:hAnsi="黑体" w:eastAsia="黑体" w:cs="黑体"/>
          <w:color w:val="auto"/>
          <w:sz w:val="21"/>
          <w:szCs w:val="21"/>
          <w:highlight w:val="none"/>
        </w:rPr>
        <w:t>①可编辑的WORD或 EXCEL 格式文件。②按采购文件要求签署、盖章后的正本</w:t>
      </w:r>
      <w:r>
        <w:rPr>
          <w:rFonts w:hint="eastAsia" w:ascii="黑体" w:hAnsi="黑体" w:eastAsia="黑体" w:cs="黑体"/>
          <w:color w:val="auto"/>
          <w:sz w:val="21"/>
          <w:szCs w:val="21"/>
          <w:highlight w:val="none"/>
          <w:lang w:eastAsia="zh-CN"/>
        </w:rPr>
        <w:t>响应文件</w:t>
      </w:r>
      <w:r>
        <w:rPr>
          <w:rFonts w:hint="eastAsia" w:ascii="黑体" w:hAnsi="黑体" w:eastAsia="黑体" w:cs="黑体"/>
          <w:color w:val="auto"/>
          <w:sz w:val="21"/>
          <w:szCs w:val="21"/>
          <w:highlight w:val="none"/>
        </w:rPr>
        <w:t>扫描成PDF格式文件。电子文件由CD-R光盘或U盘储存</w:t>
      </w:r>
      <w:bookmarkEnd w:id="143"/>
      <w:r>
        <w:rPr>
          <w:rFonts w:hint="eastAsia" w:ascii="黑体" w:hAnsi="黑体" w:eastAsia="黑体" w:cs="黑体"/>
          <w:color w:val="auto"/>
          <w:sz w:val="21"/>
          <w:szCs w:val="21"/>
          <w:highlight w:val="none"/>
        </w:rPr>
        <w:t>。</w:t>
      </w:r>
    </w:p>
    <w:p w14:paraId="7D748D78">
      <w:pPr>
        <w:pStyle w:val="39"/>
        <w:numPr>
          <w:ilvl w:val="0"/>
          <w:numId w:val="30"/>
        </w:numPr>
        <w:spacing w:line="360" w:lineRule="auto"/>
        <w:ind w:left="567" w:right="31"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在响应文件密封袋上均应标明以下内容：</w:t>
      </w:r>
    </w:p>
    <w:p w14:paraId="7B643026">
      <w:pPr>
        <w:pStyle w:val="31"/>
        <w:spacing w:line="360" w:lineRule="auto"/>
        <w:ind w:firstLine="0" w:firstLineChars="0"/>
        <w:rPr>
          <w:rFonts w:hint="eastAsia" w:ascii="黑体" w:hAnsi="黑体" w:eastAsia="黑体" w:cs="黑体"/>
          <w:color w:val="auto"/>
          <w:szCs w:val="21"/>
          <w:highlight w:val="none"/>
          <w:u w:val="single"/>
        </w:rPr>
      </w:pPr>
      <w:r>
        <w:rPr>
          <w:rFonts w:hint="eastAsia" w:ascii="黑体" w:hAnsi="黑体" w:eastAsia="黑体" w:cs="黑体"/>
          <w:bCs/>
          <w:color w:val="auto"/>
          <w:szCs w:val="21"/>
          <w:highlight w:val="none"/>
        </w:rPr>
        <w:t>收件人名称：</w:t>
      </w:r>
      <w:r>
        <w:rPr>
          <w:rFonts w:hint="eastAsia" w:ascii="黑体" w:hAnsi="黑体" w:eastAsia="黑体" w:cs="黑体"/>
          <w:color w:val="auto"/>
          <w:szCs w:val="21"/>
          <w:highlight w:val="none"/>
          <w:u w:val="single"/>
        </w:rPr>
        <w:t xml:space="preserve">广东有德招标采购有限公司              </w:t>
      </w:r>
    </w:p>
    <w:p w14:paraId="4D980FE0">
      <w:pPr>
        <w:pStyle w:val="31"/>
        <w:spacing w:line="360" w:lineRule="auto"/>
        <w:ind w:firstLine="0"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供应商名称：</w:t>
      </w:r>
      <w:r>
        <w:rPr>
          <w:rFonts w:hint="eastAsia" w:ascii="黑体" w:hAnsi="黑体" w:eastAsia="黑体" w:cs="黑体"/>
          <w:color w:val="auto"/>
          <w:szCs w:val="21"/>
          <w:highlight w:val="none"/>
          <w:u w:val="single"/>
        </w:rPr>
        <w:t xml:space="preserve">                                      </w:t>
      </w:r>
    </w:p>
    <w:p w14:paraId="5DA5D7C5">
      <w:pPr>
        <w:pStyle w:val="31"/>
        <w:spacing w:line="360" w:lineRule="auto"/>
        <w:ind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项目名称：</w:t>
      </w:r>
      <w:r>
        <w:rPr>
          <w:rFonts w:hint="eastAsia" w:ascii="黑体" w:hAnsi="黑体" w:eastAsia="黑体" w:cs="黑体"/>
          <w:bCs/>
          <w:color w:val="auto"/>
          <w:szCs w:val="21"/>
          <w:highlight w:val="none"/>
          <w:u w:val="single"/>
        </w:rPr>
        <w:t xml:space="preserve">        （详见报价邀请函）              </w:t>
      </w:r>
    </w:p>
    <w:p w14:paraId="3E5380C6">
      <w:pPr>
        <w:pStyle w:val="31"/>
        <w:spacing w:line="360" w:lineRule="auto"/>
        <w:ind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项目编号：</w:t>
      </w:r>
      <w:r>
        <w:rPr>
          <w:rFonts w:hint="eastAsia" w:ascii="黑体" w:hAnsi="黑体" w:eastAsia="黑体" w:cs="黑体"/>
          <w:bCs/>
          <w:color w:val="auto"/>
          <w:szCs w:val="21"/>
          <w:highlight w:val="none"/>
          <w:u w:val="single"/>
        </w:rPr>
        <w:t xml:space="preserve">        （详见报价邀请函）          </w:t>
      </w:r>
    </w:p>
    <w:p w14:paraId="24800E76">
      <w:pPr>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注明：</w:t>
      </w:r>
      <w:r>
        <w:rPr>
          <w:rFonts w:hint="eastAsia" w:ascii="黑体" w:hAnsi="黑体" w:eastAsia="黑体" w:cs="黑体"/>
          <w:bCs/>
          <w:color w:val="auto"/>
          <w:szCs w:val="21"/>
          <w:highlight w:val="none"/>
          <w:u w:val="single"/>
        </w:rPr>
        <w:t xml:space="preserve">于   年   月   日北京时间   ：   </w:t>
      </w:r>
      <w:r>
        <w:rPr>
          <w:rFonts w:hint="eastAsia" w:ascii="黑体" w:hAnsi="黑体" w:eastAsia="黑体" w:cs="黑体"/>
          <w:bCs/>
          <w:color w:val="auto"/>
          <w:szCs w:val="21"/>
          <w:highlight w:val="none"/>
        </w:rPr>
        <w:t>（详见报价邀请函）之前不得启封的字样。</w:t>
      </w:r>
    </w:p>
    <w:p w14:paraId="5FB7993C">
      <w:pPr>
        <w:pStyle w:val="39"/>
        <w:numPr>
          <w:ilvl w:val="0"/>
          <w:numId w:val="30"/>
        </w:numPr>
        <w:spacing w:line="360" w:lineRule="auto"/>
        <w:ind w:left="567" w:right="31"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如果响应文件没有按以上规定装订和加写标记及密封，采购代理机构将不承担响应文件提前开封的责任。</w:t>
      </w:r>
    </w:p>
    <w:p w14:paraId="217E80DE">
      <w:pPr>
        <w:pStyle w:val="41"/>
        <w:numPr>
          <w:ilvl w:val="0"/>
          <w:numId w:val="13"/>
        </w:numPr>
        <w:spacing w:before="0" w:after="0" w:line="360" w:lineRule="auto"/>
        <w:rPr>
          <w:rFonts w:hint="eastAsia" w:ascii="黑体" w:hAnsi="黑体" w:eastAsia="黑体" w:cs="黑体"/>
          <w:color w:val="auto"/>
          <w:sz w:val="21"/>
          <w:szCs w:val="21"/>
          <w:highlight w:val="none"/>
        </w:rPr>
      </w:pPr>
      <w:bookmarkStart w:id="144" w:name="_Toc2642"/>
      <w:bookmarkStart w:id="145" w:name="_Toc345488405"/>
      <w:bookmarkStart w:id="146" w:name="_Toc30320995"/>
      <w:bookmarkStart w:id="147" w:name="_Toc30167682"/>
      <w:bookmarkStart w:id="148" w:name="_Toc451249694"/>
      <w:bookmarkStart w:id="149" w:name="_Toc447008870"/>
      <w:r>
        <w:rPr>
          <w:rFonts w:hint="eastAsia" w:ascii="黑体" w:hAnsi="黑体" w:eastAsia="黑体" w:cs="黑体"/>
          <w:color w:val="auto"/>
          <w:sz w:val="21"/>
          <w:szCs w:val="21"/>
          <w:highlight w:val="none"/>
        </w:rPr>
        <w:t>递交响应文件截止时间</w:t>
      </w:r>
      <w:bookmarkEnd w:id="144"/>
      <w:bookmarkEnd w:id="145"/>
      <w:bookmarkEnd w:id="146"/>
      <w:bookmarkEnd w:id="147"/>
      <w:bookmarkEnd w:id="148"/>
      <w:bookmarkEnd w:id="149"/>
    </w:p>
    <w:p w14:paraId="0D2297F9">
      <w:pPr>
        <w:pStyle w:val="39"/>
        <w:numPr>
          <w:ilvl w:val="0"/>
          <w:numId w:val="31"/>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递交响应文件截止时间见第一部分报价邀请</w:t>
      </w:r>
      <w:r>
        <w:rPr>
          <w:rFonts w:hint="eastAsia" w:ascii="黑体" w:hAnsi="黑体" w:eastAsia="黑体" w:cs="黑体"/>
          <w:color w:val="auto"/>
          <w:sz w:val="21"/>
          <w:szCs w:val="21"/>
          <w:highlight w:val="none"/>
          <w:lang w:val="en-US" w:eastAsia="zh-CN"/>
        </w:rPr>
        <w:t>函</w:t>
      </w:r>
      <w:r>
        <w:rPr>
          <w:rFonts w:hint="eastAsia" w:ascii="黑体" w:hAnsi="黑体" w:eastAsia="黑体" w:cs="黑体"/>
          <w:color w:val="auto"/>
          <w:sz w:val="21"/>
          <w:szCs w:val="21"/>
          <w:highlight w:val="none"/>
        </w:rPr>
        <w:t>。</w:t>
      </w:r>
    </w:p>
    <w:p w14:paraId="032CDE56">
      <w:pPr>
        <w:pStyle w:val="39"/>
        <w:numPr>
          <w:ilvl w:val="0"/>
          <w:numId w:val="31"/>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代理机构可按照采购文件规定以澄清或修改通知的方式，酌情延长提交响应文件的截止时间。在此情况下，供应商的所有权利和义务以及供应商受制约的截止时间，均以延长后新的提交响应文件截止时间为准。</w:t>
      </w:r>
    </w:p>
    <w:p w14:paraId="6B5A4987">
      <w:pPr>
        <w:pStyle w:val="39"/>
        <w:numPr>
          <w:ilvl w:val="0"/>
          <w:numId w:val="31"/>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到递交响应文件截止时间止，采购代理机构收到的响应文件少于3家的，采购代理机构将依法重新组织采购。</w:t>
      </w:r>
    </w:p>
    <w:p w14:paraId="01C3BA68">
      <w:pPr>
        <w:pStyle w:val="41"/>
        <w:numPr>
          <w:ilvl w:val="0"/>
          <w:numId w:val="13"/>
        </w:numPr>
        <w:spacing w:before="0" w:after="0" w:line="360" w:lineRule="auto"/>
        <w:rPr>
          <w:rFonts w:hint="eastAsia" w:ascii="黑体" w:hAnsi="黑体" w:eastAsia="黑体" w:cs="黑体"/>
          <w:color w:val="auto"/>
          <w:sz w:val="21"/>
          <w:szCs w:val="21"/>
          <w:highlight w:val="none"/>
        </w:rPr>
      </w:pPr>
      <w:bookmarkStart w:id="150" w:name="_Toc30167683"/>
      <w:bookmarkStart w:id="151" w:name="_Toc345488406"/>
      <w:bookmarkStart w:id="152" w:name="_Toc30320996"/>
      <w:bookmarkStart w:id="153" w:name="_Toc447008871"/>
      <w:bookmarkStart w:id="154" w:name="_Toc4733"/>
      <w:bookmarkStart w:id="155" w:name="_Toc451249695"/>
      <w:r>
        <w:rPr>
          <w:rFonts w:hint="eastAsia" w:ascii="黑体" w:hAnsi="黑体" w:eastAsia="黑体" w:cs="黑体"/>
          <w:color w:val="auto"/>
          <w:sz w:val="21"/>
          <w:szCs w:val="21"/>
          <w:highlight w:val="none"/>
        </w:rPr>
        <w:t>迟交的响应文件</w:t>
      </w:r>
      <w:bookmarkEnd w:id="150"/>
      <w:bookmarkEnd w:id="151"/>
      <w:bookmarkEnd w:id="152"/>
      <w:bookmarkEnd w:id="153"/>
      <w:bookmarkEnd w:id="154"/>
      <w:bookmarkEnd w:id="155"/>
    </w:p>
    <w:p w14:paraId="4CD2E3A6">
      <w:pPr>
        <w:pStyle w:val="39"/>
        <w:spacing w:line="360" w:lineRule="auto"/>
        <w:ind w:firstLine="433"/>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供应商在提交报价截止时间之后提交的响应文件，采购代理机构将拒绝接收。</w:t>
      </w:r>
    </w:p>
    <w:p w14:paraId="5174362A">
      <w:pPr>
        <w:pStyle w:val="41"/>
        <w:numPr>
          <w:ilvl w:val="0"/>
          <w:numId w:val="13"/>
        </w:numPr>
        <w:spacing w:before="0" w:after="0" w:line="360" w:lineRule="auto"/>
        <w:rPr>
          <w:rFonts w:hint="eastAsia" w:ascii="黑体" w:hAnsi="黑体" w:eastAsia="黑体" w:cs="黑体"/>
          <w:color w:val="auto"/>
          <w:sz w:val="21"/>
          <w:szCs w:val="21"/>
          <w:highlight w:val="none"/>
        </w:rPr>
      </w:pPr>
      <w:bookmarkStart w:id="156" w:name="_Toc345488407"/>
      <w:bookmarkStart w:id="157" w:name="_Toc447008872"/>
      <w:bookmarkStart w:id="158" w:name="_Toc11560"/>
      <w:bookmarkStart w:id="159" w:name="_Toc451249696"/>
      <w:bookmarkStart w:id="160" w:name="_Toc30320997"/>
      <w:bookmarkStart w:id="161" w:name="_Toc30167684"/>
      <w:r>
        <w:rPr>
          <w:rFonts w:hint="eastAsia" w:ascii="黑体" w:hAnsi="黑体" w:eastAsia="黑体" w:cs="黑体"/>
          <w:color w:val="auto"/>
          <w:sz w:val="21"/>
          <w:szCs w:val="21"/>
          <w:highlight w:val="none"/>
        </w:rPr>
        <w:t>响应文件的补充、修改与撤回</w:t>
      </w:r>
      <w:bookmarkEnd w:id="156"/>
      <w:bookmarkEnd w:id="157"/>
      <w:bookmarkEnd w:id="158"/>
      <w:bookmarkEnd w:id="159"/>
      <w:bookmarkEnd w:id="160"/>
      <w:bookmarkEnd w:id="161"/>
    </w:p>
    <w:p w14:paraId="724ED873">
      <w:pPr>
        <w:pStyle w:val="39"/>
        <w:numPr>
          <w:ilvl w:val="0"/>
          <w:numId w:val="32"/>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供应商在提交响应文件截止时间前，可以对所提交的响应文件进行补充、修改或撤回，并以书面形式通知采购代理机构。在提交响应文件截止时间之后，供应商不得对其响应文件作出任何的补充和修改。</w:t>
      </w:r>
    </w:p>
    <w:p w14:paraId="55D2A2E5">
      <w:pPr>
        <w:pStyle w:val="39"/>
        <w:numPr>
          <w:ilvl w:val="0"/>
          <w:numId w:val="32"/>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供应商对响应文件的补充、修改的内容应当按采购文件要求的签署、盖章，作为响应文件的组成部分。并按照采购文件规定密封和标记的要求提交，并在响应文件密封袋上标明“补充、修改”或“撤回”字样。</w:t>
      </w:r>
    </w:p>
    <w:p w14:paraId="0CC0136C">
      <w:pPr>
        <w:pStyle w:val="39"/>
        <w:numPr>
          <w:ilvl w:val="0"/>
          <w:numId w:val="32"/>
        </w:numPr>
        <w:spacing w:line="360" w:lineRule="auto"/>
        <w:ind w:left="567" w:hanging="567" w:firstLineChars="0"/>
        <w:rPr>
          <w:rFonts w:hint="eastAsia" w:ascii="黑体" w:hAnsi="黑体" w:eastAsia="黑体" w:cs="黑体"/>
          <w:color w:val="auto"/>
          <w:sz w:val="21"/>
          <w:szCs w:val="21"/>
          <w:highlight w:val="none"/>
        </w:rPr>
      </w:pPr>
      <w:bookmarkStart w:id="162" w:name="_Hlk92231500"/>
      <w:r>
        <w:rPr>
          <w:rFonts w:hint="eastAsia" w:ascii="黑体" w:hAnsi="黑体" w:eastAsia="黑体" w:cs="黑体"/>
          <w:color w:val="auto"/>
          <w:sz w:val="21"/>
          <w:szCs w:val="21"/>
          <w:highlight w:val="none"/>
        </w:rPr>
        <w:t>在提交响应文件截止时间至报价有效期满之前，供应商不得撤回其响应文件。</w:t>
      </w:r>
    </w:p>
    <w:bookmarkEnd w:id="162"/>
    <w:p w14:paraId="3FB5BCBF">
      <w:pPr>
        <w:pStyle w:val="4"/>
        <w:numPr>
          <w:ilvl w:val="0"/>
          <w:numId w:val="12"/>
        </w:numPr>
        <w:tabs>
          <w:tab w:val="left" w:pos="426"/>
        </w:tabs>
        <w:spacing w:before="156" w:beforeLines="50" w:after="0" w:line="360" w:lineRule="auto"/>
        <w:rPr>
          <w:rFonts w:hint="eastAsia" w:ascii="黑体" w:hAnsi="黑体" w:eastAsia="黑体" w:cs="黑体"/>
          <w:color w:val="auto"/>
          <w:sz w:val="21"/>
          <w:szCs w:val="21"/>
          <w:highlight w:val="none"/>
        </w:rPr>
      </w:pPr>
      <w:bookmarkStart w:id="163" w:name="_Toc447008873"/>
      <w:bookmarkStart w:id="164" w:name="_Toc30320998"/>
      <w:bookmarkStart w:id="165" w:name="_Toc345488408"/>
      <w:bookmarkStart w:id="166" w:name="_Toc451249697"/>
      <w:bookmarkStart w:id="167" w:name="_Toc1551"/>
      <w:bookmarkStart w:id="168" w:name="_Toc30167685"/>
      <w:r>
        <w:rPr>
          <w:rFonts w:hint="eastAsia" w:ascii="黑体" w:hAnsi="黑体" w:eastAsia="黑体" w:cs="黑体"/>
          <w:color w:val="auto"/>
          <w:sz w:val="21"/>
          <w:szCs w:val="21"/>
          <w:highlight w:val="none"/>
        </w:rPr>
        <w:t>开标与评审</w:t>
      </w:r>
      <w:bookmarkEnd w:id="163"/>
      <w:bookmarkEnd w:id="164"/>
      <w:bookmarkEnd w:id="165"/>
      <w:bookmarkEnd w:id="166"/>
      <w:bookmarkEnd w:id="167"/>
      <w:bookmarkEnd w:id="168"/>
    </w:p>
    <w:p w14:paraId="3A16D32A">
      <w:pPr>
        <w:pStyle w:val="41"/>
        <w:numPr>
          <w:ilvl w:val="0"/>
          <w:numId w:val="13"/>
        </w:numPr>
        <w:spacing w:before="0" w:after="0" w:line="360" w:lineRule="auto"/>
        <w:rPr>
          <w:rFonts w:hint="eastAsia" w:ascii="黑体" w:hAnsi="黑体" w:eastAsia="黑体" w:cs="黑体"/>
          <w:color w:val="auto"/>
          <w:sz w:val="21"/>
          <w:szCs w:val="21"/>
          <w:highlight w:val="none"/>
        </w:rPr>
      </w:pPr>
      <w:bookmarkStart w:id="169" w:name="_Toc447008874"/>
      <w:bookmarkStart w:id="170" w:name="_Toc194377327"/>
      <w:bookmarkStart w:id="171" w:name="_Toc345488409"/>
      <w:bookmarkStart w:id="172" w:name="_Toc30167686"/>
      <w:bookmarkStart w:id="173" w:name="_Toc30320999"/>
      <w:bookmarkStart w:id="174" w:name="_Toc31062"/>
      <w:bookmarkStart w:id="175" w:name="_Toc451249698"/>
      <w:r>
        <w:rPr>
          <w:rFonts w:hint="eastAsia" w:ascii="黑体" w:hAnsi="黑体" w:eastAsia="黑体" w:cs="黑体"/>
          <w:color w:val="auto"/>
          <w:sz w:val="21"/>
          <w:szCs w:val="21"/>
          <w:highlight w:val="none"/>
        </w:rPr>
        <w:t>开标</w:t>
      </w:r>
      <w:bookmarkEnd w:id="169"/>
      <w:bookmarkEnd w:id="170"/>
      <w:bookmarkEnd w:id="171"/>
      <w:bookmarkEnd w:id="172"/>
      <w:bookmarkEnd w:id="173"/>
      <w:bookmarkEnd w:id="174"/>
      <w:bookmarkEnd w:id="175"/>
    </w:p>
    <w:p w14:paraId="18AFBBB1">
      <w:pPr>
        <w:pStyle w:val="39"/>
        <w:numPr>
          <w:ilvl w:val="0"/>
          <w:numId w:val="33"/>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采购代理机构按报价邀请函所规定的时间和地点公开开标，并邀请所有供应商参加。</w:t>
      </w:r>
    </w:p>
    <w:p w14:paraId="28C02914">
      <w:pPr>
        <w:pStyle w:val="39"/>
        <w:numPr>
          <w:ilvl w:val="0"/>
          <w:numId w:val="33"/>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按规定提交合格的撤回通知的响应文件不予开封，并退回给供应商。</w:t>
      </w:r>
    </w:p>
    <w:p w14:paraId="6EF4AB72">
      <w:pPr>
        <w:pStyle w:val="39"/>
        <w:numPr>
          <w:ilvl w:val="0"/>
          <w:numId w:val="33"/>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开标程序：</w:t>
      </w:r>
    </w:p>
    <w:p w14:paraId="3B6223AF">
      <w:pPr>
        <w:pStyle w:val="39"/>
        <w:numPr>
          <w:ilvl w:val="0"/>
          <w:numId w:val="34"/>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由采购代理机构主持开标会，供应商法定代表人或其授权代表准时参加开标会并签名报到</w:t>
      </w:r>
      <w:r>
        <w:rPr>
          <w:rFonts w:hint="eastAsia" w:ascii="黑体" w:hAnsi="黑体" w:eastAsia="黑体" w:cs="黑体"/>
          <w:b/>
          <w:color w:val="auto"/>
          <w:sz w:val="21"/>
          <w:szCs w:val="21"/>
          <w:highlight w:val="none"/>
        </w:rPr>
        <w:t>。</w:t>
      </w:r>
    </w:p>
    <w:p w14:paraId="3EFFC060">
      <w:pPr>
        <w:pStyle w:val="39"/>
        <w:numPr>
          <w:ilvl w:val="0"/>
          <w:numId w:val="34"/>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响应文件的密封情况由供应商或供应商推选的代表检查。</w:t>
      </w:r>
    </w:p>
    <w:p w14:paraId="7483E782">
      <w:pPr>
        <w:pStyle w:val="41"/>
        <w:numPr>
          <w:ilvl w:val="0"/>
          <w:numId w:val="13"/>
        </w:numPr>
        <w:spacing w:before="0" w:after="0" w:line="360" w:lineRule="auto"/>
        <w:rPr>
          <w:rFonts w:hint="eastAsia" w:ascii="黑体" w:hAnsi="黑体" w:eastAsia="黑体" w:cs="黑体"/>
          <w:color w:val="auto"/>
          <w:sz w:val="21"/>
          <w:szCs w:val="21"/>
          <w:highlight w:val="none"/>
        </w:rPr>
      </w:pPr>
      <w:bookmarkStart w:id="176" w:name="_Toc30167687"/>
      <w:bookmarkStart w:id="177" w:name="_Toc26176817"/>
      <w:bookmarkStart w:id="178" w:name="_Toc31613"/>
      <w:bookmarkStart w:id="179" w:name="_Toc30321000"/>
      <w:r>
        <w:rPr>
          <w:rFonts w:hint="eastAsia" w:ascii="黑体" w:hAnsi="黑体" w:eastAsia="黑体" w:cs="黑体"/>
          <w:color w:val="auto"/>
          <w:sz w:val="21"/>
          <w:szCs w:val="21"/>
          <w:highlight w:val="none"/>
        </w:rPr>
        <w:t>询价小组</w:t>
      </w:r>
      <w:bookmarkEnd w:id="176"/>
      <w:bookmarkEnd w:id="177"/>
      <w:bookmarkEnd w:id="178"/>
      <w:bookmarkEnd w:id="179"/>
    </w:p>
    <w:p w14:paraId="03554EC1">
      <w:pPr>
        <w:pStyle w:val="39"/>
        <w:numPr>
          <w:ilvl w:val="0"/>
          <w:numId w:val="35"/>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询价小组由采购代理机构依法组建，负责评审活动。</w:t>
      </w:r>
    </w:p>
    <w:p w14:paraId="7ABB0492">
      <w:pPr>
        <w:pStyle w:val="39"/>
        <w:numPr>
          <w:ilvl w:val="0"/>
          <w:numId w:val="36"/>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询价小组将按照采购文件确定的评审方法进行评审。对采购文件中描述有歧义或前后不一致的地方，询价小组有权按法律、法规的规定进行评判，但对同一条款的评判应适用于各供应商。</w:t>
      </w:r>
    </w:p>
    <w:p w14:paraId="73AB59A9">
      <w:pPr>
        <w:pStyle w:val="39"/>
        <w:numPr>
          <w:ilvl w:val="0"/>
          <w:numId w:val="36"/>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评审专家（不含采购人代表）有下列情形之一的，受到邀请应主动提出回避：</w:t>
      </w:r>
    </w:p>
    <w:p w14:paraId="0F9BACA5">
      <w:pPr>
        <w:pStyle w:val="39"/>
        <w:numPr>
          <w:ilvl w:val="0"/>
          <w:numId w:val="37"/>
        </w:numPr>
        <w:tabs>
          <w:tab w:val="left" w:pos="993"/>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三年内在参加该采购项目供应商中任职（包括一般工作）或担任顾问；</w:t>
      </w:r>
    </w:p>
    <w:p w14:paraId="623B0058">
      <w:pPr>
        <w:pStyle w:val="39"/>
        <w:numPr>
          <w:ilvl w:val="0"/>
          <w:numId w:val="37"/>
        </w:numPr>
        <w:tabs>
          <w:tab w:val="left" w:pos="993"/>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配偶或直系亲属在参加该采购项目的供应商中任职或担任顾问；</w:t>
      </w:r>
    </w:p>
    <w:p w14:paraId="0C8917F9">
      <w:pPr>
        <w:pStyle w:val="39"/>
        <w:numPr>
          <w:ilvl w:val="0"/>
          <w:numId w:val="37"/>
        </w:numPr>
        <w:tabs>
          <w:tab w:val="left" w:pos="993"/>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与参加该采购项目供应商发生过法律纠纷，以及其他可能影响公正评标的情况；</w:t>
      </w:r>
    </w:p>
    <w:p w14:paraId="0269636F">
      <w:pPr>
        <w:pStyle w:val="39"/>
        <w:numPr>
          <w:ilvl w:val="0"/>
          <w:numId w:val="37"/>
        </w:numPr>
        <w:tabs>
          <w:tab w:val="left" w:pos="993"/>
        </w:tabs>
        <w:spacing w:line="360" w:lineRule="auto"/>
        <w:ind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就该采购项目采购文件征询过意见的。</w:t>
      </w:r>
    </w:p>
    <w:p w14:paraId="201840BD">
      <w:pPr>
        <w:pStyle w:val="41"/>
        <w:numPr>
          <w:ilvl w:val="0"/>
          <w:numId w:val="13"/>
        </w:numPr>
        <w:spacing w:before="0" w:after="0" w:line="360" w:lineRule="auto"/>
        <w:rPr>
          <w:rFonts w:hint="eastAsia" w:ascii="黑体" w:hAnsi="黑体" w:eastAsia="黑体" w:cs="黑体"/>
          <w:color w:val="auto"/>
          <w:sz w:val="21"/>
          <w:szCs w:val="21"/>
          <w:highlight w:val="none"/>
        </w:rPr>
      </w:pPr>
      <w:bookmarkStart w:id="180" w:name="_Toc26176818"/>
      <w:bookmarkStart w:id="181" w:name="_Toc30321001"/>
      <w:bookmarkStart w:id="182" w:name="_Toc30167688"/>
      <w:bookmarkStart w:id="183" w:name="_Toc8010"/>
      <w:r>
        <w:rPr>
          <w:rFonts w:hint="eastAsia" w:ascii="黑体" w:hAnsi="黑体" w:eastAsia="黑体" w:cs="黑体"/>
          <w:color w:val="auto"/>
          <w:sz w:val="21"/>
          <w:szCs w:val="21"/>
          <w:highlight w:val="none"/>
        </w:rPr>
        <w:t>评审原则和评审方法</w:t>
      </w:r>
      <w:bookmarkEnd w:id="180"/>
      <w:bookmarkEnd w:id="181"/>
      <w:bookmarkEnd w:id="182"/>
      <w:bookmarkEnd w:id="183"/>
    </w:p>
    <w:p w14:paraId="5D785AF8">
      <w:pPr>
        <w:pStyle w:val="39"/>
        <w:numPr>
          <w:ilvl w:val="0"/>
          <w:numId w:val="38"/>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评审原则</w:t>
      </w:r>
      <w:r>
        <w:rPr>
          <w:rFonts w:hint="eastAsia" w:ascii="黑体" w:hAnsi="黑体" w:eastAsia="黑体" w:cs="黑体"/>
          <w:color w:val="auto"/>
          <w:sz w:val="21"/>
          <w:szCs w:val="21"/>
          <w:highlight w:val="none"/>
          <w:lang w:eastAsia="zh-CN"/>
        </w:rPr>
        <w:t>：</w:t>
      </w:r>
      <w:r>
        <w:rPr>
          <w:rFonts w:hint="eastAsia" w:ascii="黑体" w:hAnsi="黑体" w:eastAsia="黑体" w:cs="黑体"/>
          <w:color w:val="auto"/>
          <w:sz w:val="21"/>
          <w:szCs w:val="21"/>
          <w:highlight w:val="none"/>
        </w:rPr>
        <w:t>评审工作应依据《中华人民共和国政府采购法》及其实施条例、《政府采购非招标采购方式管理办法》等相关法律、法规的规定，遵循“公开、公平、公正、择优、信用”的原则进行。询价小组将按照采购文件规定只对通过初步评审的响应文件进行评审和比较。</w:t>
      </w:r>
    </w:p>
    <w:p w14:paraId="6D46B16F">
      <w:pPr>
        <w:pStyle w:val="39"/>
        <w:numPr>
          <w:ilvl w:val="0"/>
          <w:numId w:val="38"/>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评审方法：</w:t>
      </w:r>
      <w:r>
        <w:rPr>
          <w:rFonts w:hint="eastAsia" w:ascii="黑体" w:hAnsi="黑体" w:eastAsia="黑体" w:cs="黑体"/>
          <w:b/>
          <w:bCs/>
          <w:color w:val="auto"/>
          <w:sz w:val="21"/>
          <w:szCs w:val="21"/>
          <w:highlight w:val="none"/>
        </w:rPr>
        <w:t>采用最低评标价法确定成交候选人</w:t>
      </w:r>
      <w:r>
        <w:rPr>
          <w:rFonts w:hint="eastAsia" w:ascii="黑体" w:hAnsi="黑体" w:eastAsia="黑体" w:cs="黑体"/>
          <w:color w:val="auto"/>
          <w:sz w:val="21"/>
          <w:szCs w:val="21"/>
          <w:highlight w:val="none"/>
        </w:rPr>
        <w:t>，即在符合采购需求、质量和服务相等的前提下，以提出最低报价的供应商为成交候选人。报价相同的，按技术指标优劣顺序排列。询价小组认为，排在前面的成交候选人的最低报价或者某些分项</w:t>
      </w:r>
      <w:r>
        <w:rPr>
          <w:rFonts w:hint="eastAsia" w:ascii="黑体" w:hAnsi="黑体" w:eastAsia="黑体" w:cs="黑体"/>
          <w:color w:val="auto"/>
          <w:sz w:val="21"/>
          <w:szCs w:val="21"/>
          <w:highlight w:val="none"/>
          <w:lang w:val="en-US" w:eastAsia="zh-CN"/>
        </w:rPr>
        <w:t>明细</w:t>
      </w:r>
      <w:r>
        <w:rPr>
          <w:rFonts w:hint="eastAsia" w:ascii="黑体" w:hAnsi="黑体" w:eastAsia="黑体" w:cs="黑体"/>
          <w:color w:val="auto"/>
          <w:sz w:val="21"/>
          <w:szCs w:val="21"/>
          <w:highlight w:val="none"/>
        </w:rPr>
        <w:t>报价明显不合理或者低于成本，应当要求其在规定时间内提供书面文件予以解释说明，并提供相关证明材料。否则，询价小组可以取消该供应商的成交候选资格，按顺序由排在后面的成交候选人递补，以此类推。</w:t>
      </w:r>
    </w:p>
    <w:p w14:paraId="4C11EB41">
      <w:pPr>
        <w:pStyle w:val="41"/>
        <w:numPr>
          <w:ilvl w:val="0"/>
          <w:numId w:val="13"/>
        </w:numPr>
        <w:spacing w:before="0" w:after="0" w:line="360" w:lineRule="auto"/>
        <w:rPr>
          <w:rFonts w:hint="eastAsia" w:ascii="黑体" w:hAnsi="黑体" w:eastAsia="黑体" w:cs="黑体"/>
          <w:color w:val="auto"/>
          <w:sz w:val="21"/>
          <w:szCs w:val="21"/>
          <w:highlight w:val="none"/>
        </w:rPr>
      </w:pPr>
      <w:bookmarkStart w:id="184" w:name="_Toc26176819"/>
      <w:bookmarkStart w:id="185" w:name="_Toc14986"/>
      <w:bookmarkStart w:id="186" w:name="_Toc30167689"/>
      <w:bookmarkStart w:id="187" w:name="_Toc30321002"/>
      <w:r>
        <w:rPr>
          <w:rFonts w:hint="eastAsia" w:ascii="黑体" w:hAnsi="黑体" w:eastAsia="黑体" w:cs="黑体"/>
          <w:color w:val="auto"/>
          <w:sz w:val="21"/>
          <w:szCs w:val="21"/>
          <w:highlight w:val="none"/>
        </w:rPr>
        <w:t>评审过程的保密</w:t>
      </w:r>
      <w:bookmarkEnd w:id="184"/>
      <w:bookmarkEnd w:id="185"/>
      <w:bookmarkEnd w:id="186"/>
      <w:bookmarkEnd w:id="187"/>
    </w:p>
    <w:p w14:paraId="667B073C">
      <w:pPr>
        <w:pStyle w:val="39"/>
        <w:numPr>
          <w:ilvl w:val="0"/>
          <w:numId w:val="39"/>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评审过程中，直至确定成交供应商为止，凡属于对响应文件的审查、澄清、评价和比较的有关资料以及成交供应商的推荐情况，与评审有关的其他任何情况均严格保密。</w:t>
      </w:r>
    </w:p>
    <w:p w14:paraId="18D174D9">
      <w:pPr>
        <w:pStyle w:val="39"/>
        <w:numPr>
          <w:ilvl w:val="0"/>
          <w:numId w:val="39"/>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在响应文件的评审和比较以及确定成交供应商的过程中，供应商向采购代理机构和询价小组施加影响的任何行为，都将会导致其报价被拒绝。</w:t>
      </w:r>
    </w:p>
    <w:p w14:paraId="367C5976">
      <w:pPr>
        <w:pStyle w:val="39"/>
        <w:numPr>
          <w:ilvl w:val="0"/>
          <w:numId w:val="39"/>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成交供应商确定后，采购代理机构不对落选供应商就评审过程以及未能中选原因作出任何解释。供应商不得向询价小组或其他有关人员索问评审过程的情况和材料。</w:t>
      </w:r>
    </w:p>
    <w:p w14:paraId="5B80D949">
      <w:pPr>
        <w:pStyle w:val="41"/>
        <w:numPr>
          <w:ilvl w:val="0"/>
          <w:numId w:val="13"/>
        </w:numPr>
        <w:spacing w:before="0" w:after="0" w:line="360" w:lineRule="auto"/>
        <w:rPr>
          <w:rFonts w:hint="eastAsia" w:ascii="黑体" w:hAnsi="黑体" w:eastAsia="黑体" w:cs="黑体"/>
          <w:color w:val="auto"/>
          <w:sz w:val="21"/>
          <w:szCs w:val="21"/>
          <w:highlight w:val="none"/>
        </w:rPr>
      </w:pPr>
      <w:bookmarkStart w:id="188" w:name="_Toc30167690"/>
      <w:bookmarkStart w:id="189" w:name="_Toc26176820"/>
      <w:bookmarkStart w:id="190" w:name="_Toc30321003"/>
      <w:bookmarkStart w:id="191" w:name="_Toc1153"/>
      <w:r>
        <w:rPr>
          <w:rFonts w:hint="eastAsia" w:ascii="黑体" w:hAnsi="黑体" w:eastAsia="黑体" w:cs="黑体"/>
          <w:color w:val="auto"/>
          <w:sz w:val="21"/>
          <w:szCs w:val="21"/>
          <w:highlight w:val="none"/>
        </w:rPr>
        <w:t>初步评审与报价评审</w:t>
      </w:r>
      <w:bookmarkEnd w:id="188"/>
      <w:bookmarkEnd w:id="189"/>
      <w:bookmarkEnd w:id="190"/>
      <w:bookmarkEnd w:id="191"/>
    </w:p>
    <w:p w14:paraId="791CA20E">
      <w:pPr>
        <w:pStyle w:val="39"/>
        <w:numPr>
          <w:ilvl w:val="0"/>
          <w:numId w:val="40"/>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初步评审</w:t>
      </w:r>
    </w:p>
    <w:p w14:paraId="5A81D970">
      <w:pPr>
        <w:pStyle w:val="39"/>
        <w:numPr>
          <w:ilvl w:val="0"/>
          <w:numId w:val="41"/>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资格性与符合性审，询价小组依据采购文件规定，从响应文件的有效性、完整性和对采购文件的响应程度进行审查，以确定是否对采购文件的实质性要求作出响应。</w:t>
      </w:r>
    </w:p>
    <w:p w14:paraId="427F7C52">
      <w:pPr>
        <w:pStyle w:val="39"/>
        <w:numPr>
          <w:ilvl w:val="0"/>
          <w:numId w:val="41"/>
        </w:numPr>
        <w:spacing w:line="360" w:lineRule="auto"/>
        <w:ind w:left="709" w:hanging="709"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资格性检查和符合性检查过程中，响应文件有出现下列情况之一的，被认定为无效报价：</w:t>
      </w:r>
    </w:p>
    <w:p w14:paraId="2FD13F70">
      <w:pPr>
        <w:pStyle w:val="31"/>
        <w:keepLines/>
        <w:numPr>
          <w:ilvl w:val="0"/>
          <w:numId w:val="42"/>
        </w:numPr>
        <w:spacing w:before="156" w:beforeLines="50" w:after="156" w:afterLines="50" w:line="360" w:lineRule="auto"/>
        <w:ind w:hangingChars="20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附表一  资格性与符合性审查表（注：本表无需供应商填写）</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4212"/>
        <w:gridCol w:w="1096"/>
        <w:gridCol w:w="1178"/>
        <w:gridCol w:w="1125"/>
      </w:tblGrid>
      <w:tr w14:paraId="4B37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35" w:type="pct"/>
            <w:vAlign w:val="center"/>
          </w:tcPr>
          <w:p w14:paraId="097B89E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2471" w:type="pct"/>
            <w:tcBorders>
              <w:bottom w:val="single" w:color="auto" w:sz="4" w:space="0"/>
              <w:tl2br w:val="single" w:color="auto" w:sz="4" w:space="0"/>
            </w:tcBorders>
          </w:tcPr>
          <w:p w14:paraId="63651636">
            <w:pPr>
              <w:spacing w:line="360" w:lineRule="auto"/>
              <w:ind w:left="210" w:hanging="210" w:hangingChars="100"/>
              <w:jc w:val="righ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                          供应商</w:t>
            </w:r>
          </w:p>
          <w:p w14:paraId="38120C87">
            <w:pPr>
              <w:spacing w:line="360" w:lineRule="auto"/>
              <w:ind w:firstLine="105" w:firstLineChars="5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审查内容</w:t>
            </w:r>
          </w:p>
        </w:tc>
        <w:tc>
          <w:tcPr>
            <w:tcW w:w="643" w:type="pct"/>
            <w:vAlign w:val="center"/>
          </w:tcPr>
          <w:p w14:paraId="27777B0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供应商A</w:t>
            </w:r>
          </w:p>
        </w:tc>
        <w:tc>
          <w:tcPr>
            <w:tcW w:w="691" w:type="pct"/>
            <w:vAlign w:val="center"/>
          </w:tcPr>
          <w:p w14:paraId="2DB66E51">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供应商B</w:t>
            </w:r>
          </w:p>
        </w:tc>
        <w:tc>
          <w:tcPr>
            <w:tcW w:w="658" w:type="pct"/>
            <w:vAlign w:val="center"/>
          </w:tcPr>
          <w:p w14:paraId="4AB2DF8F">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供应商C</w:t>
            </w:r>
          </w:p>
        </w:tc>
      </w:tr>
      <w:tr w14:paraId="1C95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5" w:type="pct"/>
            <w:vAlign w:val="center"/>
          </w:tcPr>
          <w:p w14:paraId="2353F806">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471" w:type="pct"/>
            <w:tcBorders>
              <w:tl2br w:val="nil"/>
            </w:tcBorders>
            <w:vAlign w:val="center"/>
          </w:tcPr>
          <w:p w14:paraId="675EB699">
            <w:pPr>
              <w:spacing w:line="360" w:lineRule="auto"/>
              <w:jc w:val="left"/>
              <w:rPr>
                <w:rFonts w:hint="eastAsia" w:ascii="黑体" w:hAnsi="黑体" w:eastAsia="黑体" w:cs="黑体"/>
                <w:color w:val="auto"/>
                <w:highlight w:val="none"/>
              </w:rPr>
            </w:pPr>
            <w:r>
              <w:rPr>
                <w:rFonts w:hint="eastAsia" w:ascii="黑体" w:hAnsi="黑体" w:eastAsia="黑体" w:cs="黑体"/>
                <w:color w:val="auto"/>
                <w:szCs w:val="21"/>
                <w:highlight w:val="none"/>
              </w:rPr>
              <w:t>具备采购文件中规定资格要求的及资格证明文件齐全；</w:t>
            </w:r>
          </w:p>
        </w:tc>
        <w:tc>
          <w:tcPr>
            <w:tcW w:w="643" w:type="pct"/>
            <w:vAlign w:val="center"/>
          </w:tcPr>
          <w:p w14:paraId="3790032B">
            <w:pPr>
              <w:spacing w:line="360" w:lineRule="auto"/>
              <w:jc w:val="center"/>
              <w:rPr>
                <w:rFonts w:hint="eastAsia" w:ascii="黑体" w:hAnsi="黑体" w:eastAsia="黑体" w:cs="黑体"/>
                <w:bCs/>
                <w:color w:val="auto"/>
                <w:szCs w:val="21"/>
                <w:highlight w:val="none"/>
              </w:rPr>
            </w:pPr>
          </w:p>
        </w:tc>
        <w:tc>
          <w:tcPr>
            <w:tcW w:w="691" w:type="pct"/>
            <w:vAlign w:val="center"/>
          </w:tcPr>
          <w:p w14:paraId="2AD65E91">
            <w:pPr>
              <w:spacing w:line="360" w:lineRule="auto"/>
              <w:jc w:val="center"/>
              <w:rPr>
                <w:rFonts w:hint="eastAsia" w:ascii="黑体" w:hAnsi="黑体" w:eastAsia="黑体" w:cs="黑体"/>
                <w:bCs/>
                <w:color w:val="auto"/>
                <w:szCs w:val="21"/>
                <w:highlight w:val="none"/>
              </w:rPr>
            </w:pPr>
          </w:p>
        </w:tc>
        <w:tc>
          <w:tcPr>
            <w:tcW w:w="658" w:type="pct"/>
            <w:vAlign w:val="center"/>
          </w:tcPr>
          <w:p w14:paraId="7CF6A143">
            <w:pPr>
              <w:spacing w:line="360" w:lineRule="auto"/>
              <w:jc w:val="center"/>
              <w:rPr>
                <w:rFonts w:hint="eastAsia" w:ascii="黑体" w:hAnsi="黑体" w:eastAsia="黑体" w:cs="黑体"/>
                <w:bCs/>
                <w:color w:val="auto"/>
                <w:szCs w:val="21"/>
                <w:highlight w:val="none"/>
              </w:rPr>
            </w:pPr>
          </w:p>
        </w:tc>
      </w:tr>
      <w:tr w14:paraId="1C7FD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5" w:type="pct"/>
            <w:vAlign w:val="center"/>
          </w:tcPr>
          <w:p w14:paraId="2D0B0D7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471" w:type="pct"/>
            <w:tcBorders>
              <w:tl2br w:val="nil"/>
            </w:tcBorders>
            <w:vAlign w:val="center"/>
          </w:tcPr>
          <w:p w14:paraId="1C0F4BB8">
            <w:pPr>
              <w:spacing w:line="360" w:lineRule="auto"/>
              <w:jc w:val="left"/>
              <w:rPr>
                <w:rFonts w:hint="eastAsia" w:ascii="黑体" w:hAnsi="黑体" w:eastAsia="黑体" w:cs="黑体"/>
                <w:color w:val="auto"/>
                <w:highlight w:val="none"/>
              </w:rPr>
            </w:pPr>
            <w:r>
              <w:rPr>
                <w:rFonts w:hint="eastAsia" w:ascii="黑体" w:hAnsi="黑体" w:eastAsia="黑体" w:cs="黑体"/>
                <w:color w:val="auto"/>
                <w:szCs w:val="21"/>
                <w:highlight w:val="none"/>
              </w:rPr>
              <w:t>报价未超过本项目的采购预算或最高限价；</w:t>
            </w:r>
          </w:p>
        </w:tc>
        <w:tc>
          <w:tcPr>
            <w:tcW w:w="643" w:type="pct"/>
            <w:vAlign w:val="center"/>
          </w:tcPr>
          <w:p w14:paraId="11D89701">
            <w:pPr>
              <w:spacing w:line="360" w:lineRule="auto"/>
              <w:jc w:val="center"/>
              <w:rPr>
                <w:rFonts w:hint="eastAsia" w:ascii="黑体" w:hAnsi="黑体" w:eastAsia="黑体" w:cs="黑体"/>
                <w:bCs/>
                <w:color w:val="auto"/>
                <w:szCs w:val="21"/>
                <w:highlight w:val="none"/>
              </w:rPr>
            </w:pPr>
          </w:p>
        </w:tc>
        <w:tc>
          <w:tcPr>
            <w:tcW w:w="691" w:type="pct"/>
            <w:vAlign w:val="center"/>
          </w:tcPr>
          <w:p w14:paraId="3D25CDF1">
            <w:pPr>
              <w:spacing w:line="360" w:lineRule="auto"/>
              <w:jc w:val="center"/>
              <w:rPr>
                <w:rFonts w:hint="eastAsia" w:ascii="黑体" w:hAnsi="黑体" w:eastAsia="黑体" w:cs="黑体"/>
                <w:bCs/>
                <w:color w:val="auto"/>
                <w:szCs w:val="21"/>
                <w:highlight w:val="none"/>
              </w:rPr>
            </w:pPr>
          </w:p>
        </w:tc>
        <w:tc>
          <w:tcPr>
            <w:tcW w:w="658" w:type="pct"/>
            <w:vAlign w:val="center"/>
          </w:tcPr>
          <w:p w14:paraId="6E5A6273">
            <w:pPr>
              <w:spacing w:line="360" w:lineRule="auto"/>
              <w:jc w:val="center"/>
              <w:rPr>
                <w:rFonts w:hint="eastAsia" w:ascii="黑体" w:hAnsi="黑体" w:eastAsia="黑体" w:cs="黑体"/>
                <w:bCs/>
                <w:color w:val="auto"/>
                <w:szCs w:val="21"/>
                <w:highlight w:val="none"/>
              </w:rPr>
            </w:pPr>
          </w:p>
        </w:tc>
      </w:tr>
      <w:tr w14:paraId="033F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35" w:type="pct"/>
            <w:vAlign w:val="center"/>
          </w:tcPr>
          <w:p w14:paraId="6F43AFB9">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471" w:type="pct"/>
            <w:vAlign w:val="center"/>
          </w:tcPr>
          <w:p w14:paraId="1A45CB91">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法人授权委托证明</w:t>
            </w:r>
          </w:p>
          <w:p w14:paraId="492D0F52">
            <w:pPr>
              <w:spacing w:line="360" w:lineRule="auto"/>
              <w:jc w:val="left"/>
              <w:rPr>
                <w:rFonts w:hint="eastAsia" w:ascii="黑体" w:hAnsi="黑体" w:eastAsia="黑体" w:cs="黑体"/>
                <w:b/>
                <w:bCs/>
                <w:color w:val="auto"/>
                <w:szCs w:val="21"/>
                <w:highlight w:val="none"/>
              </w:rPr>
            </w:pPr>
            <w:r>
              <w:rPr>
                <w:rFonts w:hint="eastAsia" w:ascii="黑体" w:hAnsi="黑体" w:eastAsia="黑体" w:cs="黑体"/>
                <w:color w:val="auto"/>
                <w:spacing w:val="-4"/>
                <w:szCs w:val="21"/>
                <w:highlight w:val="none"/>
              </w:rPr>
              <w:t>(响应供应商代表为法定代表人的除外)</w:t>
            </w:r>
          </w:p>
        </w:tc>
        <w:tc>
          <w:tcPr>
            <w:tcW w:w="643" w:type="pct"/>
            <w:vAlign w:val="center"/>
          </w:tcPr>
          <w:p w14:paraId="6905D1DA">
            <w:pPr>
              <w:spacing w:line="360" w:lineRule="auto"/>
              <w:jc w:val="center"/>
              <w:rPr>
                <w:rFonts w:hint="eastAsia" w:ascii="黑体" w:hAnsi="黑体" w:eastAsia="黑体" w:cs="黑体"/>
                <w:b/>
                <w:bCs/>
                <w:color w:val="auto"/>
                <w:szCs w:val="21"/>
                <w:highlight w:val="none"/>
              </w:rPr>
            </w:pPr>
          </w:p>
        </w:tc>
        <w:tc>
          <w:tcPr>
            <w:tcW w:w="691" w:type="pct"/>
            <w:vAlign w:val="center"/>
          </w:tcPr>
          <w:p w14:paraId="1F5094BA">
            <w:pPr>
              <w:spacing w:line="360" w:lineRule="auto"/>
              <w:jc w:val="center"/>
              <w:rPr>
                <w:rFonts w:hint="eastAsia" w:ascii="黑体" w:hAnsi="黑体" w:eastAsia="黑体" w:cs="黑体"/>
                <w:b/>
                <w:bCs/>
                <w:color w:val="auto"/>
                <w:szCs w:val="21"/>
                <w:highlight w:val="none"/>
              </w:rPr>
            </w:pPr>
          </w:p>
        </w:tc>
        <w:tc>
          <w:tcPr>
            <w:tcW w:w="658" w:type="pct"/>
            <w:vAlign w:val="center"/>
          </w:tcPr>
          <w:p w14:paraId="71667910">
            <w:pPr>
              <w:spacing w:line="360" w:lineRule="auto"/>
              <w:jc w:val="center"/>
              <w:rPr>
                <w:rFonts w:hint="eastAsia" w:ascii="黑体" w:hAnsi="黑体" w:eastAsia="黑体" w:cs="黑体"/>
                <w:b/>
                <w:bCs/>
                <w:color w:val="auto"/>
                <w:szCs w:val="21"/>
                <w:highlight w:val="none"/>
              </w:rPr>
            </w:pPr>
          </w:p>
        </w:tc>
      </w:tr>
      <w:tr w14:paraId="77A77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pct"/>
            <w:vAlign w:val="center"/>
          </w:tcPr>
          <w:p w14:paraId="2C468BA9">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471" w:type="pct"/>
            <w:vAlign w:val="center"/>
          </w:tcPr>
          <w:p w14:paraId="2AA53C06">
            <w:pPr>
              <w:spacing w:line="360" w:lineRule="auto"/>
              <w:jc w:val="left"/>
              <w:rPr>
                <w:rFonts w:hint="eastAsia" w:ascii="黑体" w:hAnsi="黑体" w:eastAsia="黑体" w:cs="黑体"/>
                <w:color w:val="auto"/>
                <w:spacing w:val="-4"/>
                <w:szCs w:val="21"/>
                <w:highlight w:val="none"/>
              </w:rPr>
            </w:pPr>
            <w:r>
              <w:rPr>
                <w:rFonts w:hint="eastAsia" w:ascii="黑体" w:hAnsi="黑体" w:eastAsia="黑体" w:cs="黑体"/>
                <w:color w:val="auto"/>
                <w:szCs w:val="21"/>
                <w:highlight w:val="none"/>
              </w:rPr>
              <w:t>报价函</w:t>
            </w:r>
            <w:r>
              <w:rPr>
                <w:rFonts w:hint="eastAsia" w:ascii="黑体" w:hAnsi="黑体" w:eastAsia="黑体" w:cs="黑体"/>
                <w:color w:val="auto"/>
                <w:highlight w:val="none"/>
              </w:rPr>
              <w:t>已提交并符合采购文件要求的（报价有效期）；</w:t>
            </w:r>
          </w:p>
        </w:tc>
        <w:tc>
          <w:tcPr>
            <w:tcW w:w="643" w:type="pct"/>
            <w:vAlign w:val="center"/>
          </w:tcPr>
          <w:p w14:paraId="1FFC7AF0">
            <w:pPr>
              <w:spacing w:line="360" w:lineRule="auto"/>
              <w:jc w:val="center"/>
              <w:rPr>
                <w:rFonts w:hint="eastAsia" w:ascii="黑体" w:hAnsi="黑体" w:eastAsia="黑体" w:cs="黑体"/>
                <w:b/>
                <w:bCs/>
                <w:color w:val="auto"/>
                <w:szCs w:val="21"/>
                <w:highlight w:val="none"/>
              </w:rPr>
            </w:pPr>
          </w:p>
        </w:tc>
        <w:tc>
          <w:tcPr>
            <w:tcW w:w="691" w:type="pct"/>
            <w:vAlign w:val="center"/>
          </w:tcPr>
          <w:p w14:paraId="34050AFA">
            <w:pPr>
              <w:spacing w:line="360" w:lineRule="auto"/>
              <w:jc w:val="center"/>
              <w:rPr>
                <w:rFonts w:hint="eastAsia" w:ascii="黑体" w:hAnsi="黑体" w:eastAsia="黑体" w:cs="黑体"/>
                <w:b/>
                <w:bCs/>
                <w:color w:val="auto"/>
                <w:szCs w:val="21"/>
                <w:highlight w:val="none"/>
              </w:rPr>
            </w:pPr>
          </w:p>
        </w:tc>
        <w:tc>
          <w:tcPr>
            <w:tcW w:w="658" w:type="pct"/>
            <w:vAlign w:val="center"/>
          </w:tcPr>
          <w:p w14:paraId="4082DEBB">
            <w:pPr>
              <w:spacing w:line="360" w:lineRule="auto"/>
              <w:jc w:val="center"/>
              <w:rPr>
                <w:rFonts w:hint="eastAsia" w:ascii="黑体" w:hAnsi="黑体" w:eastAsia="黑体" w:cs="黑体"/>
                <w:b/>
                <w:bCs/>
                <w:color w:val="auto"/>
                <w:szCs w:val="21"/>
                <w:highlight w:val="none"/>
              </w:rPr>
            </w:pPr>
          </w:p>
        </w:tc>
      </w:tr>
      <w:tr w14:paraId="7EB3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35" w:type="pct"/>
            <w:vAlign w:val="center"/>
          </w:tcPr>
          <w:p w14:paraId="6DB8D1A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2471" w:type="pct"/>
            <w:vAlign w:val="center"/>
          </w:tcPr>
          <w:p w14:paraId="664FAB0A">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响应文件的签署、盖章符合采购文件要求；</w:t>
            </w:r>
          </w:p>
        </w:tc>
        <w:tc>
          <w:tcPr>
            <w:tcW w:w="643" w:type="pct"/>
            <w:vAlign w:val="center"/>
          </w:tcPr>
          <w:p w14:paraId="19618177">
            <w:pPr>
              <w:spacing w:line="360" w:lineRule="auto"/>
              <w:jc w:val="center"/>
              <w:rPr>
                <w:rFonts w:hint="eastAsia" w:ascii="黑体" w:hAnsi="黑体" w:eastAsia="黑体" w:cs="黑体"/>
                <w:b/>
                <w:bCs/>
                <w:color w:val="auto"/>
                <w:szCs w:val="21"/>
                <w:highlight w:val="none"/>
              </w:rPr>
            </w:pPr>
          </w:p>
        </w:tc>
        <w:tc>
          <w:tcPr>
            <w:tcW w:w="691" w:type="pct"/>
            <w:vAlign w:val="center"/>
          </w:tcPr>
          <w:p w14:paraId="4CB07C1C">
            <w:pPr>
              <w:spacing w:line="360" w:lineRule="auto"/>
              <w:jc w:val="center"/>
              <w:rPr>
                <w:rFonts w:hint="eastAsia" w:ascii="黑体" w:hAnsi="黑体" w:eastAsia="黑体" w:cs="黑体"/>
                <w:b/>
                <w:bCs/>
                <w:color w:val="auto"/>
                <w:szCs w:val="21"/>
                <w:highlight w:val="none"/>
              </w:rPr>
            </w:pPr>
          </w:p>
        </w:tc>
        <w:tc>
          <w:tcPr>
            <w:tcW w:w="658" w:type="pct"/>
            <w:vAlign w:val="center"/>
          </w:tcPr>
          <w:p w14:paraId="29961BC2">
            <w:pPr>
              <w:spacing w:line="360" w:lineRule="auto"/>
              <w:jc w:val="center"/>
              <w:rPr>
                <w:rFonts w:hint="eastAsia" w:ascii="黑体" w:hAnsi="黑体" w:eastAsia="黑体" w:cs="黑体"/>
                <w:b/>
                <w:bCs/>
                <w:color w:val="auto"/>
                <w:szCs w:val="21"/>
                <w:highlight w:val="none"/>
              </w:rPr>
            </w:pPr>
          </w:p>
        </w:tc>
      </w:tr>
      <w:tr w14:paraId="1D668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5" w:type="pct"/>
            <w:vAlign w:val="center"/>
          </w:tcPr>
          <w:p w14:paraId="4F654CC3">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2471" w:type="pct"/>
            <w:vAlign w:val="center"/>
          </w:tcPr>
          <w:p w14:paraId="7523A7C5">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采购需求当中的★条款满足要求</w:t>
            </w:r>
          </w:p>
          <w:p w14:paraId="3A266823">
            <w:pPr>
              <w:spacing w:line="360" w:lineRule="auto"/>
              <w:jc w:val="left"/>
              <w:rPr>
                <w:rFonts w:hint="eastAsia" w:ascii="黑体" w:hAnsi="黑体" w:eastAsia="黑体" w:cs="黑体"/>
                <w:color w:val="auto"/>
                <w:szCs w:val="21"/>
                <w:highlight w:val="none"/>
              </w:rPr>
            </w:pPr>
            <w:r>
              <w:rPr>
                <w:rFonts w:hint="eastAsia" w:ascii="黑体" w:hAnsi="黑体" w:eastAsia="黑体" w:cs="黑体"/>
                <w:bCs/>
                <w:color w:val="auto"/>
                <w:szCs w:val="21"/>
                <w:highlight w:val="none"/>
              </w:rPr>
              <w:t>(若本项目无★条款，此项通过)</w:t>
            </w:r>
          </w:p>
        </w:tc>
        <w:tc>
          <w:tcPr>
            <w:tcW w:w="643" w:type="pct"/>
            <w:vAlign w:val="center"/>
          </w:tcPr>
          <w:p w14:paraId="0CD40E79">
            <w:pPr>
              <w:spacing w:line="360" w:lineRule="auto"/>
              <w:jc w:val="center"/>
              <w:rPr>
                <w:rFonts w:hint="eastAsia" w:ascii="黑体" w:hAnsi="黑体" w:eastAsia="黑体" w:cs="黑体"/>
                <w:b/>
                <w:bCs/>
                <w:color w:val="auto"/>
                <w:szCs w:val="21"/>
                <w:highlight w:val="none"/>
              </w:rPr>
            </w:pPr>
          </w:p>
        </w:tc>
        <w:tc>
          <w:tcPr>
            <w:tcW w:w="691" w:type="pct"/>
            <w:vAlign w:val="center"/>
          </w:tcPr>
          <w:p w14:paraId="3E3BDF25">
            <w:pPr>
              <w:spacing w:line="360" w:lineRule="auto"/>
              <w:jc w:val="center"/>
              <w:rPr>
                <w:rFonts w:hint="eastAsia" w:ascii="黑体" w:hAnsi="黑体" w:eastAsia="黑体" w:cs="黑体"/>
                <w:b/>
                <w:bCs/>
                <w:color w:val="auto"/>
                <w:szCs w:val="21"/>
                <w:highlight w:val="none"/>
              </w:rPr>
            </w:pPr>
          </w:p>
        </w:tc>
        <w:tc>
          <w:tcPr>
            <w:tcW w:w="658" w:type="pct"/>
            <w:vAlign w:val="center"/>
          </w:tcPr>
          <w:p w14:paraId="19EC6835">
            <w:pPr>
              <w:spacing w:line="360" w:lineRule="auto"/>
              <w:jc w:val="center"/>
              <w:rPr>
                <w:rFonts w:hint="eastAsia" w:ascii="黑体" w:hAnsi="黑体" w:eastAsia="黑体" w:cs="黑体"/>
                <w:b/>
                <w:bCs/>
                <w:color w:val="auto"/>
                <w:szCs w:val="21"/>
                <w:highlight w:val="none"/>
              </w:rPr>
            </w:pPr>
          </w:p>
        </w:tc>
      </w:tr>
      <w:tr w14:paraId="0CFC2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5" w:type="pct"/>
            <w:vAlign w:val="center"/>
          </w:tcPr>
          <w:p w14:paraId="00E12B85">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2471" w:type="pct"/>
            <w:vAlign w:val="center"/>
          </w:tcPr>
          <w:p w14:paraId="4EA9921C">
            <w:pPr>
              <w:spacing w:line="360" w:lineRule="auto"/>
              <w:jc w:val="left"/>
              <w:rPr>
                <w:rFonts w:hint="eastAsia" w:ascii="黑体" w:hAnsi="黑体" w:eastAsia="黑体" w:cs="黑体"/>
                <w:bCs/>
                <w:color w:val="auto"/>
                <w:szCs w:val="21"/>
                <w:highlight w:val="none"/>
              </w:rPr>
            </w:pPr>
            <w:r>
              <w:rPr>
                <w:rFonts w:hint="eastAsia" w:ascii="黑体" w:hAnsi="黑体" w:eastAsia="黑体" w:cs="黑体"/>
                <w:color w:val="auto"/>
                <w:highlight w:val="none"/>
              </w:rPr>
              <w:t>响应文件没有采购文件中规定的其它无效响应条款的；</w:t>
            </w:r>
          </w:p>
        </w:tc>
        <w:tc>
          <w:tcPr>
            <w:tcW w:w="643" w:type="pct"/>
            <w:vAlign w:val="center"/>
          </w:tcPr>
          <w:p w14:paraId="5A572838">
            <w:pPr>
              <w:spacing w:line="360" w:lineRule="auto"/>
              <w:jc w:val="center"/>
              <w:rPr>
                <w:rFonts w:hint="eastAsia" w:ascii="黑体" w:hAnsi="黑体" w:eastAsia="黑体" w:cs="黑体"/>
                <w:b/>
                <w:bCs/>
                <w:color w:val="auto"/>
                <w:szCs w:val="21"/>
                <w:highlight w:val="none"/>
              </w:rPr>
            </w:pPr>
          </w:p>
        </w:tc>
        <w:tc>
          <w:tcPr>
            <w:tcW w:w="691" w:type="pct"/>
            <w:vAlign w:val="center"/>
          </w:tcPr>
          <w:p w14:paraId="5CAEC356">
            <w:pPr>
              <w:spacing w:line="360" w:lineRule="auto"/>
              <w:jc w:val="center"/>
              <w:rPr>
                <w:rFonts w:hint="eastAsia" w:ascii="黑体" w:hAnsi="黑体" w:eastAsia="黑体" w:cs="黑体"/>
                <w:b/>
                <w:bCs/>
                <w:color w:val="auto"/>
                <w:szCs w:val="21"/>
                <w:highlight w:val="none"/>
              </w:rPr>
            </w:pPr>
          </w:p>
        </w:tc>
        <w:tc>
          <w:tcPr>
            <w:tcW w:w="658" w:type="pct"/>
            <w:vAlign w:val="center"/>
          </w:tcPr>
          <w:p w14:paraId="37888FA9">
            <w:pPr>
              <w:spacing w:line="360" w:lineRule="auto"/>
              <w:jc w:val="center"/>
              <w:rPr>
                <w:rFonts w:hint="eastAsia" w:ascii="黑体" w:hAnsi="黑体" w:eastAsia="黑体" w:cs="黑体"/>
                <w:b/>
                <w:bCs/>
                <w:color w:val="auto"/>
                <w:szCs w:val="21"/>
                <w:highlight w:val="none"/>
              </w:rPr>
            </w:pPr>
          </w:p>
        </w:tc>
      </w:tr>
      <w:tr w14:paraId="28B9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5" w:type="pct"/>
            <w:vAlign w:val="center"/>
          </w:tcPr>
          <w:p w14:paraId="3FD4EAD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2471" w:type="pct"/>
            <w:vAlign w:val="center"/>
          </w:tcPr>
          <w:p w14:paraId="66410C0C">
            <w:pPr>
              <w:spacing w:line="360" w:lineRule="auto"/>
              <w:jc w:val="left"/>
              <w:rPr>
                <w:rFonts w:hint="eastAsia" w:ascii="黑体" w:hAnsi="黑体" w:eastAsia="黑体" w:cs="黑体"/>
                <w:color w:val="auto"/>
                <w:highlight w:val="none"/>
              </w:rPr>
            </w:pPr>
            <w:r>
              <w:rPr>
                <w:rFonts w:hint="eastAsia" w:ascii="黑体" w:hAnsi="黑体" w:eastAsia="黑体" w:cs="黑体"/>
                <w:color w:val="auto"/>
                <w:highlight w:val="none"/>
              </w:rPr>
              <w:t>按有关法律、法规、规章不属于响应无效的。</w:t>
            </w:r>
          </w:p>
        </w:tc>
        <w:tc>
          <w:tcPr>
            <w:tcW w:w="643" w:type="pct"/>
            <w:vAlign w:val="center"/>
          </w:tcPr>
          <w:p w14:paraId="68780412">
            <w:pPr>
              <w:spacing w:line="360" w:lineRule="auto"/>
              <w:jc w:val="center"/>
              <w:rPr>
                <w:rFonts w:hint="eastAsia" w:ascii="黑体" w:hAnsi="黑体" w:eastAsia="黑体" w:cs="黑体"/>
                <w:b/>
                <w:bCs/>
                <w:color w:val="auto"/>
                <w:szCs w:val="21"/>
                <w:highlight w:val="none"/>
              </w:rPr>
            </w:pPr>
          </w:p>
        </w:tc>
        <w:tc>
          <w:tcPr>
            <w:tcW w:w="691" w:type="pct"/>
            <w:vAlign w:val="center"/>
          </w:tcPr>
          <w:p w14:paraId="5F410CF7">
            <w:pPr>
              <w:spacing w:line="360" w:lineRule="auto"/>
              <w:jc w:val="center"/>
              <w:rPr>
                <w:rFonts w:hint="eastAsia" w:ascii="黑体" w:hAnsi="黑体" w:eastAsia="黑体" w:cs="黑体"/>
                <w:b/>
                <w:bCs/>
                <w:color w:val="auto"/>
                <w:szCs w:val="21"/>
                <w:highlight w:val="none"/>
              </w:rPr>
            </w:pPr>
          </w:p>
        </w:tc>
        <w:tc>
          <w:tcPr>
            <w:tcW w:w="658" w:type="pct"/>
            <w:vAlign w:val="center"/>
          </w:tcPr>
          <w:p w14:paraId="5D9B452F">
            <w:pPr>
              <w:spacing w:line="360" w:lineRule="auto"/>
              <w:jc w:val="center"/>
              <w:rPr>
                <w:rFonts w:hint="eastAsia" w:ascii="黑体" w:hAnsi="黑体" w:eastAsia="黑体" w:cs="黑体"/>
                <w:b/>
                <w:bCs/>
                <w:color w:val="auto"/>
                <w:szCs w:val="21"/>
                <w:highlight w:val="none"/>
              </w:rPr>
            </w:pPr>
          </w:p>
        </w:tc>
      </w:tr>
      <w:tr w14:paraId="46A4B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006" w:type="pct"/>
            <w:gridSpan w:val="2"/>
            <w:vAlign w:val="center"/>
          </w:tcPr>
          <w:p w14:paraId="2FDA3AE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结论</w:t>
            </w:r>
          </w:p>
        </w:tc>
        <w:tc>
          <w:tcPr>
            <w:tcW w:w="643" w:type="pct"/>
            <w:vAlign w:val="center"/>
          </w:tcPr>
          <w:p w14:paraId="6213A62F">
            <w:pPr>
              <w:spacing w:line="360" w:lineRule="auto"/>
              <w:jc w:val="center"/>
              <w:rPr>
                <w:rFonts w:hint="eastAsia" w:ascii="黑体" w:hAnsi="黑体" w:eastAsia="黑体" w:cs="黑体"/>
                <w:b/>
                <w:bCs/>
                <w:color w:val="auto"/>
                <w:szCs w:val="21"/>
                <w:highlight w:val="none"/>
              </w:rPr>
            </w:pPr>
          </w:p>
        </w:tc>
        <w:tc>
          <w:tcPr>
            <w:tcW w:w="691" w:type="pct"/>
            <w:vAlign w:val="center"/>
          </w:tcPr>
          <w:p w14:paraId="26DB3E3B">
            <w:pPr>
              <w:spacing w:line="360" w:lineRule="auto"/>
              <w:jc w:val="center"/>
              <w:rPr>
                <w:rFonts w:hint="eastAsia" w:ascii="黑体" w:hAnsi="黑体" w:eastAsia="黑体" w:cs="黑体"/>
                <w:b/>
                <w:bCs/>
                <w:color w:val="auto"/>
                <w:szCs w:val="21"/>
                <w:highlight w:val="none"/>
              </w:rPr>
            </w:pPr>
          </w:p>
        </w:tc>
        <w:tc>
          <w:tcPr>
            <w:tcW w:w="658" w:type="pct"/>
            <w:vAlign w:val="center"/>
          </w:tcPr>
          <w:p w14:paraId="43EF1927">
            <w:pPr>
              <w:spacing w:line="360" w:lineRule="auto"/>
              <w:jc w:val="center"/>
              <w:rPr>
                <w:rFonts w:hint="eastAsia" w:ascii="黑体" w:hAnsi="黑体" w:eastAsia="黑体" w:cs="黑体"/>
                <w:b/>
                <w:bCs/>
                <w:color w:val="auto"/>
                <w:szCs w:val="21"/>
                <w:highlight w:val="none"/>
              </w:rPr>
            </w:pPr>
          </w:p>
        </w:tc>
      </w:tr>
      <w:tr w14:paraId="35E4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000" w:type="pct"/>
            <w:gridSpan w:val="5"/>
            <w:vAlign w:val="center"/>
          </w:tcPr>
          <w:p w14:paraId="391D58CA">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不通过原因说明：</w:t>
            </w:r>
          </w:p>
        </w:tc>
      </w:tr>
      <w:tr w14:paraId="15687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000" w:type="pct"/>
            <w:gridSpan w:val="5"/>
            <w:vAlign w:val="center"/>
          </w:tcPr>
          <w:p w14:paraId="090B6684">
            <w:pPr>
              <w:spacing w:line="360" w:lineRule="auto"/>
              <w:jc w:val="left"/>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评委签署：</w:t>
            </w:r>
          </w:p>
        </w:tc>
      </w:tr>
    </w:tbl>
    <w:p w14:paraId="63E08FFD">
      <w:pPr>
        <w:pStyle w:val="31"/>
        <w:numPr>
          <w:ilvl w:val="0"/>
          <w:numId w:val="43"/>
        </w:numPr>
        <w:spacing w:before="156" w:beforeLines="50" w:line="360" w:lineRule="auto"/>
        <w:ind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注明：</w:t>
      </w:r>
    </w:p>
    <w:p w14:paraId="3900C510">
      <w:pPr>
        <w:pStyle w:val="31"/>
        <w:numPr>
          <w:ilvl w:val="0"/>
          <w:numId w:val="4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评审时询价小组对响应供应商是否满足要求逐条标注评审意见，“是”标记为“○”，“否”标记为“×”；</w:t>
      </w:r>
    </w:p>
    <w:p w14:paraId="6D94BCB8">
      <w:pPr>
        <w:pStyle w:val="31"/>
        <w:numPr>
          <w:ilvl w:val="0"/>
          <w:numId w:val="4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评审结论栏统一填写为“通过”或“不通过” ，出现一个“×”为“不通过”；</w:t>
      </w:r>
    </w:p>
    <w:p w14:paraId="7E18CABD">
      <w:pPr>
        <w:pStyle w:val="31"/>
        <w:numPr>
          <w:ilvl w:val="0"/>
          <w:numId w:val="44"/>
        </w:numPr>
        <w:spacing w:line="360" w:lineRule="auto"/>
        <w:ind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对结论为“不通过”的报价响应，要说明原因。</w:t>
      </w:r>
    </w:p>
    <w:p w14:paraId="1826A415">
      <w:pPr>
        <w:pStyle w:val="39"/>
        <w:pageBreakBefore/>
        <w:numPr>
          <w:ilvl w:val="0"/>
          <w:numId w:val="40"/>
        </w:numPr>
        <w:spacing w:before="156" w:beforeLines="50" w:line="360" w:lineRule="auto"/>
        <w:ind w:left="567" w:hanging="567" w:firstLineChars="0"/>
        <w:rPr>
          <w:rFonts w:hint="eastAsia" w:ascii="黑体" w:hAnsi="黑体" w:eastAsia="黑体" w:cs="黑体"/>
          <w:b/>
          <w:color w:val="auto"/>
          <w:sz w:val="21"/>
          <w:szCs w:val="21"/>
          <w:highlight w:val="none"/>
        </w:rPr>
      </w:pPr>
      <w:bookmarkStart w:id="192" w:name="_Toc30167691"/>
      <w:bookmarkStart w:id="193" w:name="_Toc26176821"/>
      <w:bookmarkStart w:id="194" w:name="_Toc30321004"/>
      <w:r>
        <w:rPr>
          <w:rFonts w:hint="eastAsia" w:ascii="黑体" w:hAnsi="黑体" w:eastAsia="黑体" w:cs="黑体"/>
          <w:b/>
          <w:color w:val="auto"/>
          <w:sz w:val="21"/>
          <w:szCs w:val="21"/>
          <w:highlight w:val="none"/>
        </w:rPr>
        <w:t>政府采购政策</w:t>
      </w:r>
    </w:p>
    <w:p w14:paraId="1D717101">
      <w:pPr>
        <w:pStyle w:val="39"/>
        <w:numPr>
          <w:ilvl w:val="0"/>
          <w:numId w:val="45"/>
        </w:numPr>
        <w:tabs>
          <w:tab w:val="left" w:pos="709"/>
          <w:tab w:val="left" w:pos="851"/>
        </w:tabs>
        <w:spacing w:line="360" w:lineRule="auto"/>
        <w:ind w:firstLineChars="0"/>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对小型或微型企业投标的扶持</w:t>
      </w:r>
    </w:p>
    <w:p w14:paraId="2408EFC2">
      <w:pPr>
        <w:pStyle w:val="31"/>
        <w:numPr>
          <w:ilvl w:val="0"/>
          <w:numId w:val="46"/>
        </w:numPr>
        <w:tabs>
          <w:tab w:val="left" w:pos="993"/>
        </w:tabs>
        <w:spacing w:line="360" w:lineRule="auto"/>
        <w:ind w:left="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根据财政部、工业和信息化部制定《政府采购促进中小企业发展管理办法》的规定，对小微企业报价给予10%的扣除，用扣除后的价格参与评审。参加采购活动的中小企业应当提供《中小企业声明函》（格式详见响应文件格式）；</w:t>
      </w:r>
    </w:p>
    <w:p w14:paraId="05E2A864">
      <w:pPr>
        <w:pStyle w:val="39"/>
        <w:numPr>
          <w:ilvl w:val="0"/>
          <w:numId w:val="45"/>
        </w:numPr>
        <w:tabs>
          <w:tab w:val="left" w:pos="709"/>
          <w:tab w:val="left" w:pos="851"/>
        </w:tabs>
        <w:spacing w:line="360" w:lineRule="auto"/>
        <w:ind w:firstLineChars="0"/>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对监狱企业投标的扶持</w:t>
      </w:r>
    </w:p>
    <w:p w14:paraId="6E9356FA">
      <w:pPr>
        <w:pStyle w:val="31"/>
        <w:numPr>
          <w:ilvl w:val="0"/>
          <w:numId w:val="47"/>
        </w:numPr>
        <w:tabs>
          <w:tab w:val="left" w:pos="993"/>
        </w:tabs>
        <w:spacing w:line="360" w:lineRule="auto"/>
        <w:ind w:left="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格式详见响应文件格式）；</w:t>
      </w:r>
    </w:p>
    <w:p w14:paraId="5E5FFDED">
      <w:pPr>
        <w:pStyle w:val="39"/>
        <w:numPr>
          <w:ilvl w:val="0"/>
          <w:numId w:val="45"/>
        </w:numPr>
        <w:tabs>
          <w:tab w:val="left" w:pos="709"/>
          <w:tab w:val="left" w:pos="851"/>
        </w:tabs>
        <w:spacing w:line="360" w:lineRule="auto"/>
        <w:ind w:firstLineChars="0"/>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对残疾人福利性单位投标的扶持</w:t>
      </w:r>
    </w:p>
    <w:p w14:paraId="70A26ABF">
      <w:pPr>
        <w:pStyle w:val="31"/>
        <w:numPr>
          <w:ilvl w:val="0"/>
          <w:numId w:val="48"/>
        </w:numPr>
        <w:tabs>
          <w:tab w:val="left" w:pos="709"/>
          <w:tab w:val="left" w:pos="993"/>
        </w:tabs>
        <w:spacing w:line="360" w:lineRule="auto"/>
        <w:ind w:left="0" w:firstLine="0"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采购活动的残疾人福利性单位应当提供《残疾人福利性单位声明函》格式详见响应文件格式）；</w:t>
      </w:r>
    </w:p>
    <w:p w14:paraId="6498959F">
      <w:pPr>
        <w:pStyle w:val="39"/>
        <w:numPr>
          <w:ilvl w:val="0"/>
          <w:numId w:val="45"/>
        </w:numPr>
        <w:tabs>
          <w:tab w:val="left" w:pos="709"/>
          <w:tab w:val="left" w:pos="851"/>
        </w:tabs>
        <w:spacing w:line="360" w:lineRule="auto"/>
        <w:ind w:left="0" w:firstLine="0" w:firstLineChars="0"/>
        <w:rPr>
          <w:rFonts w:hint="eastAsia" w:ascii="黑体" w:hAnsi="黑体" w:eastAsia="黑体" w:cs="黑体"/>
          <w:color w:val="auto"/>
          <w:sz w:val="21"/>
          <w:szCs w:val="21"/>
          <w:highlight w:val="none"/>
        </w:rPr>
      </w:pPr>
      <w:r>
        <w:rPr>
          <w:rFonts w:hint="eastAsia" w:ascii="黑体" w:hAnsi="黑体" w:eastAsia="黑体" w:cs="黑体"/>
          <w:bCs/>
          <w:color w:val="auto"/>
          <w:sz w:val="21"/>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30%以上的，对联合体或者大中型企业的报价给予4%的扣除</w:t>
      </w:r>
    </w:p>
    <w:p w14:paraId="12C3E41C">
      <w:pPr>
        <w:pStyle w:val="31"/>
        <w:numPr>
          <w:ilvl w:val="0"/>
          <w:numId w:val="45"/>
        </w:numPr>
        <w:spacing w:line="360" w:lineRule="auto"/>
        <w:ind w:firstLineChars="0"/>
        <w:rPr>
          <w:rFonts w:hint="eastAsia" w:ascii="黑体" w:hAnsi="黑体" w:eastAsia="黑体" w:cs="黑体"/>
          <w:b/>
          <w:bCs/>
          <w:color w:val="auto"/>
          <w:szCs w:val="21"/>
          <w:highlight w:val="none"/>
        </w:rPr>
      </w:pPr>
      <w:bookmarkStart w:id="195" w:name="_Hlk86745708"/>
      <w:r>
        <w:rPr>
          <w:rFonts w:hint="eastAsia" w:ascii="黑体" w:hAnsi="黑体" w:eastAsia="黑体" w:cs="黑体"/>
          <w:b/>
          <w:bCs/>
          <w:color w:val="auto"/>
          <w:szCs w:val="21"/>
          <w:highlight w:val="none"/>
        </w:rPr>
        <w:t>监狱企业产品、残疾人福利性单位产品价格扣除</w:t>
      </w:r>
    </w:p>
    <w:p w14:paraId="0012D454">
      <w:pPr>
        <w:spacing w:line="360" w:lineRule="auto"/>
        <w:ind w:firstLine="420" w:firstLineChars="20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监狱企业、残疾人福利性单位视同小微企业，按上述第24.2.1.1、24.2.4条款享受评审中价格扣除。</w:t>
      </w:r>
    </w:p>
    <w:bookmarkEnd w:id="195"/>
    <w:p w14:paraId="6D6838EF">
      <w:pPr>
        <w:pStyle w:val="31"/>
        <w:numPr>
          <w:ilvl w:val="0"/>
          <w:numId w:val="45"/>
        </w:numPr>
        <w:spacing w:line="360" w:lineRule="auto"/>
        <w:ind w:left="0" w:firstLine="0" w:firstLineChars="0"/>
        <w:rPr>
          <w:rFonts w:hint="eastAsia" w:ascii="黑体" w:hAnsi="黑体" w:eastAsia="黑体" w:cs="黑体"/>
          <w:b/>
          <w:bCs/>
          <w:color w:val="auto"/>
          <w:szCs w:val="21"/>
          <w:highlight w:val="none"/>
        </w:rPr>
      </w:pPr>
      <w:r>
        <w:rPr>
          <w:rFonts w:hint="eastAsia" w:ascii="黑体" w:hAnsi="黑体" w:eastAsia="黑体" w:cs="黑体"/>
          <w:b/>
          <w:bCs/>
          <w:color w:val="auto"/>
          <w:szCs w:val="21"/>
          <w:highlight w:val="none"/>
        </w:rPr>
        <w:t>供应商同时为小型、微型企业、监狱企业、残疾人福利性单位任两种或以上情况的，评审中只享受一次价格扣除，不重复进行价格扣除。</w:t>
      </w:r>
    </w:p>
    <w:p w14:paraId="37572B95">
      <w:pPr>
        <w:pStyle w:val="39"/>
        <w:numPr>
          <w:ilvl w:val="0"/>
          <w:numId w:val="45"/>
        </w:numPr>
        <w:tabs>
          <w:tab w:val="left" w:pos="709"/>
          <w:tab w:val="left" w:pos="851"/>
        </w:tabs>
        <w:spacing w:line="360" w:lineRule="auto"/>
        <w:ind w:left="709" w:hanging="709" w:firstLineChars="0"/>
        <w:rPr>
          <w:rFonts w:hint="eastAsia" w:ascii="黑体" w:hAnsi="黑体" w:eastAsia="黑体" w:cs="黑体"/>
          <w:b/>
          <w:bCs/>
          <w:color w:val="auto"/>
          <w:sz w:val="21"/>
          <w:szCs w:val="21"/>
          <w:highlight w:val="none"/>
        </w:rPr>
      </w:pPr>
      <w:r>
        <w:rPr>
          <w:rFonts w:hint="eastAsia" w:ascii="黑体" w:hAnsi="黑体" w:eastAsia="黑体" w:cs="黑体"/>
          <w:b/>
          <w:bCs/>
          <w:color w:val="auto"/>
          <w:sz w:val="21"/>
          <w:szCs w:val="21"/>
          <w:highlight w:val="none"/>
        </w:rPr>
        <w:t xml:space="preserve">节能产品、环境标志产品价格扣除： </w:t>
      </w:r>
    </w:p>
    <w:p w14:paraId="27E94E59">
      <w:pPr>
        <w:pStyle w:val="31"/>
        <w:numPr>
          <w:ilvl w:val="0"/>
          <w:numId w:val="49"/>
        </w:numPr>
        <w:tabs>
          <w:tab w:val="left" w:pos="851"/>
        </w:tabs>
        <w:spacing w:line="360" w:lineRule="auto"/>
        <w:ind w:left="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产品(针对非政府强制采购产品)纳入财政部发展改革委颁发最新节能产品政府采购品目清单的，</w:t>
      </w:r>
      <w:r>
        <w:rPr>
          <w:rFonts w:hint="eastAsia" w:ascii="黑体" w:hAnsi="黑体" w:eastAsia="黑体" w:cs="黑体"/>
          <w:bCs/>
          <w:color w:val="auto"/>
          <w:highlight w:val="none"/>
        </w:rPr>
        <w:t>对</w:t>
      </w:r>
      <w:r>
        <w:rPr>
          <w:rFonts w:hint="eastAsia" w:ascii="黑体" w:hAnsi="黑体" w:eastAsia="黑体" w:cs="黑体"/>
          <w:color w:val="auto"/>
          <w:szCs w:val="21"/>
          <w:highlight w:val="none"/>
        </w:rPr>
        <w:t>节能</w:t>
      </w:r>
      <w:r>
        <w:rPr>
          <w:rFonts w:hint="eastAsia" w:ascii="黑体" w:hAnsi="黑体" w:eastAsia="黑体" w:cs="黑体"/>
          <w:bCs/>
          <w:color w:val="auto"/>
          <w:highlight w:val="none"/>
        </w:rPr>
        <w:t>产品的价格给予1%的扣除，用扣除后的价格参与评审。（</w:t>
      </w:r>
      <w:r>
        <w:rPr>
          <w:rFonts w:hint="eastAsia" w:ascii="黑体" w:hAnsi="黑体" w:eastAsia="黑体" w:cs="黑体"/>
          <w:color w:val="auto"/>
          <w:szCs w:val="21"/>
          <w:highlight w:val="none"/>
        </w:rPr>
        <w:t>提供产品有效期内的节能产品认证证书复印件加盖供应商公章）。</w:t>
      </w:r>
    </w:p>
    <w:p w14:paraId="4D9E24FE">
      <w:pPr>
        <w:pStyle w:val="31"/>
        <w:numPr>
          <w:ilvl w:val="0"/>
          <w:numId w:val="49"/>
        </w:numPr>
        <w:tabs>
          <w:tab w:val="left" w:pos="851"/>
        </w:tabs>
        <w:spacing w:line="360" w:lineRule="auto"/>
        <w:ind w:left="0"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lang w:val="en-US" w:eastAsia="zh-CN"/>
        </w:rPr>
        <w:t>产</w:t>
      </w:r>
      <w:r>
        <w:rPr>
          <w:rFonts w:hint="eastAsia" w:ascii="黑体" w:hAnsi="黑体" w:eastAsia="黑体" w:cs="黑体"/>
          <w:color w:val="auto"/>
          <w:szCs w:val="21"/>
          <w:highlight w:val="none"/>
        </w:rPr>
        <w:t>品纳入财政部环境保护部颁布最新环境标志产品政府采购品目清单的，</w:t>
      </w:r>
      <w:r>
        <w:rPr>
          <w:rFonts w:hint="eastAsia" w:ascii="黑体" w:hAnsi="黑体" w:eastAsia="黑体" w:cs="黑体"/>
          <w:bCs/>
          <w:color w:val="auto"/>
          <w:szCs w:val="21"/>
          <w:highlight w:val="none"/>
        </w:rPr>
        <w:t>对</w:t>
      </w:r>
      <w:r>
        <w:rPr>
          <w:rFonts w:hint="eastAsia" w:ascii="黑体" w:hAnsi="黑体" w:eastAsia="黑体" w:cs="黑体"/>
          <w:color w:val="auto"/>
          <w:szCs w:val="21"/>
          <w:highlight w:val="none"/>
        </w:rPr>
        <w:t>环境标志产品</w:t>
      </w:r>
      <w:r>
        <w:rPr>
          <w:rFonts w:hint="eastAsia" w:ascii="黑体" w:hAnsi="黑体" w:eastAsia="黑体" w:cs="黑体"/>
          <w:bCs/>
          <w:color w:val="auto"/>
          <w:szCs w:val="21"/>
          <w:highlight w:val="none"/>
        </w:rPr>
        <w:t>的价格给予1%的扣除，用扣除后的价格参与评审。（</w:t>
      </w:r>
      <w:r>
        <w:rPr>
          <w:rFonts w:hint="eastAsia" w:ascii="黑体" w:hAnsi="黑体" w:eastAsia="黑体" w:cs="黑体"/>
          <w:color w:val="auto"/>
          <w:szCs w:val="21"/>
          <w:highlight w:val="none"/>
        </w:rPr>
        <w:t>提供产品有效期内的环境标志产品认证证书复印件加盖供应商公章）。</w:t>
      </w:r>
    </w:p>
    <w:p w14:paraId="25F5422F">
      <w:pPr>
        <w:pStyle w:val="4"/>
        <w:numPr>
          <w:ilvl w:val="0"/>
          <w:numId w:val="12"/>
        </w:numPr>
        <w:tabs>
          <w:tab w:val="left" w:pos="426"/>
        </w:tabs>
        <w:spacing w:before="156" w:beforeLines="50" w:after="0" w:line="360" w:lineRule="auto"/>
        <w:rPr>
          <w:rFonts w:hint="eastAsia" w:ascii="黑体" w:hAnsi="黑体" w:eastAsia="黑体" w:cs="黑体"/>
          <w:color w:val="auto"/>
          <w:sz w:val="21"/>
          <w:szCs w:val="21"/>
          <w:highlight w:val="none"/>
        </w:rPr>
      </w:pPr>
      <w:bookmarkStart w:id="196" w:name="_Toc1126"/>
      <w:r>
        <w:rPr>
          <w:rFonts w:hint="eastAsia" w:ascii="黑体" w:hAnsi="黑体" w:eastAsia="黑体" w:cs="黑体"/>
          <w:color w:val="auto"/>
          <w:sz w:val="21"/>
          <w:szCs w:val="21"/>
          <w:highlight w:val="none"/>
        </w:rPr>
        <w:t>合同的授予</w:t>
      </w:r>
      <w:bookmarkEnd w:id="192"/>
      <w:bookmarkEnd w:id="193"/>
      <w:bookmarkEnd w:id="194"/>
      <w:bookmarkEnd w:id="196"/>
    </w:p>
    <w:p w14:paraId="4CF8B9F9">
      <w:pPr>
        <w:pStyle w:val="41"/>
        <w:numPr>
          <w:ilvl w:val="0"/>
          <w:numId w:val="13"/>
        </w:numPr>
        <w:spacing w:before="0" w:after="0" w:line="360" w:lineRule="auto"/>
        <w:rPr>
          <w:rFonts w:hint="eastAsia" w:ascii="黑体" w:hAnsi="黑体" w:eastAsia="黑体" w:cs="黑体"/>
          <w:color w:val="auto"/>
          <w:sz w:val="21"/>
          <w:szCs w:val="21"/>
          <w:highlight w:val="none"/>
        </w:rPr>
      </w:pPr>
      <w:bookmarkStart w:id="197" w:name="_Toc30321005"/>
      <w:bookmarkStart w:id="198" w:name="_Toc6283"/>
      <w:bookmarkStart w:id="199" w:name="_Toc26176822"/>
      <w:bookmarkStart w:id="200" w:name="_Toc30167692"/>
      <w:r>
        <w:rPr>
          <w:rFonts w:hint="eastAsia" w:ascii="黑体" w:hAnsi="黑体" w:eastAsia="黑体" w:cs="黑体"/>
          <w:color w:val="auto"/>
          <w:sz w:val="21"/>
          <w:szCs w:val="21"/>
          <w:highlight w:val="none"/>
        </w:rPr>
        <w:t>合同授予标准</w:t>
      </w:r>
      <w:bookmarkEnd w:id="197"/>
      <w:bookmarkEnd w:id="198"/>
      <w:bookmarkEnd w:id="199"/>
      <w:bookmarkEnd w:id="200"/>
    </w:p>
    <w:p w14:paraId="7D03686F">
      <w:pPr>
        <w:pStyle w:val="39"/>
        <w:spacing w:line="360" w:lineRule="auto"/>
        <w:ind w:firstLine="433"/>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采购人将按询价小组推荐的结果确定成交供应商，并将合同授予之。</w:t>
      </w:r>
    </w:p>
    <w:p w14:paraId="06CA6882">
      <w:pPr>
        <w:pStyle w:val="41"/>
        <w:numPr>
          <w:ilvl w:val="0"/>
          <w:numId w:val="13"/>
        </w:numPr>
        <w:spacing w:before="0" w:after="0" w:line="360" w:lineRule="auto"/>
        <w:rPr>
          <w:rFonts w:hint="eastAsia" w:ascii="黑体" w:hAnsi="黑体" w:eastAsia="黑体" w:cs="黑体"/>
          <w:color w:val="auto"/>
          <w:sz w:val="21"/>
          <w:szCs w:val="21"/>
          <w:highlight w:val="none"/>
        </w:rPr>
      </w:pPr>
      <w:bookmarkStart w:id="201" w:name="_Toc30321007"/>
      <w:bookmarkStart w:id="202" w:name="_Toc22802"/>
      <w:bookmarkStart w:id="203" w:name="_Toc26176824"/>
      <w:bookmarkStart w:id="204" w:name="_Toc30167694"/>
      <w:r>
        <w:rPr>
          <w:rFonts w:hint="eastAsia" w:ascii="黑体" w:hAnsi="黑体" w:eastAsia="黑体" w:cs="黑体"/>
          <w:color w:val="auto"/>
          <w:sz w:val="21"/>
          <w:szCs w:val="21"/>
          <w:highlight w:val="none"/>
        </w:rPr>
        <w:t>发布成交结果公告</w:t>
      </w:r>
      <w:bookmarkEnd w:id="201"/>
      <w:bookmarkEnd w:id="202"/>
      <w:bookmarkEnd w:id="203"/>
      <w:bookmarkEnd w:id="204"/>
    </w:p>
    <w:p w14:paraId="1E17F236">
      <w:pPr>
        <w:pStyle w:val="39"/>
        <w:numPr>
          <w:ilvl w:val="0"/>
          <w:numId w:val="50"/>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成交供应商确定后，将在指定媒体上公告成交结果，并向成交供应商发出《成交通知书》。</w:t>
      </w:r>
    </w:p>
    <w:p w14:paraId="17B3B0D3">
      <w:pPr>
        <w:pStyle w:val="39"/>
        <w:numPr>
          <w:ilvl w:val="0"/>
          <w:numId w:val="50"/>
        </w:numPr>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《成交通知书》是合同的一个组成部分，《成交通知书》对采购人和成交供应商均具有同等法律效力；《成交通知书》发出后，采购人改变成交结果，或者成交供应商放弃成交，应当承担相应的法律责任。</w:t>
      </w:r>
    </w:p>
    <w:p w14:paraId="639352C3">
      <w:pPr>
        <w:pStyle w:val="4"/>
        <w:numPr>
          <w:ilvl w:val="0"/>
          <w:numId w:val="12"/>
        </w:numPr>
        <w:tabs>
          <w:tab w:val="left" w:pos="426"/>
        </w:tabs>
        <w:spacing w:before="156" w:beforeLines="50" w:after="0" w:line="360" w:lineRule="auto"/>
        <w:rPr>
          <w:rFonts w:hint="eastAsia" w:ascii="黑体" w:hAnsi="黑体" w:eastAsia="黑体" w:cs="黑体"/>
          <w:color w:val="auto"/>
          <w:sz w:val="21"/>
          <w:szCs w:val="21"/>
          <w:highlight w:val="none"/>
        </w:rPr>
      </w:pPr>
      <w:bookmarkStart w:id="205" w:name="_Toc30321008"/>
      <w:bookmarkStart w:id="206" w:name="_Toc26176825"/>
      <w:bookmarkStart w:id="207" w:name="_Toc14156"/>
      <w:bookmarkStart w:id="208" w:name="_Toc30167695"/>
      <w:r>
        <w:rPr>
          <w:rFonts w:hint="eastAsia" w:ascii="黑体" w:hAnsi="黑体" w:eastAsia="黑体" w:cs="黑体"/>
          <w:color w:val="auto"/>
          <w:sz w:val="21"/>
          <w:szCs w:val="21"/>
          <w:highlight w:val="none"/>
        </w:rPr>
        <w:t>合同签订和履行</w:t>
      </w:r>
      <w:bookmarkEnd w:id="205"/>
      <w:bookmarkEnd w:id="206"/>
      <w:bookmarkEnd w:id="207"/>
      <w:bookmarkEnd w:id="208"/>
    </w:p>
    <w:p w14:paraId="25DAE0F4">
      <w:pPr>
        <w:pStyle w:val="41"/>
        <w:numPr>
          <w:ilvl w:val="0"/>
          <w:numId w:val="13"/>
        </w:numPr>
        <w:spacing w:before="0" w:after="0" w:line="360" w:lineRule="auto"/>
        <w:rPr>
          <w:rFonts w:hint="eastAsia" w:ascii="黑体" w:hAnsi="黑体" w:eastAsia="黑体" w:cs="黑体"/>
          <w:color w:val="auto"/>
          <w:sz w:val="21"/>
          <w:szCs w:val="21"/>
          <w:highlight w:val="none"/>
        </w:rPr>
      </w:pPr>
      <w:bookmarkStart w:id="209" w:name="_Toc30321009"/>
      <w:bookmarkStart w:id="210" w:name="_Toc14627"/>
      <w:bookmarkStart w:id="211" w:name="_Toc30167696"/>
      <w:bookmarkStart w:id="212" w:name="_Toc26176826"/>
      <w:r>
        <w:rPr>
          <w:rFonts w:hint="eastAsia" w:ascii="黑体" w:hAnsi="黑体" w:eastAsia="黑体" w:cs="黑体"/>
          <w:color w:val="auto"/>
          <w:sz w:val="21"/>
          <w:szCs w:val="21"/>
          <w:highlight w:val="none"/>
        </w:rPr>
        <w:t>合同的签订</w:t>
      </w:r>
      <w:bookmarkEnd w:id="209"/>
      <w:bookmarkEnd w:id="210"/>
      <w:bookmarkEnd w:id="211"/>
      <w:bookmarkEnd w:id="212"/>
    </w:p>
    <w:p w14:paraId="58F4A983">
      <w:pPr>
        <w:pStyle w:val="39"/>
        <w:numPr>
          <w:ilvl w:val="0"/>
          <w:numId w:val="51"/>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人与成交供应商自成交通知书发出之日起30日内，按照采购文件和成交供应商的响应文件承诺签订采购合同，但不得超出采购文件和成交供应商响应文件的范围、也不得再行订立背离合同实质性内容的其他协议。</w:t>
      </w:r>
    </w:p>
    <w:p w14:paraId="5743568E">
      <w:pPr>
        <w:pStyle w:val="39"/>
        <w:numPr>
          <w:ilvl w:val="0"/>
          <w:numId w:val="51"/>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合同签订之日起2个工作日内，成交供应商须将所签订的合同原件或者副本交采购代理机构处归档并办理退还</w:t>
      </w:r>
      <w:r>
        <w:rPr>
          <w:rFonts w:hint="eastAsia" w:ascii="黑体" w:hAnsi="黑体" w:eastAsia="黑体" w:cs="黑体"/>
          <w:color w:val="auto"/>
          <w:sz w:val="21"/>
          <w:szCs w:val="21"/>
          <w:highlight w:val="none"/>
          <w:lang w:eastAsia="zh-CN"/>
        </w:rPr>
        <w:t>询价保证金</w:t>
      </w:r>
      <w:r>
        <w:rPr>
          <w:rFonts w:hint="eastAsia" w:ascii="黑体" w:hAnsi="黑体" w:eastAsia="黑体" w:cs="黑体"/>
          <w:color w:val="auto"/>
          <w:sz w:val="21"/>
          <w:szCs w:val="21"/>
          <w:highlight w:val="none"/>
        </w:rPr>
        <w:t>事宜。</w:t>
      </w:r>
    </w:p>
    <w:p w14:paraId="4D5C6EC9">
      <w:pPr>
        <w:pStyle w:val="39"/>
        <w:numPr>
          <w:ilvl w:val="0"/>
          <w:numId w:val="51"/>
        </w:numPr>
        <w:tabs>
          <w:tab w:val="left" w:pos="567"/>
        </w:tabs>
        <w:spacing w:line="360" w:lineRule="auto"/>
        <w:ind w:left="567" w:hanging="567"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成交供应商不能把成交项目分包给其他单位实施。</w:t>
      </w:r>
    </w:p>
    <w:p w14:paraId="6E12EFC1">
      <w:pPr>
        <w:pStyle w:val="41"/>
        <w:numPr>
          <w:ilvl w:val="0"/>
          <w:numId w:val="13"/>
        </w:numPr>
        <w:spacing w:before="0" w:after="0" w:line="360" w:lineRule="auto"/>
        <w:rPr>
          <w:rFonts w:hint="eastAsia" w:ascii="黑体" w:hAnsi="黑体" w:eastAsia="黑体" w:cs="黑体"/>
          <w:color w:val="auto"/>
          <w:sz w:val="21"/>
          <w:szCs w:val="21"/>
          <w:highlight w:val="none"/>
        </w:rPr>
      </w:pPr>
      <w:bookmarkStart w:id="213" w:name="_Toc30321010"/>
      <w:bookmarkStart w:id="214" w:name="_Toc26176827"/>
      <w:bookmarkStart w:id="215" w:name="_Toc430182463"/>
      <w:bookmarkStart w:id="216" w:name="_Toc30167697"/>
      <w:bookmarkStart w:id="217" w:name="_Toc10813"/>
      <w:r>
        <w:rPr>
          <w:rFonts w:hint="eastAsia" w:ascii="黑体" w:hAnsi="黑体" w:eastAsia="黑体" w:cs="黑体"/>
          <w:color w:val="auto"/>
          <w:sz w:val="21"/>
          <w:szCs w:val="21"/>
          <w:highlight w:val="none"/>
        </w:rPr>
        <w:t>履约</w:t>
      </w:r>
      <w:bookmarkEnd w:id="213"/>
      <w:bookmarkEnd w:id="214"/>
      <w:bookmarkEnd w:id="215"/>
      <w:bookmarkEnd w:id="216"/>
      <w:r>
        <w:rPr>
          <w:rFonts w:hint="eastAsia" w:ascii="黑体" w:hAnsi="黑体" w:eastAsia="黑体" w:cs="黑体"/>
          <w:color w:val="auto"/>
          <w:sz w:val="21"/>
          <w:szCs w:val="21"/>
          <w:highlight w:val="none"/>
        </w:rPr>
        <w:t>担保</w:t>
      </w:r>
      <w:bookmarkEnd w:id="217"/>
    </w:p>
    <w:p w14:paraId="6784BE0A">
      <w:pPr>
        <w:pStyle w:val="31"/>
        <w:numPr>
          <w:ilvl w:val="0"/>
          <w:numId w:val="5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lang w:eastAsia="zh-CN"/>
        </w:rPr>
        <w:t>成交供应商</w:t>
      </w:r>
      <w:r>
        <w:rPr>
          <w:rFonts w:hint="eastAsia" w:ascii="黑体" w:hAnsi="黑体" w:eastAsia="黑体" w:cs="黑体"/>
          <w:bCs/>
          <w:color w:val="auto"/>
          <w:szCs w:val="21"/>
          <w:highlight w:val="none"/>
        </w:rPr>
        <w:t>应按</w:t>
      </w:r>
      <w:r>
        <w:rPr>
          <w:rFonts w:hint="eastAsia" w:ascii="黑体" w:hAnsi="黑体" w:eastAsia="黑体" w:cs="黑体"/>
          <w:bCs/>
          <w:color w:val="auto"/>
          <w:szCs w:val="21"/>
          <w:highlight w:val="none"/>
          <w:u w:val="single"/>
        </w:rPr>
        <w:t>《报价须知前附表》</w:t>
      </w:r>
      <w:r>
        <w:rPr>
          <w:rFonts w:hint="eastAsia" w:ascii="黑体" w:hAnsi="黑体" w:eastAsia="黑体" w:cs="黑体"/>
          <w:bCs/>
          <w:color w:val="auto"/>
          <w:szCs w:val="21"/>
          <w:highlight w:val="none"/>
        </w:rPr>
        <w:t>要求向采购人缴纳履约担保（如采用保函形式，格式详见采购文件第六部分响应文件格式—采购履约担保）。履约担保可以采用银行转账或者以专业担保机构、金融机构出具的担保函的形式缴交。履约保函的内容，应符合采购文件、响应文件和采购合同的要求。履约保函应在采购合同有效期满后28天内继续有效。</w:t>
      </w:r>
    </w:p>
    <w:p w14:paraId="6A7B7A72">
      <w:pPr>
        <w:pStyle w:val="31"/>
        <w:numPr>
          <w:ilvl w:val="0"/>
          <w:numId w:val="52"/>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color w:val="auto"/>
          <w:szCs w:val="21"/>
          <w:highlight w:val="none"/>
        </w:rPr>
        <w:t>在整个项目验收合格后，</w:t>
      </w:r>
      <w:r>
        <w:rPr>
          <w:rFonts w:hint="eastAsia" w:ascii="黑体" w:hAnsi="黑体" w:eastAsia="黑体" w:cs="黑体"/>
          <w:color w:val="auto"/>
          <w:szCs w:val="21"/>
          <w:highlight w:val="none"/>
          <w:lang w:eastAsia="zh-CN"/>
        </w:rPr>
        <w:t>成交供应商</w:t>
      </w:r>
      <w:r>
        <w:rPr>
          <w:rFonts w:hint="eastAsia" w:ascii="黑体" w:hAnsi="黑体" w:eastAsia="黑体" w:cs="黑体"/>
          <w:color w:val="auto"/>
          <w:szCs w:val="21"/>
          <w:highlight w:val="none"/>
        </w:rPr>
        <w:t>向采购人提交退回履约保证金的申请，采购人办理履约保证金退还手续，将履约保证金退回原</w:t>
      </w:r>
      <w:r>
        <w:rPr>
          <w:rFonts w:hint="eastAsia" w:ascii="黑体" w:hAnsi="黑体" w:eastAsia="黑体" w:cs="黑体"/>
          <w:color w:val="auto"/>
          <w:szCs w:val="21"/>
          <w:highlight w:val="none"/>
          <w:lang w:eastAsia="zh-CN"/>
        </w:rPr>
        <w:t>成交供应商</w:t>
      </w:r>
      <w:r>
        <w:rPr>
          <w:rFonts w:hint="eastAsia" w:ascii="黑体" w:hAnsi="黑体" w:eastAsia="黑体" w:cs="黑体"/>
          <w:color w:val="auto"/>
          <w:szCs w:val="21"/>
          <w:highlight w:val="none"/>
        </w:rPr>
        <w:t>的汇入账户。</w:t>
      </w:r>
    </w:p>
    <w:p w14:paraId="1E154813">
      <w:pPr>
        <w:pStyle w:val="4"/>
        <w:numPr>
          <w:ilvl w:val="0"/>
          <w:numId w:val="12"/>
        </w:numPr>
        <w:tabs>
          <w:tab w:val="left" w:pos="426"/>
        </w:tabs>
        <w:spacing w:before="156" w:beforeLines="50" w:after="0" w:line="360" w:lineRule="auto"/>
        <w:rPr>
          <w:rFonts w:hint="eastAsia" w:ascii="黑体" w:hAnsi="黑体" w:eastAsia="黑体" w:cs="黑体"/>
          <w:color w:val="auto"/>
          <w:sz w:val="21"/>
          <w:szCs w:val="21"/>
          <w:highlight w:val="none"/>
        </w:rPr>
      </w:pPr>
      <w:bookmarkStart w:id="218" w:name="_Toc26176829"/>
      <w:bookmarkStart w:id="219" w:name="_Toc30321012"/>
      <w:bookmarkStart w:id="220" w:name="_Toc30167699"/>
      <w:bookmarkStart w:id="221" w:name="_Toc20096"/>
      <w:r>
        <w:rPr>
          <w:rFonts w:hint="eastAsia" w:ascii="黑体" w:hAnsi="黑体" w:eastAsia="黑体" w:cs="黑体"/>
          <w:color w:val="auto"/>
          <w:sz w:val="21"/>
          <w:szCs w:val="21"/>
          <w:highlight w:val="none"/>
        </w:rPr>
        <w:t>询问、质疑、投诉</w:t>
      </w:r>
      <w:bookmarkEnd w:id="218"/>
      <w:bookmarkEnd w:id="219"/>
      <w:bookmarkEnd w:id="220"/>
      <w:bookmarkEnd w:id="221"/>
    </w:p>
    <w:p w14:paraId="317AC085">
      <w:pPr>
        <w:pStyle w:val="41"/>
        <w:numPr>
          <w:ilvl w:val="0"/>
          <w:numId w:val="13"/>
        </w:numPr>
        <w:spacing w:before="0" w:after="0" w:line="360" w:lineRule="auto"/>
        <w:rPr>
          <w:rFonts w:hint="eastAsia" w:ascii="黑体" w:hAnsi="黑体" w:eastAsia="黑体" w:cs="黑体"/>
          <w:color w:val="auto"/>
          <w:sz w:val="21"/>
          <w:szCs w:val="21"/>
          <w:highlight w:val="none"/>
        </w:rPr>
      </w:pPr>
      <w:bookmarkStart w:id="222" w:name="_Toc10423"/>
      <w:r>
        <w:rPr>
          <w:rFonts w:hint="eastAsia" w:ascii="黑体" w:hAnsi="黑体" w:eastAsia="黑体" w:cs="黑体"/>
          <w:color w:val="auto"/>
          <w:sz w:val="21"/>
          <w:szCs w:val="21"/>
          <w:highlight w:val="none"/>
        </w:rPr>
        <w:t>询问</w:t>
      </w:r>
      <w:bookmarkEnd w:id="222"/>
    </w:p>
    <w:p w14:paraId="4D3869F5">
      <w:pPr>
        <w:pStyle w:val="31"/>
        <w:numPr>
          <w:ilvl w:val="0"/>
          <w:numId w:val="53"/>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供应商对采购活动事项有疑问的，可以向采购人提出询问，询问可以口头方式提出，也可以书面方式提出。</w:t>
      </w:r>
    </w:p>
    <w:p w14:paraId="0845CC53">
      <w:pPr>
        <w:pStyle w:val="31"/>
        <w:numPr>
          <w:ilvl w:val="0"/>
          <w:numId w:val="53"/>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78BC4A57">
      <w:pPr>
        <w:pStyle w:val="31"/>
        <w:numPr>
          <w:ilvl w:val="0"/>
          <w:numId w:val="53"/>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采购人或者采购代理机构在三个工作日内对供应商依法提出的询问作出答复。</w:t>
      </w:r>
    </w:p>
    <w:p w14:paraId="6A7CE2AA">
      <w:pPr>
        <w:pStyle w:val="41"/>
        <w:numPr>
          <w:ilvl w:val="0"/>
          <w:numId w:val="13"/>
        </w:numPr>
        <w:spacing w:before="0" w:after="0" w:line="360" w:lineRule="auto"/>
        <w:rPr>
          <w:rFonts w:hint="eastAsia" w:ascii="黑体" w:hAnsi="黑体" w:eastAsia="黑体" w:cs="黑体"/>
          <w:color w:val="auto"/>
          <w:sz w:val="21"/>
          <w:szCs w:val="21"/>
          <w:highlight w:val="none"/>
        </w:rPr>
      </w:pPr>
      <w:bookmarkStart w:id="223" w:name="_Toc31744"/>
      <w:r>
        <w:rPr>
          <w:rFonts w:hint="eastAsia" w:ascii="黑体" w:hAnsi="黑体" w:eastAsia="黑体" w:cs="黑体"/>
          <w:color w:val="auto"/>
          <w:sz w:val="21"/>
          <w:szCs w:val="21"/>
          <w:highlight w:val="none"/>
        </w:rPr>
        <w:t>质疑</w:t>
      </w:r>
      <w:bookmarkEnd w:id="223"/>
    </w:p>
    <w:p w14:paraId="541085B9">
      <w:pPr>
        <w:pStyle w:val="31"/>
        <w:numPr>
          <w:ilvl w:val="0"/>
          <w:numId w:val="54"/>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供应商认为采购文件、采购过程、成交或者成交结果使自己的权益受到损害的，可以在知道或者应知其权益受到损害之日起7个工作日内，以书面形式向采购人、采购代理机构提出质疑。</w:t>
      </w:r>
    </w:p>
    <w:p w14:paraId="18E6EE9D">
      <w:pPr>
        <w:pStyle w:val="31"/>
        <w:numPr>
          <w:ilvl w:val="0"/>
          <w:numId w:val="54"/>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提出质疑的供应商应当是参与所质疑项目采购活动的供应商。</w:t>
      </w:r>
    </w:p>
    <w:p w14:paraId="6E5CBFCB">
      <w:pPr>
        <w:pStyle w:val="31"/>
        <w:numPr>
          <w:ilvl w:val="0"/>
          <w:numId w:val="54"/>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提交要求：</w:t>
      </w:r>
    </w:p>
    <w:p w14:paraId="7736C8E0">
      <w:pPr>
        <w:pStyle w:val="31"/>
        <w:numPr>
          <w:ilvl w:val="0"/>
          <w:numId w:val="55"/>
        </w:numPr>
        <w:tabs>
          <w:tab w:val="left" w:pos="567"/>
          <w:tab w:val="left" w:pos="709"/>
        </w:tabs>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以书面形式向采购人或者采购代理机构一次性提出针对同一采购程序环节的质疑。</w:t>
      </w:r>
    </w:p>
    <w:p w14:paraId="0BC53C94">
      <w:pPr>
        <w:pStyle w:val="31"/>
        <w:numPr>
          <w:ilvl w:val="0"/>
          <w:numId w:val="55"/>
        </w:numPr>
        <w:tabs>
          <w:tab w:val="left" w:pos="709"/>
        </w:tabs>
        <w:spacing w:line="360" w:lineRule="auto"/>
        <w:ind w:left="709" w:hanging="709" w:firstLineChars="0"/>
        <w:rPr>
          <w:rFonts w:hint="eastAsia" w:ascii="黑体" w:hAnsi="黑体" w:eastAsia="黑体" w:cs="黑体"/>
          <w:color w:val="auto"/>
          <w:highlight w:val="none"/>
        </w:rPr>
      </w:pPr>
      <w:r>
        <w:rPr>
          <w:rFonts w:hint="eastAsia" w:ascii="黑体" w:hAnsi="黑体" w:eastAsia="黑体" w:cs="黑体"/>
          <w:color w:val="auto"/>
          <w:highlight w:val="none"/>
        </w:rPr>
        <w:t>以联合体形式参加采购活动的，其质疑应当由组成联合体的所有供应商共同提出。</w:t>
      </w:r>
    </w:p>
    <w:p w14:paraId="28B1AF57">
      <w:pPr>
        <w:pStyle w:val="31"/>
        <w:numPr>
          <w:ilvl w:val="0"/>
          <w:numId w:val="55"/>
        </w:numPr>
        <w:tabs>
          <w:tab w:val="left" w:pos="709"/>
        </w:tabs>
        <w:spacing w:line="360" w:lineRule="auto"/>
        <w:ind w:left="709" w:hanging="709" w:firstLineChars="0"/>
        <w:rPr>
          <w:rFonts w:hint="eastAsia" w:ascii="黑体" w:hAnsi="黑体" w:eastAsia="黑体" w:cs="黑体"/>
          <w:color w:val="auto"/>
          <w:highlight w:val="none"/>
        </w:rPr>
      </w:pPr>
      <w:r>
        <w:rPr>
          <w:rFonts w:hint="eastAsia" w:ascii="黑体" w:hAnsi="黑体" w:eastAsia="黑体" w:cs="黑体"/>
          <w:color w:val="auto"/>
          <w:highlight w:val="none"/>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43A07193">
      <w:pPr>
        <w:pStyle w:val="31"/>
        <w:numPr>
          <w:ilvl w:val="0"/>
          <w:numId w:val="55"/>
        </w:numPr>
        <w:tabs>
          <w:tab w:val="left" w:pos="709"/>
        </w:tabs>
        <w:spacing w:line="360" w:lineRule="auto"/>
        <w:ind w:left="709" w:hanging="709" w:firstLineChars="0"/>
        <w:rPr>
          <w:rFonts w:hint="eastAsia" w:ascii="黑体" w:hAnsi="黑体" w:eastAsia="黑体" w:cs="黑体"/>
          <w:color w:val="auto"/>
          <w:highlight w:val="none"/>
        </w:rPr>
      </w:pPr>
      <w:r>
        <w:rPr>
          <w:rFonts w:hint="eastAsia" w:ascii="黑体" w:hAnsi="黑体" w:eastAsia="黑体" w:cs="黑体"/>
          <w:color w:val="auto"/>
          <w:highlight w:val="none"/>
        </w:rPr>
        <w:t>供应商捏造事实、提供虚假材料或者以非法手段取得证明材料不能作为质疑的证明材料。采购人或者采购代理机构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7D31ED7D">
      <w:pPr>
        <w:pStyle w:val="31"/>
        <w:numPr>
          <w:ilvl w:val="0"/>
          <w:numId w:val="55"/>
        </w:numPr>
        <w:tabs>
          <w:tab w:val="left" w:pos="709"/>
        </w:tabs>
        <w:spacing w:line="360" w:lineRule="auto"/>
        <w:ind w:left="709" w:hanging="709" w:firstLineChars="0"/>
        <w:rPr>
          <w:rFonts w:hint="eastAsia" w:ascii="黑体" w:hAnsi="黑体" w:eastAsia="黑体" w:cs="黑体"/>
          <w:color w:val="auto"/>
          <w:highlight w:val="none"/>
        </w:rPr>
      </w:pPr>
      <w:r>
        <w:rPr>
          <w:rFonts w:hint="eastAsia" w:ascii="黑体" w:hAnsi="黑体" w:eastAsia="黑体" w:cs="黑体"/>
          <w:color w:val="auto"/>
          <w:highlight w:val="none"/>
        </w:rPr>
        <w:t>采购人或采购代理机构接收以书面形式递交的质疑函，接收质疑函的联系人、联系方式和通讯地址：</w:t>
      </w:r>
    </w:p>
    <w:p w14:paraId="7F70D37C">
      <w:pPr>
        <w:spacing w:line="360" w:lineRule="auto"/>
        <w:ind w:firstLine="735" w:firstLineChars="350"/>
        <w:rPr>
          <w:rFonts w:hint="eastAsia" w:ascii="黑体" w:hAnsi="黑体" w:eastAsia="黑体" w:cs="黑体"/>
          <w:color w:val="auto"/>
          <w:highlight w:val="none"/>
        </w:rPr>
      </w:pPr>
      <w:r>
        <w:rPr>
          <w:rFonts w:hint="eastAsia" w:ascii="黑体" w:hAnsi="黑体" w:eastAsia="黑体" w:cs="黑体"/>
          <w:color w:val="auto"/>
          <w:highlight w:val="none"/>
        </w:rPr>
        <w:t>联系人：</w:t>
      </w:r>
      <w:r>
        <w:rPr>
          <w:rFonts w:hint="eastAsia" w:ascii="黑体" w:hAnsi="黑体" w:eastAsia="黑体" w:cs="黑体"/>
          <w:color w:val="auto"/>
          <w:highlight w:val="none"/>
          <w:lang w:val="en-US" w:eastAsia="zh-CN"/>
        </w:rPr>
        <w:t>张</w:t>
      </w:r>
      <w:r>
        <w:rPr>
          <w:rFonts w:hint="eastAsia" w:ascii="黑体" w:hAnsi="黑体" w:eastAsia="黑体" w:cs="黑体"/>
          <w:color w:val="auto"/>
          <w:highlight w:val="none"/>
        </w:rPr>
        <w:t>小姐       联系电话：（0769）23362836</w:t>
      </w:r>
    </w:p>
    <w:p w14:paraId="266E3EA6">
      <w:pPr>
        <w:spacing w:line="360" w:lineRule="auto"/>
        <w:ind w:firstLine="735" w:firstLineChars="350"/>
        <w:rPr>
          <w:rFonts w:hint="eastAsia" w:ascii="黑体" w:hAnsi="黑体" w:eastAsia="黑体" w:cs="黑体"/>
          <w:color w:val="auto"/>
          <w:highlight w:val="none"/>
        </w:rPr>
      </w:pPr>
      <w:r>
        <w:rPr>
          <w:rFonts w:hint="eastAsia" w:ascii="黑体" w:hAnsi="黑体" w:eastAsia="黑体" w:cs="黑体"/>
          <w:color w:val="auto"/>
          <w:highlight w:val="none"/>
        </w:rPr>
        <w:t>联系地址：东莞市东城街道新源路海德琥珀台6栋1703室</w:t>
      </w:r>
    </w:p>
    <w:p w14:paraId="6E6630DB">
      <w:pPr>
        <w:pStyle w:val="41"/>
        <w:numPr>
          <w:ilvl w:val="0"/>
          <w:numId w:val="13"/>
        </w:numPr>
        <w:spacing w:before="0" w:after="0" w:line="360" w:lineRule="auto"/>
        <w:rPr>
          <w:rFonts w:hint="eastAsia" w:ascii="黑体" w:hAnsi="黑体" w:eastAsia="黑体" w:cs="黑体"/>
          <w:color w:val="auto"/>
          <w:sz w:val="21"/>
          <w:szCs w:val="21"/>
          <w:highlight w:val="none"/>
        </w:rPr>
      </w:pPr>
      <w:bookmarkStart w:id="224" w:name="_Toc30605"/>
      <w:r>
        <w:rPr>
          <w:rFonts w:hint="eastAsia" w:ascii="黑体" w:hAnsi="黑体" w:eastAsia="黑体" w:cs="黑体"/>
          <w:color w:val="auto"/>
          <w:sz w:val="21"/>
          <w:szCs w:val="21"/>
          <w:highlight w:val="none"/>
        </w:rPr>
        <w:t>投诉</w:t>
      </w:r>
      <w:bookmarkEnd w:id="224"/>
    </w:p>
    <w:p w14:paraId="616D377E">
      <w:pPr>
        <w:pStyle w:val="31"/>
        <w:numPr>
          <w:ilvl w:val="0"/>
          <w:numId w:val="56"/>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质疑供应商对采购人、采购代理机构的答复不满意，或者采购人、采购代理机构未在规定时间内作出答复的，可以在答复期满后15个工作日内</w:t>
      </w:r>
      <w:r>
        <w:rPr>
          <w:rFonts w:hint="eastAsia" w:ascii="黑体" w:hAnsi="黑体" w:eastAsia="黑体" w:cs="黑体"/>
          <w:color w:val="auto"/>
          <w:highlight w:val="none"/>
          <w:lang w:val="en-US" w:eastAsia="zh-CN"/>
        </w:rPr>
        <w:t>参考</w:t>
      </w:r>
      <w:r>
        <w:rPr>
          <w:rFonts w:hint="eastAsia" w:ascii="黑体" w:hAnsi="黑体" w:eastAsia="黑体" w:cs="黑体"/>
          <w:color w:val="auto"/>
          <w:highlight w:val="none"/>
        </w:rPr>
        <w:t>《政府采购质疑和投诉办法》(财政部令第94号)第六条规定向</w:t>
      </w:r>
      <w:r>
        <w:rPr>
          <w:rFonts w:hint="eastAsia" w:ascii="黑体" w:hAnsi="黑体" w:eastAsia="黑体" w:cs="黑体"/>
          <w:color w:val="auto"/>
          <w:highlight w:val="none"/>
          <w:lang w:val="en-US" w:eastAsia="zh-CN"/>
        </w:rPr>
        <w:t>采购人有关</w:t>
      </w:r>
      <w:r>
        <w:rPr>
          <w:rFonts w:hint="eastAsia" w:ascii="黑体" w:hAnsi="黑体" w:eastAsia="黑体" w:cs="黑体"/>
          <w:color w:val="auto"/>
          <w:highlight w:val="none"/>
        </w:rPr>
        <w:t>部门提起投诉。</w:t>
      </w:r>
    </w:p>
    <w:p w14:paraId="091EC46A">
      <w:pPr>
        <w:pStyle w:val="31"/>
        <w:numPr>
          <w:ilvl w:val="0"/>
          <w:numId w:val="56"/>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以联合体形式参加采购活动的，其投诉应当由组成联合体的所有供应商共同提出。</w:t>
      </w:r>
    </w:p>
    <w:p w14:paraId="7C61D2BF">
      <w:pPr>
        <w:pStyle w:val="4"/>
        <w:spacing w:before="156" w:beforeLines="50" w:after="0" w:line="360" w:lineRule="auto"/>
        <w:rPr>
          <w:rFonts w:hint="eastAsia" w:ascii="黑体" w:hAnsi="黑体" w:eastAsia="黑体" w:cs="黑体"/>
          <w:bCs w:val="0"/>
          <w:color w:val="auto"/>
          <w:sz w:val="21"/>
          <w:szCs w:val="21"/>
          <w:highlight w:val="none"/>
        </w:rPr>
      </w:pPr>
      <w:bookmarkStart w:id="225" w:name="_Toc4891"/>
      <w:bookmarkStart w:id="226" w:name="_Toc416771356"/>
      <w:bookmarkStart w:id="227" w:name="_Toc410736170"/>
      <w:bookmarkStart w:id="228" w:name="_Toc416770246"/>
      <w:bookmarkStart w:id="229" w:name="_Toc410738970"/>
      <w:bookmarkStart w:id="230" w:name="_Toc30321016"/>
      <w:bookmarkStart w:id="231" w:name="_Toc30167703"/>
      <w:bookmarkStart w:id="232" w:name="_Toc26176833"/>
      <w:r>
        <w:rPr>
          <w:rFonts w:hint="eastAsia" w:ascii="黑体" w:hAnsi="黑体" w:eastAsia="黑体" w:cs="黑体"/>
          <w:bCs w:val="0"/>
          <w:color w:val="auto"/>
          <w:sz w:val="21"/>
          <w:szCs w:val="21"/>
          <w:highlight w:val="none"/>
        </w:rPr>
        <w:t>十 、发票</w:t>
      </w:r>
      <w:bookmarkEnd w:id="225"/>
    </w:p>
    <w:p w14:paraId="4FDEEB16">
      <w:pPr>
        <w:spacing w:line="360" w:lineRule="auto"/>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成交供应商与采购人签署合同后，开具发票时，开发票的单位名称必须与成交供应商的名称一致。</w:t>
      </w:r>
    </w:p>
    <w:p w14:paraId="35ED9504">
      <w:pPr>
        <w:pStyle w:val="4"/>
        <w:spacing w:before="156" w:beforeLines="50" w:after="0" w:line="360" w:lineRule="auto"/>
        <w:rPr>
          <w:rFonts w:hint="eastAsia" w:ascii="黑体" w:hAnsi="黑体" w:eastAsia="黑体" w:cs="黑体"/>
          <w:bCs w:val="0"/>
          <w:color w:val="auto"/>
          <w:sz w:val="21"/>
          <w:szCs w:val="21"/>
          <w:highlight w:val="none"/>
        </w:rPr>
      </w:pPr>
      <w:bookmarkStart w:id="233" w:name="_Toc2690"/>
      <w:r>
        <w:rPr>
          <w:rFonts w:hint="eastAsia" w:ascii="黑体" w:hAnsi="黑体" w:eastAsia="黑体" w:cs="黑体"/>
          <w:bCs w:val="0"/>
          <w:color w:val="auto"/>
          <w:sz w:val="21"/>
          <w:szCs w:val="21"/>
          <w:highlight w:val="none"/>
        </w:rPr>
        <w:t>十一、 采购代理服务费</w:t>
      </w:r>
      <w:bookmarkEnd w:id="226"/>
      <w:bookmarkEnd w:id="227"/>
      <w:bookmarkEnd w:id="228"/>
      <w:bookmarkEnd w:id="229"/>
      <w:bookmarkEnd w:id="233"/>
    </w:p>
    <w:p w14:paraId="767A951D">
      <w:pPr>
        <w:pStyle w:val="41"/>
        <w:numPr>
          <w:ilvl w:val="0"/>
          <w:numId w:val="13"/>
        </w:numPr>
        <w:spacing w:before="0" w:after="0" w:line="360" w:lineRule="auto"/>
        <w:rPr>
          <w:rFonts w:hint="eastAsia" w:ascii="黑体" w:hAnsi="黑体" w:eastAsia="黑体" w:cs="黑体"/>
          <w:color w:val="auto"/>
          <w:sz w:val="21"/>
          <w:szCs w:val="21"/>
          <w:highlight w:val="none"/>
        </w:rPr>
      </w:pPr>
      <w:bookmarkStart w:id="234" w:name="_Toc10252"/>
      <w:r>
        <w:rPr>
          <w:rFonts w:hint="eastAsia" w:ascii="黑体" w:hAnsi="黑体" w:eastAsia="黑体" w:cs="黑体"/>
          <w:color w:val="auto"/>
          <w:sz w:val="21"/>
          <w:szCs w:val="21"/>
          <w:highlight w:val="none"/>
        </w:rPr>
        <w:t>采购代理服务收费标准</w:t>
      </w:r>
      <w:bookmarkEnd w:id="234"/>
    </w:p>
    <w:p w14:paraId="57B7717F">
      <w:pPr>
        <w:pStyle w:val="31"/>
        <w:numPr>
          <w:ilvl w:val="0"/>
          <w:numId w:val="57"/>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highlight w:val="none"/>
        </w:rPr>
        <w:t>成交供应商应在领取《成交通知书》原件时向招标代理机构一次性支付采购代理服务费(参照国家计委文件“计价格[2002]1980号文”、“发改办价格[2003]857号文”和“发改价格[2011]534号文”的规定标准执行)。</w:t>
      </w:r>
    </w:p>
    <w:p w14:paraId="3389E7A2">
      <w:pPr>
        <w:pStyle w:val="31"/>
        <w:numPr>
          <w:ilvl w:val="0"/>
          <w:numId w:val="57"/>
        </w:numPr>
        <w:spacing w:line="360" w:lineRule="auto"/>
        <w:ind w:left="567" w:hanging="567"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本项目类型为</w:t>
      </w:r>
      <w:r>
        <w:rPr>
          <w:rFonts w:hint="eastAsia" w:ascii="黑体" w:hAnsi="黑体" w:eastAsia="黑体" w:cs="黑体"/>
          <w:color w:val="auto"/>
          <w:szCs w:val="21"/>
          <w:highlight w:val="none"/>
          <w:u w:val="single"/>
        </w:rPr>
        <w:t>（详见报价须知前附表）</w:t>
      </w:r>
      <w:r>
        <w:rPr>
          <w:rFonts w:hint="eastAsia" w:ascii="黑体" w:hAnsi="黑体" w:eastAsia="黑体" w:cs="黑体"/>
          <w:color w:val="auto"/>
          <w:szCs w:val="21"/>
          <w:highlight w:val="none"/>
        </w:rPr>
        <w:t>。</w:t>
      </w:r>
    </w:p>
    <w:p w14:paraId="4C880B2A">
      <w:pPr>
        <w:pStyle w:val="31"/>
        <w:numPr>
          <w:ilvl w:val="0"/>
          <w:numId w:val="57"/>
        </w:numPr>
        <w:spacing w:line="360" w:lineRule="auto"/>
        <w:ind w:left="567" w:hanging="56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采购代理服务收费标准：</w:t>
      </w:r>
    </w:p>
    <w:tbl>
      <w:tblPr>
        <w:tblStyle w:val="19"/>
        <w:tblW w:w="852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375"/>
        <w:gridCol w:w="1986"/>
        <w:gridCol w:w="1984"/>
        <w:gridCol w:w="2177"/>
      </w:tblGrid>
      <w:tr w14:paraId="6FFFBB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4" w:hRule="atLeast"/>
          <w:jc w:val="center"/>
        </w:trPr>
        <w:tc>
          <w:tcPr>
            <w:tcW w:w="2375" w:type="dxa"/>
            <w:tcBorders>
              <w:tl2br w:val="single" w:color="000000" w:sz="8" w:space="0"/>
            </w:tcBorders>
            <w:shd w:val="clear" w:color="auto" w:fill="auto"/>
          </w:tcPr>
          <w:p w14:paraId="1A2137E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费率</w:t>
            </w:r>
          </w:p>
          <w:p w14:paraId="0769829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成交金额</w:t>
            </w:r>
          </w:p>
        </w:tc>
        <w:tc>
          <w:tcPr>
            <w:tcW w:w="1986" w:type="dxa"/>
            <w:shd w:val="clear" w:color="auto" w:fill="auto"/>
            <w:vAlign w:val="center"/>
          </w:tcPr>
          <w:p w14:paraId="75C48CA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货物招标</w:t>
            </w:r>
          </w:p>
        </w:tc>
        <w:tc>
          <w:tcPr>
            <w:tcW w:w="1984" w:type="dxa"/>
            <w:shd w:val="clear" w:color="auto" w:fill="auto"/>
            <w:vAlign w:val="center"/>
          </w:tcPr>
          <w:p w14:paraId="10542D9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服务招标</w:t>
            </w:r>
          </w:p>
        </w:tc>
        <w:tc>
          <w:tcPr>
            <w:tcW w:w="2177" w:type="dxa"/>
            <w:shd w:val="clear" w:color="auto" w:fill="auto"/>
            <w:vAlign w:val="center"/>
          </w:tcPr>
          <w:p w14:paraId="0866EF87">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工程招标</w:t>
            </w:r>
          </w:p>
        </w:tc>
      </w:tr>
      <w:tr w14:paraId="4796E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2375" w:type="dxa"/>
            <w:vAlign w:val="center"/>
          </w:tcPr>
          <w:p w14:paraId="40C70777">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100万元以下</w:t>
            </w:r>
          </w:p>
        </w:tc>
        <w:tc>
          <w:tcPr>
            <w:tcW w:w="1986" w:type="dxa"/>
            <w:vAlign w:val="center"/>
          </w:tcPr>
          <w:p w14:paraId="2E762E3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1984" w:type="dxa"/>
            <w:vAlign w:val="center"/>
          </w:tcPr>
          <w:p w14:paraId="06D86AA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w:t>
            </w:r>
          </w:p>
        </w:tc>
        <w:tc>
          <w:tcPr>
            <w:tcW w:w="2177" w:type="dxa"/>
            <w:vAlign w:val="center"/>
          </w:tcPr>
          <w:p w14:paraId="37801448">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w:t>
            </w:r>
          </w:p>
        </w:tc>
      </w:tr>
      <w:tr w14:paraId="3C50A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14:paraId="0432091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100-500万元</w:t>
            </w:r>
          </w:p>
        </w:tc>
        <w:tc>
          <w:tcPr>
            <w:tcW w:w="1986" w:type="dxa"/>
            <w:vAlign w:val="center"/>
          </w:tcPr>
          <w:p w14:paraId="0E93A47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1.1%</w:t>
            </w:r>
          </w:p>
        </w:tc>
        <w:tc>
          <w:tcPr>
            <w:tcW w:w="1984" w:type="dxa"/>
            <w:vAlign w:val="center"/>
          </w:tcPr>
          <w:p w14:paraId="5118BB9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0.8%</w:t>
            </w:r>
          </w:p>
        </w:tc>
        <w:tc>
          <w:tcPr>
            <w:tcW w:w="2177" w:type="dxa"/>
            <w:vAlign w:val="center"/>
          </w:tcPr>
          <w:p w14:paraId="3CE1C508">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0.7%</w:t>
            </w:r>
          </w:p>
        </w:tc>
      </w:tr>
      <w:tr w14:paraId="07466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2375" w:type="dxa"/>
            <w:vAlign w:val="center"/>
          </w:tcPr>
          <w:p w14:paraId="7CF12C5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500-1000万元</w:t>
            </w:r>
          </w:p>
        </w:tc>
        <w:tc>
          <w:tcPr>
            <w:tcW w:w="1986" w:type="dxa"/>
            <w:vAlign w:val="center"/>
          </w:tcPr>
          <w:p w14:paraId="4B3F434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0.8%</w:t>
            </w:r>
          </w:p>
        </w:tc>
        <w:tc>
          <w:tcPr>
            <w:tcW w:w="1984" w:type="dxa"/>
            <w:vAlign w:val="center"/>
          </w:tcPr>
          <w:p w14:paraId="5503BDE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0.45%</w:t>
            </w:r>
          </w:p>
        </w:tc>
        <w:tc>
          <w:tcPr>
            <w:tcW w:w="2177" w:type="dxa"/>
            <w:vAlign w:val="center"/>
          </w:tcPr>
          <w:p w14:paraId="0B98FD9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0.55%</w:t>
            </w:r>
          </w:p>
        </w:tc>
      </w:tr>
      <w:tr w14:paraId="582AD2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2375" w:type="dxa"/>
            <w:vAlign w:val="center"/>
          </w:tcPr>
          <w:p w14:paraId="31FC807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1000-5000万元</w:t>
            </w:r>
          </w:p>
        </w:tc>
        <w:tc>
          <w:tcPr>
            <w:tcW w:w="1986" w:type="dxa"/>
            <w:vAlign w:val="center"/>
          </w:tcPr>
          <w:p w14:paraId="3ED9804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0.5%                </w:t>
            </w:r>
          </w:p>
        </w:tc>
        <w:tc>
          <w:tcPr>
            <w:tcW w:w="1984" w:type="dxa"/>
            <w:vAlign w:val="center"/>
          </w:tcPr>
          <w:p w14:paraId="391B8B0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0.25%</w:t>
            </w:r>
          </w:p>
        </w:tc>
        <w:tc>
          <w:tcPr>
            <w:tcW w:w="2177" w:type="dxa"/>
            <w:vAlign w:val="center"/>
          </w:tcPr>
          <w:p w14:paraId="70B12D7C">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0.35%</w:t>
            </w:r>
          </w:p>
        </w:tc>
      </w:tr>
      <w:tr w14:paraId="45846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2375" w:type="dxa"/>
            <w:vAlign w:val="center"/>
          </w:tcPr>
          <w:p w14:paraId="7DE3EE62">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5000万元-1亿元</w:t>
            </w:r>
          </w:p>
        </w:tc>
        <w:tc>
          <w:tcPr>
            <w:tcW w:w="1986" w:type="dxa"/>
            <w:vAlign w:val="center"/>
          </w:tcPr>
          <w:p w14:paraId="2C3D0F41">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0.25%                 </w:t>
            </w:r>
          </w:p>
        </w:tc>
        <w:tc>
          <w:tcPr>
            <w:tcW w:w="1984" w:type="dxa"/>
            <w:vAlign w:val="center"/>
          </w:tcPr>
          <w:p w14:paraId="3D7EE89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0.1%</w:t>
            </w:r>
          </w:p>
        </w:tc>
        <w:tc>
          <w:tcPr>
            <w:tcW w:w="2177" w:type="dxa"/>
            <w:vAlign w:val="center"/>
          </w:tcPr>
          <w:p w14:paraId="48AD904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0.2%</w:t>
            </w:r>
          </w:p>
        </w:tc>
      </w:tr>
      <w:tr w14:paraId="5FE88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2375" w:type="dxa"/>
            <w:vAlign w:val="center"/>
          </w:tcPr>
          <w:p w14:paraId="04B17438">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1-5亿元</w:t>
            </w:r>
          </w:p>
        </w:tc>
        <w:tc>
          <w:tcPr>
            <w:tcW w:w="1986" w:type="dxa"/>
            <w:vAlign w:val="center"/>
          </w:tcPr>
          <w:p w14:paraId="26C4409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c>
          <w:tcPr>
            <w:tcW w:w="1984" w:type="dxa"/>
            <w:vAlign w:val="center"/>
          </w:tcPr>
          <w:p w14:paraId="51EFB0A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c>
          <w:tcPr>
            <w:tcW w:w="2177" w:type="dxa"/>
            <w:vAlign w:val="center"/>
          </w:tcPr>
          <w:p w14:paraId="735A07C2">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0.05%</w:t>
            </w:r>
          </w:p>
        </w:tc>
      </w:tr>
      <w:tr w14:paraId="0FB8B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2375" w:type="dxa"/>
            <w:vAlign w:val="center"/>
          </w:tcPr>
          <w:p w14:paraId="76107AC2">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5-10亿元</w:t>
            </w:r>
          </w:p>
        </w:tc>
        <w:tc>
          <w:tcPr>
            <w:tcW w:w="1986" w:type="dxa"/>
            <w:vAlign w:val="center"/>
          </w:tcPr>
          <w:p w14:paraId="7142486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c>
          <w:tcPr>
            <w:tcW w:w="1984" w:type="dxa"/>
            <w:vAlign w:val="center"/>
          </w:tcPr>
          <w:p w14:paraId="16E189C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c>
          <w:tcPr>
            <w:tcW w:w="2177" w:type="dxa"/>
            <w:vAlign w:val="center"/>
          </w:tcPr>
          <w:p w14:paraId="656FDE8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0.035%</w:t>
            </w:r>
          </w:p>
        </w:tc>
      </w:tr>
      <w:tr w14:paraId="70A296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2375" w:type="dxa"/>
            <w:vAlign w:val="center"/>
          </w:tcPr>
          <w:p w14:paraId="3CCC62F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10-50亿元</w:t>
            </w:r>
          </w:p>
        </w:tc>
        <w:tc>
          <w:tcPr>
            <w:tcW w:w="1986" w:type="dxa"/>
            <w:vAlign w:val="center"/>
          </w:tcPr>
          <w:p w14:paraId="07FC694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c>
          <w:tcPr>
            <w:tcW w:w="1984" w:type="dxa"/>
            <w:vAlign w:val="center"/>
          </w:tcPr>
          <w:p w14:paraId="7960A03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c>
          <w:tcPr>
            <w:tcW w:w="2177" w:type="dxa"/>
            <w:vAlign w:val="center"/>
          </w:tcPr>
          <w:p w14:paraId="0AEE3CE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0.008%</w:t>
            </w:r>
          </w:p>
        </w:tc>
      </w:tr>
      <w:tr w14:paraId="639393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2375" w:type="dxa"/>
            <w:vAlign w:val="center"/>
          </w:tcPr>
          <w:p w14:paraId="2869E6A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50-100亿元</w:t>
            </w:r>
          </w:p>
        </w:tc>
        <w:tc>
          <w:tcPr>
            <w:tcW w:w="1986" w:type="dxa"/>
            <w:vAlign w:val="center"/>
          </w:tcPr>
          <w:p w14:paraId="01C2FF9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c>
          <w:tcPr>
            <w:tcW w:w="1984" w:type="dxa"/>
            <w:vAlign w:val="center"/>
          </w:tcPr>
          <w:p w14:paraId="30D3488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c>
          <w:tcPr>
            <w:tcW w:w="2177" w:type="dxa"/>
            <w:vAlign w:val="center"/>
          </w:tcPr>
          <w:p w14:paraId="34921745">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0.006%</w:t>
            </w:r>
          </w:p>
        </w:tc>
      </w:tr>
      <w:tr w14:paraId="50EE0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2375" w:type="dxa"/>
            <w:vAlign w:val="center"/>
          </w:tcPr>
          <w:p w14:paraId="2F960781">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100亿以上</w:t>
            </w:r>
          </w:p>
        </w:tc>
        <w:tc>
          <w:tcPr>
            <w:tcW w:w="1986" w:type="dxa"/>
            <w:vAlign w:val="center"/>
          </w:tcPr>
          <w:p w14:paraId="29AAB2A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0.004%</w:t>
            </w:r>
          </w:p>
        </w:tc>
        <w:tc>
          <w:tcPr>
            <w:tcW w:w="1984" w:type="dxa"/>
            <w:vAlign w:val="center"/>
          </w:tcPr>
          <w:p w14:paraId="1494CC3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0.004%</w:t>
            </w:r>
          </w:p>
        </w:tc>
        <w:tc>
          <w:tcPr>
            <w:tcW w:w="2177" w:type="dxa"/>
            <w:vAlign w:val="center"/>
          </w:tcPr>
          <w:p w14:paraId="2B6B5D7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0.004%</w:t>
            </w:r>
          </w:p>
        </w:tc>
      </w:tr>
    </w:tbl>
    <w:p w14:paraId="27957F71">
      <w:pPr>
        <w:pStyle w:val="31"/>
        <w:numPr>
          <w:ilvl w:val="0"/>
          <w:numId w:val="5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采购代理服务费按差额定率累进法计算。</w:t>
      </w:r>
    </w:p>
    <w:p w14:paraId="2D46DC4E">
      <w:pPr>
        <w:pStyle w:val="31"/>
        <w:numPr>
          <w:ilvl w:val="0"/>
          <w:numId w:val="5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采购代理服务费币种为人民币。</w:t>
      </w:r>
    </w:p>
    <w:p w14:paraId="127E7667">
      <w:pPr>
        <w:pStyle w:val="31"/>
        <w:numPr>
          <w:ilvl w:val="0"/>
          <w:numId w:val="5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采购代理服务费只收现金、银行转账或电汇。</w:t>
      </w:r>
    </w:p>
    <w:p w14:paraId="18910DA2">
      <w:pPr>
        <w:pStyle w:val="31"/>
        <w:numPr>
          <w:ilvl w:val="0"/>
          <w:numId w:val="57"/>
        </w:numPr>
        <w:spacing w:line="360" w:lineRule="auto"/>
        <w:ind w:left="567" w:hanging="567" w:firstLineChars="0"/>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采购代理服务费收取账户：</w:t>
      </w:r>
    </w:p>
    <w:p w14:paraId="0FC4CCE2">
      <w:pPr>
        <w:autoSpaceDE w:val="0"/>
        <w:autoSpaceDN w:val="0"/>
        <w:spacing w:line="360" w:lineRule="auto"/>
        <w:ind w:left="567" w:leftChars="27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收款单位名称：广东有德招标采购有限公司东莞分公司</w:t>
      </w:r>
    </w:p>
    <w:p w14:paraId="0BF4A317">
      <w:pPr>
        <w:autoSpaceDE w:val="0"/>
        <w:autoSpaceDN w:val="0"/>
        <w:spacing w:line="360" w:lineRule="auto"/>
        <w:ind w:left="567" w:leftChars="27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开户银行：中国建设银行股份有限公司东莞南城支行</w:t>
      </w:r>
    </w:p>
    <w:p w14:paraId="43216A8B">
      <w:pPr>
        <w:autoSpaceDE w:val="0"/>
        <w:autoSpaceDN w:val="0"/>
        <w:spacing w:line="360" w:lineRule="auto"/>
        <w:ind w:left="567" w:leftChars="27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收款账号：44001776040053011261</w:t>
      </w:r>
    </w:p>
    <w:p w14:paraId="74013162">
      <w:pPr>
        <w:pStyle w:val="4"/>
        <w:spacing w:before="156" w:beforeLines="50" w:after="0" w:line="360" w:lineRule="auto"/>
        <w:rPr>
          <w:rFonts w:hint="eastAsia" w:ascii="黑体" w:hAnsi="黑体" w:eastAsia="黑体" w:cs="黑体"/>
          <w:b w:val="0"/>
          <w:bCs w:val="0"/>
          <w:color w:val="auto"/>
          <w:szCs w:val="21"/>
          <w:highlight w:val="none"/>
        </w:rPr>
      </w:pPr>
      <w:bookmarkStart w:id="235" w:name="_Toc24155"/>
      <w:r>
        <w:rPr>
          <w:rFonts w:hint="eastAsia" w:ascii="黑体" w:hAnsi="黑体" w:eastAsia="黑体" w:cs="黑体"/>
          <w:bCs w:val="0"/>
          <w:color w:val="auto"/>
          <w:sz w:val="21"/>
          <w:szCs w:val="21"/>
          <w:highlight w:val="none"/>
        </w:rPr>
        <w:t>十二、采购文件符号说明</w:t>
      </w:r>
      <w:bookmarkEnd w:id="235"/>
    </w:p>
    <w:p w14:paraId="6CD0631A">
      <w:pPr>
        <w:spacing w:before="156" w:beforeLines="50" w:after="156" w:afterLines="50"/>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采购文件中，带“★”符号的内容为必须响应条款，偏离将导致废标；</w:t>
      </w:r>
    </w:p>
    <w:p w14:paraId="1176C8DF">
      <w:pPr>
        <w:pStyle w:val="4"/>
        <w:spacing w:before="156" w:beforeLines="50" w:after="0" w:line="360" w:lineRule="auto"/>
        <w:rPr>
          <w:rFonts w:hint="eastAsia" w:ascii="黑体" w:hAnsi="黑体" w:eastAsia="黑体" w:cs="黑体"/>
          <w:bCs w:val="0"/>
          <w:color w:val="auto"/>
          <w:sz w:val="21"/>
          <w:szCs w:val="21"/>
          <w:highlight w:val="none"/>
        </w:rPr>
      </w:pPr>
      <w:bookmarkStart w:id="236" w:name="_Toc22"/>
      <w:r>
        <w:rPr>
          <w:rFonts w:hint="eastAsia" w:ascii="黑体" w:hAnsi="黑体" w:eastAsia="黑体" w:cs="黑体"/>
          <w:bCs w:val="0"/>
          <w:color w:val="auto"/>
          <w:sz w:val="21"/>
          <w:szCs w:val="21"/>
          <w:highlight w:val="none"/>
        </w:rPr>
        <w:t>十三、其他</w:t>
      </w:r>
      <w:bookmarkEnd w:id="230"/>
      <w:bookmarkEnd w:id="231"/>
      <w:bookmarkEnd w:id="232"/>
      <w:bookmarkEnd w:id="236"/>
    </w:p>
    <w:p w14:paraId="1504C032">
      <w:pPr>
        <w:pStyle w:val="41"/>
        <w:numPr>
          <w:ilvl w:val="0"/>
          <w:numId w:val="13"/>
        </w:numPr>
        <w:spacing w:before="0" w:after="0" w:line="360" w:lineRule="auto"/>
        <w:rPr>
          <w:rFonts w:hint="eastAsia" w:ascii="黑体" w:hAnsi="黑体" w:eastAsia="黑体" w:cs="黑体"/>
          <w:color w:val="auto"/>
          <w:sz w:val="21"/>
          <w:szCs w:val="21"/>
          <w:highlight w:val="none"/>
        </w:rPr>
      </w:pPr>
      <w:bookmarkStart w:id="237" w:name="_Toc30321017"/>
      <w:bookmarkStart w:id="238" w:name="_Toc14496"/>
      <w:bookmarkStart w:id="239" w:name="_Toc30167704"/>
      <w:bookmarkStart w:id="240" w:name="_Toc26176834"/>
      <w:r>
        <w:rPr>
          <w:rFonts w:hint="eastAsia" w:ascii="黑体" w:hAnsi="黑体" w:eastAsia="黑体" w:cs="黑体"/>
          <w:color w:val="auto"/>
          <w:sz w:val="21"/>
          <w:szCs w:val="21"/>
          <w:highlight w:val="none"/>
        </w:rPr>
        <w:t>适用法律</w:t>
      </w:r>
      <w:bookmarkEnd w:id="237"/>
      <w:bookmarkEnd w:id="238"/>
      <w:bookmarkEnd w:id="239"/>
      <w:bookmarkEnd w:id="240"/>
    </w:p>
    <w:p w14:paraId="724E05F1">
      <w:pPr>
        <w:pStyle w:val="39"/>
        <w:spacing w:line="360" w:lineRule="auto"/>
        <w:ind w:firstLine="433"/>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采购代理机构、采购人及供应商进行的本次采购活动</w:t>
      </w:r>
      <w:r>
        <w:rPr>
          <w:rFonts w:hint="eastAsia" w:ascii="黑体" w:hAnsi="黑体" w:eastAsia="黑体" w:cs="黑体"/>
          <w:color w:val="auto"/>
          <w:sz w:val="21"/>
          <w:szCs w:val="21"/>
          <w:highlight w:val="none"/>
          <w:lang w:val="en-US" w:eastAsia="zh-CN"/>
        </w:rPr>
        <w:t>参考</w:t>
      </w:r>
      <w:r>
        <w:rPr>
          <w:rFonts w:hint="eastAsia" w:ascii="黑体" w:hAnsi="黑体" w:eastAsia="黑体" w:cs="黑体"/>
          <w:color w:val="auto"/>
          <w:sz w:val="21"/>
          <w:szCs w:val="21"/>
          <w:highlight w:val="none"/>
        </w:rPr>
        <w:t>《中华人民共和国政府采购法》及其实施条例、《政府采购非招标采购方式管理办法》等及其配套的法规、规章、政策。</w:t>
      </w:r>
    </w:p>
    <w:p w14:paraId="3646EF34">
      <w:pPr>
        <w:pStyle w:val="41"/>
        <w:numPr>
          <w:ilvl w:val="0"/>
          <w:numId w:val="13"/>
        </w:numPr>
        <w:spacing w:before="0" w:after="0" w:line="360" w:lineRule="auto"/>
        <w:rPr>
          <w:rFonts w:hint="eastAsia" w:ascii="黑体" w:hAnsi="黑体" w:eastAsia="黑体" w:cs="黑体"/>
          <w:color w:val="auto"/>
          <w:sz w:val="21"/>
          <w:szCs w:val="21"/>
          <w:highlight w:val="none"/>
        </w:rPr>
      </w:pPr>
      <w:bookmarkStart w:id="241" w:name="_Toc26176836"/>
      <w:bookmarkStart w:id="242" w:name="_Toc30167706"/>
      <w:bookmarkStart w:id="243" w:name="_Toc12994"/>
      <w:bookmarkStart w:id="244" w:name="_Toc30321019"/>
      <w:r>
        <w:rPr>
          <w:rFonts w:hint="eastAsia" w:ascii="黑体" w:hAnsi="黑体" w:eastAsia="黑体" w:cs="黑体"/>
          <w:color w:val="auto"/>
          <w:sz w:val="21"/>
          <w:szCs w:val="21"/>
          <w:highlight w:val="none"/>
        </w:rPr>
        <w:t>采购文件解释权</w:t>
      </w:r>
      <w:bookmarkEnd w:id="241"/>
      <w:bookmarkEnd w:id="242"/>
      <w:bookmarkEnd w:id="243"/>
      <w:bookmarkEnd w:id="244"/>
    </w:p>
    <w:p w14:paraId="5A537315">
      <w:pPr>
        <w:pStyle w:val="39"/>
        <w:spacing w:line="360" w:lineRule="auto"/>
        <w:ind w:firstLine="493" w:firstLineChars="235"/>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本采购文件解释权属在采购人及采购人委托的采购代理机构。</w:t>
      </w:r>
    </w:p>
    <w:bookmarkEnd w:id="32"/>
    <w:bookmarkEnd w:id="33"/>
    <w:bookmarkEnd w:id="34"/>
    <w:p w14:paraId="4E72DAA0">
      <w:pPr>
        <w:pageBreakBefore/>
        <w:rPr>
          <w:rFonts w:hint="eastAsia" w:ascii="黑体" w:hAnsi="黑体" w:eastAsia="黑体" w:cs="黑体"/>
          <w:color w:val="auto"/>
          <w:highlight w:val="none"/>
        </w:rPr>
      </w:pPr>
      <w:bookmarkStart w:id="245" w:name="_Toc515040753"/>
      <w:bookmarkStart w:id="246" w:name="_Toc521951133"/>
      <w:bookmarkStart w:id="247" w:name="_Toc515363625"/>
      <w:bookmarkStart w:id="248" w:name="_Toc13821080"/>
      <w:r>
        <w:rPr>
          <w:rStyle w:val="22"/>
          <w:rFonts w:hint="eastAsia" w:ascii="黑体" w:hAnsi="黑体" w:eastAsia="黑体" w:cs="黑体"/>
          <w:bCs w:val="0"/>
          <w:color w:val="auto"/>
          <w:szCs w:val="21"/>
          <w:highlight w:val="none"/>
        </w:rPr>
        <w:t>附件1  询问函格式</w:t>
      </w:r>
      <w:bookmarkEnd w:id="245"/>
      <w:bookmarkEnd w:id="246"/>
      <w:bookmarkEnd w:id="247"/>
      <w:bookmarkEnd w:id="248"/>
    </w:p>
    <w:p w14:paraId="2739F87B">
      <w:pPr>
        <w:spacing w:before="312" w:beforeLines="100" w:after="312" w:afterLines="100"/>
        <w:jc w:val="center"/>
        <w:rPr>
          <w:rFonts w:hint="eastAsia" w:ascii="黑体" w:hAnsi="黑体" w:eastAsia="黑体" w:cs="黑体"/>
          <w:b/>
          <w:bCs/>
          <w:color w:val="auto"/>
          <w:spacing w:val="20"/>
          <w:sz w:val="28"/>
          <w:szCs w:val="28"/>
          <w:highlight w:val="none"/>
        </w:rPr>
      </w:pPr>
      <w:r>
        <w:rPr>
          <w:rFonts w:hint="eastAsia" w:ascii="黑体" w:hAnsi="黑体" w:eastAsia="黑体" w:cs="黑体"/>
          <w:b/>
          <w:bCs/>
          <w:color w:val="auto"/>
          <w:spacing w:val="20"/>
          <w:sz w:val="28"/>
          <w:szCs w:val="28"/>
          <w:highlight w:val="none"/>
        </w:rPr>
        <w:t>询问函</w:t>
      </w:r>
    </w:p>
    <w:p w14:paraId="75FE3DAE">
      <w:pPr>
        <w:widowControl/>
        <w:adjustRightInd w:val="0"/>
        <w:spacing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广东有德招标采购有限公司</w:t>
      </w:r>
      <w:r>
        <w:rPr>
          <w:rFonts w:hint="eastAsia" w:ascii="黑体" w:hAnsi="黑体" w:eastAsia="黑体" w:cs="黑体"/>
          <w:color w:val="auto"/>
          <w:szCs w:val="21"/>
          <w:highlight w:val="none"/>
        </w:rPr>
        <w:t>：</w:t>
      </w:r>
    </w:p>
    <w:p w14:paraId="3591227D">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我单位已获取采购文件并准备参与</w:t>
      </w:r>
      <w:r>
        <w:rPr>
          <w:rFonts w:hint="eastAsia" w:ascii="黑体" w:hAnsi="黑体" w:eastAsia="黑体" w:cs="黑体"/>
          <w:i/>
          <w:color w:val="auto"/>
          <w:szCs w:val="21"/>
          <w:highlight w:val="none"/>
          <w:u w:val="single"/>
        </w:rPr>
        <w:t xml:space="preserve">           </w:t>
      </w:r>
      <w:r>
        <w:rPr>
          <w:rFonts w:hint="eastAsia" w:ascii="黑体" w:hAnsi="黑体" w:eastAsia="黑体" w:cs="黑体"/>
          <w:color w:val="auto"/>
          <w:szCs w:val="21"/>
          <w:highlight w:val="none"/>
        </w:rPr>
        <w:t>项目（项目编号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）的报价活动，现有以下几个内容（或条款）存在疑问（或无法理解），特提出询问。</w:t>
      </w:r>
    </w:p>
    <w:p w14:paraId="1BE4ED01">
      <w:pPr>
        <w:widowControl/>
        <w:tabs>
          <w:tab w:val="center" w:pos="5019"/>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（事项一）</w:t>
      </w:r>
      <w:r>
        <w:rPr>
          <w:rFonts w:hint="eastAsia" w:ascii="黑体" w:hAnsi="黑体" w:eastAsia="黑体" w:cs="黑体"/>
          <w:color w:val="auto"/>
          <w:szCs w:val="21"/>
          <w:highlight w:val="none"/>
        </w:rPr>
        <w:tab/>
      </w:r>
    </w:p>
    <w:p w14:paraId="3864FFCD">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（问题或条款内容）</w:t>
      </w:r>
    </w:p>
    <w:p w14:paraId="15B63D68">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（说明疑问或无法理解原因）</w:t>
      </w:r>
    </w:p>
    <w:p w14:paraId="0B5E81C5">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（3）</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（建议）</w:t>
      </w:r>
    </w:p>
    <w:p w14:paraId="43A524E1">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（事项二）</w:t>
      </w:r>
    </w:p>
    <w:p w14:paraId="31849C10">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4763E0DD">
      <w:pPr>
        <w:widowControl/>
        <w:tabs>
          <w:tab w:val="left" w:pos="6300"/>
        </w:tabs>
        <w:adjustRightInd w:val="0"/>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随附相关证明材料如下：（目录）。</w:t>
      </w:r>
    </w:p>
    <w:p w14:paraId="5DB649F6">
      <w:pPr>
        <w:widowControl/>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询问人：（公章）</w:t>
      </w:r>
    </w:p>
    <w:p w14:paraId="35404DBE">
      <w:pPr>
        <w:widowControl/>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法定代表人（授权代表）：</w:t>
      </w:r>
    </w:p>
    <w:p w14:paraId="7EF330A9">
      <w:pPr>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地址/邮编：</w:t>
      </w:r>
    </w:p>
    <w:p w14:paraId="529EBDE7">
      <w:pPr>
        <w:tabs>
          <w:tab w:val="left" w:pos="6300"/>
        </w:tabs>
        <w:adjustRightInd w:val="0"/>
        <w:spacing w:line="360" w:lineRule="auto"/>
        <w:ind w:firstLine="1260" w:firstLineChars="600"/>
        <w:rPr>
          <w:rFonts w:hint="eastAsia" w:ascii="黑体" w:hAnsi="黑体" w:eastAsia="黑体" w:cs="黑体"/>
          <w:color w:val="auto"/>
          <w:szCs w:val="21"/>
          <w:highlight w:val="none"/>
        </w:rPr>
      </w:pPr>
      <w:r>
        <w:rPr>
          <w:rFonts w:hint="eastAsia" w:ascii="黑体" w:hAnsi="黑体" w:eastAsia="黑体" w:cs="黑体"/>
          <w:color w:val="auto"/>
          <w:szCs w:val="21"/>
          <w:highlight w:val="none"/>
        </w:rPr>
        <w:t>电话/传真：</w:t>
      </w:r>
    </w:p>
    <w:p w14:paraId="2EE82029">
      <w:pPr>
        <w:adjustRightInd w:val="0"/>
        <w:spacing w:before="312" w:beforeLines="10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p w14:paraId="1A268530">
      <w:pPr>
        <w:snapToGrid w:val="0"/>
        <w:spacing w:line="360" w:lineRule="auto"/>
        <w:ind w:firstLine="422" w:firstLineChars="201"/>
        <w:rPr>
          <w:rFonts w:hint="eastAsia" w:ascii="黑体" w:hAnsi="黑体" w:eastAsia="黑体" w:cs="黑体"/>
          <w:color w:val="auto"/>
          <w:szCs w:val="21"/>
          <w:highlight w:val="none"/>
        </w:rPr>
      </w:pPr>
    </w:p>
    <w:p w14:paraId="52D03011">
      <w:pPr>
        <w:rPr>
          <w:rFonts w:hint="eastAsia" w:ascii="黑体" w:hAnsi="黑体" w:eastAsia="黑体" w:cs="黑体"/>
          <w:color w:val="auto"/>
          <w:highlight w:val="none"/>
        </w:rPr>
      </w:pPr>
    </w:p>
    <w:p w14:paraId="17D0EDC5">
      <w:pPr>
        <w:rPr>
          <w:rFonts w:hint="eastAsia" w:ascii="黑体" w:hAnsi="黑体" w:eastAsia="黑体" w:cs="黑体"/>
          <w:color w:val="auto"/>
          <w:highlight w:val="none"/>
        </w:rPr>
      </w:pPr>
    </w:p>
    <w:p w14:paraId="453E6021">
      <w:pPr>
        <w:pageBreakBefore/>
        <w:rPr>
          <w:rFonts w:hint="eastAsia" w:ascii="黑体" w:hAnsi="黑体" w:eastAsia="黑体" w:cs="黑体"/>
          <w:color w:val="auto"/>
          <w:szCs w:val="21"/>
          <w:highlight w:val="none"/>
        </w:rPr>
      </w:pPr>
      <w:bookmarkStart w:id="249" w:name="_Toc521951134"/>
      <w:bookmarkStart w:id="250" w:name="_Toc515040754"/>
      <w:bookmarkStart w:id="251" w:name="_Toc515363626"/>
      <w:bookmarkStart w:id="252" w:name="_Toc13821081"/>
      <w:r>
        <w:rPr>
          <w:rStyle w:val="22"/>
          <w:rFonts w:hint="eastAsia" w:ascii="黑体" w:hAnsi="黑体" w:eastAsia="黑体" w:cs="黑体"/>
          <w:bCs w:val="0"/>
          <w:color w:val="auto"/>
          <w:szCs w:val="21"/>
          <w:highlight w:val="none"/>
        </w:rPr>
        <w:t>附件2  质疑函格式</w:t>
      </w:r>
      <w:bookmarkEnd w:id="249"/>
      <w:bookmarkEnd w:id="250"/>
      <w:bookmarkEnd w:id="251"/>
      <w:bookmarkEnd w:id="252"/>
    </w:p>
    <w:p w14:paraId="04FAA95C">
      <w:pPr>
        <w:spacing w:before="312" w:beforeLines="100" w:after="312" w:afterLines="100"/>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质疑函</w:t>
      </w:r>
    </w:p>
    <w:p w14:paraId="1F3FD9F5">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一、质疑供应商基本信息</w:t>
      </w:r>
    </w:p>
    <w:p w14:paraId="6F9953EF">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质疑供应商：</w:t>
      </w:r>
      <w:r>
        <w:rPr>
          <w:rFonts w:hint="eastAsia" w:ascii="黑体" w:hAnsi="黑体" w:eastAsia="黑体" w:cs="黑体"/>
          <w:color w:val="auto"/>
          <w:szCs w:val="21"/>
          <w:highlight w:val="none"/>
          <w:u w:val="single"/>
        </w:rPr>
        <w:t xml:space="preserve">                                                                  </w:t>
      </w:r>
    </w:p>
    <w:p w14:paraId="6835E00C">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地址：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p w14:paraId="75E11FAC">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p w14:paraId="5888F83A">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授权代表：</w:t>
      </w:r>
      <w:r>
        <w:rPr>
          <w:rFonts w:hint="eastAsia" w:ascii="黑体" w:hAnsi="黑体" w:eastAsia="黑体" w:cs="黑体"/>
          <w:color w:val="auto"/>
          <w:szCs w:val="21"/>
          <w:highlight w:val="none"/>
          <w:u w:val="single"/>
        </w:rPr>
        <w:t xml:space="preserve">                                                                    </w:t>
      </w:r>
    </w:p>
    <w:p w14:paraId="19A7B4E5">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p w14:paraId="51D37747">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地   址：</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p w14:paraId="3893C093">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 xml:space="preserve">二、质疑项目基本情况 </w:t>
      </w:r>
    </w:p>
    <w:p w14:paraId="174FA2D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质疑项目的名称：</w:t>
      </w:r>
      <w:r>
        <w:rPr>
          <w:rFonts w:hint="eastAsia" w:ascii="黑体" w:hAnsi="黑体" w:eastAsia="黑体" w:cs="黑体"/>
          <w:color w:val="auto"/>
          <w:szCs w:val="21"/>
          <w:highlight w:val="none"/>
          <w:u w:val="single"/>
        </w:rPr>
        <w:t xml:space="preserve">                                                              </w:t>
      </w:r>
    </w:p>
    <w:p w14:paraId="6525F67A">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质疑项目的编号：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包号：</w:t>
      </w:r>
      <w:r>
        <w:rPr>
          <w:rFonts w:hint="eastAsia" w:ascii="黑体" w:hAnsi="黑体" w:eastAsia="黑体" w:cs="黑体"/>
          <w:color w:val="auto"/>
          <w:szCs w:val="21"/>
          <w:highlight w:val="none"/>
          <w:u w:val="single"/>
        </w:rPr>
        <w:t xml:space="preserve">                                  </w:t>
      </w:r>
    </w:p>
    <w:p w14:paraId="7C6D9C41">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采购人名称：</w:t>
      </w:r>
      <w:r>
        <w:rPr>
          <w:rFonts w:hint="eastAsia" w:ascii="黑体" w:hAnsi="黑体" w:eastAsia="黑体" w:cs="黑体"/>
          <w:color w:val="auto"/>
          <w:szCs w:val="21"/>
          <w:highlight w:val="none"/>
          <w:u w:val="single"/>
        </w:rPr>
        <w:t xml:space="preserve">                                                                  </w:t>
      </w:r>
    </w:p>
    <w:p w14:paraId="14106612">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采购文件获取日期：</w:t>
      </w:r>
      <w:r>
        <w:rPr>
          <w:rFonts w:hint="eastAsia" w:ascii="黑体" w:hAnsi="黑体" w:eastAsia="黑体" w:cs="黑体"/>
          <w:color w:val="auto"/>
          <w:szCs w:val="21"/>
          <w:highlight w:val="none"/>
          <w:u w:val="single"/>
        </w:rPr>
        <w:t xml:space="preserve">                                                            </w:t>
      </w:r>
    </w:p>
    <w:p w14:paraId="54288F23">
      <w:pPr>
        <w:adjustRightInd w:val="0"/>
        <w:snapToGrid w:val="0"/>
        <w:spacing w:before="156" w:beforeLines="50"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三、质疑事项具体内容</w:t>
      </w:r>
    </w:p>
    <w:p w14:paraId="3308204F">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质疑事项1：</w:t>
      </w:r>
      <w:r>
        <w:rPr>
          <w:rFonts w:hint="eastAsia" w:ascii="黑体" w:hAnsi="黑体" w:eastAsia="黑体" w:cs="黑体"/>
          <w:color w:val="auto"/>
          <w:szCs w:val="21"/>
          <w:highlight w:val="none"/>
          <w:u w:val="single"/>
        </w:rPr>
        <w:t xml:space="preserve">                                                                   </w:t>
      </w:r>
    </w:p>
    <w:p w14:paraId="59CC546F">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事实依据：</w:t>
      </w:r>
      <w:r>
        <w:rPr>
          <w:rFonts w:hint="eastAsia" w:ascii="黑体" w:hAnsi="黑体" w:eastAsia="黑体" w:cs="黑体"/>
          <w:color w:val="auto"/>
          <w:szCs w:val="21"/>
          <w:highlight w:val="none"/>
          <w:u w:val="single"/>
        </w:rPr>
        <w:t xml:space="preserve">                                                                     </w:t>
      </w:r>
    </w:p>
    <w:p w14:paraId="0ED00915">
      <w:pPr>
        <w:adjustRightInd w:val="0"/>
        <w:snapToGri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法律依据：</w:t>
      </w:r>
      <w:r>
        <w:rPr>
          <w:rFonts w:hint="eastAsia" w:ascii="黑体" w:hAnsi="黑体" w:eastAsia="黑体" w:cs="黑体"/>
          <w:color w:val="auto"/>
          <w:szCs w:val="21"/>
          <w:highlight w:val="none"/>
          <w:u w:val="single"/>
        </w:rPr>
        <w:t xml:space="preserve">                                                                     </w:t>
      </w:r>
    </w:p>
    <w:p w14:paraId="5DF92D8A">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质疑事项2</w:t>
      </w:r>
    </w:p>
    <w:p w14:paraId="3B54E8D7">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4375548D">
      <w:pPr>
        <w:adjustRightInd w:val="0"/>
        <w:snapToGrid w:val="0"/>
        <w:spacing w:line="360" w:lineRule="auto"/>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四、与质疑事项相关的质疑请求</w:t>
      </w:r>
    </w:p>
    <w:p w14:paraId="073973E7">
      <w:pPr>
        <w:adjustRightInd w:val="0"/>
        <w:snapToGrid w:val="0"/>
        <w:spacing w:line="360" w:lineRule="auto"/>
        <w:rPr>
          <w:rFonts w:hint="eastAsia" w:ascii="黑体" w:hAnsi="黑体" w:eastAsia="黑体" w:cs="黑体"/>
          <w:color w:val="auto"/>
          <w:szCs w:val="21"/>
          <w:highlight w:val="none"/>
          <w:u w:val="dotted"/>
        </w:rPr>
      </w:pPr>
      <w:r>
        <w:rPr>
          <w:rFonts w:hint="eastAsia" w:ascii="黑体" w:hAnsi="黑体" w:eastAsia="黑体" w:cs="黑体"/>
          <w:color w:val="auto"/>
          <w:szCs w:val="21"/>
          <w:highlight w:val="none"/>
        </w:rPr>
        <w:t>请求：</w:t>
      </w:r>
      <w:r>
        <w:rPr>
          <w:rFonts w:hint="eastAsia" w:ascii="黑体" w:hAnsi="黑体" w:eastAsia="黑体" w:cs="黑体"/>
          <w:color w:val="auto"/>
          <w:szCs w:val="21"/>
          <w:highlight w:val="none"/>
          <w:u w:val="single"/>
        </w:rPr>
        <w:t xml:space="preserve">                                                                         </w:t>
      </w:r>
    </w:p>
    <w:p w14:paraId="42200DC1">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签字(签章)：                   公章：                      </w:t>
      </w:r>
    </w:p>
    <w:p w14:paraId="62BC7EBA">
      <w:p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日    期：    </w:t>
      </w:r>
    </w:p>
    <w:p w14:paraId="36C720C8">
      <w:pPr>
        <w:adjustRightInd w:val="0"/>
        <w:snapToGrid w:val="0"/>
        <w:spacing w:line="360" w:lineRule="auto"/>
        <w:rPr>
          <w:rFonts w:hint="eastAsia" w:ascii="黑体" w:hAnsi="黑体" w:eastAsia="黑体" w:cs="黑体"/>
          <w:b/>
          <w:color w:val="auto"/>
          <w:szCs w:val="21"/>
          <w:highlight w:val="none"/>
        </w:rPr>
      </w:pPr>
    </w:p>
    <w:p w14:paraId="104165E9">
      <w:pPr>
        <w:adjustRightInd w:val="0"/>
        <w:snapToGrid w:val="0"/>
        <w:spacing w:line="360" w:lineRule="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质疑函制作说明：</w:t>
      </w:r>
    </w:p>
    <w:p w14:paraId="37EF5989">
      <w:pPr>
        <w:pStyle w:val="31"/>
        <w:widowControl/>
        <w:numPr>
          <w:ilvl w:val="0"/>
          <w:numId w:val="58"/>
        </w:numPr>
        <w:adjustRightInd w:val="0"/>
        <w:snapToGrid w:val="0"/>
        <w:spacing w:line="360" w:lineRule="auto"/>
        <w:ind w:firstLineChars="0"/>
        <w:jc w:val="left"/>
        <w:rPr>
          <w:rFonts w:hint="eastAsia" w:ascii="黑体" w:hAnsi="黑体" w:eastAsia="黑体" w:cs="黑体"/>
          <w:b/>
          <w:color w:val="auto"/>
          <w:szCs w:val="21"/>
          <w:highlight w:val="none"/>
        </w:rPr>
      </w:pPr>
      <w:r>
        <w:rPr>
          <w:rFonts w:hint="eastAsia" w:ascii="黑体" w:hAnsi="黑体" w:eastAsia="黑体" w:cs="黑体"/>
          <w:color w:val="auto"/>
          <w:szCs w:val="21"/>
          <w:highlight w:val="none"/>
        </w:rPr>
        <w:t>供应商提出质疑时，应提交质疑函和必要的证明材料。</w:t>
      </w:r>
    </w:p>
    <w:p w14:paraId="744AB7F4">
      <w:pPr>
        <w:pStyle w:val="17"/>
        <w:numPr>
          <w:ilvl w:val="0"/>
          <w:numId w:val="58"/>
        </w:numPr>
        <w:snapToGrid w:val="0"/>
        <w:spacing w:before="0" w:beforeAutospacing="0" w:after="0" w:afterAutospacing="0" w:line="360" w:lineRule="auto"/>
        <w:jc w:val="both"/>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1800E03">
      <w:pPr>
        <w:pStyle w:val="17"/>
        <w:numPr>
          <w:ilvl w:val="0"/>
          <w:numId w:val="58"/>
        </w:numPr>
        <w:snapToGrid w:val="0"/>
        <w:spacing w:before="0" w:beforeAutospacing="0" w:after="0" w:afterAutospacing="0" w:line="360" w:lineRule="auto"/>
        <w:jc w:val="both"/>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质疑供应商若对项目的某一分包进行质疑，质疑函中应列明具体分包号。</w:t>
      </w:r>
    </w:p>
    <w:p w14:paraId="58A68B64">
      <w:pPr>
        <w:pStyle w:val="31"/>
        <w:widowControl/>
        <w:numPr>
          <w:ilvl w:val="0"/>
          <w:numId w:val="58"/>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质疑函的质疑事项应具体、明确，并有必要的事实依据和法律依据。</w:t>
      </w:r>
    </w:p>
    <w:p w14:paraId="083E5060">
      <w:pPr>
        <w:pStyle w:val="31"/>
        <w:widowControl/>
        <w:numPr>
          <w:ilvl w:val="0"/>
          <w:numId w:val="58"/>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质疑函的质疑请求应与质疑事项相关。</w:t>
      </w:r>
    </w:p>
    <w:p w14:paraId="599E2C92">
      <w:pPr>
        <w:pStyle w:val="31"/>
        <w:widowControl/>
        <w:numPr>
          <w:ilvl w:val="0"/>
          <w:numId w:val="58"/>
        </w:numPr>
        <w:spacing w:line="360" w:lineRule="auto"/>
        <w:ind w:firstLineChars="0"/>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质疑供应商为自然人的，质疑函应由本人签字；质疑供应商为法人或者其他组织的，质疑函应由法定代表人、主要负责人，或者其授权代表签字或者盖章，并加盖公章。</w:t>
      </w:r>
    </w:p>
    <w:p w14:paraId="2420B1A3">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253" w:name="_Toc405313956"/>
      <w:bookmarkStart w:id="254" w:name="_Toc8777"/>
      <w:bookmarkStart w:id="255" w:name="_Toc391627752"/>
      <w:bookmarkStart w:id="256" w:name="_Toc13821083"/>
      <w:r>
        <w:rPr>
          <w:rFonts w:hint="eastAsia" w:ascii="黑体" w:hAnsi="黑体" w:eastAsia="黑体" w:cs="黑体"/>
          <w:color w:val="auto"/>
          <w:spacing w:val="20"/>
          <w:sz w:val="32"/>
          <w:szCs w:val="32"/>
          <w:highlight w:val="none"/>
        </w:rPr>
        <w:t>第五部分 合同书格式</w:t>
      </w:r>
      <w:bookmarkEnd w:id="253"/>
      <w:bookmarkEnd w:id="254"/>
      <w:bookmarkEnd w:id="255"/>
      <w:bookmarkEnd w:id="256"/>
    </w:p>
    <w:p w14:paraId="154B7077">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（本格式编排在响应文件中，供响应供应商参考，报价时不需填写）</w:t>
      </w:r>
    </w:p>
    <w:p w14:paraId="0A264C31">
      <w:pPr>
        <w:spacing w:line="360" w:lineRule="auto"/>
        <w:jc w:val="center"/>
        <w:rPr>
          <w:rFonts w:hint="eastAsia" w:ascii="黑体" w:hAnsi="黑体" w:eastAsia="黑体" w:cs="黑体"/>
          <w:bCs/>
          <w:color w:val="auto"/>
          <w:szCs w:val="21"/>
          <w:highlight w:val="none"/>
        </w:rPr>
      </w:pPr>
    </w:p>
    <w:p w14:paraId="4B9C63F4">
      <w:pPr>
        <w:spacing w:line="560" w:lineRule="exact"/>
        <w:rPr>
          <w:rFonts w:hint="eastAsia" w:ascii="黑体" w:hAnsi="黑体" w:eastAsia="黑体" w:cs="黑体"/>
          <w:color w:val="auto"/>
          <w:sz w:val="28"/>
          <w:szCs w:val="28"/>
          <w:highlight w:val="none"/>
        </w:rPr>
      </w:pPr>
      <w:bookmarkStart w:id="257" w:name="_Toc391627753"/>
      <w:bookmarkStart w:id="258" w:name="_Toc13821084"/>
      <w:bookmarkStart w:id="259" w:name="_Toc405313957"/>
      <w:r>
        <w:rPr>
          <w:rFonts w:hint="eastAsia" w:ascii="黑体" w:hAnsi="黑体" w:eastAsia="黑体" w:cs="黑体"/>
          <w:b/>
          <w:color w:val="auto"/>
          <w:sz w:val="28"/>
          <w:szCs w:val="28"/>
          <w:highlight w:val="none"/>
        </w:rPr>
        <w:t>合同编号</w:t>
      </w:r>
      <w:r>
        <w:rPr>
          <w:rFonts w:hint="eastAsia" w:ascii="黑体" w:hAnsi="黑体" w:eastAsia="黑体" w:cs="黑体"/>
          <w:color w:val="auto"/>
          <w:sz w:val="28"/>
          <w:szCs w:val="28"/>
          <w:highlight w:val="none"/>
        </w:rPr>
        <w:t>：</w:t>
      </w:r>
    </w:p>
    <w:p w14:paraId="641D9DC3">
      <w:pPr>
        <w:spacing w:line="560" w:lineRule="exact"/>
        <w:rPr>
          <w:rFonts w:hint="eastAsia" w:ascii="黑体" w:hAnsi="黑体" w:eastAsia="黑体" w:cs="黑体"/>
          <w:color w:val="auto"/>
          <w:sz w:val="28"/>
          <w:szCs w:val="28"/>
          <w:highlight w:val="none"/>
        </w:rPr>
      </w:pPr>
    </w:p>
    <w:p w14:paraId="659F3CD3">
      <w:pPr>
        <w:spacing w:line="600" w:lineRule="exact"/>
        <w:jc w:val="center"/>
        <w:rPr>
          <w:rFonts w:hint="eastAsia" w:ascii="黑体" w:hAnsi="黑体" w:eastAsia="黑体" w:cs="黑体"/>
          <w:b/>
          <w:color w:val="auto"/>
          <w:sz w:val="44"/>
          <w:szCs w:val="44"/>
          <w:highlight w:val="none"/>
          <w:lang w:eastAsia="zh-CN"/>
        </w:rPr>
      </w:pPr>
      <w:r>
        <w:rPr>
          <w:rFonts w:hint="eastAsia" w:ascii="黑体" w:hAnsi="黑体" w:eastAsia="黑体" w:cs="黑体"/>
          <w:b/>
          <w:color w:val="auto"/>
          <w:sz w:val="44"/>
          <w:szCs w:val="44"/>
          <w:highlight w:val="none"/>
          <w:lang w:eastAsia="zh-CN"/>
        </w:rPr>
        <w:t>东莞理工学院松山湖校区多媒体教室常态化录播设备采购项目</w:t>
      </w:r>
    </w:p>
    <w:p w14:paraId="27B13C8B">
      <w:pPr>
        <w:spacing w:line="600" w:lineRule="exact"/>
        <w:ind w:firstLine="880"/>
        <w:jc w:val="center"/>
        <w:rPr>
          <w:rFonts w:hint="eastAsia" w:ascii="黑体" w:hAnsi="黑体" w:eastAsia="黑体" w:cs="黑体"/>
          <w:color w:val="auto"/>
          <w:sz w:val="44"/>
          <w:szCs w:val="44"/>
          <w:highlight w:val="none"/>
        </w:rPr>
      </w:pPr>
    </w:p>
    <w:p w14:paraId="28434752">
      <w:pPr>
        <w:spacing w:line="600" w:lineRule="exact"/>
        <w:ind w:firstLine="880"/>
        <w:jc w:val="center"/>
        <w:rPr>
          <w:rFonts w:hint="eastAsia" w:ascii="黑体" w:hAnsi="黑体" w:eastAsia="黑体" w:cs="黑体"/>
          <w:color w:val="auto"/>
          <w:sz w:val="44"/>
          <w:szCs w:val="44"/>
          <w:highlight w:val="none"/>
        </w:rPr>
      </w:pPr>
    </w:p>
    <w:p w14:paraId="0E48CBB2">
      <w:pPr>
        <w:spacing w:line="600" w:lineRule="exact"/>
        <w:ind w:firstLine="880"/>
        <w:jc w:val="center"/>
        <w:rPr>
          <w:rFonts w:hint="eastAsia" w:ascii="黑体" w:hAnsi="黑体" w:eastAsia="黑体" w:cs="黑体"/>
          <w:b/>
          <w:color w:val="auto"/>
          <w:sz w:val="44"/>
          <w:szCs w:val="44"/>
          <w:highlight w:val="none"/>
        </w:rPr>
      </w:pPr>
    </w:p>
    <w:p w14:paraId="6ACE3654">
      <w:pPr>
        <w:spacing w:line="600" w:lineRule="exact"/>
        <w:jc w:val="center"/>
        <w:rPr>
          <w:rFonts w:hint="eastAsia" w:ascii="黑体" w:hAnsi="黑体" w:eastAsia="黑体" w:cs="黑体"/>
          <w:b/>
          <w:color w:val="auto"/>
          <w:sz w:val="52"/>
          <w:szCs w:val="52"/>
          <w:highlight w:val="none"/>
        </w:rPr>
      </w:pPr>
      <w:r>
        <w:rPr>
          <w:rFonts w:hint="eastAsia" w:ascii="黑体" w:hAnsi="黑体" w:eastAsia="黑体" w:cs="黑体"/>
          <w:b/>
          <w:color w:val="auto"/>
          <w:sz w:val="52"/>
          <w:szCs w:val="52"/>
          <w:highlight w:val="none"/>
        </w:rPr>
        <w:t>合</w:t>
      </w:r>
    </w:p>
    <w:p w14:paraId="7249A982">
      <w:pPr>
        <w:spacing w:line="600" w:lineRule="exact"/>
        <w:ind w:firstLine="880"/>
        <w:jc w:val="center"/>
        <w:rPr>
          <w:rFonts w:hint="eastAsia" w:ascii="黑体" w:hAnsi="黑体" w:eastAsia="黑体" w:cs="黑体"/>
          <w:b/>
          <w:color w:val="auto"/>
          <w:sz w:val="44"/>
          <w:szCs w:val="44"/>
          <w:highlight w:val="none"/>
        </w:rPr>
      </w:pPr>
    </w:p>
    <w:p w14:paraId="4D2D6E28">
      <w:pPr>
        <w:spacing w:line="600" w:lineRule="exact"/>
        <w:ind w:firstLine="880"/>
        <w:jc w:val="center"/>
        <w:rPr>
          <w:rFonts w:hint="eastAsia" w:ascii="黑体" w:hAnsi="黑体" w:eastAsia="黑体" w:cs="黑体"/>
          <w:b/>
          <w:color w:val="auto"/>
          <w:sz w:val="44"/>
          <w:szCs w:val="44"/>
          <w:highlight w:val="none"/>
        </w:rPr>
      </w:pPr>
    </w:p>
    <w:p w14:paraId="4CC226D4">
      <w:pPr>
        <w:spacing w:line="600" w:lineRule="exact"/>
        <w:ind w:firstLine="880"/>
        <w:jc w:val="center"/>
        <w:rPr>
          <w:rFonts w:hint="eastAsia" w:ascii="黑体" w:hAnsi="黑体" w:eastAsia="黑体" w:cs="黑体"/>
          <w:b/>
          <w:color w:val="auto"/>
          <w:sz w:val="44"/>
          <w:szCs w:val="44"/>
          <w:highlight w:val="none"/>
        </w:rPr>
      </w:pPr>
    </w:p>
    <w:p w14:paraId="2FE6647C">
      <w:pPr>
        <w:spacing w:line="600" w:lineRule="exact"/>
        <w:jc w:val="center"/>
        <w:rPr>
          <w:rFonts w:hint="eastAsia" w:ascii="黑体" w:hAnsi="黑体" w:eastAsia="黑体" w:cs="黑体"/>
          <w:color w:val="auto"/>
          <w:sz w:val="52"/>
          <w:szCs w:val="52"/>
          <w:highlight w:val="none"/>
        </w:rPr>
      </w:pPr>
      <w:r>
        <w:rPr>
          <w:rFonts w:hint="eastAsia" w:ascii="黑体" w:hAnsi="黑体" w:eastAsia="黑体" w:cs="黑体"/>
          <w:b/>
          <w:color w:val="auto"/>
          <w:sz w:val="52"/>
          <w:szCs w:val="52"/>
          <w:highlight w:val="none"/>
        </w:rPr>
        <w:t>同</w:t>
      </w:r>
    </w:p>
    <w:p w14:paraId="4919B817">
      <w:pPr>
        <w:spacing w:line="600" w:lineRule="exact"/>
        <w:ind w:firstLine="880"/>
        <w:jc w:val="center"/>
        <w:rPr>
          <w:rFonts w:hint="eastAsia" w:ascii="黑体" w:hAnsi="黑体" w:eastAsia="黑体" w:cs="黑体"/>
          <w:color w:val="auto"/>
          <w:sz w:val="30"/>
          <w:szCs w:val="30"/>
          <w:highlight w:val="none"/>
        </w:rPr>
      </w:pPr>
    </w:p>
    <w:p w14:paraId="3199B507">
      <w:pPr>
        <w:spacing w:line="600" w:lineRule="exact"/>
        <w:ind w:firstLine="880"/>
        <w:jc w:val="center"/>
        <w:rPr>
          <w:rFonts w:hint="eastAsia" w:ascii="黑体" w:hAnsi="黑体" w:eastAsia="黑体" w:cs="黑体"/>
          <w:color w:val="auto"/>
          <w:sz w:val="30"/>
          <w:szCs w:val="30"/>
          <w:highlight w:val="none"/>
        </w:rPr>
      </w:pPr>
    </w:p>
    <w:p w14:paraId="638EDF35">
      <w:pPr>
        <w:spacing w:line="600" w:lineRule="exact"/>
        <w:rPr>
          <w:rFonts w:hint="eastAsia" w:ascii="黑体" w:hAnsi="黑体" w:eastAsia="黑体" w:cs="黑体"/>
          <w:color w:val="auto"/>
          <w:sz w:val="30"/>
          <w:szCs w:val="30"/>
          <w:highlight w:val="none"/>
        </w:rPr>
      </w:pPr>
    </w:p>
    <w:p w14:paraId="29A9AD33">
      <w:pPr>
        <w:spacing w:line="600" w:lineRule="exact"/>
        <w:rPr>
          <w:rFonts w:hint="eastAsia" w:ascii="黑体" w:hAnsi="黑体" w:eastAsia="黑体" w:cs="黑体"/>
          <w:color w:val="auto"/>
          <w:sz w:val="32"/>
          <w:szCs w:val="32"/>
          <w:highlight w:val="none"/>
          <w:u w:val="single"/>
        </w:rPr>
      </w:pPr>
      <w:r>
        <w:rPr>
          <w:rFonts w:hint="eastAsia" w:ascii="黑体" w:hAnsi="黑体" w:eastAsia="黑体" w:cs="黑体"/>
          <w:color w:val="auto"/>
          <w:sz w:val="32"/>
          <w:szCs w:val="32"/>
          <w:highlight w:val="none"/>
        </w:rPr>
        <w:t>甲    方：</w:t>
      </w:r>
      <w:r>
        <w:rPr>
          <w:rFonts w:hint="eastAsia" w:ascii="黑体" w:hAnsi="黑体" w:eastAsia="黑体" w:cs="黑体"/>
          <w:color w:val="auto"/>
          <w:sz w:val="32"/>
          <w:szCs w:val="32"/>
          <w:highlight w:val="none"/>
          <w:u w:val="single"/>
        </w:rPr>
        <w:t xml:space="preserve">            东莞理工学院                  </w:t>
      </w:r>
    </w:p>
    <w:p w14:paraId="21F50E16">
      <w:pPr>
        <w:spacing w:line="600" w:lineRule="exact"/>
        <w:rPr>
          <w:rFonts w:hint="eastAsia" w:ascii="黑体" w:hAnsi="黑体" w:eastAsia="黑体" w:cs="黑体"/>
          <w:color w:val="auto"/>
          <w:sz w:val="32"/>
          <w:szCs w:val="32"/>
          <w:highlight w:val="none"/>
        </w:rPr>
      </w:pPr>
    </w:p>
    <w:p w14:paraId="4504C384">
      <w:pPr>
        <w:spacing w:line="600" w:lineRule="exact"/>
        <w:rPr>
          <w:rFonts w:hint="eastAsia" w:ascii="黑体" w:hAnsi="黑体" w:eastAsia="黑体" w:cs="黑体"/>
          <w:b/>
          <w:color w:val="auto"/>
          <w:sz w:val="32"/>
          <w:szCs w:val="32"/>
          <w:highlight w:val="none"/>
        </w:rPr>
      </w:pPr>
      <w:r>
        <w:rPr>
          <w:rFonts w:hint="eastAsia" w:ascii="黑体" w:hAnsi="黑体" w:eastAsia="黑体" w:cs="黑体"/>
          <w:color w:val="auto"/>
          <w:sz w:val="32"/>
          <w:szCs w:val="32"/>
          <w:highlight w:val="none"/>
        </w:rPr>
        <w:t>乙    方：</w:t>
      </w:r>
      <w:r>
        <w:rPr>
          <w:rFonts w:hint="eastAsia" w:ascii="黑体" w:hAnsi="黑体" w:eastAsia="黑体" w:cs="黑体"/>
          <w:color w:val="auto"/>
          <w:sz w:val="32"/>
          <w:szCs w:val="32"/>
          <w:highlight w:val="none"/>
          <w:u w:val="single"/>
        </w:rPr>
        <w:t xml:space="preserve">             </w:t>
      </w:r>
      <w:r>
        <w:rPr>
          <w:rFonts w:hint="eastAsia" w:ascii="黑体" w:hAnsi="黑体" w:eastAsia="黑体" w:cs="黑体"/>
          <w:color w:val="auto"/>
          <w:sz w:val="28"/>
          <w:szCs w:val="28"/>
          <w:highlight w:val="none"/>
          <w:u w:val="single"/>
        </w:rPr>
        <w:t>XXX</w:t>
      </w:r>
      <w:r>
        <w:rPr>
          <w:rFonts w:hint="eastAsia" w:ascii="黑体" w:hAnsi="黑体" w:eastAsia="黑体" w:cs="黑体"/>
          <w:color w:val="auto"/>
          <w:sz w:val="32"/>
          <w:szCs w:val="32"/>
          <w:highlight w:val="none"/>
          <w:u w:val="single"/>
        </w:rPr>
        <w:t xml:space="preserve">                             </w:t>
      </w:r>
    </w:p>
    <w:p w14:paraId="01A3BD6D">
      <w:pPr>
        <w:widowControl/>
        <w:jc w:val="center"/>
        <w:rPr>
          <w:rFonts w:hint="eastAsia" w:ascii="黑体" w:hAnsi="黑体" w:eastAsia="黑体" w:cs="黑体"/>
          <w:color w:val="auto"/>
          <w:sz w:val="28"/>
          <w:szCs w:val="28"/>
          <w:highlight w:val="none"/>
          <w:u w:val="single"/>
        </w:rPr>
      </w:pPr>
      <w:r>
        <w:rPr>
          <w:rFonts w:hint="eastAsia" w:ascii="黑体" w:hAnsi="黑体" w:eastAsia="黑体" w:cs="黑体"/>
          <w:color w:val="auto"/>
          <w:sz w:val="44"/>
          <w:szCs w:val="44"/>
          <w:highlight w:val="none"/>
        </w:rPr>
        <w:t xml:space="preserve">□ </w:t>
      </w:r>
      <w:r>
        <w:rPr>
          <w:rFonts w:hint="eastAsia" w:ascii="黑体" w:hAnsi="黑体" w:eastAsia="黑体" w:cs="黑体"/>
          <w:color w:val="auto"/>
          <w:sz w:val="28"/>
          <w:szCs w:val="28"/>
          <w:highlight w:val="none"/>
        </w:rPr>
        <w:t>本合同为中小企业预留合同</w:t>
      </w:r>
    </w:p>
    <w:p w14:paraId="01D83CD3">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8"/>
          <w:szCs w:val="28"/>
          <w:highlight w:val="none"/>
        </w:rPr>
        <w:br w:type="page"/>
      </w:r>
      <w:r>
        <w:rPr>
          <w:rFonts w:hint="eastAsia" w:ascii="黑体" w:hAnsi="黑体" w:eastAsia="黑体" w:cs="黑体"/>
          <w:color w:val="auto"/>
          <w:sz w:val="21"/>
          <w:szCs w:val="21"/>
          <w:highlight w:val="none"/>
        </w:rPr>
        <w:t>甲方(采购人)：</w:t>
      </w:r>
      <w:r>
        <w:rPr>
          <w:rFonts w:hint="eastAsia" w:ascii="黑体" w:hAnsi="黑体" w:eastAsia="黑体" w:cs="黑体"/>
          <w:color w:val="auto"/>
          <w:sz w:val="21"/>
          <w:szCs w:val="21"/>
          <w:highlight w:val="none"/>
          <w:u w:val="single"/>
        </w:rPr>
        <w:t>东莞理工学院</w:t>
      </w:r>
    </w:p>
    <w:p w14:paraId="0021839C">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法定代表人：</w:t>
      </w:r>
      <w:r>
        <w:rPr>
          <w:rFonts w:hint="eastAsia" w:ascii="黑体" w:hAnsi="黑体" w:eastAsia="黑体" w:cs="黑体"/>
          <w:color w:val="auto"/>
          <w:sz w:val="21"/>
          <w:szCs w:val="21"/>
          <w:highlight w:val="none"/>
          <w:u w:val="single"/>
        </w:rPr>
        <w:t>马宏伟</w:t>
      </w:r>
      <w:r>
        <w:rPr>
          <w:rFonts w:hint="eastAsia" w:ascii="黑体" w:hAnsi="黑体" w:eastAsia="黑体" w:cs="黑体"/>
          <w:color w:val="auto"/>
          <w:sz w:val="21"/>
          <w:szCs w:val="21"/>
          <w:highlight w:val="none"/>
        </w:rPr>
        <w:t xml:space="preserve">    </w:t>
      </w:r>
    </w:p>
    <w:p w14:paraId="00BFD3B0">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统一社会信用代码 ：</w:t>
      </w:r>
      <w:r>
        <w:rPr>
          <w:rFonts w:hint="eastAsia" w:ascii="黑体" w:hAnsi="黑体" w:eastAsia="黑体" w:cs="黑体"/>
          <w:color w:val="auto"/>
          <w:sz w:val="21"/>
          <w:szCs w:val="21"/>
          <w:highlight w:val="none"/>
          <w:u w:val="single"/>
        </w:rPr>
        <w:t>124419004572320124</w:t>
      </w:r>
    </w:p>
    <w:p w14:paraId="0B8FD8C4">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地址：</w:t>
      </w:r>
      <w:r>
        <w:rPr>
          <w:rFonts w:hint="eastAsia" w:ascii="黑体" w:hAnsi="黑体" w:eastAsia="黑体" w:cs="黑体"/>
          <w:color w:val="auto"/>
          <w:sz w:val="21"/>
          <w:szCs w:val="21"/>
          <w:highlight w:val="none"/>
          <w:u w:val="single"/>
        </w:rPr>
        <w:t>东莞市松山湖科技产业园区大学路1号</w:t>
      </w:r>
    </w:p>
    <w:p w14:paraId="13A1E416">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联系电话：</w:t>
      </w:r>
      <w:r>
        <w:rPr>
          <w:rFonts w:hint="eastAsia" w:ascii="黑体" w:hAnsi="黑体" w:eastAsia="黑体" w:cs="黑体"/>
          <w:color w:val="auto"/>
          <w:sz w:val="21"/>
          <w:szCs w:val="21"/>
          <w:highlight w:val="none"/>
          <w:u w:val="single"/>
        </w:rPr>
        <w:t xml:space="preserve">0769-22861688 </w:t>
      </w:r>
      <w:r>
        <w:rPr>
          <w:rFonts w:hint="eastAsia" w:ascii="黑体" w:hAnsi="黑体" w:eastAsia="黑体" w:cs="黑体"/>
          <w:color w:val="auto"/>
          <w:sz w:val="21"/>
          <w:szCs w:val="21"/>
          <w:highlight w:val="none"/>
        </w:rPr>
        <w:t xml:space="preserve">  </w:t>
      </w:r>
    </w:p>
    <w:p w14:paraId="4125E6C3">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p>
    <w:p w14:paraId="44CA5332">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乙方(中标供应商)：</w:t>
      </w:r>
      <w:r>
        <w:rPr>
          <w:rFonts w:hint="eastAsia" w:ascii="黑体" w:hAnsi="黑体" w:eastAsia="黑体" w:cs="黑体"/>
          <w:color w:val="auto"/>
          <w:sz w:val="21"/>
          <w:szCs w:val="21"/>
          <w:highlight w:val="none"/>
          <w:u w:val="single"/>
        </w:rPr>
        <w:t xml:space="preserve">  XXX  </w:t>
      </w:r>
    </w:p>
    <w:p w14:paraId="02293A64">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法定代表人：</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 </w:t>
      </w:r>
    </w:p>
    <w:p w14:paraId="1C9A3B57">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统一社会信用代码 ：</w:t>
      </w:r>
      <w:r>
        <w:rPr>
          <w:rFonts w:hint="eastAsia" w:ascii="黑体" w:hAnsi="黑体" w:eastAsia="黑体" w:cs="黑体"/>
          <w:color w:val="auto"/>
          <w:sz w:val="21"/>
          <w:szCs w:val="21"/>
          <w:highlight w:val="none"/>
          <w:u w:val="single"/>
        </w:rPr>
        <w:t xml:space="preserve">  XXX </w:t>
      </w:r>
    </w:p>
    <w:p w14:paraId="3D4007EF">
      <w:pPr>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地址：</w:t>
      </w:r>
      <w:r>
        <w:rPr>
          <w:rFonts w:hint="eastAsia" w:ascii="黑体" w:hAnsi="黑体" w:eastAsia="黑体" w:cs="黑体"/>
          <w:color w:val="auto"/>
          <w:sz w:val="21"/>
          <w:szCs w:val="21"/>
          <w:highlight w:val="none"/>
          <w:u w:val="single"/>
        </w:rPr>
        <w:t xml:space="preserve"> XXX </w:t>
      </w:r>
    </w:p>
    <w:p w14:paraId="745BDAF7">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联系电话：</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 传真：</w:t>
      </w:r>
      <w:r>
        <w:rPr>
          <w:rFonts w:hint="eastAsia" w:ascii="黑体" w:hAnsi="黑体" w:eastAsia="黑体" w:cs="黑体"/>
          <w:color w:val="auto"/>
          <w:sz w:val="21"/>
          <w:szCs w:val="21"/>
          <w:highlight w:val="none"/>
          <w:u w:val="single"/>
        </w:rPr>
        <w:t xml:space="preserve">  XXX </w:t>
      </w:r>
    </w:p>
    <w:p w14:paraId="0953C82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color w:val="auto"/>
          <w:sz w:val="21"/>
          <w:szCs w:val="21"/>
          <w:highlight w:val="none"/>
        </w:rPr>
      </w:pPr>
    </w:p>
    <w:p w14:paraId="3A7B6AF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依据</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年</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月</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日开展的东莞理工学院松山湖校区多媒体教室常态化录播设备采购项目（</w:t>
      </w:r>
      <w:r>
        <w:rPr>
          <w:rFonts w:hint="eastAsia" w:ascii="黑体" w:hAnsi="黑体" w:eastAsia="黑体" w:cs="黑体"/>
          <w:color w:val="auto"/>
          <w:sz w:val="21"/>
          <w:szCs w:val="21"/>
          <w:highlight w:val="none"/>
          <w:lang w:eastAsia="zh-CN"/>
        </w:rPr>
        <w:t>项目编号</w:t>
      </w:r>
      <w:r>
        <w:rPr>
          <w:rFonts w:hint="eastAsia" w:ascii="黑体" w:hAnsi="黑体" w:eastAsia="黑体" w:cs="黑体"/>
          <w:color w:val="auto"/>
          <w:sz w:val="21"/>
          <w:szCs w:val="21"/>
          <w:highlight w:val="none"/>
        </w:rPr>
        <w:t>：DGUT-CG-2025-046）的公开招标结果及相关文件的要求、《中华人民共和国民法典》及相关法律、法规的规定，为明确甲乙双方之权利义务，经甲乙双方协商一致，就甲方向乙方订购东莞理工学院松山湖校区多媒体教室常态化录播设备及服务事宜，签订本合同，以兹共同遵守：</w:t>
      </w:r>
    </w:p>
    <w:p w14:paraId="2E439EC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一、合同项目</w:t>
      </w:r>
    </w:p>
    <w:p w14:paraId="50FB5E7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1.乙方承担在投标书所列的设备的供应、安装、调试责任。</w:t>
      </w:r>
    </w:p>
    <w:p w14:paraId="32CF480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2.乙方完成在投标书中所列的设备、服务的全部承诺并通过甲方验收。</w:t>
      </w:r>
    </w:p>
    <w:p w14:paraId="53C7FB61">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0" w:name="_Toc86481558"/>
      <w:bookmarkStart w:id="261" w:name="_Toc86481557"/>
      <w:r>
        <w:rPr>
          <w:rFonts w:hint="eastAsia" w:ascii="黑体" w:hAnsi="黑体" w:eastAsia="黑体" w:cs="黑体"/>
          <w:color w:val="auto"/>
          <w:sz w:val="21"/>
          <w:szCs w:val="21"/>
          <w:highlight w:val="none"/>
        </w:rPr>
        <w:t>二、</w:t>
      </w:r>
      <w:bookmarkEnd w:id="260"/>
      <w:r>
        <w:rPr>
          <w:rFonts w:hint="eastAsia" w:ascii="黑体" w:hAnsi="黑体" w:eastAsia="黑体" w:cs="黑体"/>
          <w:color w:val="auto"/>
          <w:sz w:val="21"/>
          <w:szCs w:val="21"/>
          <w:highlight w:val="none"/>
        </w:rPr>
        <w:t>合同金额</w:t>
      </w:r>
    </w:p>
    <w:p w14:paraId="3E51C802">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1.合同总价：（人民币）大写</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元整（¥ </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w:t>
      </w:r>
    </w:p>
    <w:p w14:paraId="51145E6D">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2.本合同总价包括了设备及所需附件、包装、运费、安装调试、保险、税费、资料、质保期内维护、保养、维修、更换及合同实施过程中的不可预见费用等的全部费用。甲方无需再向乙方支付任何其他费用。</w:t>
      </w:r>
    </w:p>
    <w:p w14:paraId="5C717AAD">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3.本合同价为固定不变价。</w:t>
      </w:r>
    </w:p>
    <w:p w14:paraId="74606B84">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三、货物名称、品牌、型号、制造商、数量</w:t>
      </w:r>
      <w:bookmarkEnd w:id="261"/>
      <w:r>
        <w:rPr>
          <w:rFonts w:hint="eastAsia" w:ascii="黑体" w:hAnsi="黑体" w:eastAsia="黑体" w:cs="黑体"/>
          <w:color w:val="auto"/>
          <w:sz w:val="21"/>
          <w:szCs w:val="21"/>
          <w:highlight w:val="none"/>
        </w:rPr>
        <w:t>、价格等</w:t>
      </w:r>
    </w:p>
    <w:p w14:paraId="15C8A7B9">
      <w:pPr>
        <w:keepNext w:val="0"/>
        <w:keepLines w:val="0"/>
        <w:pageBreakBefore w:val="0"/>
        <w:kinsoku/>
        <w:wordWrap/>
        <w:overflowPunct/>
        <w:topLinePunct w:val="0"/>
        <w:autoSpaceDE/>
        <w:autoSpaceDN/>
        <w:bidi w:val="0"/>
        <w:adjustRightInd/>
        <w:snapToGrid/>
        <w:spacing w:line="360" w:lineRule="auto"/>
        <w:ind w:firstLine="2205" w:firstLineChars="1050"/>
        <w:jc w:val="righ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单位：元/(人民币) </w:t>
      </w:r>
    </w:p>
    <w:tbl>
      <w:tblPr>
        <w:tblStyle w:val="19"/>
        <w:tblW w:w="0" w:type="auto"/>
        <w:tblInd w:w="0" w:type="dxa"/>
        <w:tblLayout w:type="fixed"/>
        <w:tblCellMar>
          <w:top w:w="0" w:type="dxa"/>
          <w:left w:w="108" w:type="dxa"/>
          <w:bottom w:w="0" w:type="dxa"/>
          <w:right w:w="108" w:type="dxa"/>
        </w:tblCellMar>
      </w:tblPr>
      <w:tblGrid>
        <w:gridCol w:w="636"/>
        <w:gridCol w:w="1173"/>
        <w:gridCol w:w="1418"/>
        <w:gridCol w:w="1417"/>
        <w:gridCol w:w="567"/>
        <w:gridCol w:w="567"/>
        <w:gridCol w:w="851"/>
        <w:gridCol w:w="992"/>
        <w:gridCol w:w="851"/>
      </w:tblGrid>
      <w:tr w14:paraId="2C2A0B03">
        <w:tblPrEx>
          <w:tblCellMar>
            <w:top w:w="0" w:type="dxa"/>
            <w:left w:w="108" w:type="dxa"/>
            <w:bottom w:w="0" w:type="dxa"/>
            <w:right w:w="108" w:type="dxa"/>
          </w:tblCellMar>
        </w:tblPrEx>
        <w:trPr>
          <w:trHeight w:val="890" w:hRule="atLeast"/>
        </w:trPr>
        <w:tc>
          <w:tcPr>
            <w:tcW w:w="636" w:type="dxa"/>
            <w:tcBorders>
              <w:top w:val="single" w:color="auto" w:sz="8" w:space="0"/>
              <w:left w:val="single" w:color="auto" w:sz="8" w:space="0"/>
              <w:bottom w:val="single" w:color="auto" w:sz="6" w:space="0"/>
              <w:right w:val="single" w:color="auto" w:sz="6" w:space="0"/>
            </w:tcBorders>
            <w:noWrap w:val="0"/>
            <w:vAlign w:val="center"/>
          </w:tcPr>
          <w:p w14:paraId="5A775240">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序号</w:t>
            </w:r>
          </w:p>
        </w:tc>
        <w:tc>
          <w:tcPr>
            <w:tcW w:w="1173" w:type="dxa"/>
            <w:tcBorders>
              <w:top w:val="single" w:color="auto" w:sz="8" w:space="0"/>
              <w:left w:val="nil"/>
              <w:bottom w:val="single" w:color="auto" w:sz="6" w:space="0"/>
              <w:right w:val="single" w:color="auto" w:sz="4" w:space="0"/>
            </w:tcBorders>
            <w:noWrap w:val="0"/>
            <w:vAlign w:val="center"/>
          </w:tcPr>
          <w:p w14:paraId="0DA4A6AE">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货物</w:t>
            </w:r>
          </w:p>
          <w:p w14:paraId="5E6E3C23">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名称</w:t>
            </w:r>
          </w:p>
        </w:tc>
        <w:tc>
          <w:tcPr>
            <w:tcW w:w="1418" w:type="dxa"/>
            <w:tcBorders>
              <w:top w:val="single" w:color="auto" w:sz="8" w:space="0"/>
              <w:left w:val="nil"/>
              <w:bottom w:val="single" w:color="auto" w:sz="6" w:space="0"/>
              <w:right w:val="single" w:color="auto" w:sz="6" w:space="0"/>
            </w:tcBorders>
            <w:noWrap w:val="0"/>
            <w:vAlign w:val="center"/>
          </w:tcPr>
          <w:p w14:paraId="78D15C01">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品牌</w:t>
            </w:r>
          </w:p>
          <w:p w14:paraId="29C2AF1D">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型号</w:t>
            </w:r>
          </w:p>
        </w:tc>
        <w:tc>
          <w:tcPr>
            <w:tcW w:w="1417" w:type="dxa"/>
            <w:tcBorders>
              <w:top w:val="single" w:color="auto" w:sz="8" w:space="0"/>
              <w:left w:val="nil"/>
              <w:bottom w:val="single" w:color="auto" w:sz="6" w:space="0"/>
              <w:right w:val="single" w:color="auto" w:sz="6" w:space="0"/>
            </w:tcBorders>
            <w:noWrap w:val="0"/>
            <w:vAlign w:val="center"/>
          </w:tcPr>
          <w:p w14:paraId="7451F6A9">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厂商及产地</w:t>
            </w:r>
          </w:p>
        </w:tc>
        <w:tc>
          <w:tcPr>
            <w:tcW w:w="567" w:type="dxa"/>
            <w:tcBorders>
              <w:top w:val="single" w:color="auto" w:sz="8" w:space="0"/>
              <w:left w:val="nil"/>
              <w:bottom w:val="single" w:color="auto" w:sz="6" w:space="0"/>
              <w:right w:val="single" w:color="auto" w:sz="6" w:space="0"/>
            </w:tcBorders>
            <w:noWrap w:val="0"/>
            <w:vAlign w:val="center"/>
          </w:tcPr>
          <w:p w14:paraId="7114EBF9">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数量</w:t>
            </w:r>
          </w:p>
        </w:tc>
        <w:tc>
          <w:tcPr>
            <w:tcW w:w="567" w:type="dxa"/>
            <w:tcBorders>
              <w:top w:val="single" w:color="auto" w:sz="8" w:space="0"/>
              <w:left w:val="nil"/>
              <w:bottom w:val="single" w:color="auto" w:sz="6" w:space="0"/>
              <w:right w:val="single" w:color="auto" w:sz="6" w:space="0"/>
            </w:tcBorders>
            <w:noWrap w:val="0"/>
            <w:vAlign w:val="center"/>
          </w:tcPr>
          <w:p w14:paraId="3EF2354E">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单位</w:t>
            </w:r>
          </w:p>
        </w:tc>
        <w:tc>
          <w:tcPr>
            <w:tcW w:w="851" w:type="dxa"/>
            <w:tcBorders>
              <w:top w:val="single" w:color="auto" w:sz="8" w:space="0"/>
              <w:left w:val="nil"/>
              <w:bottom w:val="single" w:color="auto" w:sz="6" w:space="0"/>
              <w:right w:val="single" w:color="auto" w:sz="4" w:space="0"/>
            </w:tcBorders>
            <w:noWrap w:val="0"/>
            <w:vAlign w:val="center"/>
          </w:tcPr>
          <w:p w14:paraId="0D13F72A">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单价</w:t>
            </w:r>
          </w:p>
        </w:tc>
        <w:tc>
          <w:tcPr>
            <w:tcW w:w="992" w:type="dxa"/>
            <w:tcBorders>
              <w:top w:val="single" w:color="auto" w:sz="8" w:space="0"/>
              <w:left w:val="nil"/>
              <w:bottom w:val="single" w:color="auto" w:sz="6" w:space="0"/>
              <w:right w:val="single" w:color="auto" w:sz="8" w:space="0"/>
            </w:tcBorders>
            <w:noWrap w:val="0"/>
            <w:vAlign w:val="center"/>
          </w:tcPr>
          <w:p w14:paraId="001B1D05">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分项</w:t>
            </w:r>
          </w:p>
          <w:p w14:paraId="4749C70A">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总价</w:t>
            </w:r>
          </w:p>
        </w:tc>
        <w:tc>
          <w:tcPr>
            <w:tcW w:w="851" w:type="dxa"/>
            <w:tcBorders>
              <w:top w:val="single" w:color="auto" w:sz="8" w:space="0"/>
              <w:left w:val="nil"/>
              <w:bottom w:val="single" w:color="auto" w:sz="6" w:space="0"/>
              <w:right w:val="single" w:color="auto" w:sz="8" w:space="0"/>
            </w:tcBorders>
            <w:noWrap w:val="0"/>
            <w:vAlign w:val="top"/>
          </w:tcPr>
          <w:p w14:paraId="4A902AD3">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备注</w:t>
            </w:r>
          </w:p>
        </w:tc>
      </w:tr>
      <w:tr w14:paraId="22298429">
        <w:tblPrEx>
          <w:tblCellMar>
            <w:top w:w="0" w:type="dxa"/>
            <w:left w:w="108" w:type="dxa"/>
            <w:bottom w:w="0" w:type="dxa"/>
            <w:right w:w="108" w:type="dxa"/>
          </w:tblCellMar>
        </w:tblPrEx>
        <w:trPr>
          <w:trHeight w:val="604" w:hRule="atLeast"/>
        </w:trPr>
        <w:tc>
          <w:tcPr>
            <w:tcW w:w="636" w:type="dxa"/>
            <w:tcBorders>
              <w:top w:val="single" w:color="auto" w:sz="6" w:space="0"/>
              <w:left w:val="single" w:color="auto" w:sz="8" w:space="0"/>
              <w:bottom w:val="single" w:color="auto" w:sz="6" w:space="0"/>
              <w:right w:val="single" w:color="auto" w:sz="6" w:space="0"/>
            </w:tcBorders>
            <w:noWrap w:val="0"/>
            <w:vAlign w:val="center"/>
          </w:tcPr>
          <w:p w14:paraId="01FAA74C">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w:t>
            </w:r>
          </w:p>
        </w:tc>
        <w:tc>
          <w:tcPr>
            <w:tcW w:w="1173" w:type="dxa"/>
            <w:tcBorders>
              <w:top w:val="single" w:color="auto" w:sz="6" w:space="0"/>
              <w:left w:val="nil"/>
              <w:bottom w:val="single" w:color="auto" w:sz="6" w:space="0"/>
              <w:right w:val="single" w:color="auto" w:sz="4" w:space="0"/>
            </w:tcBorders>
            <w:noWrap w:val="0"/>
            <w:vAlign w:val="center"/>
          </w:tcPr>
          <w:p w14:paraId="49967908">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u w:val="single"/>
              </w:rPr>
              <w:t>XXX</w:t>
            </w:r>
          </w:p>
        </w:tc>
        <w:tc>
          <w:tcPr>
            <w:tcW w:w="1418" w:type="dxa"/>
            <w:tcBorders>
              <w:top w:val="single" w:color="auto" w:sz="6" w:space="0"/>
              <w:left w:val="nil"/>
              <w:bottom w:val="single" w:color="auto" w:sz="6" w:space="0"/>
              <w:right w:val="single" w:color="auto" w:sz="6" w:space="0"/>
            </w:tcBorders>
            <w:noWrap w:val="0"/>
            <w:vAlign w:val="center"/>
          </w:tcPr>
          <w:p w14:paraId="7102BCE1">
            <w:pPr>
              <w:pStyle w:val="17"/>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品牌：</w:t>
            </w:r>
          </w:p>
          <w:p w14:paraId="2F30AF83">
            <w:pPr>
              <w:pStyle w:val="17"/>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型号：</w:t>
            </w:r>
          </w:p>
        </w:tc>
        <w:tc>
          <w:tcPr>
            <w:tcW w:w="1417" w:type="dxa"/>
            <w:tcBorders>
              <w:top w:val="single" w:color="auto" w:sz="6" w:space="0"/>
              <w:left w:val="nil"/>
              <w:bottom w:val="single" w:color="auto" w:sz="6" w:space="0"/>
              <w:right w:val="single" w:color="auto" w:sz="6" w:space="0"/>
            </w:tcBorders>
            <w:noWrap w:val="0"/>
            <w:vAlign w:val="center"/>
          </w:tcPr>
          <w:p w14:paraId="79D2BAEA">
            <w:pPr>
              <w:pStyle w:val="17"/>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厂商：</w:t>
            </w:r>
          </w:p>
          <w:p w14:paraId="1897E52D">
            <w:pPr>
              <w:pStyle w:val="17"/>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产地：</w:t>
            </w:r>
          </w:p>
        </w:tc>
        <w:tc>
          <w:tcPr>
            <w:tcW w:w="567" w:type="dxa"/>
            <w:tcBorders>
              <w:top w:val="single" w:color="auto" w:sz="6" w:space="0"/>
              <w:left w:val="nil"/>
              <w:bottom w:val="single" w:color="auto" w:sz="6" w:space="0"/>
              <w:right w:val="single" w:color="auto" w:sz="6" w:space="0"/>
            </w:tcBorders>
            <w:noWrap w:val="0"/>
            <w:vAlign w:val="center"/>
          </w:tcPr>
          <w:p w14:paraId="06CFAE56">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567" w:type="dxa"/>
            <w:tcBorders>
              <w:top w:val="single" w:color="auto" w:sz="6" w:space="0"/>
              <w:left w:val="nil"/>
              <w:bottom w:val="single" w:color="auto" w:sz="6" w:space="0"/>
              <w:right w:val="single" w:color="auto" w:sz="6" w:space="0"/>
            </w:tcBorders>
            <w:noWrap w:val="0"/>
            <w:vAlign w:val="center"/>
          </w:tcPr>
          <w:p w14:paraId="16B98B7D">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851" w:type="dxa"/>
            <w:tcBorders>
              <w:top w:val="single" w:color="auto" w:sz="6" w:space="0"/>
              <w:left w:val="nil"/>
              <w:bottom w:val="single" w:color="auto" w:sz="6" w:space="0"/>
              <w:right w:val="single" w:color="auto" w:sz="4" w:space="0"/>
            </w:tcBorders>
            <w:noWrap w:val="0"/>
            <w:vAlign w:val="center"/>
          </w:tcPr>
          <w:p w14:paraId="1CFF1CF6">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992" w:type="dxa"/>
            <w:tcBorders>
              <w:top w:val="single" w:color="auto" w:sz="6" w:space="0"/>
              <w:left w:val="nil"/>
              <w:bottom w:val="single" w:color="auto" w:sz="6" w:space="0"/>
              <w:right w:val="single" w:color="auto" w:sz="8" w:space="0"/>
            </w:tcBorders>
            <w:noWrap w:val="0"/>
            <w:vAlign w:val="center"/>
          </w:tcPr>
          <w:p w14:paraId="6657D239">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851" w:type="dxa"/>
            <w:tcBorders>
              <w:top w:val="single" w:color="auto" w:sz="6" w:space="0"/>
              <w:left w:val="nil"/>
              <w:bottom w:val="single" w:color="auto" w:sz="6" w:space="0"/>
              <w:right w:val="single" w:color="auto" w:sz="8" w:space="0"/>
            </w:tcBorders>
            <w:noWrap w:val="0"/>
            <w:vAlign w:val="top"/>
          </w:tcPr>
          <w:p w14:paraId="255FD727">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r>
      <w:tr w14:paraId="42B962F1">
        <w:tblPrEx>
          <w:tblCellMar>
            <w:top w:w="0" w:type="dxa"/>
            <w:left w:w="108" w:type="dxa"/>
            <w:bottom w:w="0" w:type="dxa"/>
            <w:right w:w="108" w:type="dxa"/>
          </w:tblCellMar>
        </w:tblPrEx>
        <w:trPr>
          <w:trHeight w:val="604" w:hRule="atLeast"/>
        </w:trPr>
        <w:tc>
          <w:tcPr>
            <w:tcW w:w="636" w:type="dxa"/>
            <w:tcBorders>
              <w:top w:val="single" w:color="auto" w:sz="6" w:space="0"/>
              <w:left w:val="single" w:color="auto" w:sz="8" w:space="0"/>
              <w:bottom w:val="single" w:color="auto" w:sz="6" w:space="0"/>
              <w:right w:val="single" w:color="auto" w:sz="6" w:space="0"/>
            </w:tcBorders>
            <w:noWrap w:val="0"/>
            <w:vAlign w:val="center"/>
          </w:tcPr>
          <w:p w14:paraId="484F2A82">
            <w:pPr>
              <w:pStyle w:val="17"/>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w:t>
            </w:r>
          </w:p>
        </w:tc>
        <w:tc>
          <w:tcPr>
            <w:tcW w:w="1173" w:type="dxa"/>
            <w:tcBorders>
              <w:top w:val="single" w:color="auto" w:sz="6" w:space="0"/>
              <w:left w:val="nil"/>
              <w:bottom w:val="single" w:color="auto" w:sz="6" w:space="0"/>
              <w:right w:val="single" w:color="auto" w:sz="4" w:space="0"/>
            </w:tcBorders>
            <w:noWrap w:val="0"/>
            <w:vAlign w:val="center"/>
          </w:tcPr>
          <w:p w14:paraId="55D01847">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1418" w:type="dxa"/>
            <w:tcBorders>
              <w:top w:val="single" w:color="auto" w:sz="6" w:space="0"/>
              <w:left w:val="nil"/>
              <w:bottom w:val="single" w:color="auto" w:sz="6" w:space="0"/>
              <w:right w:val="single" w:color="auto" w:sz="6" w:space="0"/>
            </w:tcBorders>
            <w:noWrap w:val="0"/>
            <w:vAlign w:val="center"/>
          </w:tcPr>
          <w:p w14:paraId="0A0BCAE4">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1417" w:type="dxa"/>
            <w:tcBorders>
              <w:top w:val="single" w:color="auto" w:sz="6" w:space="0"/>
              <w:left w:val="nil"/>
              <w:bottom w:val="single" w:color="auto" w:sz="6" w:space="0"/>
              <w:right w:val="single" w:color="auto" w:sz="6" w:space="0"/>
            </w:tcBorders>
            <w:noWrap w:val="0"/>
            <w:vAlign w:val="center"/>
          </w:tcPr>
          <w:p w14:paraId="322B5066">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567" w:type="dxa"/>
            <w:tcBorders>
              <w:top w:val="single" w:color="auto" w:sz="6" w:space="0"/>
              <w:left w:val="nil"/>
              <w:bottom w:val="single" w:color="auto" w:sz="6" w:space="0"/>
              <w:right w:val="single" w:color="auto" w:sz="6" w:space="0"/>
            </w:tcBorders>
            <w:noWrap w:val="0"/>
            <w:vAlign w:val="center"/>
          </w:tcPr>
          <w:p w14:paraId="4F34F5B9">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567" w:type="dxa"/>
            <w:tcBorders>
              <w:top w:val="single" w:color="auto" w:sz="6" w:space="0"/>
              <w:left w:val="nil"/>
              <w:bottom w:val="single" w:color="auto" w:sz="6" w:space="0"/>
              <w:right w:val="single" w:color="auto" w:sz="6" w:space="0"/>
            </w:tcBorders>
            <w:noWrap w:val="0"/>
            <w:vAlign w:val="center"/>
          </w:tcPr>
          <w:p w14:paraId="380B5B39">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851" w:type="dxa"/>
            <w:tcBorders>
              <w:top w:val="single" w:color="auto" w:sz="6" w:space="0"/>
              <w:left w:val="nil"/>
              <w:bottom w:val="single" w:color="auto" w:sz="6" w:space="0"/>
              <w:right w:val="single" w:color="auto" w:sz="4" w:space="0"/>
            </w:tcBorders>
            <w:noWrap w:val="0"/>
            <w:vAlign w:val="center"/>
          </w:tcPr>
          <w:p w14:paraId="71EB1761">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992" w:type="dxa"/>
            <w:tcBorders>
              <w:top w:val="single" w:color="auto" w:sz="6" w:space="0"/>
              <w:left w:val="nil"/>
              <w:bottom w:val="single" w:color="auto" w:sz="6" w:space="0"/>
              <w:right w:val="single" w:color="auto" w:sz="8" w:space="0"/>
            </w:tcBorders>
            <w:noWrap w:val="0"/>
            <w:vAlign w:val="center"/>
          </w:tcPr>
          <w:p w14:paraId="73BDCC00">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c>
          <w:tcPr>
            <w:tcW w:w="851" w:type="dxa"/>
            <w:tcBorders>
              <w:top w:val="single" w:color="auto" w:sz="6" w:space="0"/>
              <w:left w:val="nil"/>
              <w:bottom w:val="single" w:color="auto" w:sz="6" w:space="0"/>
              <w:right w:val="single" w:color="auto" w:sz="8" w:space="0"/>
            </w:tcBorders>
            <w:noWrap w:val="0"/>
            <w:vAlign w:val="top"/>
          </w:tcPr>
          <w:p w14:paraId="35F105AF">
            <w:pPr>
              <w:pStyle w:val="17"/>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p>
        </w:tc>
      </w:tr>
      <w:tr w14:paraId="6646C628">
        <w:tblPrEx>
          <w:tblCellMar>
            <w:top w:w="0" w:type="dxa"/>
            <w:left w:w="108" w:type="dxa"/>
            <w:bottom w:w="0" w:type="dxa"/>
            <w:right w:w="108" w:type="dxa"/>
          </w:tblCellMar>
        </w:tblPrEx>
        <w:trPr>
          <w:trHeight w:val="604" w:hRule="atLeast"/>
        </w:trPr>
        <w:tc>
          <w:tcPr>
            <w:tcW w:w="7621" w:type="dxa"/>
            <w:gridSpan w:val="8"/>
            <w:tcBorders>
              <w:top w:val="single" w:color="auto" w:sz="6" w:space="0"/>
              <w:left w:val="single" w:color="auto" w:sz="8" w:space="0"/>
              <w:bottom w:val="single" w:color="auto" w:sz="6" w:space="0"/>
              <w:right w:val="single" w:color="auto" w:sz="8" w:space="0"/>
            </w:tcBorders>
            <w:noWrap w:val="0"/>
            <w:vAlign w:val="center"/>
          </w:tcPr>
          <w:p w14:paraId="3D410B63">
            <w:pPr>
              <w:pStyle w:val="17"/>
              <w:keepNext w:val="0"/>
              <w:keepLines w:val="0"/>
              <w:pageBreakBefore w:val="0"/>
              <w:kinsoku/>
              <w:wordWrap/>
              <w:overflowPunct/>
              <w:topLinePunct w:val="0"/>
              <w:autoSpaceDE/>
              <w:autoSpaceDN/>
              <w:bidi w:val="0"/>
              <w:adjustRightInd/>
              <w:snapToGrid/>
              <w:spacing w:line="360" w:lineRule="auto"/>
              <w:ind w:firstLine="480"/>
              <w:jc w:val="center"/>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金额合计：</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元</w:t>
            </w:r>
          </w:p>
        </w:tc>
        <w:tc>
          <w:tcPr>
            <w:tcW w:w="851" w:type="dxa"/>
            <w:tcBorders>
              <w:top w:val="single" w:color="auto" w:sz="6" w:space="0"/>
              <w:left w:val="single" w:color="auto" w:sz="8" w:space="0"/>
              <w:bottom w:val="single" w:color="auto" w:sz="6" w:space="0"/>
              <w:right w:val="single" w:color="auto" w:sz="8" w:space="0"/>
            </w:tcBorders>
            <w:noWrap w:val="0"/>
            <w:vAlign w:val="top"/>
          </w:tcPr>
          <w:p w14:paraId="79EC0501">
            <w:pPr>
              <w:pStyle w:val="17"/>
              <w:keepNext w:val="0"/>
              <w:keepLines w:val="0"/>
              <w:pageBreakBefore w:val="0"/>
              <w:kinsoku/>
              <w:wordWrap/>
              <w:overflowPunct/>
              <w:topLinePunct w:val="0"/>
              <w:autoSpaceDE/>
              <w:autoSpaceDN/>
              <w:bidi w:val="0"/>
              <w:adjustRightInd/>
              <w:snapToGrid/>
              <w:spacing w:line="360" w:lineRule="auto"/>
              <w:ind w:firstLine="480"/>
              <w:jc w:val="center"/>
              <w:textAlignment w:val="auto"/>
              <w:rPr>
                <w:rFonts w:hint="eastAsia" w:ascii="黑体" w:hAnsi="黑体" w:eastAsia="黑体" w:cs="黑体"/>
                <w:color w:val="auto"/>
                <w:sz w:val="21"/>
                <w:szCs w:val="21"/>
                <w:highlight w:val="none"/>
              </w:rPr>
            </w:pPr>
          </w:p>
        </w:tc>
      </w:tr>
    </w:tbl>
    <w:p w14:paraId="46D27FA1">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2" w:name="_Toc86481559"/>
      <w:r>
        <w:rPr>
          <w:rFonts w:hint="eastAsia" w:ascii="黑体" w:hAnsi="黑体" w:eastAsia="黑体" w:cs="黑体"/>
          <w:color w:val="auto"/>
          <w:sz w:val="21"/>
          <w:szCs w:val="21"/>
          <w:highlight w:val="none"/>
        </w:rPr>
        <w:t>四、货物产地及标准</w:t>
      </w:r>
      <w:bookmarkEnd w:id="262"/>
    </w:p>
    <w:p w14:paraId="5F2B7D9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1.乙方应确保其提供的货物是上述产品清单中所列示生产厂商生产的原厂全新的（原装）产品（含零部件、配件、随机工具等），表面无划伤、无碰撞。</w:t>
      </w:r>
    </w:p>
    <w:p w14:paraId="4B593E46">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2.标准</w:t>
      </w:r>
    </w:p>
    <w:p w14:paraId="264FB171">
      <w:pPr>
        <w:keepNext w:val="0"/>
        <w:keepLines w:val="0"/>
        <w:pageBreakBefore w:val="0"/>
        <w:kinsoku/>
        <w:wordWrap/>
        <w:overflowPunct/>
        <w:topLinePunct w:val="0"/>
        <w:autoSpaceDE/>
        <w:autoSpaceDN/>
        <w:bidi w:val="0"/>
        <w:adjustRightInd/>
        <w:snapToGrid/>
        <w:spacing w:line="360" w:lineRule="auto"/>
        <w:ind w:firstLine="315" w:firstLineChars="150"/>
        <w:jc w:val="left"/>
        <w:textAlignment w:val="auto"/>
        <w:rPr>
          <w:rFonts w:hint="eastAsia" w:ascii="黑体" w:hAnsi="黑体" w:eastAsia="黑体" w:cs="黑体"/>
          <w:color w:val="auto"/>
          <w:sz w:val="21"/>
          <w:szCs w:val="21"/>
          <w:highlight w:val="none"/>
        </w:rPr>
      </w:pPr>
      <w:bookmarkStart w:id="263" w:name="_Toc86481560"/>
      <w:r>
        <w:rPr>
          <w:rFonts w:hint="eastAsia" w:ascii="黑体" w:hAnsi="黑体" w:eastAsia="黑体" w:cs="黑体"/>
          <w:color w:val="auto"/>
          <w:sz w:val="21"/>
          <w:szCs w:val="21"/>
          <w:highlight w:val="none"/>
        </w:rPr>
        <w:t>本合同所指的货物及服务应符合合同附件的技术规格所述的标准：如果附件未规定适用标准，则应符合中华人民共和国国家标准或行业标准；如果中华人民共和国没有相关标准的，则采用货物来源适用的官方标准。这些标准必须是有关机构发布的最新版本的标准。</w:t>
      </w:r>
    </w:p>
    <w:p w14:paraId="7A3D3E00">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3.进口产品必须具备相关主管行政机关的检验证明或合法进货渠道证明。</w:t>
      </w:r>
    </w:p>
    <w:p w14:paraId="5A6D2D10">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4.国内产品或合资厂的产品必须具备出厂合格证。</w:t>
      </w:r>
    </w:p>
    <w:p w14:paraId="78B17BEE">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5.乙方应将所供物品的原厂售后服务承诺书或证明、用户手册、保修手册、有关资料及配件、随机工具等交付给甲方。</w:t>
      </w:r>
    </w:p>
    <w:p w14:paraId="510BE29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五、包装</w:t>
      </w:r>
    </w:p>
    <w:p w14:paraId="5D9475C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除合同另有规定外，乙方提供的全部货物均应按标准保护措施进行包装。该包装应适应于远距离运输、防潮、防尘、防震、防锈和防野蛮装卸，以确保货物安全无损运抵甲方指定地点。由于包装不善所引起的货物损失、损坏、损毁或运输引起的灭失以及由此导致甲方的损失均由乙方承担。如货物损坏或货物质量不符合标准，甲方有权拒收货物，乙方应按照甲方的要求在限定的时间内予以更换或重新供货直至通过甲方验收，货物交期不予顺延，否则甲方有权按照本合同约定追究乙方的违约责任。</w:t>
      </w:r>
    </w:p>
    <w:p w14:paraId="536BA12B">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2.乙方所供货物应为制造商原装出厂，包装箱号与设备出厂批号一致。</w:t>
      </w:r>
    </w:p>
    <w:bookmarkEnd w:id="263"/>
    <w:p w14:paraId="6BC02AA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4" w:name="_Toc86481561"/>
      <w:r>
        <w:rPr>
          <w:rFonts w:hint="eastAsia" w:ascii="黑体" w:hAnsi="黑体" w:eastAsia="黑体" w:cs="黑体"/>
          <w:color w:val="auto"/>
          <w:sz w:val="21"/>
          <w:szCs w:val="21"/>
          <w:highlight w:val="none"/>
        </w:rPr>
        <w:t>六、</w:t>
      </w:r>
      <w:bookmarkEnd w:id="264"/>
      <w:r>
        <w:rPr>
          <w:rFonts w:hint="eastAsia" w:ascii="黑体" w:hAnsi="黑体" w:eastAsia="黑体" w:cs="黑体"/>
          <w:color w:val="auto"/>
          <w:sz w:val="21"/>
          <w:szCs w:val="21"/>
          <w:highlight w:val="none"/>
        </w:rPr>
        <w:t>交货</w:t>
      </w:r>
    </w:p>
    <w:p w14:paraId="346C26AF">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1.乙方应于合同签订之日起</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Cs w:val="21"/>
          <w:highlight w:val="none"/>
        </w:rPr>
        <w:t>个日历日内</w:t>
      </w:r>
      <w:r>
        <w:rPr>
          <w:rFonts w:hint="eastAsia" w:ascii="黑体" w:hAnsi="黑体" w:eastAsia="黑体" w:cs="黑体"/>
          <w:color w:val="auto"/>
          <w:szCs w:val="21"/>
          <w:highlight w:val="none"/>
          <w:lang w:val="en-US" w:eastAsia="zh-CN"/>
        </w:rPr>
        <w:t>完成供</w:t>
      </w:r>
      <w:r>
        <w:rPr>
          <w:rFonts w:hint="eastAsia" w:ascii="黑体" w:hAnsi="黑体" w:eastAsia="黑体" w:cs="黑体"/>
          <w:color w:val="auto"/>
          <w:szCs w:val="21"/>
          <w:highlight w:val="none"/>
        </w:rPr>
        <w:t>货</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安装</w:t>
      </w:r>
      <w:r>
        <w:rPr>
          <w:rFonts w:hint="eastAsia" w:ascii="黑体" w:hAnsi="黑体" w:eastAsia="黑体" w:cs="黑体"/>
          <w:color w:val="auto"/>
          <w:szCs w:val="21"/>
          <w:highlight w:val="none"/>
          <w:lang w:eastAsia="zh-CN"/>
        </w:rPr>
        <w:t>、</w:t>
      </w:r>
      <w:r>
        <w:rPr>
          <w:rFonts w:hint="eastAsia" w:ascii="黑体" w:hAnsi="黑体" w:eastAsia="黑体" w:cs="黑体"/>
          <w:color w:val="auto"/>
          <w:szCs w:val="21"/>
          <w:highlight w:val="none"/>
        </w:rPr>
        <w:t>调试</w:t>
      </w:r>
      <w:r>
        <w:rPr>
          <w:rFonts w:hint="eastAsia" w:ascii="黑体" w:hAnsi="黑体" w:eastAsia="黑体" w:cs="黑体"/>
          <w:color w:val="auto"/>
          <w:sz w:val="21"/>
          <w:szCs w:val="21"/>
          <w:highlight w:val="none"/>
        </w:rPr>
        <w:t>。</w:t>
      </w:r>
    </w:p>
    <w:p w14:paraId="41930F5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u w:val="none"/>
        </w:rPr>
      </w:pPr>
      <w:r>
        <w:rPr>
          <w:rFonts w:hint="eastAsia" w:ascii="黑体" w:hAnsi="黑体" w:eastAsia="黑体" w:cs="黑体"/>
          <w:color w:val="auto"/>
          <w:sz w:val="21"/>
          <w:szCs w:val="21"/>
          <w:highlight w:val="none"/>
          <w:u w:val="none"/>
        </w:rPr>
        <w:t>2.交货地点：</w:t>
      </w:r>
      <w:r>
        <w:rPr>
          <w:rFonts w:hint="eastAsia" w:ascii="黑体" w:hAnsi="黑体" w:eastAsia="黑体" w:cs="黑体"/>
          <w:color w:val="auto"/>
          <w:szCs w:val="21"/>
          <w:highlight w:val="none"/>
        </w:rPr>
        <w:t>东莞理工学院松山湖校区多媒体教室</w:t>
      </w:r>
      <w:r>
        <w:rPr>
          <w:rFonts w:hint="eastAsia" w:ascii="黑体" w:hAnsi="黑体" w:eastAsia="黑体" w:cs="黑体"/>
          <w:color w:val="auto"/>
          <w:sz w:val="21"/>
          <w:szCs w:val="21"/>
          <w:highlight w:val="none"/>
          <w:u w:val="none"/>
        </w:rPr>
        <w:t>。</w:t>
      </w:r>
    </w:p>
    <w:p w14:paraId="0182FF5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3.乙方必须在交货的同时，按本合同要求的技术规格、技术规范进行安装调试，并将设备调试到最佳状态。未经甲方书面同意，不得更换相关配件和设备。</w:t>
      </w:r>
    </w:p>
    <w:p w14:paraId="70C5A9C8">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设备在安装调试后未能达到乙方在投标书中所承诺的效果或未能通过甲方验收的，乙方应重新安装、调试，直至达到要求为止。且乙方需于合同工期满15天内重新安装，并调试达到合同要求。若逾期交付超过15天，甲方有权解除合同，已发生的费用由乙方自行承担，乙方应当退还甲方全部已支付费用。此外，乙方应向甲方支付合同总价20％的违约金，违约金不足以弥补甲方损失的，乙方应予以补足。</w:t>
      </w:r>
    </w:p>
    <w:p w14:paraId="7C94EC99">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5.甲方应保障现场具备安装调试的基本条件，并提供安全的设备和材料的堆放场所，乙方自行负责现场设备和材料的保管。</w:t>
      </w:r>
    </w:p>
    <w:p w14:paraId="70C96F6B">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5" w:name="_Toc86481562"/>
      <w:r>
        <w:rPr>
          <w:rFonts w:hint="eastAsia" w:ascii="黑体" w:hAnsi="黑体" w:eastAsia="黑体" w:cs="黑体"/>
          <w:color w:val="auto"/>
          <w:sz w:val="21"/>
          <w:szCs w:val="21"/>
          <w:highlight w:val="none"/>
        </w:rPr>
        <w:t>七、付款</w:t>
      </w:r>
      <w:bookmarkEnd w:id="265"/>
    </w:p>
    <w:p w14:paraId="24B30661">
      <w:pPr>
        <w:pStyle w:val="6"/>
        <w:keepNext w:val="0"/>
        <w:keepLines w:val="0"/>
        <w:pageBreakBefore w:val="0"/>
        <w:kinsoku/>
        <w:wordWrap/>
        <w:overflowPunct/>
        <w:topLinePunct w:val="0"/>
        <w:autoSpaceDE/>
        <w:autoSpaceDN/>
        <w:bidi w:val="0"/>
        <w:adjustRightInd/>
        <w:snapToGrid/>
        <w:spacing w:line="360" w:lineRule="auto"/>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   1.甲乙双方签订本合同后，待全部货物完成供货、安装、调试并经</w:t>
      </w:r>
      <w:r>
        <w:rPr>
          <w:rFonts w:hint="eastAsia" w:ascii="黑体" w:hAnsi="黑体" w:eastAsia="黑体" w:cs="黑体"/>
          <w:color w:val="auto"/>
          <w:sz w:val="21"/>
          <w:szCs w:val="21"/>
          <w:highlight w:val="none"/>
          <w:lang w:val="en-US" w:eastAsia="zh-CN"/>
        </w:rPr>
        <w:t>甲方</w:t>
      </w:r>
      <w:r>
        <w:rPr>
          <w:rFonts w:hint="eastAsia" w:ascii="黑体" w:hAnsi="黑体" w:eastAsia="黑体" w:cs="黑体"/>
          <w:color w:val="auto"/>
          <w:sz w:val="21"/>
          <w:szCs w:val="21"/>
          <w:highlight w:val="none"/>
        </w:rPr>
        <w:t>全部验收合格后，</w:t>
      </w:r>
      <w:r>
        <w:rPr>
          <w:rFonts w:hint="eastAsia" w:ascii="黑体" w:hAnsi="黑体" w:eastAsia="黑体" w:cs="黑体"/>
          <w:color w:val="auto"/>
          <w:sz w:val="21"/>
          <w:szCs w:val="21"/>
          <w:highlight w:val="none"/>
          <w:lang w:val="en-US" w:eastAsia="zh-CN"/>
        </w:rPr>
        <w:t>乙方</w:t>
      </w:r>
      <w:r>
        <w:rPr>
          <w:rFonts w:hint="eastAsia" w:ascii="黑体" w:hAnsi="黑体" w:eastAsia="黑体" w:cs="黑体"/>
          <w:color w:val="auto"/>
          <w:sz w:val="21"/>
          <w:szCs w:val="21"/>
          <w:highlight w:val="none"/>
        </w:rPr>
        <w:t>提供相应的合格发票以及相关请款资料给到</w:t>
      </w:r>
      <w:r>
        <w:rPr>
          <w:rFonts w:hint="eastAsia" w:ascii="黑体" w:hAnsi="黑体" w:eastAsia="黑体" w:cs="黑体"/>
          <w:color w:val="auto"/>
          <w:sz w:val="21"/>
          <w:szCs w:val="21"/>
          <w:highlight w:val="none"/>
          <w:lang w:val="en-US" w:eastAsia="zh-CN"/>
        </w:rPr>
        <w:t>甲方</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val="en-US" w:eastAsia="zh-CN"/>
        </w:rPr>
        <w:t>甲方</w:t>
      </w:r>
      <w:r>
        <w:rPr>
          <w:rFonts w:hint="eastAsia" w:ascii="黑体" w:hAnsi="黑体" w:eastAsia="黑体" w:cs="黑体"/>
          <w:color w:val="auto"/>
          <w:sz w:val="21"/>
          <w:szCs w:val="21"/>
          <w:highlight w:val="none"/>
        </w:rPr>
        <w:t>在15个工作日内将合同款项一次性支付给</w:t>
      </w:r>
      <w:r>
        <w:rPr>
          <w:rFonts w:hint="eastAsia" w:ascii="黑体" w:hAnsi="黑体" w:eastAsia="黑体" w:cs="黑体"/>
          <w:color w:val="auto"/>
          <w:sz w:val="21"/>
          <w:szCs w:val="21"/>
          <w:highlight w:val="none"/>
          <w:lang w:val="en-US" w:eastAsia="zh-CN"/>
        </w:rPr>
        <w:t>乙方</w:t>
      </w:r>
      <w:r>
        <w:rPr>
          <w:rFonts w:hint="eastAsia" w:ascii="黑体" w:hAnsi="黑体" w:eastAsia="黑体" w:cs="黑体"/>
          <w:color w:val="auto"/>
          <w:sz w:val="21"/>
          <w:szCs w:val="21"/>
          <w:highlight w:val="none"/>
        </w:rPr>
        <w:t>。付款前乙方须提供如下资料给甲方：①合同复印件；②乙方开具的结算金额与合同金额等值的正式增值税</w:t>
      </w:r>
      <w:r>
        <w:rPr>
          <w:rFonts w:hint="eastAsia" w:ascii="黑体" w:hAnsi="黑体" w:eastAsia="黑体" w:cs="黑体"/>
          <w:color w:val="auto"/>
          <w:sz w:val="21"/>
          <w:szCs w:val="21"/>
          <w:highlight w:val="none"/>
          <w:lang w:val="en-US" w:eastAsia="zh-CN"/>
        </w:rPr>
        <w:t>专用</w:t>
      </w:r>
      <w:r>
        <w:rPr>
          <w:rFonts w:hint="eastAsia" w:ascii="黑体" w:hAnsi="黑体" w:eastAsia="黑体" w:cs="黑体"/>
          <w:color w:val="auto"/>
          <w:sz w:val="21"/>
          <w:szCs w:val="21"/>
          <w:highlight w:val="none"/>
        </w:rPr>
        <w:t>发票；③验收报告复印件；④</w:t>
      </w:r>
      <w:r>
        <w:rPr>
          <w:rFonts w:hint="eastAsia" w:ascii="黑体" w:hAnsi="黑体" w:eastAsia="黑体" w:cs="黑体"/>
          <w:color w:val="auto"/>
          <w:sz w:val="21"/>
          <w:szCs w:val="21"/>
          <w:highlight w:val="none"/>
          <w:lang w:eastAsia="zh-CN"/>
        </w:rPr>
        <w:t>成交通知书</w:t>
      </w:r>
      <w:r>
        <w:rPr>
          <w:rFonts w:hint="eastAsia" w:ascii="黑体" w:hAnsi="黑体" w:eastAsia="黑体" w:cs="黑体"/>
          <w:color w:val="auto"/>
          <w:sz w:val="21"/>
          <w:szCs w:val="21"/>
          <w:highlight w:val="none"/>
        </w:rPr>
        <w:t>复印件。</w:t>
      </w:r>
    </w:p>
    <w:p w14:paraId="1A247432">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6" w:name="_Hlk61364707"/>
      <w:r>
        <w:rPr>
          <w:rFonts w:hint="eastAsia" w:ascii="黑体" w:hAnsi="黑体" w:eastAsia="黑体" w:cs="黑体"/>
          <w:color w:val="auto"/>
          <w:sz w:val="21"/>
          <w:szCs w:val="21"/>
          <w:highlight w:val="none"/>
        </w:rPr>
        <w:t>乙方指定收款银行账户信息：</w:t>
      </w:r>
    </w:p>
    <w:p w14:paraId="3608450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开户银行：</w:t>
      </w:r>
      <w:r>
        <w:rPr>
          <w:rFonts w:hint="eastAsia" w:ascii="黑体" w:hAnsi="黑体" w:eastAsia="黑体" w:cs="黑体"/>
          <w:color w:val="auto"/>
          <w:sz w:val="21"/>
          <w:szCs w:val="21"/>
          <w:highlight w:val="none"/>
          <w:u w:val="single"/>
        </w:rPr>
        <w:t xml:space="preserve">  XXX  </w:t>
      </w:r>
    </w:p>
    <w:p w14:paraId="1184BC79">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u w:val="single"/>
        </w:rPr>
      </w:pPr>
      <w:r>
        <w:rPr>
          <w:rFonts w:hint="eastAsia" w:ascii="黑体" w:hAnsi="黑体" w:eastAsia="黑体" w:cs="黑体"/>
          <w:color w:val="auto"/>
          <w:sz w:val="21"/>
          <w:szCs w:val="21"/>
          <w:highlight w:val="none"/>
        </w:rPr>
        <w:t>开户户名：</w:t>
      </w:r>
      <w:r>
        <w:rPr>
          <w:rFonts w:hint="eastAsia" w:ascii="黑体" w:hAnsi="黑体" w:eastAsia="黑体" w:cs="黑体"/>
          <w:color w:val="auto"/>
          <w:sz w:val="21"/>
          <w:szCs w:val="21"/>
          <w:highlight w:val="none"/>
          <w:u w:val="single"/>
        </w:rPr>
        <w:t xml:space="preserve">  XXX  </w:t>
      </w:r>
    </w:p>
    <w:p w14:paraId="181EB2F2">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银行账号：</w:t>
      </w:r>
      <w:r>
        <w:rPr>
          <w:rFonts w:hint="eastAsia" w:ascii="黑体" w:hAnsi="黑体" w:eastAsia="黑体" w:cs="黑体"/>
          <w:color w:val="auto"/>
          <w:sz w:val="21"/>
          <w:szCs w:val="21"/>
          <w:highlight w:val="none"/>
          <w:u w:val="single"/>
        </w:rPr>
        <w:t xml:space="preserve">  XXX  </w:t>
      </w:r>
    </w:p>
    <w:bookmarkEnd w:id="266"/>
    <w:p w14:paraId="7D6F8A5B">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bidi="ar"/>
        </w:rPr>
        <w:t>乙方变更上述指定收款银行账户信息的，应及时且无迟延地以书面形式通知甲方，否则由此导致的款项延期支付等责任以及由此造成的全部损失均由乙方自行承担。</w:t>
      </w:r>
    </w:p>
    <w:p w14:paraId="5BD95A0B">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按以下程序付款：乙方应在甲方支付货款前，将符合国家及地方财政规定的发票以及甲方所要求的资料送至甲方单位，发票抬头名称与甲方单位名称一致。付款时间以付款款项划出之日为准。</w:t>
      </w:r>
    </w:p>
    <w:p w14:paraId="71EEF7F8">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注：本项目资金来源为财政资金，相关付款程序严格遵守东莞市（或项目所在镇街）政府财政资金支付程序规定。因政府原因造成迟延支付的，甲方不构成违约，无需向乙方承担违约责任。</w:t>
      </w:r>
    </w:p>
    <w:p w14:paraId="0BDEAB4C">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2.因乙方未按照本合同第七条1款要求向甲方提供资料的，导致甲方延期付款的，由此产生的法律责任，由乙方自行承担。</w:t>
      </w:r>
    </w:p>
    <w:p w14:paraId="22EA1EEF">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八、其他服务</w:t>
      </w:r>
    </w:p>
    <w:p w14:paraId="71F520E3">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乙方为甲方提供下述免费服务：</w:t>
      </w:r>
    </w:p>
    <w:p w14:paraId="0A9D7E15">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1.提供各分项货物所必需的维修工具。</w:t>
      </w:r>
    </w:p>
    <w:p w14:paraId="0924CBC1">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2.提供各分项货物的操作、维护手册。</w:t>
      </w:r>
    </w:p>
    <w:p w14:paraId="419FA1A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3.为甲方培训操作维护人员，</w:t>
      </w:r>
      <w:r>
        <w:rPr>
          <w:rFonts w:hint="eastAsia" w:ascii="黑体" w:hAnsi="黑体" w:eastAsia="黑体" w:cs="黑体"/>
          <w:color w:val="auto"/>
          <w:sz w:val="21"/>
          <w:szCs w:val="21"/>
          <w:highlight w:val="none"/>
          <w:lang w:bidi="ar"/>
        </w:rPr>
        <w:t>确保甲方操作维护人员掌握操作使用等基本技能。</w:t>
      </w:r>
    </w:p>
    <w:p w14:paraId="7FE15A6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4.凡设置了权限的产品，必须向甲方提供密码。</w:t>
      </w:r>
    </w:p>
    <w:p w14:paraId="183595B3">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九、合同的转让和分包</w:t>
      </w:r>
    </w:p>
    <w:p w14:paraId="6AE34C89">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1.本合同为总承包合同，乙方不能以任何形式进行分包；</w:t>
      </w:r>
    </w:p>
    <w:p w14:paraId="0BD6D42C">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乙方不得部分转让或全部转让其应履行的合同义务。如甲方发现乙方存在转包或分包的，甲方有权单方面解除合同，乙方已安装、验收的设备无偿归甲方所有，乙方不得破坏现场及施工成果。另外，乙方需全额退还甲方已支付的全部货款，并向甲方支付合同总价20％的违约金。违约金不足以弥补甲方损失的，乙方应予以补足。</w:t>
      </w:r>
    </w:p>
    <w:p w14:paraId="20825CDB">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67" w:name="_Toc86481564"/>
      <w:r>
        <w:rPr>
          <w:rFonts w:hint="eastAsia" w:ascii="黑体" w:hAnsi="黑体" w:eastAsia="黑体" w:cs="黑体"/>
          <w:color w:val="auto"/>
          <w:sz w:val="21"/>
          <w:szCs w:val="21"/>
          <w:highlight w:val="none"/>
        </w:rPr>
        <w:t>十、验收方式及质保期、售后服务要求</w:t>
      </w:r>
      <w:bookmarkEnd w:id="267"/>
    </w:p>
    <w:p w14:paraId="1C908532">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（一）验收</w:t>
      </w:r>
    </w:p>
    <w:p w14:paraId="6650507A">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1.甲乙双方按</w:t>
      </w:r>
      <w:r>
        <w:rPr>
          <w:rFonts w:hint="eastAsia" w:ascii="黑体" w:hAnsi="黑体" w:eastAsia="黑体" w:cs="黑体"/>
          <w:color w:val="auto"/>
          <w:sz w:val="21"/>
          <w:szCs w:val="21"/>
          <w:highlight w:val="none"/>
          <w:lang w:eastAsia="zh-CN"/>
        </w:rPr>
        <w:t>采购需求</w:t>
      </w:r>
      <w:r>
        <w:rPr>
          <w:rFonts w:hint="eastAsia" w:ascii="黑体" w:hAnsi="黑体" w:eastAsia="黑体" w:cs="黑体"/>
          <w:color w:val="auto"/>
          <w:sz w:val="21"/>
          <w:szCs w:val="21"/>
          <w:highlight w:val="none"/>
        </w:rPr>
        <w:t>及本合同的有关规定由甲方验收组织部门进行验收。验收期：乙方书面向学校验收组织部门提交经甲方代表签字的验收申请，验收组织部门收到申请之日起在7个日历日内组织履约验收。</w:t>
      </w:r>
    </w:p>
    <w:p w14:paraId="1721261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w:t>
      </w:r>
      <w:bookmarkStart w:id="268" w:name="_Hlk28956005"/>
      <w:bookmarkStart w:id="269" w:name="_Hlk40437219"/>
      <w:r>
        <w:rPr>
          <w:rFonts w:hint="eastAsia" w:ascii="黑体" w:hAnsi="黑体" w:eastAsia="黑体" w:cs="黑体"/>
          <w:color w:val="auto"/>
          <w:sz w:val="21"/>
          <w:szCs w:val="21"/>
          <w:highlight w:val="none"/>
        </w:rPr>
        <w:t>设备安装开始前，乙方按照甲方的书面通知，共同开箱检验，对设备的外观质量、原产地、数量、规格、性能等进行详细而全面检验，并将出厂检验合格证和交货检验记录交于甲方，但不能作为有关标准、质量、规格、性能、数量、重量的最终</w:t>
      </w:r>
      <w:bookmarkEnd w:id="268"/>
      <w:r>
        <w:rPr>
          <w:rFonts w:hint="eastAsia" w:ascii="黑体" w:hAnsi="黑体" w:eastAsia="黑体" w:cs="黑体"/>
          <w:color w:val="auto"/>
          <w:sz w:val="21"/>
          <w:szCs w:val="21"/>
          <w:highlight w:val="none"/>
        </w:rPr>
        <w:t>认可</w:t>
      </w:r>
      <w:bookmarkEnd w:id="269"/>
      <w:r>
        <w:rPr>
          <w:rFonts w:hint="eastAsia" w:ascii="黑体" w:hAnsi="黑体" w:eastAsia="黑体" w:cs="黑体"/>
          <w:color w:val="auto"/>
          <w:sz w:val="21"/>
          <w:szCs w:val="21"/>
          <w:highlight w:val="none"/>
        </w:rPr>
        <w:t>。</w:t>
      </w:r>
    </w:p>
    <w:p w14:paraId="3A0D729C">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3.设备安装后，甲方与乙方及相关人员按</w:t>
      </w:r>
      <w:r>
        <w:rPr>
          <w:rFonts w:hint="eastAsia" w:ascii="黑体" w:hAnsi="黑体" w:eastAsia="黑体" w:cs="黑体"/>
          <w:color w:val="auto"/>
          <w:sz w:val="21"/>
          <w:szCs w:val="21"/>
          <w:highlight w:val="none"/>
          <w:lang w:eastAsia="zh-CN"/>
        </w:rPr>
        <w:t>采购需求</w:t>
      </w:r>
      <w:r>
        <w:rPr>
          <w:rFonts w:hint="eastAsia" w:ascii="黑体" w:hAnsi="黑体" w:eastAsia="黑体" w:cs="黑体"/>
          <w:color w:val="auto"/>
          <w:sz w:val="21"/>
          <w:szCs w:val="21"/>
          <w:highlight w:val="none"/>
        </w:rPr>
        <w:t>及本合同的有关规定、国家有关标准、设计图纸及有关附件要求进行验收。如经甲方验收不合格，</w:t>
      </w:r>
      <w:bookmarkStart w:id="270" w:name="_Hlk28956158"/>
      <w:r>
        <w:rPr>
          <w:rFonts w:hint="eastAsia" w:ascii="黑体" w:hAnsi="黑体" w:eastAsia="黑体" w:cs="黑体"/>
          <w:color w:val="auto"/>
          <w:sz w:val="21"/>
          <w:szCs w:val="21"/>
          <w:highlight w:val="none"/>
        </w:rPr>
        <w:t>乙方无条件退、换货，直到验收合格，由此造成甲方损失的，乙方应予赔偿甲方全部损失及支出，甲方对货物的验收并不当然免除乙方的产品质量保证责任</w:t>
      </w:r>
      <w:bookmarkEnd w:id="270"/>
      <w:r>
        <w:rPr>
          <w:rFonts w:hint="eastAsia" w:ascii="黑体" w:hAnsi="黑体" w:eastAsia="黑体" w:cs="黑体"/>
          <w:color w:val="auto"/>
          <w:sz w:val="21"/>
          <w:szCs w:val="21"/>
          <w:highlight w:val="none"/>
        </w:rPr>
        <w:t>。</w:t>
      </w:r>
    </w:p>
    <w:p w14:paraId="2003E4A6">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4.因物品的质量问题发生争议，由广东省或东莞市质量技术监督部门进行质量鉴定。物品符合质量标准的，鉴定费由甲方承担；物品不符合质量标准的，鉴定费及甲方的损失由乙方承担。</w:t>
      </w:r>
    </w:p>
    <w:p w14:paraId="37BE54E6">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（二）质保期</w:t>
      </w:r>
    </w:p>
    <w:p w14:paraId="0C86E9C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乙方对本项目提供</w:t>
      </w:r>
      <w:r>
        <w:rPr>
          <w:rFonts w:hint="eastAsia" w:ascii="黑体" w:hAnsi="黑体" w:eastAsia="黑体" w:cs="黑体"/>
          <w:color w:val="auto"/>
          <w:sz w:val="21"/>
          <w:szCs w:val="21"/>
          <w:highlight w:val="none"/>
          <w:u w:val="single"/>
          <w:lang w:val="en-US" w:eastAsia="zh-CN"/>
        </w:rPr>
        <w:t xml:space="preserve">    </w:t>
      </w:r>
      <w:r>
        <w:rPr>
          <w:rFonts w:hint="eastAsia" w:ascii="黑体" w:hAnsi="黑体" w:eastAsia="黑体" w:cs="黑体"/>
          <w:color w:val="auto"/>
          <w:sz w:val="21"/>
          <w:szCs w:val="21"/>
          <w:highlight w:val="none"/>
        </w:rPr>
        <w:t>年（自项目验收合格之日起计算）的免费维修保养期。</w:t>
      </w:r>
    </w:p>
    <w:p w14:paraId="074F21C8">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（三）售后服务要求</w:t>
      </w:r>
    </w:p>
    <w:p w14:paraId="6E6D4BEC">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在质保期内，如货物非因甲方的人为原因而出现的质量问题由乙方负责免费维修或更换</w:t>
      </w:r>
      <w:bookmarkStart w:id="271" w:name="_Hlk25761814"/>
      <w:r>
        <w:rPr>
          <w:rFonts w:hint="eastAsia" w:ascii="黑体" w:hAnsi="黑体" w:eastAsia="黑体" w:cs="黑体"/>
          <w:color w:val="auto"/>
          <w:sz w:val="21"/>
          <w:szCs w:val="21"/>
          <w:highlight w:val="none"/>
        </w:rPr>
        <w:t>：</w:t>
      </w:r>
    </w:p>
    <w:p w14:paraId="55979104">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strike/>
          <w:color w:val="auto"/>
          <w:sz w:val="21"/>
          <w:szCs w:val="21"/>
          <w:highlight w:val="none"/>
        </w:rPr>
      </w:pPr>
      <w:r>
        <w:rPr>
          <w:rFonts w:hint="eastAsia" w:ascii="黑体" w:hAnsi="黑体" w:eastAsia="黑体" w:cs="黑体"/>
          <w:color w:val="auto"/>
          <w:sz w:val="21"/>
          <w:szCs w:val="21"/>
          <w:highlight w:val="none"/>
        </w:rPr>
        <w:t>1.乙方应在接到甲方的服务通知后2小时内响应并到达现场，24小时内排除故障。若在</w:t>
      </w:r>
      <w:r>
        <w:rPr>
          <w:rFonts w:hint="eastAsia" w:ascii="黑体" w:hAnsi="黑体" w:eastAsia="黑体" w:cs="黑体"/>
          <w:color w:val="auto"/>
          <w:sz w:val="21"/>
          <w:szCs w:val="21"/>
          <w:highlight w:val="none"/>
          <w:lang w:val="en-US" w:eastAsia="zh-CN"/>
        </w:rPr>
        <w:t>24</w:t>
      </w:r>
      <w:r>
        <w:rPr>
          <w:rFonts w:hint="eastAsia" w:ascii="黑体" w:hAnsi="黑体" w:eastAsia="黑体" w:cs="黑体"/>
          <w:color w:val="auto"/>
          <w:sz w:val="21"/>
          <w:szCs w:val="21"/>
          <w:highlight w:val="none"/>
        </w:rPr>
        <w:t>小时内仍未能有效解决，须对设备进行维修，如设备维修预计时长超15个日历日，须在原设备送修之日起</w:t>
      </w:r>
      <w:r>
        <w:rPr>
          <w:rFonts w:hint="eastAsia" w:ascii="黑体" w:hAnsi="黑体" w:eastAsia="黑体" w:cs="黑体"/>
          <w:color w:val="auto"/>
          <w:sz w:val="21"/>
          <w:szCs w:val="21"/>
          <w:highlight w:val="none"/>
          <w:u w:val="single"/>
        </w:rPr>
        <w:t>5</w:t>
      </w:r>
      <w:r>
        <w:rPr>
          <w:rFonts w:hint="eastAsia" w:ascii="黑体" w:hAnsi="黑体" w:eastAsia="黑体" w:cs="黑体"/>
          <w:color w:val="auto"/>
          <w:sz w:val="21"/>
          <w:szCs w:val="21"/>
          <w:highlight w:val="none"/>
        </w:rPr>
        <w:t>个日历日内提供备用机并安装调试完毕，保证甲方相关工作继续正常运行。</w:t>
      </w:r>
    </w:p>
    <w:p w14:paraId="0AC7E47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保修期内乙方包换、包修或包退问题件，并承担修理、调换或退货的实际费用。质保期内，如设备或零部件因质量原因出现故障而造成短期停用时，则质保期和免费维修期相应顺延。如停用时间累计超过60天则，甲方有权要求更换货物，质保期重新计算。乙方应当在</w:t>
      </w:r>
      <w:r>
        <w:rPr>
          <w:rFonts w:hint="eastAsia" w:ascii="黑体" w:hAnsi="黑体" w:eastAsia="黑体" w:cs="黑体"/>
          <w:color w:val="auto"/>
          <w:sz w:val="21"/>
          <w:szCs w:val="21"/>
          <w:highlight w:val="none"/>
          <w:lang w:val="en-US" w:eastAsia="zh-CN"/>
        </w:rPr>
        <w:t>15</w:t>
      </w:r>
      <w:r>
        <w:rPr>
          <w:rFonts w:hint="eastAsia" w:ascii="黑体" w:hAnsi="黑体" w:eastAsia="黑体" w:cs="黑体"/>
          <w:color w:val="auto"/>
          <w:sz w:val="21"/>
          <w:szCs w:val="21"/>
          <w:highlight w:val="none"/>
        </w:rPr>
        <w:t>日内完成产品的替换及安装调试。</w:t>
      </w:r>
    </w:p>
    <w:p w14:paraId="75694CB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3.若乙方不能在双方约定期限内按以上要求替代、维修问题设备，甲方和乙方双方协商替代解决方案，更换同类型同价值产品，保障甲方工作的正常进行，由此产生的费用由乙方支付。</w:t>
      </w:r>
      <w:r>
        <w:rPr>
          <w:rFonts w:hint="eastAsia" w:ascii="黑体" w:hAnsi="黑体" w:eastAsia="黑体" w:cs="黑体"/>
          <w:color w:val="auto"/>
          <w:sz w:val="21"/>
          <w:szCs w:val="21"/>
          <w:highlight w:val="none"/>
          <w:lang w:bidi="ar"/>
        </w:rPr>
        <w:t>若乙方无法更换问题设备，按乙方交货不符合约定处理，乙方应退回该设备100%设备款，</w:t>
      </w:r>
      <w:bookmarkStart w:id="272" w:name="_Hlk28957386"/>
      <w:r>
        <w:rPr>
          <w:rFonts w:hint="eastAsia" w:ascii="黑体" w:hAnsi="黑体" w:eastAsia="黑体" w:cs="黑体"/>
          <w:color w:val="auto"/>
          <w:sz w:val="21"/>
          <w:szCs w:val="21"/>
          <w:highlight w:val="none"/>
          <w:lang w:bidi="ar"/>
        </w:rPr>
        <w:t>并</w:t>
      </w:r>
      <w:bookmarkEnd w:id="272"/>
      <w:r>
        <w:rPr>
          <w:rFonts w:hint="eastAsia" w:ascii="黑体" w:hAnsi="黑体" w:eastAsia="黑体" w:cs="黑体"/>
          <w:color w:val="auto"/>
          <w:sz w:val="21"/>
          <w:szCs w:val="21"/>
          <w:highlight w:val="none"/>
          <w:lang w:bidi="ar"/>
        </w:rPr>
        <w:t>按合同总价的20%向甲方支付违约金。若违约金不足以弥补甲方损失的，乙方应予以补足。</w:t>
      </w:r>
    </w:p>
    <w:bookmarkEnd w:id="271"/>
    <w:p w14:paraId="705DC3C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4.甲乙双方联系人及电话：</w:t>
      </w:r>
    </w:p>
    <w:p w14:paraId="5546699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甲方指定的联系人：</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 联系电话：</w:t>
      </w:r>
      <w:r>
        <w:rPr>
          <w:rFonts w:hint="eastAsia" w:ascii="黑体" w:hAnsi="黑体" w:eastAsia="黑体" w:cs="黑体"/>
          <w:color w:val="auto"/>
          <w:sz w:val="21"/>
          <w:szCs w:val="21"/>
          <w:highlight w:val="none"/>
          <w:u w:val="single"/>
        </w:rPr>
        <w:t xml:space="preserve">  XXX </w:t>
      </w:r>
    </w:p>
    <w:p w14:paraId="138F87A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乙方指定的联系人：</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 联系电话：</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 xml:space="preserve"> </w:t>
      </w:r>
    </w:p>
    <w:p w14:paraId="1AB05576">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73" w:name="_Toc86481565"/>
      <w:r>
        <w:rPr>
          <w:rFonts w:hint="eastAsia" w:ascii="黑体" w:hAnsi="黑体" w:eastAsia="黑体" w:cs="黑体"/>
          <w:color w:val="auto"/>
          <w:sz w:val="21"/>
          <w:szCs w:val="21"/>
          <w:highlight w:val="none"/>
        </w:rPr>
        <w:t>十一、税和关税</w:t>
      </w:r>
    </w:p>
    <w:p w14:paraId="717D42F1">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1.中国政府根据现行税法规定对乙方或其雇员征收的与本合同有关的一切税费应由乙方负担。</w:t>
      </w:r>
    </w:p>
    <w:p w14:paraId="3D5D394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2.在中国境外发生的与本合同执行有关的一切税费均应由乙方负担，甲方无需再向乙方支付其他任何费用。</w:t>
      </w:r>
    </w:p>
    <w:p w14:paraId="011AA29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十二、知识产权</w:t>
      </w:r>
    </w:p>
    <w:p w14:paraId="26384527">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1.乙方保证：甲方使用该设备或设备的任何一部分时，免受第三方提出的侵犯其专利、商标、工业设计权或其他知识产权的起诉和权利主张。</w:t>
      </w:r>
    </w:p>
    <w:p w14:paraId="7BD89F2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因乙方提供的货物存在前款知识产权瑕疵或纠纷的，乙方须与第三方交涉并承担可能发生的一切法律责任和费用。如设备或设备的任何部分，因最终裁决构成侵权，其使用被予以限制，乙方应自担费用并主动做出相应安排：或为甲方获取继续使用受指控的货物或货物的某一部分的权利，或使用不会造成侵权的同等技术水平的货物更换。</w:t>
      </w:r>
    </w:p>
    <w:p w14:paraId="36E4582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3.本合同总价包括甲方所有应支付的对专利权和版权、设计或其他知识产权而需要向其他方支付的所有知识产权费用。</w:t>
      </w:r>
    </w:p>
    <w:p w14:paraId="6AA1F0AD">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十三、保密</w:t>
      </w:r>
    </w:p>
    <w:p w14:paraId="11C3B31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bCs w:val="0"/>
          <w:color w:val="auto"/>
          <w:sz w:val="21"/>
          <w:szCs w:val="21"/>
          <w:highlight w:val="none"/>
        </w:rPr>
        <w:t>1</w:t>
      </w:r>
      <w:r>
        <w:rPr>
          <w:rFonts w:hint="eastAsia" w:ascii="黑体" w:hAnsi="黑体" w:eastAsia="黑体" w:cs="黑体"/>
          <w:color w:val="auto"/>
          <w:sz w:val="21"/>
          <w:szCs w:val="21"/>
          <w:highlight w:val="none"/>
        </w:rPr>
        <w:t>.任何时候，不论是在甲乙双方合作期内还是合作终止后，乙方同意对在合作过程中所获知的甲方的保密信息承担保密义务，并严格按照本合同的约定使用甲方提供的保密信息，乙方同意：</w:t>
      </w:r>
    </w:p>
    <w:p w14:paraId="5A96727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1）对甲方的保密信息保密，并采取所有必要措施（包括但不限于甲方采取的用于保护自身保密信息的措施）防止甲方的保密信息泄露。</w:t>
      </w:r>
    </w:p>
    <w:p w14:paraId="712091A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2）未经甲方事先书面同意，不得向第三方提供保密信息或由保密信息衍生的信息。</w:t>
      </w:r>
    </w:p>
    <w:p w14:paraId="5629528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3）未经甲方事先书面同意，不将甲方保密信息用于本合同以外的其他用途。</w:t>
      </w:r>
    </w:p>
    <w:p w14:paraId="47EF938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项目结束后，乙方应按照甲方的指示将含有保密信息的所有文件或其他资料及其全部副本（不论其是否是在计算机磁盘、光盘读取器、光盘、硬盘或软件中或硬拷贝载体上存储、保存或记录的）归还给甲方；如果乙方退还上述保密信息及其全部副本为不可行，则应按照甲方的指示将其销毁，或者从计算机或其他电子系统中将其删除或抹除。若乙方违反保密义务，则乙方向甲方赔偿全部损失并承担违约责任，甲方保留进一步追究乙方法律责任的权利。</w:t>
      </w:r>
    </w:p>
    <w:p w14:paraId="0F8D6294">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3.本合同约定的保密义务不因本合同的变更、终止而无效，在双方合作终止后本条款对双方仍有约束力。如双方未对保密期限加以规定，则直至保密信息成为公众信息后，本合同约定的保密义务才予以解除。</w:t>
      </w:r>
    </w:p>
    <w:p w14:paraId="5C97CF4F">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十四、违约责任</w:t>
      </w:r>
      <w:bookmarkEnd w:id="273"/>
    </w:p>
    <w:p w14:paraId="5F01F8C9">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bookmarkStart w:id="274" w:name="_Toc86481566"/>
      <w:r>
        <w:rPr>
          <w:rFonts w:hint="eastAsia" w:ascii="黑体" w:hAnsi="黑体" w:eastAsia="黑体" w:cs="黑体"/>
          <w:color w:val="auto"/>
          <w:sz w:val="21"/>
          <w:szCs w:val="21"/>
          <w:highlight w:val="none"/>
        </w:rPr>
        <w:t>1.若乙方未能按本合同约定期限完成相关产品安装部署交付的，逾期期间，每日须按本合同总价的2‰计付合同违约金给甲方。如逾期超15个日历日或乙方交付的货物不符合合同规定或未能通过甲方验收的，甲方有权拒收，并有权单方解除本合同，甲方无需向乙方支付任何费用，且乙方应将甲方已支付的全部费用退还给甲方，同时乙方向甲方支付合同总价20%的违约金。违约金不足以弥补甲方损失的，乙方应予以补足。</w:t>
      </w:r>
    </w:p>
    <w:p w14:paraId="1C0FFF3A">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2.甲方无正当理由拒收货物或拒付货款的，应向乙方偿付货物总金额20%的违约金。</w:t>
      </w:r>
    </w:p>
    <w:p w14:paraId="64035A00">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3.</w:t>
      </w:r>
      <w:r>
        <w:rPr>
          <w:rFonts w:hint="eastAsia" w:ascii="黑体" w:hAnsi="黑体" w:eastAsia="黑体" w:cs="黑体"/>
          <w:color w:val="auto"/>
          <w:sz w:val="21"/>
          <w:szCs w:val="21"/>
          <w:highlight w:val="none"/>
          <w:lang w:bidi="ar"/>
        </w:rPr>
        <w:t>因乙方原因导致本合同无法履行的，甲方有权解除本合同，乙方除应当退回甲方已支付的全部费用，还须向甲方支付本合同总价的20%作为违约金，违约金不足以弥补对甲方造成的损失，乙方应当予以补足。</w:t>
      </w:r>
    </w:p>
    <w:p w14:paraId="7CD3857E">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4.甲方在收到本合同第七条第1款乙方收款前须提供的资料齐全之后在规定期限内完成付款，甲方如无正当理由逾期支付货款，则逾期期间应每日按合同总价2‰向乙方偿付违约金，违约金最高不得超过合同总价的20%。</w:t>
      </w:r>
    </w:p>
    <w:p w14:paraId="7E6D99C0">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5.在质保期内，如货物非因甲方的人为原因出现的质量问题而进行维修的，维修过程中须乙方提供同类型备用机作为保障。乙方未按本合同规定时间提供备用机的，每逾期一日乙方按合同总价的2‰向甲方支付违约金，违约金不足以弥补甲方损失的，乙方应予以补足。</w:t>
      </w:r>
    </w:p>
    <w:p w14:paraId="5BB34B20">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6.保修期内乙方包换、包修或包退问题件，并承担修理、调换或退货的实际费用和运输途中货物的全部风险。乙方在期限内不能修理或不能调换，乙方应退回该设备100%设备款，或者甲乙双方协商更换同类型同价值产品，保障甲方工作的正常运行。同时乙方按该设备100%设备款20%违约金，违约金不足以弥补甲方损失的，乙方应予以补足。</w:t>
      </w:r>
    </w:p>
    <w:p w14:paraId="77FFC993">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7.乙方违反合同约定的，乙方除需按照上述约定承担违约责任外，甲方因维权而支付的所有费用，均由乙方承担，包括但不限于律师费、诉讼费、担保费、保全费、公证费、取证费等一切费用。</w:t>
      </w:r>
    </w:p>
    <w:p w14:paraId="2EE09AAC">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十五、不可抗力</w:t>
      </w:r>
    </w:p>
    <w:p w14:paraId="6ACDEDCF">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任何一方在本合同的任何执行阶段，因动乱、暴乱、水灾、火灾、风暴、瘟疫、爆炸、战争、政府行为或任何其他双方不能预见、不能避免并不能克服的因素而没能履行本合同全部或部分义务时，甲乙双方之义务应暂时冻结，并在合理时间内通知合同另一方，同时双方应尽力避免损失的扩大。若乙方违反通知义务由此造成甲方损失扩大的，应承担违约责任。</w:t>
      </w:r>
    </w:p>
    <w:p w14:paraId="26F1391D">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2.受不可抗力影响的一方在不可抗力时间发生15日内，取得有关该不可抗力事件证明文件（如政府通告的复印件）提交另一方确认。双方同意，可凭此证明文件免除全部或部分相关责任。</w:t>
      </w:r>
    </w:p>
    <w:p w14:paraId="7B620CD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十六、争议的解决</w:t>
      </w:r>
      <w:bookmarkEnd w:id="274"/>
    </w:p>
    <w:p w14:paraId="630D7293">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1.凡与本合同有关而引起的一切争议，甲乙双方应首先通过友好协商解决，如经协商后仍不能解决的，可向甲方所在地人民法院提起诉讼。</w:t>
      </w:r>
    </w:p>
    <w:p w14:paraId="44140533">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2.在进行法院审理期间，除提交法院审理的事项外，合同其他部分仍继续履行。</w:t>
      </w:r>
    </w:p>
    <w:p w14:paraId="4C78261E">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十七、</w:t>
      </w:r>
      <w:bookmarkStart w:id="275" w:name="_Toc86481569"/>
      <w:r>
        <w:rPr>
          <w:rFonts w:hint="eastAsia" w:ascii="黑体" w:hAnsi="黑体" w:eastAsia="黑体" w:cs="黑体"/>
          <w:color w:val="auto"/>
          <w:sz w:val="21"/>
          <w:szCs w:val="21"/>
          <w:highlight w:val="none"/>
        </w:rPr>
        <w:t>合同生效</w:t>
      </w:r>
      <w:bookmarkEnd w:id="275"/>
    </w:p>
    <w:p w14:paraId="350AD521">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本合同经双方授权代表签字盖章后生效，生效日以最后一个签字日为准。</w:t>
      </w:r>
    </w:p>
    <w:p w14:paraId="295FC884">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b/>
          <w:bCs/>
          <w:color w:val="auto"/>
          <w:sz w:val="21"/>
          <w:szCs w:val="21"/>
          <w:highlight w:val="none"/>
        </w:rPr>
      </w:pPr>
      <w:r>
        <w:rPr>
          <w:rFonts w:hint="eastAsia" w:ascii="黑体" w:hAnsi="黑体" w:eastAsia="黑体" w:cs="黑体"/>
          <w:color w:val="auto"/>
          <w:sz w:val="21"/>
          <w:szCs w:val="21"/>
          <w:highlight w:val="none"/>
        </w:rPr>
        <w:t>十八、送达</w:t>
      </w:r>
    </w:p>
    <w:p w14:paraId="13F49684">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76" w:name="_Hlk54343724"/>
      <w:r>
        <w:rPr>
          <w:rFonts w:hint="eastAsia" w:ascii="黑体" w:hAnsi="黑体" w:eastAsia="黑体" w:cs="黑体"/>
          <w:color w:val="auto"/>
          <w:sz w:val="21"/>
          <w:szCs w:val="21"/>
          <w:highlight w:val="none"/>
        </w:rPr>
        <w:t xml:space="preserve">1.双方就本协议涉及的各类通知、协议等文件以及就本协议发生诉讼时相关法律文书送达时的送达地址及法律后果作如下约定：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0"/>
        <w:gridCol w:w="5252"/>
      </w:tblGrid>
      <w:tr w14:paraId="4F7B7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0" w:type="dxa"/>
            <w:noWrap w:val="0"/>
            <w:vAlign w:val="center"/>
          </w:tcPr>
          <w:p w14:paraId="60803577">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甲方确认送达地址为：</w:t>
            </w:r>
          </w:p>
        </w:tc>
        <w:tc>
          <w:tcPr>
            <w:tcW w:w="5252" w:type="dxa"/>
            <w:noWrap w:val="0"/>
            <w:vAlign w:val="top"/>
          </w:tcPr>
          <w:p w14:paraId="15EC157F">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广东省东莞市松山湖区大学路1号</w:t>
            </w:r>
          </w:p>
        </w:tc>
      </w:tr>
      <w:tr w14:paraId="434D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3270" w:type="dxa"/>
            <w:noWrap w:val="0"/>
            <w:vAlign w:val="center"/>
          </w:tcPr>
          <w:p w14:paraId="559E6E93">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甲方收件电子邮箱为：</w:t>
            </w:r>
          </w:p>
        </w:tc>
        <w:tc>
          <w:tcPr>
            <w:tcW w:w="5252" w:type="dxa"/>
            <w:noWrap w:val="0"/>
            <w:vAlign w:val="top"/>
          </w:tcPr>
          <w:p w14:paraId="6FCA10D7">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r w14:paraId="7ACF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3270" w:type="dxa"/>
            <w:noWrap w:val="0"/>
            <w:vAlign w:val="center"/>
          </w:tcPr>
          <w:p w14:paraId="46C1C8ED">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甲方确认联系人及联系电话：</w:t>
            </w:r>
          </w:p>
        </w:tc>
        <w:tc>
          <w:tcPr>
            <w:tcW w:w="5252" w:type="dxa"/>
            <w:noWrap w:val="0"/>
            <w:vAlign w:val="top"/>
          </w:tcPr>
          <w:p w14:paraId="5C2799EE">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r w14:paraId="30C73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0" w:type="dxa"/>
            <w:noWrap w:val="0"/>
            <w:vAlign w:val="center"/>
          </w:tcPr>
          <w:p w14:paraId="3C9AAE20">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乙方确认送达地址为：</w:t>
            </w:r>
          </w:p>
        </w:tc>
        <w:tc>
          <w:tcPr>
            <w:tcW w:w="5252" w:type="dxa"/>
            <w:noWrap w:val="0"/>
            <w:vAlign w:val="top"/>
          </w:tcPr>
          <w:p w14:paraId="35FF4D38">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r w14:paraId="27A2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0" w:type="dxa"/>
            <w:noWrap w:val="0"/>
            <w:vAlign w:val="center"/>
          </w:tcPr>
          <w:p w14:paraId="701BFF1B">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乙方收件电子邮箱为：</w:t>
            </w:r>
          </w:p>
        </w:tc>
        <w:tc>
          <w:tcPr>
            <w:tcW w:w="5252" w:type="dxa"/>
            <w:noWrap w:val="0"/>
            <w:vAlign w:val="top"/>
          </w:tcPr>
          <w:p w14:paraId="495A14DD">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r w14:paraId="55885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0" w:type="dxa"/>
            <w:noWrap w:val="0"/>
            <w:vAlign w:val="center"/>
          </w:tcPr>
          <w:p w14:paraId="164F1F11">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乙方确认联系人及联系电话：</w:t>
            </w:r>
          </w:p>
        </w:tc>
        <w:tc>
          <w:tcPr>
            <w:tcW w:w="5252" w:type="dxa"/>
            <w:noWrap w:val="0"/>
            <w:vAlign w:val="top"/>
          </w:tcPr>
          <w:p w14:paraId="4883CFE9">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bl>
    <w:p w14:paraId="33ABBFA7">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2.以上送达地址的使用范围包括各类通知、协议等文件的送达以及双方因本协议发生纠纷导致诉讼程序时各类诉讼文书的送达。</w:t>
      </w:r>
    </w:p>
    <w:p w14:paraId="10EE380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3.因任何一方填写的送达地址不准确或地址变更后未及时以书面方式告知另一方的，导致相关文书未能被一方实际接收的，按以下方式处理： </w:t>
      </w:r>
    </w:p>
    <w:p w14:paraId="79FBCD6F">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邮寄送达因未妥投或拒收等原因退回的，文书退回之日视为送达之日；采用电子送达方式送达相关文书的，以电子邮件等到达受送达人特定系统的日期为送达之日</w:t>
      </w:r>
      <w:bookmarkEnd w:id="276"/>
      <w:r>
        <w:rPr>
          <w:rFonts w:hint="eastAsia" w:ascii="黑体" w:hAnsi="黑体" w:eastAsia="黑体" w:cs="黑体"/>
          <w:color w:val="auto"/>
          <w:sz w:val="21"/>
          <w:szCs w:val="21"/>
          <w:highlight w:val="none"/>
        </w:rPr>
        <w:t>。</w:t>
      </w:r>
    </w:p>
    <w:p w14:paraId="702D658B">
      <w:pPr>
        <w:keepNext w:val="0"/>
        <w:keepLines w:val="0"/>
        <w:pageBreakBefore w:val="0"/>
        <w:kinsoku/>
        <w:wordWrap/>
        <w:overflowPunct/>
        <w:topLinePunct w:val="0"/>
        <w:autoSpaceDE/>
        <w:autoSpaceDN/>
        <w:bidi w:val="0"/>
        <w:adjustRightInd/>
        <w:snapToGrid/>
        <w:spacing w:line="360" w:lineRule="auto"/>
        <w:ind w:firstLine="420" w:firstLineChars="2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电子送达、邮寄送达及其他送达方式具有同等效力。</w:t>
      </w:r>
    </w:p>
    <w:p w14:paraId="62146E5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bookmarkStart w:id="277" w:name="_Toc86481570"/>
      <w:r>
        <w:rPr>
          <w:rFonts w:hint="eastAsia" w:ascii="黑体" w:hAnsi="黑体" w:eastAsia="黑体" w:cs="黑体"/>
          <w:color w:val="auto"/>
          <w:sz w:val="21"/>
          <w:szCs w:val="21"/>
          <w:highlight w:val="none"/>
        </w:rPr>
        <w:t>十九、其它</w:t>
      </w:r>
      <w:bookmarkEnd w:id="277"/>
    </w:p>
    <w:p w14:paraId="49221E9D">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1.本合同所包括的招标文件、</w:t>
      </w:r>
      <w:r>
        <w:rPr>
          <w:rFonts w:hint="eastAsia" w:ascii="黑体" w:hAnsi="黑体" w:eastAsia="黑体" w:cs="黑体"/>
          <w:color w:val="auto"/>
          <w:sz w:val="21"/>
          <w:szCs w:val="21"/>
          <w:highlight w:val="none"/>
          <w:lang w:eastAsia="zh-CN"/>
        </w:rPr>
        <w:t>响应文件</w:t>
      </w:r>
      <w:r>
        <w:rPr>
          <w:rFonts w:hint="eastAsia" w:ascii="黑体" w:hAnsi="黑体" w:eastAsia="黑体" w:cs="黑体"/>
          <w:color w:val="auto"/>
          <w:sz w:val="21"/>
          <w:szCs w:val="21"/>
          <w:highlight w:val="none"/>
        </w:rPr>
        <w:t>、</w:t>
      </w:r>
      <w:r>
        <w:rPr>
          <w:rFonts w:hint="eastAsia" w:ascii="黑体" w:hAnsi="黑体" w:eastAsia="黑体" w:cs="黑体"/>
          <w:color w:val="auto"/>
          <w:sz w:val="21"/>
          <w:szCs w:val="21"/>
          <w:highlight w:val="none"/>
          <w:lang w:eastAsia="zh-CN"/>
        </w:rPr>
        <w:t>成交通知书</w:t>
      </w:r>
      <w:r>
        <w:rPr>
          <w:rFonts w:hint="eastAsia" w:ascii="黑体" w:hAnsi="黑体" w:eastAsia="黑体" w:cs="黑体"/>
          <w:color w:val="auto"/>
          <w:sz w:val="21"/>
          <w:szCs w:val="21"/>
          <w:highlight w:val="none"/>
        </w:rPr>
        <w:t>等附件，是本合同不可分割的一部分，具有同等的法律效力。</w:t>
      </w:r>
    </w:p>
    <w:p w14:paraId="010F1C06">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2.在执行本合同的过程中，所有经甲乙双方签署确认的文件（包括会议纪要、补充协议、往来信函）即成为本合同的有效组成部分，其生效日期为双方签字盖章或确认之日期。</w:t>
      </w:r>
    </w:p>
    <w:p w14:paraId="56C39DAB">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lang w:bidi="ar"/>
        </w:rPr>
      </w:pPr>
      <w:r>
        <w:rPr>
          <w:rFonts w:hint="eastAsia" w:ascii="黑体" w:hAnsi="黑体" w:eastAsia="黑体" w:cs="黑体"/>
          <w:color w:val="auto"/>
          <w:sz w:val="21"/>
          <w:szCs w:val="21"/>
          <w:highlight w:val="none"/>
          <w:lang w:bidi="ar"/>
        </w:rPr>
        <w:t>3.本合同未尽事项按采购文件及乙方在</w:t>
      </w:r>
      <w:r>
        <w:rPr>
          <w:rFonts w:hint="eastAsia" w:ascii="黑体" w:hAnsi="黑体" w:eastAsia="黑体" w:cs="黑体"/>
          <w:color w:val="auto"/>
          <w:sz w:val="21"/>
          <w:szCs w:val="21"/>
          <w:highlight w:val="none"/>
          <w:lang w:eastAsia="zh-CN" w:bidi="ar"/>
        </w:rPr>
        <w:t>响应文件</w:t>
      </w:r>
      <w:r>
        <w:rPr>
          <w:rFonts w:hint="eastAsia" w:ascii="黑体" w:hAnsi="黑体" w:eastAsia="黑体" w:cs="黑体"/>
          <w:color w:val="auto"/>
          <w:sz w:val="21"/>
          <w:szCs w:val="21"/>
          <w:highlight w:val="none"/>
          <w:lang w:bidi="ar"/>
        </w:rPr>
        <w:t>中承诺的服务等相关条款执行。</w:t>
      </w:r>
    </w:p>
    <w:p w14:paraId="3EB262E2">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bidi="ar"/>
        </w:rPr>
        <w:t>4.如果因法律、法规变化而导致本合同的部分条款效力发生变化时，本合同其他条款的效力不受影响。</w:t>
      </w:r>
    </w:p>
    <w:p w14:paraId="5F3ABDDA">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5.本合同一式</w:t>
      </w:r>
      <w:r>
        <w:rPr>
          <w:rFonts w:hint="eastAsia" w:ascii="黑体" w:hAnsi="黑体" w:eastAsia="黑体" w:cs="黑体"/>
          <w:color w:val="auto"/>
          <w:sz w:val="21"/>
          <w:szCs w:val="21"/>
          <w:highlight w:val="none"/>
          <w:u w:val="single"/>
        </w:rPr>
        <w:t>伍</w:t>
      </w:r>
      <w:r>
        <w:rPr>
          <w:rFonts w:hint="eastAsia" w:ascii="黑体" w:hAnsi="黑体" w:eastAsia="黑体" w:cs="黑体"/>
          <w:color w:val="auto"/>
          <w:sz w:val="21"/>
          <w:szCs w:val="21"/>
          <w:highlight w:val="none"/>
        </w:rPr>
        <w:t>份，甲方执</w:t>
      </w:r>
      <w:r>
        <w:rPr>
          <w:rFonts w:hint="eastAsia" w:ascii="黑体" w:hAnsi="黑体" w:eastAsia="黑体" w:cs="黑体"/>
          <w:color w:val="auto"/>
          <w:sz w:val="21"/>
          <w:szCs w:val="21"/>
          <w:highlight w:val="none"/>
          <w:u w:val="single"/>
        </w:rPr>
        <w:t>叁</w:t>
      </w:r>
      <w:r>
        <w:rPr>
          <w:rFonts w:hint="eastAsia" w:ascii="黑体" w:hAnsi="黑体" w:eastAsia="黑体" w:cs="黑体"/>
          <w:color w:val="auto"/>
          <w:sz w:val="21"/>
          <w:szCs w:val="21"/>
          <w:highlight w:val="none"/>
        </w:rPr>
        <w:t>份，乙方执</w:t>
      </w:r>
      <w:r>
        <w:rPr>
          <w:rFonts w:hint="eastAsia" w:ascii="黑体" w:hAnsi="黑体" w:eastAsia="黑体" w:cs="黑体"/>
          <w:color w:val="auto"/>
          <w:sz w:val="21"/>
          <w:szCs w:val="21"/>
          <w:highlight w:val="none"/>
          <w:u w:val="single"/>
        </w:rPr>
        <w:t>壹</w:t>
      </w:r>
      <w:r>
        <w:rPr>
          <w:rFonts w:hint="eastAsia" w:ascii="黑体" w:hAnsi="黑体" w:eastAsia="黑体" w:cs="黑体"/>
          <w:color w:val="auto"/>
          <w:sz w:val="21"/>
          <w:szCs w:val="21"/>
          <w:highlight w:val="none"/>
        </w:rPr>
        <w:t>份，采购代理机构执</w:t>
      </w:r>
      <w:r>
        <w:rPr>
          <w:rFonts w:hint="eastAsia" w:ascii="黑体" w:hAnsi="黑体" w:eastAsia="黑体" w:cs="黑体"/>
          <w:color w:val="auto"/>
          <w:sz w:val="21"/>
          <w:szCs w:val="21"/>
          <w:highlight w:val="none"/>
          <w:u w:val="single"/>
        </w:rPr>
        <w:t>壹</w:t>
      </w:r>
      <w:r>
        <w:rPr>
          <w:rFonts w:hint="eastAsia" w:ascii="黑体" w:hAnsi="黑体" w:eastAsia="黑体" w:cs="黑体"/>
          <w:color w:val="auto"/>
          <w:sz w:val="21"/>
          <w:szCs w:val="21"/>
          <w:highlight w:val="none"/>
        </w:rPr>
        <w:t>份，具有同等法律效力。本合同合计</w:t>
      </w:r>
      <w:r>
        <w:rPr>
          <w:rFonts w:hint="eastAsia" w:ascii="黑体" w:hAnsi="黑体" w:eastAsia="黑体" w:cs="黑体"/>
          <w:color w:val="auto"/>
          <w:sz w:val="21"/>
          <w:szCs w:val="21"/>
          <w:highlight w:val="none"/>
          <w:u w:val="single"/>
        </w:rPr>
        <w:t xml:space="preserve"> XXX </w:t>
      </w:r>
      <w:r>
        <w:rPr>
          <w:rFonts w:hint="eastAsia" w:ascii="黑体" w:hAnsi="黑体" w:eastAsia="黑体" w:cs="黑体"/>
          <w:color w:val="auto"/>
          <w:sz w:val="21"/>
          <w:szCs w:val="21"/>
          <w:highlight w:val="none"/>
        </w:rPr>
        <w:t>页A4纸张，缺页之合同为无效合同。</w:t>
      </w:r>
    </w:p>
    <w:p w14:paraId="6B8BD41C">
      <w:pPr>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6.合同附件： （1）详细技术参数表 </w:t>
      </w:r>
    </w:p>
    <w:p w14:paraId="1A567C2C">
      <w:pPr>
        <w:keepNext w:val="0"/>
        <w:keepLines w:val="0"/>
        <w:pageBreakBefore w:val="0"/>
        <w:kinsoku/>
        <w:wordWrap/>
        <w:overflowPunct/>
        <w:topLinePunct w:val="0"/>
        <w:autoSpaceDE/>
        <w:autoSpaceDN/>
        <w:bidi w:val="0"/>
        <w:adjustRightInd/>
        <w:snapToGrid/>
        <w:spacing w:line="360" w:lineRule="auto"/>
        <w:ind w:firstLine="1470" w:firstLineChars="7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（……以下无正文，为签字页……）</w:t>
      </w:r>
    </w:p>
    <w:tbl>
      <w:tblPr>
        <w:tblStyle w:val="19"/>
        <w:tblW w:w="0" w:type="auto"/>
        <w:tblInd w:w="0" w:type="dxa"/>
        <w:tblLayout w:type="fixed"/>
        <w:tblCellMar>
          <w:top w:w="0" w:type="dxa"/>
          <w:left w:w="108" w:type="dxa"/>
          <w:bottom w:w="0" w:type="dxa"/>
          <w:right w:w="108" w:type="dxa"/>
        </w:tblCellMar>
      </w:tblPr>
      <w:tblGrid>
        <w:gridCol w:w="4261"/>
        <w:gridCol w:w="4261"/>
      </w:tblGrid>
      <w:tr w14:paraId="13C89C5F">
        <w:tblPrEx>
          <w:tblCellMar>
            <w:top w:w="0" w:type="dxa"/>
            <w:left w:w="108" w:type="dxa"/>
            <w:bottom w:w="0" w:type="dxa"/>
            <w:right w:w="108" w:type="dxa"/>
          </w:tblCellMar>
        </w:tblPrEx>
        <w:tc>
          <w:tcPr>
            <w:tcW w:w="4261" w:type="dxa"/>
            <w:noWrap w:val="0"/>
            <w:vAlign w:val="top"/>
          </w:tcPr>
          <w:p w14:paraId="35EB097F">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甲方（盖章）：东莞理工学院</w:t>
            </w:r>
          </w:p>
        </w:tc>
        <w:tc>
          <w:tcPr>
            <w:tcW w:w="4261" w:type="dxa"/>
            <w:noWrap w:val="0"/>
            <w:vAlign w:val="top"/>
          </w:tcPr>
          <w:p w14:paraId="0D7695BC">
            <w:pPr>
              <w:keepNext w:val="0"/>
              <w:keepLines w:val="0"/>
              <w:pageBreakBefore w:val="0"/>
              <w:kinsoku/>
              <w:wordWrap/>
              <w:overflowPunct/>
              <w:topLinePunct w:val="0"/>
              <w:autoSpaceDE/>
              <w:autoSpaceDN/>
              <w:bidi w:val="0"/>
              <w:adjustRightInd/>
              <w:snapToGrid/>
              <w:spacing w:line="360" w:lineRule="auto"/>
              <w:ind w:left="1680" w:hanging="1260" w:hangingChars="6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乙方（盖章）：XXX </w:t>
            </w:r>
          </w:p>
        </w:tc>
      </w:tr>
      <w:tr w14:paraId="124E8F3D">
        <w:tblPrEx>
          <w:tblCellMar>
            <w:top w:w="0" w:type="dxa"/>
            <w:left w:w="108" w:type="dxa"/>
            <w:bottom w:w="0" w:type="dxa"/>
            <w:right w:w="108" w:type="dxa"/>
          </w:tblCellMar>
        </w:tblPrEx>
        <w:tc>
          <w:tcPr>
            <w:tcW w:w="4261" w:type="dxa"/>
            <w:noWrap w:val="0"/>
            <w:vAlign w:val="top"/>
          </w:tcPr>
          <w:p w14:paraId="7C6AB470">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p>
          <w:p w14:paraId="76057A49">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授权代表(签字)：</w:t>
            </w:r>
          </w:p>
        </w:tc>
        <w:tc>
          <w:tcPr>
            <w:tcW w:w="4261" w:type="dxa"/>
            <w:noWrap w:val="0"/>
            <w:vAlign w:val="top"/>
          </w:tcPr>
          <w:p w14:paraId="0E041318">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p>
          <w:p w14:paraId="1F6487F2">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授权代表 (签字)：</w:t>
            </w:r>
          </w:p>
        </w:tc>
      </w:tr>
      <w:tr w14:paraId="7A90B199">
        <w:tblPrEx>
          <w:tblCellMar>
            <w:top w:w="0" w:type="dxa"/>
            <w:left w:w="108" w:type="dxa"/>
            <w:bottom w:w="0" w:type="dxa"/>
            <w:right w:w="108" w:type="dxa"/>
          </w:tblCellMar>
        </w:tblPrEx>
        <w:tc>
          <w:tcPr>
            <w:tcW w:w="4261" w:type="dxa"/>
            <w:noWrap w:val="0"/>
            <w:vAlign w:val="top"/>
          </w:tcPr>
          <w:p w14:paraId="28AED533">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strike/>
                <w:color w:val="auto"/>
                <w:sz w:val="21"/>
                <w:szCs w:val="21"/>
                <w:highlight w:val="none"/>
              </w:rPr>
            </w:pPr>
          </w:p>
        </w:tc>
        <w:tc>
          <w:tcPr>
            <w:tcW w:w="4261" w:type="dxa"/>
            <w:noWrap w:val="0"/>
            <w:vAlign w:val="top"/>
          </w:tcPr>
          <w:p w14:paraId="4A2035CC">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strike/>
                <w:color w:val="auto"/>
                <w:sz w:val="21"/>
                <w:szCs w:val="21"/>
                <w:highlight w:val="none"/>
              </w:rPr>
            </w:pPr>
          </w:p>
        </w:tc>
      </w:tr>
      <w:tr w14:paraId="1422F439">
        <w:tblPrEx>
          <w:tblCellMar>
            <w:top w:w="0" w:type="dxa"/>
            <w:left w:w="108" w:type="dxa"/>
            <w:bottom w:w="0" w:type="dxa"/>
            <w:right w:w="108" w:type="dxa"/>
          </w:tblCellMar>
        </w:tblPrEx>
        <w:tc>
          <w:tcPr>
            <w:tcW w:w="4261" w:type="dxa"/>
            <w:noWrap w:val="0"/>
            <w:vAlign w:val="top"/>
          </w:tcPr>
          <w:p w14:paraId="33E9810B">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                年   月  日   </w:t>
            </w:r>
          </w:p>
        </w:tc>
        <w:tc>
          <w:tcPr>
            <w:tcW w:w="4261" w:type="dxa"/>
            <w:noWrap w:val="0"/>
            <w:vAlign w:val="top"/>
          </w:tcPr>
          <w:p w14:paraId="14823895">
            <w:pPr>
              <w:keepNext w:val="0"/>
              <w:keepLines w:val="0"/>
              <w:pageBreakBefore w:val="0"/>
              <w:kinsoku/>
              <w:wordWrap/>
              <w:overflowPunct/>
              <w:topLinePunct w:val="0"/>
              <w:autoSpaceDE/>
              <w:autoSpaceDN/>
              <w:bidi w:val="0"/>
              <w:adjustRightInd/>
              <w:snapToGrid/>
              <w:spacing w:line="360" w:lineRule="auto"/>
              <w:ind w:firstLine="1260" w:firstLineChars="600"/>
              <w:jc w:val="left"/>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 xml:space="preserve">    年   月  日</w:t>
            </w:r>
          </w:p>
        </w:tc>
      </w:tr>
    </w:tbl>
    <w:p w14:paraId="573A4ED7">
      <w:pPr>
        <w:rPr>
          <w:rFonts w:hint="eastAsia" w:ascii="黑体" w:hAnsi="黑体" w:eastAsia="黑体" w:cs="黑体"/>
          <w:b/>
          <w:color w:val="auto"/>
          <w:sz w:val="22"/>
          <w:highlight w:val="none"/>
        </w:rPr>
      </w:pPr>
      <w:r>
        <w:rPr>
          <w:rFonts w:hint="eastAsia" w:ascii="黑体" w:hAnsi="黑体" w:eastAsia="黑体" w:cs="黑体"/>
          <w:b/>
          <w:color w:val="auto"/>
          <w:sz w:val="22"/>
          <w:highlight w:val="none"/>
        </w:rPr>
        <w:br w:type="page"/>
      </w:r>
    </w:p>
    <w:p w14:paraId="5A55CC57">
      <w:pPr>
        <w:spacing w:line="560" w:lineRule="exact"/>
        <w:jc w:val="left"/>
        <w:rPr>
          <w:rFonts w:hint="eastAsia" w:ascii="黑体" w:hAnsi="黑体" w:eastAsia="黑体" w:cs="黑体"/>
          <w:b/>
          <w:color w:val="auto"/>
          <w:sz w:val="22"/>
          <w:highlight w:val="none"/>
        </w:rPr>
      </w:pPr>
      <w:r>
        <w:rPr>
          <w:rFonts w:hint="eastAsia" w:ascii="黑体" w:hAnsi="黑体" w:eastAsia="黑体" w:cs="黑体"/>
          <w:b/>
          <w:color w:val="auto"/>
          <w:sz w:val="22"/>
          <w:highlight w:val="none"/>
        </w:rPr>
        <w:t>合同附件</w:t>
      </w:r>
    </w:p>
    <w:p w14:paraId="590A68FB">
      <w:pPr>
        <w:rPr>
          <w:rFonts w:hint="eastAsia" w:ascii="黑体" w:hAnsi="黑体" w:eastAsia="黑体" w:cs="黑体"/>
          <w:b/>
          <w:color w:val="auto"/>
          <w:sz w:val="22"/>
          <w:highlight w:val="none"/>
        </w:rPr>
      </w:pPr>
    </w:p>
    <w:p w14:paraId="685A448B">
      <w:pPr>
        <w:spacing w:line="400" w:lineRule="atLeast"/>
        <w:ind w:firstLine="452" w:firstLineChars="150"/>
        <w:jc w:val="center"/>
        <w:rPr>
          <w:rFonts w:hint="eastAsia" w:ascii="黑体" w:hAnsi="黑体" w:eastAsia="黑体" w:cs="黑体"/>
          <w:b/>
          <w:color w:val="auto"/>
          <w:sz w:val="30"/>
          <w:szCs w:val="30"/>
          <w:highlight w:val="none"/>
        </w:rPr>
      </w:pPr>
      <w:r>
        <w:rPr>
          <w:rFonts w:hint="eastAsia" w:ascii="黑体" w:hAnsi="黑体" w:eastAsia="黑体" w:cs="黑体"/>
          <w:b/>
          <w:color w:val="auto"/>
          <w:sz w:val="30"/>
          <w:szCs w:val="30"/>
          <w:highlight w:val="none"/>
        </w:rPr>
        <w:t>（1）详细技术参数表</w:t>
      </w:r>
    </w:p>
    <w:p w14:paraId="4BF0F4AE">
      <w:pPr>
        <w:rPr>
          <w:rFonts w:hint="eastAsia" w:ascii="黑体" w:hAnsi="黑体" w:eastAsia="黑体" w:cs="黑体"/>
          <w:color w:val="auto"/>
          <w:szCs w:val="21"/>
          <w:highlight w:val="none"/>
        </w:rPr>
      </w:pPr>
    </w:p>
    <w:tbl>
      <w:tblPr>
        <w:tblStyle w:val="1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178"/>
        <w:gridCol w:w="1263"/>
        <w:gridCol w:w="4806"/>
        <w:gridCol w:w="631"/>
      </w:tblGrid>
      <w:tr w14:paraId="655E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376" w:type="pct"/>
            <w:noWrap w:val="0"/>
            <w:vAlign w:val="center"/>
          </w:tcPr>
          <w:p w14:paraId="742DEE4A">
            <w:pPr>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序号</w:t>
            </w:r>
          </w:p>
        </w:tc>
        <w:tc>
          <w:tcPr>
            <w:tcW w:w="691" w:type="pct"/>
            <w:noWrap w:val="0"/>
            <w:vAlign w:val="center"/>
          </w:tcPr>
          <w:p w14:paraId="0FCBC945">
            <w:pPr>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货物名称</w:t>
            </w:r>
          </w:p>
        </w:tc>
        <w:tc>
          <w:tcPr>
            <w:tcW w:w="741" w:type="pct"/>
            <w:noWrap w:val="0"/>
            <w:vAlign w:val="center"/>
          </w:tcPr>
          <w:p w14:paraId="4073D8E8">
            <w:pPr>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品牌型号</w:t>
            </w:r>
          </w:p>
        </w:tc>
        <w:tc>
          <w:tcPr>
            <w:tcW w:w="2819" w:type="pct"/>
            <w:noWrap w:val="0"/>
            <w:vAlign w:val="center"/>
          </w:tcPr>
          <w:p w14:paraId="3D9A7007">
            <w:pPr>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技术参数</w:t>
            </w:r>
          </w:p>
        </w:tc>
        <w:tc>
          <w:tcPr>
            <w:tcW w:w="370" w:type="pct"/>
            <w:noWrap w:val="0"/>
            <w:vAlign w:val="center"/>
          </w:tcPr>
          <w:p w14:paraId="3ACF9341">
            <w:pPr>
              <w:jc w:val="center"/>
              <w:rPr>
                <w:rFonts w:hint="eastAsia" w:ascii="黑体" w:hAnsi="黑体" w:eastAsia="黑体" w:cs="黑体"/>
                <w:b/>
                <w:color w:val="auto"/>
                <w:sz w:val="21"/>
                <w:szCs w:val="21"/>
                <w:highlight w:val="none"/>
              </w:rPr>
            </w:pPr>
            <w:r>
              <w:rPr>
                <w:rFonts w:hint="eastAsia" w:ascii="黑体" w:hAnsi="黑体" w:eastAsia="黑体" w:cs="黑体"/>
                <w:b/>
                <w:color w:val="auto"/>
                <w:sz w:val="21"/>
                <w:szCs w:val="21"/>
                <w:highlight w:val="none"/>
              </w:rPr>
              <w:t>数量</w:t>
            </w:r>
          </w:p>
        </w:tc>
      </w:tr>
      <w:tr w14:paraId="2650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376" w:type="pct"/>
            <w:noWrap w:val="0"/>
            <w:vAlign w:val="center"/>
          </w:tcPr>
          <w:p w14:paraId="128BA9F9">
            <w:pPr>
              <w:widowControl/>
              <w:jc w:val="center"/>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1</w:t>
            </w:r>
          </w:p>
        </w:tc>
        <w:tc>
          <w:tcPr>
            <w:tcW w:w="691" w:type="pct"/>
            <w:noWrap w:val="0"/>
            <w:vAlign w:val="center"/>
          </w:tcPr>
          <w:p w14:paraId="07C25158">
            <w:pPr>
              <w:jc w:val="center"/>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c>
          <w:tcPr>
            <w:tcW w:w="741" w:type="pct"/>
            <w:noWrap w:val="0"/>
            <w:vAlign w:val="center"/>
          </w:tcPr>
          <w:p w14:paraId="35694471">
            <w:pPr>
              <w:jc w:val="center"/>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c>
          <w:tcPr>
            <w:tcW w:w="2819" w:type="pct"/>
            <w:noWrap w:val="0"/>
            <w:vAlign w:val="center"/>
          </w:tcPr>
          <w:p w14:paraId="5586535D">
            <w:pPr>
              <w:spacing w:line="400" w:lineRule="exact"/>
              <w:jc w:val="left"/>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c>
          <w:tcPr>
            <w:tcW w:w="370" w:type="pct"/>
            <w:noWrap w:val="0"/>
            <w:vAlign w:val="center"/>
          </w:tcPr>
          <w:p w14:paraId="16F85339">
            <w:pPr>
              <w:jc w:val="center"/>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XXX</w:t>
            </w:r>
          </w:p>
        </w:tc>
      </w:tr>
      <w:tr w14:paraId="4FDDF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76" w:type="pct"/>
            <w:noWrap w:val="0"/>
            <w:vAlign w:val="center"/>
          </w:tcPr>
          <w:p w14:paraId="64959B49">
            <w:pPr>
              <w:widowControl/>
              <w:jc w:val="center"/>
              <w:rPr>
                <w:rFonts w:hint="eastAsia" w:ascii="黑体" w:hAnsi="黑体" w:eastAsia="黑体" w:cs="黑体"/>
                <w:color w:val="auto"/>
                <w:kern w:val="0"/>
                <w:sz w:val="21"/>
                <w:szCs w:val="21"/>
                <w:highlight w:val="none"/>
              </w:rPr>
            </w:pPr>
            <w:r>
              <w:rPr>
                <w:rFonts w:hint="eastAsia" w:ascii="黑体" w:hAnsi="黑体" w:eastAsia="黑体" w:cs="黑体"/>
                <w:color w:val="auto"/>
                <w:kern w:val="0"/>
                <w:sz w:val="21"/>
                <w:szCs w:val="21"/>
                <w:highlight w:val="none"/>
              </w:rPr>
              <w:t>2</w:t>
            </w:r>
          </w:p>
        </w:tc>
        <w:tc>
          <w:tcPr>
            <w:tcW w:w="691" w:type="pct"/>
            <w:noWrap w:val="0"/>
            <w:vAlign w:val="center"/>
          </w:tcPr>
          <w:p w14:paraId="56A3B731">
            <w:pPr>
              <w:jc w:val="center"/>
              <w:rPr>
                <w:rFonts w:hint="eastAsia" w:ascii="黑体" w:hAnsi="黑体" w:eastAsia="黑体" w:cs="黑体"/>
                <w:color w:val="auto"/>
                <w:sz w:val="21"/>
                <w:szCs w:val="21"/>
                <w:highlight w:val="none"/>
              </w:rPr>
            </w:pPr>
          </w:p>
        </w:tc>
        <w:tc>
          <w:tcPr>
            <w:tcW w:w="741" w:type="pct"/>
            <w:noWrap w:val="0"/>
            <w:vAlign w:val="center"/>
          </w:tcPr>
          <w:p w14:paraId="5BCBC448">
            <w:pPr>
              <w:jc w:val="center"/>
              <w:rPr>
                <w:rFonts w:hint="eastAsia" w:ascii="黑体" w:hAnsi="黑体" w:eastAsia="黑体" w:cs="黑体"/>
                <w:color w:val="auto"/>
                <w:sz w:val="21"/>
                <w:szCs w:val="21"/>
                <w:highlight w:val="none"/>
              </w:rPr>
            </w:pPr>
          </w:p>
        </w:tc>
        <w:tc>
          <w:tcPr>
            <w:tcW w:w="2819" w:type="pct"/>
            <w:noWrap w:val="0"/>
            <w:vAlign w:val="center"/>
          </w:tcPr>
          <w:p w14:paraId="5F1C642C">
            <w:pPr>
              <w:spacing w:line="400" w:lineRule="exact"/>
              <w:jc w:val="left"/>
              <w:rPr>
                <w:rFonts w:hint="eastAsia" w:ascii="黑体" w:hAnsi="黑体" w:eastAsia="黑体" w:cs="黑体"/>
                <w:color w:val="auto"/>
                <w:kern w:val="0"/>
                <w:sz w:val="21"/>
                <w:szCs w:val="21"/>
                <w:highlight w:val="none"/>
              </w:rPr>
            </w:pPr>
          </w:p>
        </w:tc>
        <w:tc>
          <w:tcPr>
            <w:tcW w:w="370" w:type="pct"/>
            <w:noWrap w:val="0"/>
            <w:vAlign w:val="center"/>
          </w:tcPr>
          <w:p w14:paraId="1681A17E">
            <w:pPr>
              <w:jc w:val="center"/>
              <w:rPr>
                <w:rFonts w:hint="eastAsia" w:ascii="黑体" w:hAnsi="黑体" w:eastAsia="黑体" w:cs="黑体"/>
                <w:color w:val="auto"/>
                <w:sz w:val="21"/>
                <w:szCs w:val="21"/>
                <w:highlight w:val="none"/>
              </w:rPr>
            </w:pPr>
          </w:p>
        </w:tc>
      </w:tr>
    </w:tbl>
    <w:p w14:paraId="1479F0BF">
      <w:pPr>
        <w:rPr>
          <w:rFonts w:hint="eastAsia" w:ascii="黑体" w:hAnsi="黑体" w:eastAsia="黑体" w:cs="黑体"/>
          <w:color w:val="auto"/>
          <w:szCs w:val="21"/>
          <w:highlight w:val="none"/>
        </w:rPr>
      </w:pPr>
    </w:p>
    <w:p w14:paraId="27508CF0">
      <w:pPr>
        <w:rPr>
          <w:rFonts w:hint="eastAsia" w:ascii="黑体" w:hAnsi="黑体" w:eastAsia="黑体" w:cs="黑体"/>
          <w:color w:val="auto"/>
          <w:szCs w:val="21"/>
          <w:highlight w:val="none"/>
        </w:rPr>
      </w:pPr>
    </w:p>
    <w:p w14:paraId="2F3ECCDD">
      <w:pPr>
        <w:pStyle w:val="2"/>
        <w:keepNext w:val="0"/>
        <w:keepLines w:val="0"/>
        <w:pageBreakBefore/>
        <w:spacing w:line="360" w:lineRule="auto"/>
        <w:jc w:val="center"/>
        <w:rPr>
          <w:rFonts w:hint="eastAsia" w:ascii="黑体" w:hAnsi="黑体" w:eastAsia="黑体" w:cs="黑体"/>
          <w:color w:val="auto"/>
          <w:spacing w:val="20"/>
          <w:sz w:val="32"/>
          <w:szCs w:val="32"/>
          <w:highlight w:val="none"/>
        </w:rPr>
      </w:pPr>
      <w:bookmarkStart w:id="278" w:name="_Toc7770"/>
      <w:r>
        <w:rPr>
          <w:rFonts w:hint="eastAsia" w:ascii="黑体" w:hAnsi="黑体" w:eastAsia="黑体" w:cs="黑体"/>
          <w:color w:val="auto"/>
          <w:spacing w:val="20"/>
          <w:sz w:val="32"/>
          <w:szCs w:val="32"/>
          <w:highlight w:val="none"/>
        </w:rPr>
        <w:t>第六部分 响应文件格式</w:t>
      </w:r>
      <w:bookmarkEnd w:id="257"/>
      <w:bookmarkEnd w:id="258"/>
      <w:bookmarkEnd w:id="259"/>
      <w:bookmarkEnd w:id="278"/>
    </w:p>
    <w:p w14:paraId="1745F76E">
      <w:pPr>
        <w:pStyle w:val="31"/>
        <w:numPr>
          <w:ilvl w:val="0"/>
          <w:numId w:val="59"/>
        </w:numPr>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价格部分格式</w:t>
      </w:r>
      <w:r>
        <w:rPr>
          <w:rFonts w:hint="eastAsia" w:ascii="黑体" w:hAnsi="黑体" w:eastAsia="黑体" w:cs="黑体"/>
          <w:color w:val="auto"/>
          <w:szCs w:val="21"/>
          <w:highlight w:val="none"/>
        </w:rPr>
        <w:t>（独立成册）</w:t>
      </w:r>
    </w:p>
    <w:p w14:paraId="7231F2D3">
      <w:pPr>
        <w:spacing w:line="360" w:lineRule="auto"/>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正本/副本</w:t>
      </w:r>
    </w:p>
    <w:p w14:paraId="013D8DE1">
      <w:pPr>
        <w:spacing w:line="360" w:lineRule="auto"/>
        <w:jc w:val="center"/>
        <w:rPr>
          <w:rFonts w:hint="eastAsia" w:ascii="黑体" w:hAnsi="黑体" w:eastAsia="黑体" w:cs="黑体"/>
          <w:bCs/>
          <w:color w:val="auto"/>
          <w:sz w:val="52"/>
          <w:szCs w:val="52"/>
          <w:highlight w:val="none"/>
        </w:rPr>
      </w:pPr>
      <w:r>
        <w:rPr>
          <w:rFonts w:hint="eastAsia" w:ascii="黑体" w:hAnsi="黑体" w:eastAsia="黑体" w:cs="黑体"/>
          <w:bCs/>
          <w:color w:val="auto"/>
          <w:sz w:val="52"/>
          <w:szCs w:val="52"/>
          <w:highlight w:val="none"/>
        </w:rPr>
        <w:t>东莞理工学院松山湖校区多媒体教室常态化录播设备采购项目</w:t>
      </w:r>
    </w:p>
    <w:p w14:paraId="3178A2B7">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7C07263D">
      <w:pPr>
        <w:spacing w:before="1560" w:beforeLines="50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价格文件</w:t>
      </w:r>
    </w:p>
    <w:p w14:paraId="3952DCBF">
      <w:pPr>
        <w:spacing w:after="1872" w:afterLines="60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19"/>
        <w:tblW w:w="4900" w:type="pct"/>
        <w:jc w:val="center"/>
        <w:tblLayout w:type="autofit"/>
        <w:tblCellMar>
          <w:top w:w="0" w:type="dxa"/>
          <w:left w:w="108" w:type="dxa"/>
          <w:bottom w:w="0" w:type="dxa"/>
          <w:right w:w="108" w:type="dxa"/>
        </w:tblCellMar>
      </w:tblPr>
      <w:tblGrid>
        <w:gridCol w:w="2374"/>
        <w:gridCol w:w="5978"/>
      </w:tblGrid>
      <w:tr w14:paraId="0EB4DBC2">
        <w:tblPrEx>
          <w:tblCellMar>
            <w:top w:w="0" w:type="dxa"/>
            <w:left w:w="108" w:type="dxa"/>
            <w:bottom w:w="0" w:type="dxa"/>
            <w:right w:w="108" w:type="dxa"/>
          </w:tblCellMar>
        </w:tblPrEx>
        <w:trPr>
          <w:trHeight w:val="516" w:hRule="atLeast"/>
          <w:jc w:val="center"/>
        </w:trPr>
        <w:tc>
          <w:tcPr>
            <w:tcW w:w="1421" w:type="pct"/>
            <w:vAlign w:val="center"/>
          </w:tcPr>
          <w:p w14:paraId="3AEB60E1">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响应单位全称：</w:t>
            </w:r>
          </w:p>
        </w:tc>
        <w:tc>
          <w:tcPr>
            <w:tcW w:w="3579" w:type="pct"/>
            <w:vAlign w:val="center"/>
          </w:tcPr>
          <w:p w14:paraId="72F07B3E">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6268504">
        <w:tblPrEx>
          <w:tblCellMar>
            <w:top w:w="0" w:type="dxa"/>
            <w:left w:w="108" w:type="dxa"/>
            <w:bottom w:w="0" w:type="dxa"/>
            <w:right w:w="108" w:type="dxa"/>
          </w:tblCellMar>
        </w:tblPrEx>
        <w:trPr>
          <w:trHeight w:val="566" w:hRule="atLeast"/>
          <w:jc w:val="center"/>
        </w:trPr>
        <w:tc>
          <w:tcPr>
            <w:tcW w:w="1421" w:type="pct"/>
            <w:vAlign w:val="center"/>
          </w:tcPr>
          <w:p w14:paraId="4B5F5A0C">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响应单位地址：</w:t>
            </w:r>
          </w:p>
        </w:tc>
        <w:tc>
          <w:tcPr>
            <w:tcW w:w="3579" w:type="pct"/>
            <w:vAlign w:val="center"/>
          </w:tcPr>
          <w:p w14:paraId="240E5D85">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14029089">
        <w:tblPrEx>
          <w:tblCellMar>
            <w:top w:w="0" w:type="dxa"/>
            <w:left w:w="108" w:type="dxa"/>
            <w:bottom w:w="0" w:type="dxa"/>
            <w:right w:w="108" w:type="dxa"/>
          </w:tblCellMar>
        </w:tblPrEx>
        <w:trPr>
          <w:trHeight w:val="560" w:hRule="atLeast"/>
          <w:jc w:val="center"/>
        </w:trPr>
        <w:tc>
          <w:tcPr>
            <w:tcW w:w="1421" w:type="pct"/>
            <w:vAlign w:val="center"/>
          </w:tcPr>
          <w:p w14:paraId="1EC9D228">
            <w:pPr>
              <w:spacing w:line="360" w:lineRule="auto"/>
              <w:jc w:val="left"/>
              <w:rPr>
                <w:rFonts w:hint="eastAsia" w:ascii="黑体" w:hAnsi="黑体" w:eastAsia="黑体" w:cs="黑体"/>
                <w:color w:val="auto"/>
                <w:spacing w:val="-10"/>
                <w:sz w:val="24"/>
                <w:szCs w:val="24"/>
                <w:highlight w:val="none"/>
              </w:rPr>
            </w:pPr>
            <w:r>
              <w:rPr>
                <w:rFonts w:hint="eastAsia" w:ascii="黑体" w:hAnsi="黑体" w:eastAsia="黑体" w:cs="黑体"/>
                <w:color w:val="auto"/>
                <w:sz w:val="24"/>
                <w:szCs w:val="24"/>
                <w:highlight w:val="none"/>
              </w:rPr>
              <w:t>响应</w:t>
            </w:r>
            <w:r>
              <w:rPr>
                <w:rFonts w:hint="eastAsia" w:ascii="黑体" w:hAnsi="黑体" w:eastAsia="黑体" w:cs="黑体"/>
                <w:color w:val="auto"/>
                <w:spacing w:val="-10"/>
                <w:sz w:val="24"/>
                <w:szCs w:val="24"/>
                <w:highlight w:val="none"/>
              </w:rPr>
              <w:t>单位联系人：</w:t>
            </w:r>
          </w:p>
        </w:tc>
        <w:tc>
          <w:tcPr>
            <w:tcW w:w="3579" w:type="pct"/>
            <w:vAlign w:val="center"/>
          </w:tcPr>
          <w:p w14:paraId="3F900AFE">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522E1C21">
        <w:tblPrEx>
          <w:tblCellMar>
            <w:top w:w="0" w:type="dxa"/>
            <w:left w:w="108" w:type="dxa"/>
            <w:bottom w:w="0" w:type="dxa"/>
            <w:right w:w="108" w:type="dxa"/>
          </w:tblCellMar>
        </w:tblPrEx>
        <w:trPr>
          <w:trHeight w:val="568" w:hRule="atLeast"/>
          <w:jc w:val="center"/>
        </w:trPr>
        <w:tc>
          <w:tcPr>
            <w:tcW w:w="1421" w:type="pct"/>
            <w:vAlign w:val="center"/>
          </w:tcPr>
          <w:p w14:paraId="416F9E94">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响应单位固话：</w:t>
            </w:r>
          </w:p>
        </w:tc>
        <w:tc>
          <w:tcPr>
            <w:tcW w:w="3579" w:type="pct"/>
            <w:vAlign w:val="center"/>
          </w:tcPr>
          <w:p w14:paraId="72236031">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6509FA14">
        <w:tblPrEx>
          <w:tblCellMar>
            <w:top w:w="0" w:type="dxa"/>
            <w:left w:w="108" w:type="dxa"/>
            <w:bottom w:w="0" w:type="dxa"/>
            <w:right w:w="108" w:type="dxa"/>
          </w:tblCellMar>
        </w:tblPrEx>
        <w:trPr>
          <w:trHeight w:val="576" w:hRule="atLeast"/>
          <w:jc w:val="center"/>
        </w:trPr>
        <w:tc>
          <w:tcPr>
            <w:tcW w:w="1421" w:type="pct"/>
            <w:vAlign w:val="center"/>
          </w:tcPr>
          <w:p w14:paraId="4DFA0038">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响应单位传真：</w:t>
            </w:r>
          </w:p>
        </w:tc>
        <w:tc>
          <w:tcPr>
            <w:tcW w:w="3579" w:type="pct"/>
            <w:vAlign w:val="center"/>
          </w:tcPr>
          <w:p w14:paraId="0AE74335">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4ACBC973">
      <w:pPr>
        <w:spacing w:line="360" w:lineRule="auto"/>
        <w:rPr>
          <w:rFonts w:hint="eastAsia" w:ascii="黑体" w:hAnsi="黑体" w:eastAsia="黑体" w:cs="黑体"/>
          <w:color w:val="auto"/>
          <w:szCs w:val="21"/>
          <w:highlight w:val="none"/>
        </w:rPr>
      </w:pPr>
    </w:p>
    <w:p w14:paraId="06FC281B">
      <w:pPr>
        <w:spacing w:before="312" w:beforeLines="100" w:after="156" w:afterLines="50" w:line="600" w:lineRule="exact"/>
        <w:jc w:val="center"/>
        <w:rPr>
          <w:rFonts w:hint="eastAsia" w:ascii="黑体" w:hAnsi="黑体" w:eastAsia="黑体" w:cs="黑体"/>
          <w:b/>
          <w:bCs/>
          <w:color w:val="auto"/>
          <w:spacing w:val="40"/>
          <w:sz w:val="24"/>
          <w:szCs w:val="24"/>
          <w:highlight w:val="none"/>
        </w:rPr>
      </w:pPr>
      <w:r>
        <w:rPr>
          <w:rFonts w:hint="eastAsia" w:ascii="黑体" w:hAnsi="黑体" w:eastAsia="黑体" w:cs="黑体"/>
          <w:b/>
          <w:color w:val="auto"/>
          <w:spacing w:val="40"/>
          <w:sz w:val="24"/>
          <w:szCs w:val="24"/>
          <w:highlight w:val="none"/>
        </w:rPr>
        <w:t>日期：   年  月  日</w:t>
      </w:r>
    </w:p>
    <w:p w14:paraId="5EB30A1C">
      <w:pPr>
        <w:pStyle w:val="31"/>
        <w:numPr>
          <w:ilvl w:val="0"/>
          <w:numId w:val="60"/>
        </w:numPr>
        <w:spacing w:before="624" w:beforeLines="200" w:line="480" w:lineRule="auto"/>
        <w:ind w:firstLineChars="0"/>
        <w:rPr>
          <w:rStyle w:val="22"/>
          <w:rFonts w:hint="eastAsia" w:ascii="黑体" w:hAnsi="黑体" w:eastAsia="黑体" w:cs="黑体"/>
          <w:color w:val="auto"/>
          <w:spacing w:val="12"/>
          <w:szCs w:val="21"/>
          <w:highlight w:val="none"/>
        </w:rPr>
      </w:pPr>
      <w:bookmarkStart w:id="279" w:name="_Toc405313958"/>
      <w:bookmarkStart w:id="280" w:name="_Toc13821085"/>
      <w:bookmarkStart w:id="281" w:name="_Toc391627754"/>
      <w:r>
        <w:rPr>
          <w:rStyle w:val="22"/>
          <w:rFonts w:hint="eastAsia" w:ascii="黑体" w:hAnsi="黑体" w:eastAsia="黑体" w:cs="黑体"/>
          <w:color w:val="auto"/>
          <w:spacing w:val="12"/>
          <w:szCs w:val="21"/>
          <w:highlight w:val="none"/>
        </w:rPr>
        <w:t>报价一览表</w:t>
      </w:r>
      <w:bookmarkEnd w:id="279"/>
      <w:bookmarkEnd w:id="280"/>
      <w:bookmarkEnd w:id="281"/>
    </w:p>
    <w:p w14:paraId="1597AC71">
      <w:pPr>
        <w:spacing w:before="312" w:beforeLines="100" w:after="312" w:after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报价一览表</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75"/>
        <w:gridCol w:w="3825"/>
        <w:gridCol w:w="2974"/>
        <w:gridCol w:w="1048"/>
      </w:tblGrid>
      <w:tr w14:paraId="5738C4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6BF1D79">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1CDAB487">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D4C6567">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46DAE966">
            <w:pPr>
              <w:overflowPunct w:val="0"/>
              <w:adjustRightInd w:val="0"/>
              <w:spacing w:line="460" w:lineRule="exact"/>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w:t>
            </w:r>
          </w:p>
        </w:tc>
      </w:tr>
      <w:tr w14:paraId="775A17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95"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37E0B34C">
            <w:pPr>
              <w:overflowPunct w:val="0"/>
              <w:adjustRightInd w:val="0"/>
              <w:spacing w:line="460" w:lineRule="exact"/>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424B3144">
            <w:pPr>
              <w:overflowPunct w:val="0"/>
              <w:adjustRightInd w:val="0"/>
              <w:spacing w:line="460" w:lineRule="exact"/>
              <w:jc w:val="center"/>
              <w:rPr>
                <w:rFonts w:hint="eastAsia" w:ascii="黑体" w:hAnsi="黑体" w:eastAsia="黑体" w:cs="黑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59ADE28E">
            <w:pPr>
              <w:overflowPunct w:val="0"/>
              <w:adjustRightInd w:val="0"/>
              <w:spacing w:line="460" w:lineRule="exact"/>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w:t>
            </w:r>
            <w:r>
              <w:rPr>
                <w:rFonts w:hint="eastAsia" w:ascii="黑体" w:hAnsi="黑体" w:eastAsia="黑体" w:cs="黑体"/>
                <w:color w:val="auto"/>
                <w:szCs w:val="21"/>
                <w:highlight w:val="none"/>
                <w:u w:val="single"/>
              </w:rPr>
              <w:t xml:space="preserve">                    </w:t>
            </w:r>
          </w:p>
          <w:p w14:paraId="7ED94E27">
            <w:pPr>
              <w:overflowPunct w:val="0"/>
              <w:adjustRightInd w:val="0"/>
              <w:spacing w:line="460" w:lineRule="exact"/>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小写：</w:t>
            </w:r>
            <w:r>
              <w:rPr>
                <w:rFonts w:hint="eastAsia" w:ascii="黑体" w:hAnsi="黑体" w:eastAsia="黑体" w:cs="黑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19835EF">
            <w:pPr>
              <w:overflowPunct w:val="0"/>
              <w:adjustRightInd w:val="0"/>
              <w:spacing w:line="460" w:lineRule="exact"/>
              <w:jc w:val="center"/>
              <w:rPr>
                <w:rFonts w:hint="eastAsia" w:ascii="黑体" w:hAnsi="黑体" w:eastAsia="黑体" w:cs="黑体"/>
                <w:color w:val="auto"/>
                <w:szCs w:val="21"/>
                <w:highlight w:val="none"/>
              </w:rPr>
            </w:pPr>
          </w:p>
        </w:tc>
      </w:tr>
    </w:tbl>
    <w:p w14:paraId="5635DF7F">
      <w:pPr>
        <w:pStyle w:val="31"/>
        <w:spacing w:before="312" w:beforeLines="100" w:line="360" w:lineRule="auto"/>
        <w:ind w:firstLine="0"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6BCBDFE1">
      <w:pPr>
        <w:pStyle w:val="31"/>
        <w:numPr>
          <w:ilvl w:val="0"/>
          <w:numId w:val="61"/>
        </w:numPr>
        <w:spacing w:line="360" w:lineRule="auto"/>
        <w:ind w:left="357" w:hanging="357"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总报价栏须用文字和数字两种方式表示的总报价。</w:t>
      </w:r>
    </w:p>
    <w:p w14:paraId="0758A54A">
      <w:pPr>
        <w:pStyle w:val="31"/>
        <w:numPr>
          <w:ilvl w:val="0"/>
          <w:numId w:val="61"/>
        </w:numPr>
        <w:spacing w:before="100" w:beforeAutospacing="1"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报价一览表内容与响应文件中明细表内容不一致的，以报价一览表为准。</w:t>
      </w:r>
    </w:p>
    <w:p w14:paraId="6EC9C6BF">
      <w:pPr>
        <w:pStyle w:val="31"/>
        <w:numPr>
          <w:ilvl w:val="0"/>
          <w:numId w:val="61"/>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总报价大小写不一致，以大写为准。总报价必须准确唯一且应包含完成本项目的所有费用。</w:t>
      </w:r>
    </w:p>
    <w:p w14:paraId="4DDA7670">
      <w:pPr>
        <w:spacing w:before="312" w:beforeLines="100" w:line="360" w:lineRule="auto"/>
        <w:rPr>
          <w:rFonts w:hint="eastAsia" w:ascii="黑体" w:hAnsi="黑体" w:eastAsia="黑体" w:cs="黑体"/>
          <w:color w:val="auto"/>
          <w:szCs w:val="21"/>
          <w:highlight w:val="none"/>
        </w:rPr>
      </w:pPr>
    </w:p>
    <w:p w14:paraId="50FE73A3">
      <w:pPr>
        <w:spacing w:line="360" w:lineRule="auto"/>
        <w:rPr>
          <w:rFonts w:hint="eastAsia" w:ascii="黑体" w:hAnsi="黑体" w:eastAsia="黑体" w:cs="黑体"/>
          <w:color w:val="auto"/>
          <w:szCs w:val="21"/>
          <w:highlight w:val="none"/>
        </w:rPr>
      </w:pPr>
    </w:p>
    <w:p w14:paraId="4CA722F5">
      <w:pPr>
        <w:spacing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804"/>
        <w:gridCol w:w="1502"/>
      </w:tblGrid>
      <w:tr w14:paraId="2E20DA72">
        <w:tblPrEx>
          <w:tblCellMar>
            <w:top w:w="0" w:type="dxa"/>
            <w:left w:w="108" w:type="dxa"/>
            <w:bottom w:w="0" w:type="dxa"/>
            <w:right w:w="108" w:type="dxa"/>
          </w:tblCellMar>
        </w:tblPrEx>
        <w:tc>
          <w:tcPr>
            <w:tcW w:w="6804" w:type="dxa"/>
          </w:tcPr>
          <w:p w14:paraId="42F4FCAD">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502" w:type="dxa"/>
          </w:tcPr>
          <w:p w14:paraId="4B8E535C">
            <w:pPr>
              <w:spacing w:line="360" w:lineRule="auto"/>
              <w:rPr>
                <w:rFonts w:hint="eastAsia" w:ascii="黑体" w:hAnsi="黑体" w:eastAsia="黑体" w:cs="黑体"/>
                <w:color w:val="auto"/>
                <w:szCs w:val="21"/>
                <w:highlight w:val="none"/>
              </w:rPr>
            </w:pPr>
          </w:p>
        </w:tc>
      </w:tr>
      <w:tr w14:paraId="7C7232B4">
        <w:tblPrEx>
          <w:tblCellMar>
            <w:top w:w="0" w:type="dxa"/>
            <w:left w:w="108" w:type="dxa"/>
            <w:bottom w:w="0" w:type="dxa"/>
            <w:right w:w="108" w:type="dxa"/>
          </w:tblCellMar>
        </w:tblPrEx>
        <w:tc>
          <w:tcPr>
            <w:tcW w:w="6804" w:type="dxa"/>
          </w:tcPr>
          <w:p w14:paraId="3D69221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响应供应商法定代表人或被授权人（签名或盖私章）：</w:t>
            </w:r>
            <w:r>
              <w:rPr>
                <w:rFonts w:hint="eastAsia" w:ascii="黑体" w:hAnsi="黑体" w:eastAsia="黑体" w:cs="黑体"/>
                <w:color w:val="auto"/>
                <w:szCs w:val="21"/>
                <w:highlight w:val="none"/>
                <w:u w:val="single"/>
              </w:rPr>
              <w:t xml:space="preserve">                </w:t>
            </w:r>
          </w:p>
        </w:tc>
        <w:tc>
          <w:tcPr>
            <w:tcW w:w="1502" w:type="dxa"/>
          </w:tcPr>
          <w:p w14:paraId="054D2ADE">
            <w:pPr>
              <w:spacing w:line="360" w:lineRule="auto"/>
              <w:rPr>
                <w:rFonts w:hint="eastAsia" w:ascii="黑体" w:hAnsi="黑体" w:eastAsia="黑体" w:cs="黑体"/>
                <w:color w:val="auto"/>
                <w:szCs w:val="21"/>
                <w:highlight w:val="none"/>
              </w:rPr>
            </w:pPr>
          </w:p>
        </w:tc>
      </w:tr>
      <w:tr w14:paraId="23B13A06">
        <w:tblPrEx>
          <w:tblCellMar>
            <w:top w:w="0" w:type="dxa"/>
            <w:left w:w="108" w:type="dxa"/>
            <w:bottom w:w="0" w:type="dxa"/>
            <w:right w:w="108" w:type="dxa"/>
          </w:tblCellMar>
        </w:tblPrEx>
        <w:tc>
          <w:tcPr>
            <w:tcW w:w="6804" w:type="dxa"/>
          </w:tcPr>
          <w:p w14:paraId="44101C1A">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502" w:type="dxa"/>
          </w:tcPr>
          <w:p w14:paraId="3912DCE6">
            <w:pPr>
              <w:spacing w:line="360" w:lineRule="auto"/>
              <w:rPr>
                <w:rFonts w:hint="eastAsia" w:ascii="黑体" w:hAnsi="黑体" w:eastAsia="黑体" w:cs="黑体"/>
                <w:color w:val="auto"/>
                <w:szCs w:val="21"/>
                <w:highlight w:val="none"/>
              </w:rPr>
            </w:pPr>
          </w:p>
        </w:tc>
      </w:tr>
    </w:tbl>
    <w:p w14:paraId="610BC32E">
      <w:pPr>
        <w:spacing w:line="360" w:lineRule="auto"/>
        <w:rPr>
          <w:rFonts w:hint="eastAsia" w:ascii="黑体" w:hAnsi="黑体" w:eastAsia="黑体" w:cs="黑体"/>
          <w:color w:val="auto"/>
          <w:szCs w:val="21"/>
          <w:highlight w:val="none"/>
        </w:rPr>
      </w:pPr>
    </w:p>
    <w:p w14:paraId="1B4BB519">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br w:type="page"/>
      </w:r>
    </w:p>
    <w:p w14:paraId="426F3D73">
      <w:pPr>
        <w:pStyle w:val="31"/>
        <w:numPr>
          <w:ilvl w:val="0"/>
          <w:numId w:val="60"/>
        </w:numPr>
        <w:spacing w:before="624" w:beforeLines="200" w:line="480" w:lineRule="auto"/>
        <w:ind w:firstLineChars="0"/>
        <w:rPr>
          <w:rStyle w:val="22"/>
          <w:rFonts w:hint="eastAsia" w:ascii="黑体" w:hAnsi="黑体" w:eastAsia="黑体" w:cs="黑体"/>
          <w:color w:val="auto"/>
          <w:spacing w:val="12"/>
          <w:szCs w:val="21"/>
          <w:highlight w:val="none"/>
        </w:rPr>
      </w:pPr>
      <w:r>
        <w:rPr>
          <w:rStyle w:val="22"/>
          <w:rFonts w:hint="eastAsia" w:ascii="黑体" w:hAnsi="黑体" w:eastAsia="黑体" w:cs="黑体"/>
          <w:color w:val="auto"/>
          <w:spacing w:val="12"/>
          <w:szCs w:val="21"/>
          <w:highlight w:val="none"/>
        </w:rPr>
        <w:t>分项</w:t>
      </w:r>
      <w:r>
        <w:rPr>
          <w:rStyle w:val="22"/>
          <w:rFonts w:hint="eastAsia" w:ascii="黑体" w:hAnsi="黑体" w:eastAsia="黑体" w:cs="黑体"/>
          <w:color w:val="auto"/>
          <w:spacing w:val="12"/>
          <w:szCs w:val="21"/>
          <w:highlight w:val="none"/>
          <w:lang w:val="en-US" w:eastAsia="zh-CN"/>
        </w:rPr>
        <w:t>明细</w:t>
      </w:r>
      <w:r>
        <w:rPr>
          <w:rStyle w:val="22"/>
          <w:rFonts w:hint="eastAsia" w:ascii="黑体" w:hAnsi="黑体" w:eastAsia="黑体" w:cs="黑体"/>
          <w:color w:val="auto"/>
          <w:spacing w:val="12"/>
          <w:szCs w:val="21"/>
          <w:highlight w:val="none"/>
        </w:rPr>
        <w:t>报价表</w:t>
      </w:r>
    </w:p>
    <w:p w14:paraId="69EE0A7E">
      <w:pPr>
        <w:spacing w:before="312" w:before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分项明细报价表</w:t>
      </w:r>
    </w:p>
    <w:p w14:paraId="33AC411F">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项目名称：                                </w:t>
      </w:r>
      <w:r>
        <w:rPr>
          <w:rFonts w:hint="eastAsia" w:ascii="黑体" w:hAnsi="黑体" w:eastAsia="黑体" w:cs="黑体"/>
          <w:color w:val="auto"/>
          <w:szCs w:val="21"/>
          <w:highlight w:val="none"/>
          <w:lang w:val="en-US" w:eastAsia="zh-CN"/>
        </w:rPr>
        <w:t>项目</w:t>
      </w:r>
      <w:r>
        <w:rPr>
          <w:rFonts w:hint="eastAsia" w:ascii="黑体" w:hAnsi="黑体" w:eastAsia="黑体" w:cs="黑体"/>
          <w:color w:val="auto"/>
          <w:szCs w:val="21"/>
          <w:highlight w:val="none"/>
        </w:rPr>
        <w:t>编号：</w:t>
      </w:r>
    </w:p>
    <w:p w14:paraId="724B138E">
      <w:pPr>
        <w:spacing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单位：元/（人民币）</w:t>
      </w:r>
    </w:p>
    <w:tbl>
      <w:tblPr>
        <w:tblStyle w:val="19"/>
        <w:tblW w:w="4997"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16"/>
        <w:gridCol w:w="1357"/>
        <w:gridCol w:w="1358"/>
        <w:gridCol w:w="305"/>
        <w:gridCol w:w="508"/>
        <w:gridCol w:w="813"/>
        <w:gridCol w:w="813"/>
        <w:gridCol w:w="1222"/>
        <w:gridCol w:w="1225"/>
      </w:tblGrid>
      <w:tr w14:paraId="30376F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38" w:type="pct"/>
            <w:vAlign w:val="center"/>
          </w:tcPr>
          <w:p w14:paraId="453A31DC">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797" w:type="pct"/>
            <w:vAlign w:val="center"/>
          </w:tcPr>
          <w:p w14:paraId="6497A7C0">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名称</w:t>
            </w:r>
          </w:p>
        </w:tc>
        <w:tc>
          <w:tcPr>
            <w:tcW w:w="797" w:type="pct"/>
            <w:vAlign w:val="center"/>
          </w:tcPr>
          <w:p w14:paraId="290B60FF">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品牌型号</w:t>
            </w:r>
          </w:p>
        </w:tc>
        <w:tc>
          <w:tcPr>
            <w:tcW w:w="477" w:type="pct"/>
            <w:gridSpan w:val="2"/>
            <w:vAlign w:val="center"/>
          </w:tcPr>
          <w:p w14:paraId="3494CDDC">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厂商产地</w:t>
            </w:r>
          </w:p>
        </w:tc>
        <w:tc>
          <w:tcPr>
            <w:tcW w:w="477" w:type="pct"/>
            <w:vAlign w:val="center"/>
          </w:tcPr>
          <w:p w14:paraId="4BAA45BE">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数量</w:t>
            </w:r>
          </w:p>
        </w:tc>
        <w:tc>
          <w:tcPr>
            <w:tcW w:w="477" w:type="pct"/>
            <w:vAlign w:val="center"/>
          </w:tcPr>
          <w:p w14:paraId="5E42552D">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单价</w:t>
            </w:r>
          </w:p>
        </w:tc>
        <w:tc>
          <w:tcPr>
            <w:tcW w:w="717" w:type="pct"/>
            <w:vAlign w:val="center"/>
          </w:tcPr>
          <w:p w14:paraId="31CA804E">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分项总价</w:t>
            </w:r>
          </w:p>
        </w:tc>
        <w:tc>
          <w:tcPr>
            <w:tcW w:w="717" w:type="pct"/>
            <w:vAlign w:val="center"/>
          </w:tcPr>
          <w:p w14:paraId="40A90BD3">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w:t>
            </w:r>
          </w:p>
        </w:tc>
      </w:tr>
      <w:tr w14:paraId="332ED7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trPr>
        <w:tc>
          <w:tcPr>
            <w:tcW w:w="538" w:type="pct"/>
            <w:vAlign w:val="center"/>
          </w:tcPr>
          <w:p w14:paraId="59B0DCCD">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p>
        </w:tc>
        <w:tc>
          <w:tcPr>
            <w:tcW w:w="797" w:type="pct"/>
            <w:vAlign w:val="center"/>
          </w:tcPr>
          <w:p w14:paraId="71137AF0">
            <w:pPr>
              <w:spacing w:line="360" w:lineRule="auto"/>
              <w:jc w:val="center"/>
              <w:rPr>
                <w:rFonts w:hint="eastAsia" w:ascii="黑体" w:hAnsi="黑体" w:eastAsia="黑体" w:cs="黑体"/>
                <w:color w:val="auto"/>
                <w:szCs w:val="21"/>
                <w:highlight w:val="none"/>
              </w:rPr>
            </w:pPr>
          </w:p>
        </w:tc>
        <w:tc>
          <w:tcPr>
            <w:tcW w:w="797" w:type="pct"/>
            <w:vAlign w:val="center"/>
          </w:tcPr>
          <w:p w14:paraId="13603A8F">
            <w:pPr>
              <w:spacing w:line="360" w:lineRule="auto"/>
              <w:jc w:val="center"/>
              <w:rPr>
                <w:rFonts w:hint="eastAsia" w:ascii="黑体" w:hAnsi="黑体" w:eastAsia="黑体" w:cs="黑体"/>
                <w:color w:val="auto"/>
                <w:szCs w:val="21"/>
                <w:highlight w:val="none"/>
              </w:rPr>
            </w:pPr>
          </w:p>
        </w:tc>
        <w:tc>
          <w:tcPr>
            <w:tcW w:w="477" w:type="pct"/>
            <w:gridSpan w:val="2"/>
          </w:tcPr>
          <w:p w14:paraId="6DB32CAE">
            <w:pPr>
              <w:spacing w:line="360" w:lineRule="auto"/>
              <w:jc w:val="center"/>
              <w:rPr>
                <w:rFonts w:hint="eastAsia" w:ascii="黑体" w:hAnsi="黑体" w:eastAsia="黑体" w:cs="黑体"/>
                <w:color w:val="auto"/>
                <w:szCs w:val="21"/>
                <w:highlight w:val="none"/>
              </w:rPr>
            </w:pPr>
          </w:p>
        </w:tc>
        <w:tc>
          <w:tcPr>
            <w:tcW w:w="477" w:type="pct"/>
            <w:vAlign w:val="center"/>
          </w:tcPr>
          <w:p w14:paraId="0DC5F9EA">
            <w:pPr>
              <w:spacing w:line="360" w:lineRule="auto"/>
              <w:jc w:val="center"/>
              <w:rPr>
                <w:rFonts w:hint="eastAsia" w:ascii="黑体" w:hAnsi="黑体" w:eastAsia="黑体" w:cs="黑体"/>
                <w:color w:val="auto"/>
                <w:szCs w:val="21"/>
                <w:highlight w:val="none"/>
              </w:rPr>
            </w:pPr>
          </w:p>
        </w:tc>
        <w:tc>
          <w:tcPr>
            <w:tcW w:w="477" w:type="pct"/>
            <w:vAlign w:val="center"/>
          </w:tcPr>
          <w:p w14:paraId="7F112C4B">
            <w:pPr>
              <w:spacing w:line="360" w:lineRule="auto"/>
              <w:jc w:val="center"/>
              <w:rPr>
                <w:rFonts w:hint="eastAsia" w:ascii="黑体" w:hAnsi="黑体" w:eastAsia="黑体" w:cs="黑体"/>
                <w:color w:val="auto"/>
                <w:szCs w:val="21"/>
                <w:highlight w:val="none"/>
              </w:rPr>
            </w:pPr>
          </w:p>
        </w:tc>
        <w:tc>
          <w:tcPr>
            <w:tcW w:w="717" w:type="pct"/>
            <w:vAlign w:val="center"/>
          </w:tcPr>
          <w:p w14:paraId="50DD327B">
            <w:pPr>
              <w:spacing w:line="360" w:lineRule="auto"/>
              <w:jc w:val="center"/>
              <w:rPr>
                <w:rFonts w:hint="eastAsia" w:ascii="黑体" w:hAnsi="黑体" w:eastAsia="黑体" w:cs="黑体"/>
                <w:color w:val="auto"/>
                <w:szCs w:val="21"/>
                <w:highlight w:val="none"/>
              </w:rPr>
            </w:pPr>
          </w:p>
        </w:tc>
        <w:tc>
          <w:tcPr>
            <w:tcW w:w="717" w:type="pct"/>
          </w:tcPr>
          <w:p w14:paraId="50E66EA0">
            <w:pPr>
              <w:spacing w:line="360" w:lineRule="auto"/>
              <w:jc w:val="center"/>
              <w:rPr>
                <w:rFonts w:hint="eastAsia" w:ascii="黑体" w:hAnsi="黑体" w:eastAsia="黑体" w:cs="黑体"/>
                <w:color w:val="auto"/>
                <w:szCs w:val="21"/>
                <w:highlight w:val="none"/>
              </w:rPr>
            </w:pPr>
          </w:p>
        </w:tc>
      </w:tr>
      <w:tr w14:paraId="6565BB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7" w:hRule="atLeast"/>
        </w:trPr>
        <w:tc>
          <w:tcPr>
            <w:tcW w:w="538" w:type="pct"/>
            <w:vAlign w:val="center"/>
          </w:tcPr>
          <w:p w14:paraId="26FDE3C6">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p>
        </w:tc>
        <w:tc>
          <w:tcPr>
            <w:tcW w:w="797" w:type="pct"/>
            <w:vAlign w:val="center"/>
          </w:tcPr>
          <w:p w14:paraId="7517DDAC">
            <w:pPr>
              <w:spacing w:line="360" w:lineRule="auto"/>
              <w:jc w:val="center"/>
              <w:rPr>
                <w:rFonts w:hint="eastAsia" w:ascii="黑体" w:hAnsi="黑体" w:eastAsia="黑体" w:cs="黑体"/>
                <w:color w:val="auto"/>
                <w:szCs w:val="21"/>
                <w:highlight w:val="none"/>
              </w:rPr>
            </w:pPr>
          </w:p>
        </w:tc>
        <w:tc>
          <w:tcPr>
            <w:tcW w:w="797" w:type="pct"/>
            <w:vAlign w:val="center"/>
          </w:tcPr>
          <w:p w14:paraId="2F9FF8E9">
            <w:pPr>
              <w:spacing w:line="360" w:lineRule="auto"/>
              <w:jc w:val="center"/>
              <w:rPr>
                <w:rFonts w:hint="eastAsia" w:ascii="黑体" w:hAnsi="黑体" w:eastAsia="黑体" w:cs="黑体"/>
                <w:color w:val="auto"/>
                <w:szCs w:val="21"/>
                <w:highlight w:val="none"/>
              </w:rPr>
            </w:pPr>
          </w:p>
        </w:tc>
        <w:tc>
          <w:tcPr>
            <w:tcW w:w="477" w:type="pct"/>
            <w:gridSpan w:val="2"/>
          </w:tcPr>
          <w:p w14:paraId="271CCC00">
            <w:pPr>
              <w:spacing w:line="360" w:lineRule="auto"/>
              <w:jc w:val="center"/>
              <w:rPr>
                <w:rFonts w:hint="eastAsia" w:ascii="黑体" w:hAnsi="黑体" w:eastAsia="黑体" w:cs="黑体"/>
                <w:color w:val="auto"/>
                <w:szCs w:val="21"/>
                <w:highlight w:val="none"/>
              </w:rPr>
            </w:pPr>
          </w:p>
        </w:tc>
        <w:tc>
          <w:tcPr>
            <w:tcW w:w="477" w:type="pct"/>
            <w:vAlign w:val="center"/>
          </w:tcPr>
          <w:p w14:paraId="16CAEF2C">
            <w:pPr>
              <w:spacing w:line="360" w:lineRule="auto"/>
              <w:jc w:val="center"/>
              <w:rPr>
                <w:rFonts w:hint="eastAsia" w:ascii="黑体" w:hAnsi="黑体" w:eastAsia="黑体" w:cs="黑体"/>
                <w:color w:val="auto"/>
                <w:szCs w:val="21"/>
                <w:highlight w:val="none"/>
              </w:rPr>
            </w:pPr>
          </w:p>
        </w:tc>
        <w:tc>
          <w:tcPr>
            <w:tcW w:w="477" w:type="pct"/>
            <w:vAlign w:val="center"/>
          </w:tcPr>
          <w:p w14:paraId="0246364B">
            <w:pPr>
              <w:spacing w:line="360" w:lineRule="auto"/>
              <w:jc w:val="center"/>
              <w:rPr>
                <w:rFonts w:hint="eastAsia" w:ascii="黑体" w:hAnsi="黑体" w:eastAsia="黑体" w:cs="黑体"/>
                <w:color w:val="auto"/>
                <w:szCs w:val="21"/>
                <w:highlight w:val="none"/>
              </w:rPr>
            </w:pPr>
          </w:p>
        </w:tc>
        <w:tc>
          <w:tcPr>
            <w:tcW w:w="717" w:type="pct"/>
            <w:vAlign w:val="center"/>
          </w:tcPr>
          <w:p w14:paraId="5A9D7D69">
            <w:pPr>
              <w:spacing w:line="360" w:lineRule="auto"/>
              <w:jc w:val="center"/>
              <w:rPr>
                <w:rFonts w:hint="eastAsia" w:ascii="黑体" w:hAnsi="黑体" w:eastAsia="黑体" w:cs="黑体"/>
                <w:color w:val="auto"/>
                <w:szCs w:val="21"/>
                <w:highlight w:val="none"/>
              </w:rPr>
            </w:pPr>
          </w:p>
        </w:tc>
        <w:tc>
          <w:tcPr>
            <w:tcW w:w="717" w:type="pct"/>
          </w:tcPr>
          <w:p w14:paraId="66E11EC1">
            <w:pPr>
              <w:spacing w:line="360" w:lineRule="auto"/>
              <w:jc w:val="center"/>
              <w:rPr>
                <w:rFonts w:hint="eastAsia" w:ascii="黑体" w:hAnsi="黑体" w:eastAsia="黑体" w:cs="黑体"/>
                <w:color w:val="auto"/>
                <w:szCs w:val="21"/>
                <w:highlight w:val="none"/>
              </w:rPr>
            </w:pPr>
          </w:p>
        </w:tc>
      </w:tr>
      <w:tr w14:paraId="067FFE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538" w:type="pct"/>
            <w:vAlign w:val="center"/>
          </w:tcPr>
          <w:p w14:paraId="0AD2A6AD">
            <w:pPr>
              <w:spacing w:line="360" w:lineRule="auto"/>
              <w:jc w:val="center"/>
              <w:rPr>
                <w:rFonts w:hint="eastAsia" w:ascii="黑体" w:hAnsi="黑体" w:eastAsia="黑体" w:cs="黑体"/>
                <w:color w:val="auto"/>
                <w:szCs w:val="21"/>
                <w:highlight w:val="none"/>
              </w:rPr>
            </w:pPr>
          </w:p>
        </w:tc>
        <w:tc>
          <w:tcPr>
            <w:tcW w:w="797" w:type="pct"/>
            <w:vAlign w:val="center"/>
          </w:tcPr>
          <w:p w14:paraId="4E50E8E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tc>
        <w:tc>
          <w:tcPr>
            <w:tcW w:w="797" w:type="pct"/>
            <w:vAlign w:val="center"/>
          </w:tcPr>
          <w:p w14:paraId="1104C124">
            <w:pPr>
              <w:spacing w:line="360" w:lineRule="auto"/>
              <w:jc w:val="center"/>
              <w:rPr>
                <w:rFonts w:hint="eastAsia" w:ascii="黑体" w:hAnsi="黑体" w:eastAsia="黑体" w:cs="黑体"/>
                <w:color w:val="auto"/>
                <w:szCs w:val="21"/>
                <w:highlight w:val="none"/>
              </w:rPr>
            </w:pPr>
          </w:p>
        </w:tc>
        <w:tc>
          <w:tcPr>
            <w:tcW w:w="477" w:type="pct"/>
            <w:gridSpan w:val="2"/>
          </w:tcPr>
          <w:p w14:paraId="7E722AE9">
            <w:pPr>
              <w:spacing w:line="360" w:lineRule="auto"/>
              <w:jc w:val="center"/>
              <w:rPr>
                <w:rFonts w:hint="eastAsia" w:ascii="黑体" w:hAnsi="黑体" w:eastAsia="黑体" w:cs="黑体"/>
                <w:color w:val="auto"/>
                <w:szCs w:val="21"/>
                <w:highlight w:val="none"/>
              </w:rPr>
            </w:pPr>
          </w:p>
        </w:tc>
        <w:tc>
          <w:tcPr>
            <w:tcW w:w="477" w:type="pct"/>
            <w:vAlign w:val="center"/>
          </w:tcPr>
          <w:p w14:paraId="7CE52C9E">
            <w:pPr>
              <w:spacing w:line="360" w:lineRule="auto"/>
              <w:jc w:val="center"/>
              <w:rPr>
                <w:rFonts w:hint="eastAsia" w:ascii="黑体" w:hAnsi="黑体" w:eastAsia="黑体" w:cs="黑体"/>
                <w:color w:val="auto"/>
                <w:szCs w:val="21"/>
                <w:highlight w:val="none"/>
              </w:rPr>
            </w:pPr>
          </w:p>
        </w:tc>
        <w:tc>
          <w:tcPr>
            <w:tcW w:w="477" w:type="pct"/>
            <w:vAlign w:val="center"/>
          </w:tcPr>
          <w:p w14:paraId="7EEDB2E3">
            <w:pPr>
              <w:spacing w:line="360" w:lineRule="auto"/>
              <w:jc w:val="center"/>
              <w:rPr>
                <w:rFonts w:hint="eastAsia" w:ascii="黑体" w:hAnsi="黑体" w:eastAsia="黑体" w:cs="黑体"/>
                <w:color w:val="auto"/>
                <w:szCs w:val="21"/>
                <w:highlight w:val="none"/>
              </w:rPr>
            </w:pPr>
          </w:p>
        </w:tc>
        <w:tc>
          <w:tcPr>
            <w:tcW w:w="717" w:type="pct"/>
            <w:vAlign w:val="center"/>
          </w:tcPr>
          <w:p w14:paraId="7FF4BAA7">
            <w:pPr>
              <w:spacing w:line="360" w:lineRule="auto"/>
              <w:jc w:val="center"/>
              <w:rPr>
                <w:rFonts w:hint="eastAsia" w:ascii="黑体" w:hAnsi="黑体" w:eastAsia="黑体" w:cs="黑体"/>
                <w:color w:val="auto"/>
                <w:szCs w:val="21"/>
                <w:highlight w:val="none"/>
              </w:rPr>
            </w:pPr>
          </w:p>
        </w:tc>
        <w:tc>
          <w:tcPr>
            <w:tcW w:w="717" w:type="pct"/>
          </w:tcPr>
          <w:p w14:paraId="6AA9932C">
            <w:pPr>
              <w:spacing w:line="360" w:lineRule="auto"/>
              <w:jc w:val="center"/>
              <w:rPr>
                <w:rFonts w:hint="eastAsia" w:ascii="黑体" w:hAnsi="黑体" w:eastAsia="黑体" w:cs="黑体"/>
                <w:color w:val="auto"/>
                <w:szCs w:val="21"/>
                <w:highlight w:val="none"/>
              </w:rPr>
            </w:pPr>
          </w:p>
        </w:tc>
      </w:tr>
      <w:tr w14:paraId="4168CB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538" w:type="pct"/>
            <w:vAlign w:val="center"/>
          </w:tcPr>
          <w:p w14:paraId="7756A724">
            <w:pPr>
              <w:spacing w:line="360" w:lineRule="auto"/>
              <w:jc w:val="center"/>
              <w:rPr>
                <w:rFonts w:hint="eastAsia" w:ascii="黑体" w:hAnsi="黑体" w:eastAsia="黑体" w:cs="黑体"/>
                <w:color w:val="auto"/>
                <w:szCs w:val="21"/>
                <w:highlight w:val="none"/>
              </w:rPr>
            </w:pPr>
          </w:p>
        </w:tc>
        <w:tc>
          <w:tcPr>
            <w:tcW w:w="797" w:type="pct"/>
            <w:vAlign w:val="center"/>
          </w:tcPr>
          <w:p w14:paraId="52570A6F">
            <w:pPr>
              <w:spacing w:line="360" w:lineRule="auto"/>
              <w:jc w:val="center"/>
              <w:rPr>
                <w:rFonts w:hint="eastAsia" w:ascii="黑体" w:hAnsi="黑体" w:eastAsia="黑体" w:cs="黑体"/>
                <w:color w:val="auto"/>
                <w:szCs w:val="21"/>
                <w:highlight w:val="none"/>
              </w:rPr>
            </w:pPr>
          </w:p>
        </w:tc>
        <w:tc>
          <w:tcPr>
            <w:tcW w:w="797" w:type="pct"/>
            <w:vAlign w:val="center"/>
          </w:tcPr>
          <w:p w14:paraId="703835FD">
            <w:pPr>
              <w:spacing w:line="360" w:lineRule="auto"/>
              <w:jc w:val="center"/>
              <w:rPr>
                <w:rFonts w:hint="eastAsia" w:ascii="黑体" w:hAnsi="黑体" w:eastAsia="黑体" w:cs="黑体"/>
                <w:color w:val="auto"/>
                <w:szCs w:val="21"/>
                <w:highlight w:val="none"/>
              </w:rPr>
            </w:pPr>
          </w:p>
        </w:tc>
        <w:tc>
          <w:tcPr>
            <w:tcW w:w="477" w:type="pct"/>
            <w:gridSpan w:val="2"/>
          </w:tcPr>
          <w:p w14:paraId="377C19CE">
            <w:pPr>
              <w:spacing w:line="360" w:lineRule="auto"/>
              <w:jc w:val="center"/>
              <w:rPr>
                <w:rFonts w:hint="eastAsia" w:ascii="黑体" w:hAnsi="黑体" w:eastAsia="黑体" w:cs="黑体"/>
                <w:color w:val="auto"/>
                <w:szCs w:val="21"/>
                <w:highlight w:val="none"/>
              </w:rPr>
            </w:pPr>
          </w:p>
        </w:tc>
        <w:tc>
          <w:tcPr>
            <w:tcW w:w="477" w:type="pct"/>
            <w:vAlign w:val="center"/>
          </w:tcPr>
          <w:p w14:paraId="2EF6C715">
            <w:pPr>
              <w:spacing w:line="360" w:lineRule="auto"/>
              <w:jc w:val="center"/>
              <w:rPr>
                <w:rFonts w:hint="eastAsia" w:ascii="黑体" w:hAnsi="黑体" w:eastAsia="黑体" w:cs="黑体"/>
                <w:color w:val="auto"/>
                <w:szCs w:val="21"/>
                <w:highlight w:val="none"/>
              </w:rPr>
            </w:pPr>
          </w:p>
        </w:tc>
        <w:tc>
          <w:tcPr>
            <w:tcW w:w="477" w:type="pct"/>
            <w:vAlign w:val="center"/>
          </w:tcPr>
          <w:p w14:paraId="4C4042E6">
            <w:pPr>
              <w:spacing w:line="360" w:lineRule="auto"/>
              <w:jc w:val="center"/>
              <w:rPr>
                <w:rFonts w:hint="eastAsia" w:ascii="黑体" w:hAnsi="黑体" w:eastAsia="黑体" w:cs="黑体"/>
                <w:color w:val="auto"/>
                <w:szCs w:val="21"/>
                <w:highlight w:val="none"/>
              </w:rPr>
            </w:pPr>
          </w:p>
        </w:tc>
        <w:tc>
          <w:tcPr>
            <w:tcW w:w="717" w:type="pct"/>
            <w:vAlign w:val="center"/>
          </w:tcPr>
          <w:p w14:paraId="58535C54">
            <w:pPr>
              <w:spacing w:line="360" w:lineRule="auto"/>
              <w:jc w:val="center"/>
              <w:rPr>
                <w:rFonts w:hint="eastAsia" w:ascii="黑体" w:hAnsi="黑体" w:eastAsia="黑体" w:cs="黑体"/>
                <w:color w:val="auto"/>
                <w:szCs w:val="21"/>
                <w:highlight w:val="none"/>
              </w:rPr>
            </w:pPr>
          </w:p>
        </w:tc>
        <w:tc>
          <w:tcPr>
            <w:tcW w:w="717" w:type="pct"/>
          </w:tcPr>
          <w:p w14:paraId="1109D624">
            <w:pPr>
              <w:spacing w:line="360" w:lineRule="auto"/>
              <w:jc w:val="center"/>
              <w:rPr>
                <w:rFonts w:hint="eastAsia" w:ascii="黑体" w:hAnsi="黑体" w:eastAsia="黑体" w:cs="黑体"/>
                <w:color w:val="auto"/>
                <w:szCs w:val="21"/>
                <w:highlight w:val="none"/>
              </w:rPr>
            </w:pPr>
          </w:p>
        </w:tc>
      </w:tr>
      <w:tr w14:paraId="5E4FF1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538" w:type="pct"/>
            <w:vAlign w:val="center"/>
          </w:tcPr>
          <w:p w14:paraId="6C526A65">
            <w:pPr>
              <w:spacing w:line="360" w:lineRule="auto"/>
              <w:jc w:val="center"/>
              <w:rPr>
                <w:rFonts w:hint="eastAsia" w:ascii="黑体" w:hAnsi="黑体" w:eastAsia="黑体" w:cs="黑体"/>
                <w:color w:val="auto"/>
                <w:szCs w:val="21"/>
                <w:highlight w:val="none"/>
              </w:rPr>
            </w:pPr>
          </w:p>
        </w:tc>
        <w:tc>
          <w:tcPr>
            <w:tcW w:w="797" w:type="pct"/>
            <w:vAlign w:val="center"/>
          </w:tcPr>
          <w:p w14:paraId="30C8A08D">
            <w:pPr>
              <w:spacing w:line="360" w:lineRule="auto"/>
              <w:jc w:val="center"/>
              <w:rPr>
                <w:rFonts w:hint="eastAsia" w:ascii="黑体" w:hAnsi="黑体" w:eastAsia="黑体" w:cs="黑体"/>
                <w:color w:val="auto"/>
                <w:szCs w:val="21"/>
                <w:highlight w:val="none"/>
              </w:rPr>
            </w:pPr>
          </w:p>
        </w:tc>
        <w:tc>
          <w:tcPr>
            <w:tcW w:w="797" w:type="pct"/>
            <w:vAlign w:val="center"/>
          </w:tcPr>
          <w:p w14:paraId="1BC3FE71">
            <w:pPr>
              <w:spacing w:line="360" w:lineRule="auto"/>
              <w:jc w:val="center"/>
              <w:rPr>
                <w:rFonts w:hint="eastAsia" w:ascii="黑体" w:hAnsi="黑体" w:eastAsia="黑体" w:cs="黑体"/>
                <w:color w:val="auto"/>
                <w:szCs w:val="21"/>
                <w:highlight w:val="none"/>
              </w:rPr>
            </w:pPr>
          </w:p>
        </w:tc>
        <w:tc>
          <w:tcPr>
            <w:tcW w:w="477" w:type="pct"/>
            <w:gridSpan w:val="2"/>
          </w:tcPr>
          <w:p w14:paraId="4904F7E3">
            <w:pPr>
              <w:spacing w:line="360" w:lineRule="auto"/>
              <w:jc w:val="center"/>
              <w:rPr>
                <w:rFonts w:hint="eastAsia" w:ascii="黑体" w:hAnsi="黑体" w:eastAsia="黑体" w:cs="黑体"/>
                <w:color w:val="auto"/>
                <w:szCs w:val="21"/>
                <w:highlight w:val="none"/>
              </w:rPr>
            </w:pPr>
          </w:p>
        </w:tc>
        <w:tc>
          <w:tcPr>
            <w:tcW w:w="477" w:type="pct"/>
            <w:vAlign w:val="center"/>
          </w:tcPr>
          <w:p w14:paraId="5EA69A34">
            <w:pPr>
              <w:spacing w:line="360" w:lineRule="auto"/>
              <w:jc w:val="center"/>
              <w:rPr>
                <w:rFonts w:hint="eastAsia" w:ascii="黑体" w:hAnsi="黑体" w:eastAsia="黑体" w:cs="黑体"/>
                <w:color w:val="auto"/>
                <w:szCs w:val="21"/>
                <w:highlight w:val="none"/>
              </w:rPr>
            </w:pPr>
          </w:p>
        </w:tc>
        <w:tc>
          <w:tcPr>
            <w:tcW w:w="477" w:type="pct"/>
            <w:vAlign w:val="center"/>
          </w:tcPr>
          <w:p w14:paraId="38769575">
            <w:pPr>
              <w:spacing w:line="360" w:lineRule="auto"/>
              <w:jc w:val="center"/>
              <w:rPr>
                <w:rFonts w:hint="eastAsia" w:ascii="黑体" w:hAnsi="黑体" w:eastAsia="黑体" w:cs="黑体"/>
                <w:color w:val="auto"/>
                <w:szCs w:val="21"/>
                <w:highlight w:val="none"/>
              </w:rPr>
            </w:pPr>
          </w:p>
        </w:tc>
        <w:tc>
          <w:tcPr>
            <w:tcW w:w="717" w:type="pct"/>
            <w:vAlign w:val="center"/>
          </w:tcPr>
          <w:p w14:paraId="385077CE">
            <w:pPr>
              <w:spacing w:line="360" w:lineRule="auto"/>
              <w:jc w:val="center"/>
              <w:rPr>
                <w:rFonts w:hint="eastAsia" w:ascii="黑体" w:hAnsi="黑体" w:eastAsia="黑体" w:cs="黑体"/>
                <w:color w:val="auto"/>
                <w:szCs w:val="21"/>
                <w:highlight w:val="none"/>
              </w:rPr>
            </w:pPr>
          </w:p>
        </w:tc>
        <w:tc>
          <w:tcPr>
            <w:tcW w:w="717" w:type="pct"/>
          </w:tcPr>
          <w:p w14:paraId="0210EC90">
            <w:pPr>
              <w:spacing w:line="360" w:lineRule="auto"/>
              <w:jc w:val="center"/>
              <w:rPr>
                <w:rFonts w:hint="eastAsia" w:ascii="黑体" w:hAnsi="黑体" w:eastAsia="黑体" w:cs="黑体"/>
                <w:color w:val="auto"/>
                <w:szCs w:val="21"/>
                <w:highlight w:val="none"/>
              </w:rPr>
            </w:pPr>
          </w:p>
        </w:tc>
      </w:tr>
      <w:tr w14:paraId="1E5ACB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538" w:type="pct"/>
            <w:vAlign w:val="center"/>
          </w:tcPr>
          <w:p w14:paraId="3BFC4D19">
            <w:pPr>
              <w:spacing w:line="360" w:lineRule="auto"/>
              <w:jc w:val="center"/>
              <w:rPr>
                <w:rFonts w:hint="eastAsia" w:ascii="黑体" w:hAnsi="黑体" w:eastAsia="黑体" w:cs="黑体"/>
                <w:color w:val="auto"/>
                <w:szCs w:val="21"/>
                <w:highlight w:val="none"/>
              </w:rPr>
            </w:pPr>
          </w:p>
        </w:tc>
        <w:tc>
          <w:tcPr>
            <w:tcW w:w="797" w:type="pct"/>
            <w:vAlign w:val="center"/>
          </w:tcPr>
          <w:p w14:paraId="592679B8">
            <w:pPr>
              <w:spacing w:line="360" w:lineRule="auto"/>
              <w:jc w:val="center"/>
              <w:rPr>
                <w:rFonts w:hint="eastAsia" w:ascii="黑体" w:hAnsi="黑体" w:eastAsia="黑体" w:cs="黑体"/>
                <w:color w:val="auto"/>
                <w:szCs w:val="21"/>
                <w:highlight w:val="none"/>
              </w:rPr>
            </w:pPr>
          </w:p>
        </w:tc>
        <w:tc>
          <w:tcPr>
            <w:tcW w:w="797" w:type="pct"/>
            <w:vAlign w:val="center"/>
          </w:tcPr>
          <w:p w14:paraId="3418662E">
            <w:pPr>
              <w:spacing w:line="360" w:lineRule="auto"/>
              <w:jc w:val="center"/>
              <w:rPr>
                <w:rFonts w:hint="eastAsia" w:ascii="黑体" w:hAnsi="黑体" w:eastAsia="黑体" w:cs="黑体"/>
                <w:color w:val="auto"/>
                <w:szCs w:val="21"/>
                <w:highlight w:val="none"/>
              </w:rPr>
            </w:pPr>
          </w:p>
        </w:tc>
        <w:tc>
          <w:tcPr>
            <w:tcW w:w="477" w:type="pct"/>
            <w:gridSpan w:val="2"/>
          </w:tcPr>
          <w:p w14:paraId="2714C07D">
            <w:pPr>
              <w:spacing w:line="360" w:lineRule="auto"/>
              <w:jc w:val="center"/>
              <w:rPr>
                <w:rFonts w:hint="eastAsia" w:ascii="黑体" w:hAnsi="黑体" w:eastAsia="黑体" w:cs="黑体"/>
                <w:color w:val="auto"/>
                <w:szCs w:val="21"/>
                <w:highlight w:val="none"/>
              </w:rPr>
            </w:pPr>
          </w:p>
        </w:tc>
        <w:tc>
          <w:tcPr>
            <w:tcW w:w="477" w:type="pct"/>
            <w:vAlign w:val="center"/>
          </w:tcPr>
          <w:p w14:paraId="622943B7">
            <w:pPr>
              <w:spacing w:line="360" w:lineRule="auto"/>
              <w:jc w:val="center"/>
              <w:rPr>
                <w:rFonts w:hint="eastAsia" w:ascii="黑体" w:hAnsi="黑体" w:eastAsia="黑体" w:cs="黑体"/>
                <w:color w:val="auto"/>
                <w:szCs w:val="21"/>
                <w:highlight w:val="none"/>
              </w:rPr>
            </w:pPr>
          </w:p>
        </w:tc>
        <w:tc>
          <w:tcPr>
            <w:tcW w:w="477" w:type="pct"/>
            <w:vAlign w:val="center"/>
          </w:tcPr>
          <w:p w14:paraId="6417A82F">
            <w:pPr>
              <w:spacing w:line="360" w:lineRule="auto"/>
              <w:jc w:val="center"/>
              <w:rPr>
                <w:rFonts w:hint="eastAsia" w:ascii="黑体" w:hAnsi="黑体" w:eastAsia="黑体" w:cs="黑体"/>
                <w:color w:val="auto"/>
                <w:szCs w:val="21"/>
                <w:highlight w:val="none"/>
              </w:rPr>
            </w:pPr>
          </w:p>
        </w:tc>
        <w:tc>
          <w:tcPr>
            <w:tcW w:w="717" w:type="pct"/>
            <w:vAlign w:val="center"/>
          </w:tcPr>
          <w:p w14:paraId="7A9BF1B5">
            <w:pPr>
              <w:spacing w:line="360" w:lineRule="auto"/>
              <w:jc w:val="center"/>
              <w:rPr>
                <w:rFonts w:hint="eastAsia" w:ascii="黑体" w:hAnsi="黑体" w:eastAsia="黑体" w:cs="黑体"/>
                <w:color w:val="auto"/>
                <w:szCs w:val="21"/>
                <w:highlight w:val="none"/>
              </w:rPr>
            </w:pPr>
          </w:p>
        </w:tc>
        <w:tc>
          <w:tcPr>
            <w:tcW w:w="717" w:type="pct"/>
          </w:tcPr>
          <w:p w14:paraId="4B949667">
            <w:pPr>
              <w:spacing w:line="360" w:lineRule="auto"/>
              <w:jc w:val="center"/>
              <w:rPr>
                <w:rFonts w:hint="eastAsia" w:ascii="黑体" w:hAnsi="黑体" w:eastAsia="黑体" w:cs="黑体"/>
                <w:color w:val="auto"/>
                <w:szCs w:val="21"/>
                <w:highlight w:val="none"/>
              </w:rPr>
            </w:pPr>
          </w:p>
        </w:tc>
      </w:tr>
      <w:tr w14:paraId="083B93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9" w:hRule="atLeast"/>
        </w:trPr>
        <w:tc>
          <w:tcPr>
            <w:tcW w:w="538" w:type="pct"/>
            <w:vAlign w:val="center"/>
          </w:tcPr>
          <w:p w14:paraId="1C4778E4">
            <w:pPr>
              <w:spacing w:line="360" w:lineRule="auto"/>
              <w:jc w:val="center"/>
              <w:rPr>
                <w:rFonts w:hint="eastAsia" w:ascii="黑体" w:hAnsi="黑体" w:eastAsia="黑体" w:cs="黑体"/>
                <w:color w:val="auto"/>
                <w:szCs w:val="21"/>
                <w:highlight w:val="none"/>
              </w:rPr>
            </w:pPr>
          </w:p>
        </w:tc>
        <w:tc>
          <w:tcPr>
            <w:tcW w:w="797" w:type="pct"/>
            <w:vAlign w:val="center"/>
          </w:tcPr>
          <w:p w14:paraId="7CF58B21">
            <w:pPr>
              <w:spacing w:line="360" w:lineRule="auto"/>
              <w:jc w:val="center"/>
              <w:rPr>
                <w:rFonts w:hint="eastAsia" w:ascii="黑体" w:hAnsi="黑体" w:eastAsia="黑体" w:cs="黑体"/>
                <w:color w:val="auto"/>
                <w:szCs w:val="21"/>
                <w:highlight w:val="none"/>
              </w:rPr>
            </w:pPr>
          </w:p>
        </w:tc>
        <w:tc>
          <w:tcPr>
            <w:tcW w:w="797" w:type="pct"/>
            <w:vAlign w:val="center"/>
          </w:tcPr>
          <w:p w14:paraId="72E77C0D">
            <w:pPr>
              <w:spacing w:line="360" w:lineRule="auto"/>
              <w:jc w:val="center"/>
              <w:rPr>
                <w:rFonts w:hint="eastAsia" w:ascii="黑体" w:hAnsi="黑体" w:eastAsia="黑体" w:cs="黑体"/>
                <w:color w:val="auto"/>
                <w:szCs w:val="21"/>
                <w:highlight w:val="none"/>
              </w:rPr>
            </w:pPr>
          </w:p>
        </w:tc>
        <w:tc>
          <w:tcPr>
            <w:tcW w:w="477" w:type="pct"/>
            <w:gridSpan w:val="2"/>
          </w:tcPr>
          <w:p w14:paraId="358F03B9">
            <w:pPr>
              <w:spacing w:line="360" w:lineRule="auto"/>
              <w:jc w:val="center"/>
              <w:rPr>
                <w:rFonts w:hint="eastAsia" w:ascii="黑体" w:hAnsi="黑体" w:eastAsia="黑体" w:cs="黑体"/>
                <w:color w:val="auto"/>
                <w:szCs w:val="21"/>
                <w:highlight w:val="none"/>
              </w:rPr>
            </w:pPr>
          </w:p>
        </w:tc>
        <w:tc>
          <w:tcPr>
            <w:tcW w:w="477" w:type="pct"/>
            <w:vAlign w:val="center"/>
          </w:tcPr>
          <w:p w14:paraId="4A8E9391">
            <w:pPr>
              <w:spacing w:line="360" w:lineRule="auto"/>
              <w:jc w:val="center"/>
              <w:rPr>
                <w:rFonts w:hint="eastAsia" w:ascii="黑体" w:hAnsi="黑体" w:eastAsia="黑体" w:cs="黑体"/>
                <w:color w:val="auto"/>
                <w:szCs w:val="21"/>
                <w:highlight w:val="none"/>
              </w:rPr>
            </w:pPr>
          </w:p>
        </w:tc>
        <w:tc>
          <w:tcPr>
            <w:tcW w:w="477" w:type="pct"/>
            <w:vAlign w:val="center"/>
          </w:tcPr>
          <w:p w14:paraId="5AC006D4">
            <w:pPr>
              <w:spacing w:line="360" w:lineRule="auto"/>
              <w:jc w:val="center"/>
              <w:rPr>
                <w:rFonts w:hint="eastAsia" w:ascii="黑体" w:hAnsi="黑体" w:eastAsia="黑体" w:cs="黑体"/>
                <w:color w:val="auto"/>
                <w:szCs w:val="21"/>
                <w:highlight w:val="none"/>
              </w:rPr>
            </w:pPr>
          </w:p>
        </w:tc>
        <w:tc>
          <w:tcPr>
            <w:tcW w:w="717" w:type="pct"/>
            <w:vAlign w:val="center"/>
          </w:tcPr>
          <w:p w14:paraId="13D2D51A">
            <w:pPr>
              <w:spacing w:line="360" w:lineRule="auto"/>
              <w:jc w:val="center"/>
              <w:rPr>
                <w:rFonts w:hint="eastAsia" w:ascii="黑体" w:hAnsi="黑体" w:eastAsia="黑体" w:cs="黑体"/>
                <w:color w:val="auto"/>
                <w:szCs w:val="21"/>
                <w:highlight w:val="none"/>
              </w:rPr>
            </w:pPr>
          </w:p>
        </w:tc>
        <w:tc>
          <w:tcPr>
            <w:tcW w:w="717" w:type="pct"/>
          </w:tcPr>
          <w:p w14:paraId="1A45F102">
            <w:pPr>
              <w:spacing w:line="360" w:lineRule="auto"/>
              <w:jc w:val="center"/>
              <w:rPr>
                <w:rFonts w:hint="eastAsia" w:ascii="黑体" w:hAnsi="黑体" w:eastAsia="黑体" w:cs="黑体"/>
                <w:color w:val="auto"/>
                <w:szCs w:val="21"/>
                <w:highlight w:val="none"/>
              </w:rPr>
            </w:pPr>
          </w:p>
        </w:tc>
      </w:tr>
      <w:tr w14:paraId="368F6A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2311" w:type="pct"/>
            <w:gridSpan w:val="4"/>
            <w:vAlign w:val="center"/>
          </w:tcPr>
          <w:p w14:paraId="70A1CA2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报价总计（人民币／元）</w:t>
            </w:r>
          </w:p>
        </w:tc>
        <w:tc>
          <w:tcPr>
            <w:tcW w:w="2688" w:type="pct"/>
            <w:gridSpan w:val="5"/>
            <w:vAlign w:val="center"/>
          </w:tcPr>
          <w:p w14:paraId="09D63515">
            <w:pPr>
              <w:tabs>
                <w:tab w:val="left" w:pos="654"/>
                <w:tab w:val="left" w:pos="1734"/>
                <w:tab w:val="left" w:pos="2814"/>
                <w:tab w:val="left" w:pos="3894"/>
                <w:tab w:val="left" w:pos="5334"/>
                <w:tab w:val="left" w:pos="6414"/>
                <w:tab w:val="left" w:pos="7254"/>
                <w:tab w:val="left" w:pos="8574"/>
                <w:tab w:val="left" w:pos="9654"/>
              </w:tabs>
              <w:spacing w:before="60" w:beforeLines="25"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大写：</w:t>
            </w:r>
          </w:p>
          <w:p w14:paraId="79BF2F88">
            <w:pPr>
              <w:spacing w:line="360" w:lineRule="auto"/>
              <w:ind w:right="17"/>
              <w:rPr>
                <w:rFonts w:hint="eastAsia" w:ascii="黑体" w:hAnsi="黑体" w:eastAsia="黑体" w:cs="黑体"/>
                <w:color w:val="auto"/>
                <w:szCs w:val="21"/>
                <w:highlight w:val="none"/>
              </w:rPr>
            </w:pPr>
            <w:r>
              <w:rPr>
                <w:rFonts w:hint="eastAsia" w:ascii="黑体" w:hAnsi="黑体" w:eastAsia="黑体" w:cs="黑体"/>
                <w:color w:val="auto"/>
                <w:szCs w:val="21"/>
                <w:highlight w:val="none"/>
              </w:rPr>
              <w:t>小写：</w:t>
            </w:r>
          </w:p>
        </w:tc>
      </w:tr>
    </w:tbl>
    <w:p w14:paraId="36F547CE">
      <w:pPr>
        <w:spacing w:before="120"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注：1.此表为报价总表的明细表，</w:t>
      </w:r>
      <w:r>
        <w:rPr>
          <w:rFonts w:hint="eastAsia" w:ascii="黑体" w:hAnsi="黑体" w:eastAsia="黑体" w:cs="黑体"/>
          <w:color w:val="auto"/>
          <w:szCs w:val="21"/>
          <w:highlight w:val="none"/>
          <w:lang w:eastAsia="zh-CN"/>
        </w:rPr>
        <w:t>供应商</w:t>
      </w:r>
      <w:r>
        <w:rPr>
          <w:rFonts w:hint="eastAsia" w:ascii="黑体" w:hAnsi="黑体" w:eastAsia="黑体" w:cs="黑体"/>
          <w:color w:val="auto"/>
          <w:szCs w:val="21"/>
          <w:highlight w:val="none"/>
        </w:rPr>
        <w:t>应列明按“</w:t>
      </w:r>
      <w:r>
        <w:rPr>
          <w:rFonts w:hint="eastAsia" w:ascii="黑体" w:hAnsi="黑体" w:eastAsia="黑体" w:cs="黑体"/>
          <w:color w:val="auto"/>
          <w:szCs w:val="21"/>
          <w:highlight w:val="none"/>
          <w:lang w:val="en-US" w:eastAsia="zh-CN"/>
        </w:rPr>
        <w:t>采购</w:t>
      </w:r>
      <w:r>
        <w:rPr>
          <w:rFonts w:hint="eastAsia" w:ascii="黑体" w:hAnsi="黑体" w:eastAsia="黑体" w:cs="黑体"/>
          <w:color w:val="auto"/>
          <w:szCs w:val="21"/>
          <w:highlight w:val="none"/>
        </w:rPr>
        <w:t>需求”所提供的货物的价格明细，详细报价可另附页说明。</w:t>
      </w:r>
    </w:p>
    <w:p w14:paraId="7AD0701E">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2.如果单价和总价不符时，以单价为准，修正总价。</w:t>
      </w:r>
    </w:p>
    <w:p w14:paraId="296A1746">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3.报价须包含货物及其附件的设计、采购、制造、检测、试验、包装、运输、保险、现场仓储、税费以及安装调试、软件、验收、培训、技术服务（包括技术资料、图纸的提供）、质保期保障等相关服务的全部费用。</w:t>
      </w:r>
    </w:p>
    <w:p w14:paraId="660BB351">
      <w:pPr>
        <w:spacing w:line="360" w:lineRule="auto"/>
        <w:ind w:left="420"/>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804"/>
        <w:gridCol w:w="1502"/>
      </w:tblGrid>
      <w:tr w14:paraId="5CCE9975">
        <w:tblPrEx>
          <w:tblCellMar>
            <w:top w:w="0" w:type="dxa"/>
            <w:left w:w="108" w:type="dxa"/>
            <w:bottom w:w="0" w:type="dxa"/>
            <w:right w:w="108" w:type="dxa"/>
          </w:tblCellMar>
        </w:tblPrEx>
        <w:tc>
          <w:tcPr>
            <w:tcW w:w="6804" w:type="dxa"/>
          </w:tcPr>
          <w:p w14:paraId="2DB0575F">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502" w:type="dxa"/>
          </w:tcPr>
          <w:p w14:paraId="543CA489">
            <w:pPr>
              <w:spacing w:line="360" w:lineRule="auto"/>
              <w:rPr>
                <w:rFonts w:hint="eastAsia" w:ascii="黑体" w:hAnsi="黑体" w:eastAsia="黑体" w:cs="黑体"/>
                <w:color w:val="auto"/>
                <w:szCs w:val="21"/>
                <w:highlight w:val="none"/>
              </w:rPr>
            </w:pPr>
          </w:p>
        </w:tc>
      </w:tr>
      <w:tr w14:paraId="39013805">
        <w:tblPrEx>
          <w:tblCellMar>
            <w:top w:w="0" w:type="dxa"/>
            <w:left w:w="108" w:type="dxa"/>
            <w:bottom w:w="0" w:type="dxa"/>
            <w:right w:w="108" w:type="dxa"/>
          </w:tblCellMar>
        </w:tblPrEx>
        <w:tc>
          <w:tcPr>
            <w:tcW w:w="6804" w:type="dxa"/>
          </w:tcPr>
          <w:p w14:paraId="3EDA12D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响应供应商法定代表人或被授权人（签名或盖私章）：</w:t>
            </w:r>
            <w:r>
              <w:rPr>
                <w:rFonts w:hint="eastAsia" w:ascii="黑体" w:hAnsi="黑体" w:eastAsia="黑体" w:cs="黑体"/>
                <w:color w:val="auto"/>
                <w:szCs w:val="21"/>
                <w:highlight w:val="none"/>
                <w:u w:val="single"/>
              </w:rPr>
              <w:t xml:space="preserve">                </w:t>
            </w:r>
          </w:p>
        </w:tc>
        <w:tc>
          <w:tcPr>
            <w:tcW w:w="1502" w:type="dxa"/>
          </w:tcPr>
          <w:p w14:paraId="1D1AAE50">
            <w:pPr>
              <w:spacing w:line="360" w:lineRule="auto"/>
              <w:rPr>
                <w:rFonts w:hint="eastAsia" w:ascii="黑体" w:hAnsi="黑体" w:eastAsia="黑体" w:cs="黑体"/>
                <w:color w:val="auto"/>
                <w:szCs w:val="21"/>
                <w:highlight w:val="none"/>
              </w:rPr>
            </w:pPr>
          </w:p>
        </w:tc>
      </w:tr>
      <w:tr w14:paraId="1064729B">
        <w:tblPrEx>
          <w:tblCellMar>
            <w:top w:w="0" w:type="dxa"/>
            <w:left w:w="108" w:type="dxa"/>
            <w:bottom w:w="0" w:type="dxa"/>
            <w:right w:w="108" w:type="dxa"/>
          </w:tblCellMar>
        </w:tblPrEx>
        <w:tc>
          <w:tcPr>
            <w:tcW w:w="6804" w:type="dxa"/>
          </w:tcPr>
          <w:p w14:paraId="0A4978A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502" w:type="dxa"/>
          </w:tcPr>
          <w:p w14:paraId="572B32A5">
            <w:pPr>
              <w:spacing w:line="360" w:lineRule="auto"/>
              <w:rPr>
                <w:rFonts w:hint="eastAsia" w:ascii="黑体" w:hAnsi="黑体" w:eastAsia="黑体" w:cs="黑体"/>
                <w:color w:val="auto"/>
                <w:szCs w:val="21"/>
                <w:highlight w:val="none"/>
              </w:rPr>
            </w:pPr>
          </w:p>
        </w:tc>
      </w:tr>
    </w:tbl>
    <w:p w14:paraId="714C9A4D">
      <w:pPr>
        <w:spacing w:line="360" w:lineRule="auto"/>
        <w:rPr>
          <w:rFonts w:hint="eastAsia" w:ascii="黑体" w:hAnsi="黑体" w:eastAsia="黑体" w:cs="黑体"/>
          <w:color w:val="auto"/>
          <w:szCs w:val="21"/>
          <w:highlight w:val="none"/>
        </w:rPr>
      </w:pPr>
    </w:p>
    <w:p w14:paraId="3FA94C11">
      <w:pPr>
        <w:pStyle w:val="31"/>
        <w:pageBreakBefore/>
        <w:numPr>
          <w:ilvl w:val="0"/>
          <w:numId w:val="59"/>
        </w:numPr>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商务技术文件格式</w:t>
      </w:r>
    </w:p>
    <w:p w14:paraId="5CD80D67">
      <w:pPr>
        <w:spacing w:line="360" w:lineRule="auto"/>
        <w:ind w:right="105"/>
        <w:jc w:val="right"/>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正本/副本</w:t>
      </w:r>
    </w:p>
    <w:p w14:paraId="67871177">
      <w:pPr>
        <w:spacing w:line="360" w:lineRule="auto"/>
        <w:ind w:right="105"/>
        <w:jc w:val="right"/>
        <w:rPr>
          <w:rFonts w:hint="eastAsia" w:ascii="黑体" w:hAnsi="黑体" w:eastAsia="黑体" w:cs="黑体"/>
          <w:b/>
          <w:color w:val="auto"/>
          <w:szCs w:val="21"/>
          <w:highlight w:val="none"/>
        </w:rPr>
      </w:pPr>
    </w:p>
    <w:p w14:paraId="43B5F565">
      <w:pPr>
        <w:spacing w:line="360" w:lineRule="auto"/>
        <w:jc w:val="center"/>
        <w:rPr>
          <w:rFonts w:hint="eastAsia" w:ascii="黑体" w:hAnsi="黑体" w:eastAsia="黑体" w:cs="黑体"/>
          <w:b/>
          <w:color w:val="auto"/>
          <w:szCs w:val="21"/>
          <w:highlight w:val="none"/>
        </w:rPr>
      </w:pPr>
      <w:r>
        <w:rPr>
          <w:rFonts w:hint="eastAsia" w:ascii="黑体" w:hAnsi="黑体" w:eastAsia="黑体" w:cs="黑体"/>
          <w:bCs/>
          <w:color w:val="auto"/>
          <w:sz w:val="52"/>
          <w:szCs w:val="52"/>
          <w:highlight w:val="none"/>
        </w:rPr>
        <w:t>东莞理工学院松山湖校区多媒体教室常态化录播设备采购项目</w:t>
      </w:r>
    </w:p>
    <w:p w14:paraId="36940480">
      <w:pPr>
        <w:spacing w:line="360" w:lineRule="auto"/>
        <w:jc w:val="center"/>
        <w:rPr>
          <w:rFonts w:hint="eastAsia" w:ascii="黑体" w:hAnsi="黑体" w:eastAsia="黑体" w:cs="黑体"/>
          <w:b/>
          <w:color w:val="auto"/>
          <w:szCs w:val="21"/>
          <w:highlight w:val="none"/>
        </w:rPr>
      </w:pPr>
    </w:p>
    <w:p w14:paraId="677D700C">
      <w:pPr>
        <w:spacing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（项目编号：</w:t>
      </w:r>
      <w:r>
        <w:rPr>
          <w:rFonts w:hint="eastAsia" w:ascii="黑体" w:hAnsi="黑体" w:eastAsia="黑体" w:cs="黑体"/>
          <w:b/>
          <w:color w:val="auto"/>
          <w:szCs w:val="21"/>
          <w:highlight w:val="none"/>
          <w:u w:val="single"/>
        </w:rPr>
        <w:t xml:space="preserve">             </w:t>
      </w:r>
      <w:r>
        <w:rPr>
          <w:rFonts w:hint="eastAsia" w:ascii="黑体" w:hAnsi="黑体" w:eastAsia="黑体" w:cs="黑体"/>
          <w:b/>
          <w:color w:val="auto"/>
          <w:szCs w:val="21"/>
          <w:highlight w:val="none"/>
        </w:rPr>
        <w:t>）</w:t>
      </w:r>
    </w:p>
    <w:p w14:paraId="52407C7C">
      <w:pPr>
        <w:spacing w:before="1404" w:beforeLines="450" w:line="360" w:lineRule="auto"/>
        <w:jc w:val="center"/>
        <w:rPr>
          <w:rFonts w:hint="eastAsia" w:ascii="黑体" w:hAnsi="黑体" w:eastAsia="黑体" w:cs="黑体"/>
          <w:b/>
          <w:color w:val="auto"/>
          <w:spacing w:val="60"/>
          <w:sz w:val="72"/>
          <w:szCs w:val="72"/>
          <w:highlight w:val="none"/>
        </w:rPr>
      </w:pPr>
      <w:r>
        <w:rPr>
          <w:rFonts w:hint="eastAsia" w:ascii="黑体" w:hAnsi="黑体" w:eastAsia="黑体" w:cs="黑体"/>
          <w:b/>
          <w:color w:val="auto"/>
          <w:spacing w:val="60"/>
          <w:sz w:val="72"/>
          <w:szCs w:val="72"/>
          <w:highlight w:val="none"/>
        </w:rPr>
        <w:t>商务技术文件</w:t>
      </w:r>
    </w:p>
    <w:p w14:paraId="0EF4921E">
      <w:pPr>
        <w:spacing w:after="2028" w:afterLines="650" w:line="360" w:lineRule="auto"/>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（封面格式仅供参考）</w:t>
      </w:r>
    </w:p>
    <w:tbl>
      <w:tblPr>
        <w:tblStyle w:val="19"/>
        <w:tblW w:w="4184" w:type="pct"/>
        <w:jc w:val="center"/>
        <w:tblLayout w:type="autofit"/>
        <w:tblCellMar>
          <w:top w:w="0" w:type="dxa"/>
          <w:left w:w="108" w:type="dxa"/>
          <w:bottom w:w="0" w:type="dxa"/>
          <w:right w:w="108" w:type="dxa"/>
        </w:tblCellMar>
      </w:tblPr>
      <w:tblGrid>
        <w:gridCol w:w="2182"/>
        <w:gridCol w:w="4949"/>
      </w:tblGrid>
      <w:tr w14:paraId="0C7718E5">
        <w:tblPrEx>
          <w:tblCellMar>
            <w:top w:w="0" w:type="dxa"/>
            <w:left w:w="108" w:type="dxa"/>
            <w:bottom w:w="0" w:type="dxa"/>
            <w:right w:w="108" w:type="dxa"/>
          </w:tblCellMar>
        </w:tblPrEx>
        <w:trPr>
          <w:trHeight w:val="507" w:hRule="atLeast"/>
          <w:jc w:val="center"/>
        </w:trPr>
        <w:tc>
          <w:tcPr>
            <w:tcW w:w="1530" w:type="pct"/>
            <w:vAlign w:val="center"/>
          </w:tcPr>
          <w:p w14:paraId="5796400B">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响应单位全称：</w:t>
            </w:r>
          </w:p>
        </w:tc>
        <w:tc>
          <w:tcPr>
            <w:tcW w:w="3470" w:type="pct"/>
            <w:vAlign w:val="center"/>
          </w:tcPr>
          <w:p w14:paraId="3A23DA36">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0C9B284C">
        <w:tblPrEx>
          <w:tblCellMar>
            <w:top w:w="0" w:type="dxa"/>
            <w:left w:w="108" w:type="dxa"/>
            <w:bottom w:w="0" w:type="dxa"/>
            <w:right w:w="108" w:type="dxa"/>
          </w:tblCellMar>
        </w:tblPrEx>
        <w:trPr>
          <w:trHeight w:val="556" w:hRule="atLeast"/>
          <w:jc w:val="center"/>
        </w:trPr>
        <w:tc>
          <w:tcPr>
            <w:tcW w:w="1530" w:type="pct"/>
            <w:vAlign w:val="center"/>
          </w:tcPr>
          <w:p w14:paraId="5002C369">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响应单位地址：</w:t>
            </w:r>
          </w:p>
        </w:tc>
        <w:tc>
          <w:tcPr>
            <w:tcW w:w="3470" w:type="pct"/>
            <w:vAlign w:val="center"/>
          </w:tcPr>
          <w:p w14:paraId="150F7228">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0D9FB8E5">
        <w:tblPrEx>
          <w:tblCellMar>
            <w:top w:w="0" w:type="dxa"/>
            <w:left w:w="108" w:type="dxa"/>
            <w:bottom w:w="0" w:type="dxa"/>
            <w:right w:w="108" w:type="dxa"/>
          </w:tblCellMar>
        </w:tblPrEx>
        <w:trPr>
          <w:trHeight w:val="550" w:hRule="atLeast"/>
          <w:jc w:val="center"/>
        </w:trPr>
        <w:tc>
          <w:tcPr>
            <w:tcW w:w="1530" w:type="pct"/>
            <w:vAlign w:val="center"/>
          </w:tcPr>
          <w:p w14:paraId="3765B531">
            <w:pPr>
              <w:spacing w:line="360" w:lineRule="auto"/>
              <w:jc w:val="left"/>
              <w:rPr>
                <w:rFonts w:hint="eastAsia" w:ascii="黑体" w:hAnsi="黑体" w:eastAsia="黑体" w:cs="黑体"/>
                <w:color w:val="auto"/>
                <w:spacing w:val="-10"/>
                <w:sz w:val="24"/>
                <w:szCs w:val="24"/>
                <w:highlight w:val="none"/>
              </w:rPr>
            </w:pPr>
            <w:r>
              <w:rPr>
                <w:rFonts w:hint="eastAsia" w:ascii="黑体" w:hAnsi="黑体" w:eastAsia="黑体" w:cs="黑体"/>
                <w:color w:val="auto"/>
                <w:sz w:val="24"/>
                <w:szCs w:val="24"/>
                <w:highlight w:val="none"/>
              </w:rPr>
              <w:t>响应</w:t>
            </w:r>
            <w:r>
              <w:rPr>
                <w:rFonts w:hint="eastAsia" w:ascii="黑体" w:hAnsi="黑体" w:eastAsia="黑体" w:cs="黑体"/>
                <w:color w:val="auto"/>
                <w:spacing w:val="-10"/>
                <w:sz w:val="24"/>
                <w:szCs w:val="24"/>
                <w:highlight w:val="none"/>
              </w:rPr>
              <w:t>单位联系人：</w:t>
            </w:r>
          </w:p>
        </w:tc>
        <w:tc>
          <w:tcPr>
            <w:tcW w:w="3470" w:type="pct"/>
            <w:vAlign w:val="center"/>
          </w:tcPr>
          <w:p w14:paraId="53E4DA83">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6C0F7DC5">
        <w:tblPrEx>
          <w:tblCellMar>
            <w:top w:w="0" w:type="dxa"/>
            <w:left w:w="108" w:type="dxa"/>
            <w:bottom w:w="0" w:type="dxa"/>
            <w:right w:w="108" w:type="dxa"/>
          </w:tblCellMar>
        </w:tblPrEx>
        <w:trPr>
          <w:trHeight w:val="558" w:hRule="atLeast"/>
          <w:jc w:val="center"/>
        </w:trPr>
        <w:tc>
          <w:tcPr>
            <w:tcW w:w="1530" w:type="pct"/>
            <w:vAlign w:val="center"/>
          </w:tcPr>
          <w:p w14:paraId="4384F2D9">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响应单位固话：</w:t>
            </w:r>
          </w:p>
        </w:tc>
        <w:tc>
          <w:tcPr>
            <w:tcW w:w="3470" w:type="pct"/>
            <w:vAlign w:val="center"/>
          </w:tcPr>
          <w:p w14:paraId="5E653783">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r w14:paraId="0EE12F9F">
        <w:tblPrEx>
          <w:tblCellMar>
            <w:top w:w="0" w:type="dxa"/>
            <w:left w:w="108" w:type="dxa"/>
            <w:bottom w:w="0" w:type="dxa"/>
            <w:right w:w="108" w:type="dxa"/>
          </w:tblCellMar>
        </w:tblPrEx>
        <w:trPr>
          <w:trHeight w:val="566" w:hRule="atLeast"/>
          <w:jc w:val="center"/>
        </w:trPr>
        <w:tc>
          <w:tcPr>
            <w:tcW w:w="1530" w:type="pct"/>
            <w:vAlign w:val="center"/>
          </w:tcPr>
          <w:p w14:paraId="2958DEF6">
            <w:pPr>
              <w:spacing w:line="360" w:lineRule="auto"/>
              <w:jc w:val="left"/>
              <w:rPr>
                <w:rFonts w:hint="eastAsia" w:ascii="黑体" w:hAnsi="黑体" w:eastAsia="黑体" w:cs="黑体"/>
                <w:color w:val="auto"/>
                <w:sz w:val="24"/>
                <w:szCs w:val="24"/>
                <w:highlight w:val="none"/>
              </w:rPr>
            </w:pPr>
            <w:r>
              <w:rPr>
                <w:rFonts w:hint="eastAsia" w:ascii="黑体" w:hAnsi="黑体" w:eastAsia="黑体" w:cs="黑体"/>
                <w:color w:val="auto"/>
                <w:sz w:val="24"/>
                <w:szCs w:val="24"/>
                <w:highlight w:val="none"/>
              </w:rPr>
              <w:t>响应单位传真：</w:t>
            </w:r>
          </w:p>
        </w:tc>
        <w:tc>
          <w:tcPr>
            <w:tcW w:w="3470" w:type="pct"/>
            <w:vAlign w:val="center"/>
          </w:tcPr>
          <w:p w14:paraId="516E4886">
            <w:pPr>
              <w:spacing w:line="360" w:lineRule="auto"/>
              <w:jc w:val="left"/>
              <w:rPr>
                <w:rFonts w:hint="eastAsia" w:ascii="黑体" w:hAnsi="黑体" w:eastAsia="黑体" w:cs="黑体"/>
                <w:color w:val="auto"/>
                <w:sz w:val="24"/>
                <w:szCs w:val="24"/>
                <w:highlight w:val="none"/>
                <w:u w:val="single"/>
              </w:rPr>
            </w:pPr>
            <w:r>
              <w:rPr>
                <w:rFonts w:hint="eastAsia" w:ascii="黑体" w:hAnsi="黑体" w:eastAsia="黑体" w:cs="黑体"/>
                <w:color w:val="auto"/>
                <w:sz w:val="24"/>
                <w:szCs w:val="24"/>
                <w:highlight w:val="none"/>
                <w:u w:val="single"/>
              </w:rPr>
              <w:t xml:space="preserve">                                       </w:t>
            </w:r>
          </w:p>
        </w:tc>
      </w:tr>
    </w:tbl>
    <w:p w14:paraId="6FECB2A9">
      <w:pPr>
        <w:spacing w:line="360" w:lineRule="auto"/>
        <w:rPr>
          <w:rFonts w:hint="eastAsia" w:ascii="黑体" w:hAnsi="黑体" w:eastAsia="黑体" w:cs="黑体"/>
          <w:color w:val="auto"/>
          <w:szCs w:val="21"/>
          <w:highlight w:val="none"/>
        </w:rPr>
      </w:pPr>
    </w:p>
    <w:p w14:paraId="668EFDAB">
      <w:pPr>
        <w:spacing w:before="312" w:beforeLines="100" w:after="156" w:afterLines="50" w:line="600" w:lineRule="exact"/>
        <w:jc w:val="center"/>
        <w:rPr>
          <w:rFonts w:hint="eastAsia" w:ascii="黑体" w:hAnsi="黑体" w:eastAsia="黑体" w:cs="黑体"/>
          <w:b/>
          <w:bCs/>
          <w:color w:val="auto"/>
          <w:spacing w:val="40"/>
          <w:sz w:val="24"/>
          <w:szCs w:val="24"/>
          <w:highlight w:val="none"/>
        </w:rPr>
      </w:pPr>
      <w:r>
        <w:rPr>
          <w:rFonts w:hint="eastAsia" w:ascii="黑体" w:hAnsi="黑体" w:eastAsia="黑体" w:cs="黑体"/>
          <w:b/>
          <w:color w:val="auto"/>
          <w:spacing w:val="40"/>
          <w:sz w:val="24"/>
          <w:szCs w:val="24"/>
          <w:highlight w:val="none"/>
        </w:rPr>
        <w:t>日期：   年  月  日</w:t>
      </w:r>
    </w:p>
    <w:p w14:paraId="16A68821">
      <w:pPr>
        <w:pStyle w:val="39"/>
        <w:spacing w:before="312" w:beforeLines="100" w:line="360" w:lineRule="auto"/>
        <w:ind w:firstLine="0" w:firstLineChars="0"/>
        <w:rPr>
          <w:rFonts w:hint="eastAsia" w:ascii="黑体" w:hAnsi="黑体" w:eastAsia="黑体" w:cs="黑体"/>
          <w:b/>
          <w:color w:val="auto"/>
          <w:sz w:val="21"/>
          <w:szCs w:val="21"/>
          <w:highlight w:val="none"/>
        </w:rPr>
      </w:pPr>
    </w:p>
    <w:p w14:paraId="417F07CB">
      <w:pPr>
        <w:pStyle w:val="31"/>
        <w:pageBreakBefore/>
        <w:numPr>
          <w:ilvl w:val="0"/>
          <w:numId w:val="62"/>
        </w:numPr>
        <w:spacing w:line="360" w:lineRule="auto"/>
        <w:ind w:firstLineChars="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资格性与符合性自查索引表格式</w:t>
      </w:r>
    </w:p>
    <w:p w14:paraId="415ABEFA">
      <w:pPr>
        <w:spacing w:before="156" w:beforeLines="50" w:after="156" w:afterLines="50"/>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资格性与符合性自查索引表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4798"/>
        <w:gridCol w:w="1275"/>
        <w:gridCol w:w="1756"/>
      </w:tblGrid>
      <w:tr w14:paraId="790B5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7C7CDEE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2815" w:type="pct"/>
            <w:tcBorders>
              <w:bottom w:val="single" w:color="auto" w:sz="4" w:space="0"/>
              <w:tl2br w:val="nil"/>
            </w:tcBorders>
            <w:vAlign w:val="center"/>
          </w:tcPr>
          <w:p w14:paraId="5D7F3F71">
            <w:pPr>
              <w:spacing w:line="360" w:lineRule="auto"/>
              <w:ind w:left="210" w:hanging="210" w:hangingChars="100"/>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审查内容</w:t>
            </w:r>
          </w:p>
        </w:tc>
        <w:tc>
          <w:tcPr>
            <w:tcW w:w="748" w:type="pct"/>
            <w:vAlign w:val="center"/>
          </w:tcPr>
          <w:p w14:paraId="75B1CCDB">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自查</w:t>
            </w:r>
          </w:p>
          <w:p w14:paraId="410CE299">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结论</w:t>
            </w:r>
          </w:p>
        </w:tc>
        <w:tc>
          <w:tcPr>
            <w:tcW w:w="1030" w:type="pct"/>
            <w:vAlign w:val="center"/>
          </w:tcPr>
          <w:p w14:paraId="265DD6EF">
            <w:pPr>
              <w:spacing w:line="360" w:lineRule="auto"/>
              <w:jc w:val="center"/>
              <w:rPr>
                <w:rFonts w:hint="eastAsia" w:ascii="黑体" w:hAnsi="黑体" w:eastAsia="黑体" w:cs="黑体"/>
                <w:bCs/>
                <w:color w:val="auto"/>
                <w:spacing w:val="-10"/>
                <w:szCs w:val="21"/>
                <w:highlight w:val="none"/>
              </w:rPr>
            </w:pPr>
            <w:r>
              <w:rPr>
                <w:rFonts w:hint="eastAsia" w:ascii="黑体" w:hAnsi="黑体" w:eastAsia="黑体" w:cs="黑体"/>
                <w:bCs/>
                <w:color w:val="auto"/>
                <w:spacing w:val="-10"/>
                <w:szCs w:val="21"/>
                <w:highlight w:val="none"/>
              </w:rPr>
              <w:t>商务技术/价格响应文件响应页码</w:t>
            </w:r>
          </w:p>
        </w:tc>
      </w:tr>
      <w:tr w14:paraId="13350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42095DF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1</w:t>
            </w:r>
          </w:p>
        </w:tc>
        <w:tc>
          <w:tcPr>
            <w:tcW w:w="2815" w:type="pct"/>
            <w:tcBorders>
              <w:tl2br w:val="nil"/>
            </w:tcBorders>
            <w:vAlign w:val="center"/>
          </w:tcPr>
          <w:p w14:paraId="7C672665">
            <w:pPr>
              <w:jc w:val="left"/>
              <w:rPr>
                <w:rFonts w:hint="eastAsia" w:ascii="黑体" w:hAnsi="黑体" w:eastAsia="黑体" w:cs="黑体"/>
                <w:color w:val="auto"/>
                <w:highlight w:val="none"/>
              </w:rPr>
            </w:pPr>
          </w:p>
        </w:tc>
        <w:tc>
          <w:tcPr>
            <w:tcW w:w="748" w:type="pct"/>
            <w:vAlign w:val="center"/>
          </w:tcPr>
          <w:p w14:paraId="1C38E415">
            <w:pPr>
              <w:spacing w:line="360" w:lineRule="auto"/>
              <w:jc w:val="center"/>
              <w:rPr>
                <w:rFonts w:hint="eastAsia" w:ascii="黑体" w:hAnsi="黑体" w:eastAsia="黑体" w:cs="黑体"/>
                <w:bCs/>
                <w:color w:val="auto"/>
                <w:szCs w:val="21"/>
                <w:highlight w:val="none"/>
              </w:rPr>
            </w:pPr>
          </w:p>
        </w:tc>
        <w:tc>
          <w:tcPr>
            <w:tcW w:w="1030" w:type="pct"/>
            <w:vAlign w:val="center"/>
          </w:tcPr>
          <w:p w14:paraId="4D92C8FA">
            <w:pPr>
              <w:spacing w:line="360" w:lineRule="auto"/>
              <w:jc w:val="center"/>
              <w:rPr>
                <w:rFonts w:hint="eastAsia" w:ascii="黑体" w:hAnsi="黑体" w:eastAsia="黑体" w:cs="黑体"/>
                <w:bCs/>
                <w:color w:val="auto"/>
                <w:szCs w:val="21"/>
                <w:highlight w:val="none"/>
              </w:rPr>
            </w:pPr>
          </w:p>
        </w:tc>
      </w:tr>
      <w:tr w14:paraId="38FA1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4424566">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2</w:t>
            </w:r>
          </w:p>
        </w:tc>
        <w:tc>
          <w:tcPr>
            <w:tcW w:w="2815" w:type="pct"/>
            <w:vAlign w:val="center"/>
          </w:tcPr>
          <w:p w14:paraId="2D6D408F">
            <w:pPr>
              <w:spacing w:line="360" w:lineRule="auto"/>
              <w:jc w:val="left"/>
              <w:rPr>
                <w:rFonts w:hint="eastAsia" w:ascii="黑体" w:hAnsi="黑体" w:eastAsia="黑体" w:cs="黑体"/>
                <w:b/>
                <w:bCs/>
                <w:color w:val="auto"/>
                <w:szCs w:val="21"/>
                <w:highlight w:val="none"/>
              </w:rPr>
            </w:pPr>
          </w:p>
        </w:tc>
        <w:tc>
          <w:tcPr>
            <w:tcW w:w="748" w:type="pct"/>
            <w:vAlign w:val="center"/>
          </w:tcPr>
          <w:p w14:paraId="53527402">
            <w:pPr>
              <w:spacing w:line="360" w:lineRule="auto"/>
              <w:jc w:val="center"/>
              <w:rPr>
                <w:rFonts w:hint="eastAsia" w:ascii="黑体" w:hAnsi="黑体" w:eastAsia="黑体" w:cs="黑体"/>
                <w:b/>
                <w:bCs/>
                <w:color w:val="auto"/>
                <w:szCs w:val="21"/>
                <w:highlight w:val="none"/>
              </w:rPr>
            </w:pPr>
          </w:p>
        </w:tc>
        <w:tc>
          <w:tcPr>
            <w:tcW w:w="1030" w:type="pct"/>
            <w:vAlign w:val="center"/>
          </w:tcPr>
          <w:p w14:paraId="1D394433">
            <w:pPr>
              <w:spacing w:line="360" w:lineRule="auto"/>
              <w:jc w:val="center"/>
              <w:rPr>
                <w:rFonts w:hint="eastAsia" w:ascii="黑体" w:hAnsi="黑体" w:eastAsia="黑体" w:cs="黑体"/>
                <w:b/>
                <w:bCs/>
                <w:color w:val="auto"/>
                <w:szCs w:val="21"/>
                <w:highlight w:val="none"/>
              </w:rPr>
            </w:pPr>
          </w:p>
        </w:tc>
      </w:tr>
      <w:tr w14:paraId="6CB8B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DAAFD03">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3</w:t>
            </w:r>
          </w:p>
        </w:tc>
        <w:tc>
          <w:tcPr>
            <w:tcW w:w="2815" w:type="pct"/>
            <w:vAlign w:val="center"/>
          </w:tcPr>
          <w:p w14:paraId="53B95732">
            <w:pPr>
              <w:spacing w:line="360" w:lineRule="auto"/>
              <w:jc w:val="left"/>
              <w:rPr>
                <w:rFonts w:hint="eastAsia" w:ascii="黑体" w:hAnsi="黑体" w:eastAsia="黑体" w:cs="黑体"/>
                <w:b/>
                <w:bCs/>
                <w:color w:val="auto"/>
                <w:szCs w:val="21"/>
                <w:highlight w:val="none"/>
              </w:rPr>
            </w:pPr>
          </w:p>
        </w:tc>
        <w:tc>
          <w:tcPr>
            <w:tcW w:w="748" w:type="pct"/>
            <w:vAlign w:val="center"/>
          </w:tcPr>
          <w:p w14:paraId="085303CA">
            <w:pPr>
              <w:spacing w:line="360" w:lineRule="auto"/>
              <w:jc w:val="center"/>
              <w:rPr>
                <w:rFonts w:hint="eastAsia" w:ascii="黑体" w:hAnsi="黑体" w:eastAsia="黑体" w:cs="黑体"/>
                <w:b/>
                <w:bCs/>
                <w:color w:val="auto"/>
                <w:szCs w:val="21"/>
                <w:highlight w:val="none"/>
              </w:rPr>
            </w:pPr>
          </w:p>
        </w:tc>
        <w:tc>
          <w:tcPr>
            <w:tcW w:w="1030" w:type="pct"/>
            <w:vAlign w:val="center"/>
          </w:tcPr>
          <w:p w14:paraId="73C52210">
            <w:pPr>
              <w:spacing w:line="360" w:lineRule="auto"/>
              <w:jc w:val="center"/>
              <w:rPr>
                <w:rFonts w:hint="eastAsia" w:ascii="黑体" w:hAnsi="黑体" w:eastAsia="黑体" w:cs="黑体"/>
                <w:b/>
                <w:bCs/>
                <w:color w:val="auto"/>
                <w:szCs w:val="21"/>
                <w:highlight w:val="none"/>
              </w:rPr>
            </w:pPr>
          </w:p>
        </w:tc>
      </w:tr>
      <w:tr w14:paraId="02DFE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63DF01E">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4</w:t>
            </w:r>
          </w:p>
        </w:tc>
        <w:tc>
          <w:tcPr>
            <w:tcW w:w="2815" w:type="pct"/>
            <w:vAlign w:val="center"/>
          </w:tcPr>
          <w:p w14:paraId="11316C1E">
            <w:pPr>
              <w:spacing w:line="360" w:lineRule="auto"/>
              <w:jc w:val="left"/>
              <w:rPr>
                <w:rFonts w:hint="eastAsia" w:ascii="黑体" w:hAnsi="黑体" w:eastAsia="黑体" w:cs="黑体"/>
                <w:b/>
                <w:bCs/>
                <w:color w:val="auto"/>
                <w:szCs w:val="21"/>
                <w:highlight w:val="none"/>
              </w:rPr>
            </w:pPr>
          </w:p>
        </w:tc>
        <w:tc>
          <w:tcPr>
            <w:tcW w:w="748" w:type="pct"/>
            <w:vAlign w:val="center"/>
          </w:tcPr>
          <w:p w14:paraId="300D7DBC">
            <w:pPr>
              <w:spacing w:line="360" w:lineRule="auto"/>
              <w:jc w:val="center"/>
              <w:rPr>
                <w:rFonts w:hint="eastAsia" w:ascii="黑体" w:hAnsi="黑体" w:eastAsia="黑体" w:cs="黑体"/>
                <w:b/>
                <w:bCs/>
                <w:color w:val="auto"/>
                <w:szCs w:val="21"/>
                <w:highlight w:val="none"/>
              </w:rPr>
            </w:pPr>
          </w:p>
        </w:tc>
        <w:tc>
          <w:tcPr>
            <w:tcW w:w="1030" w:type="pct"/>
            <w:vAlign w:val="center"/>
          </w:tcPr>
          <w:p w14:paraId="109D700A">
            <w:pPr>
              <w:spacing w:line="360" w:lineRule="auto"/>
              <w:jc w:val="center"/>
              <w:rPr>
                <w:rFonts w:hint="eastAsia" w:ascii="黑体" w:hAnsi="黑体" w:eastAsia="黑体" w:cs="黑体"/>
                <w:b/>
                <w:bCs/>
                <w:color w:val="auto"/>
                <w:szCs w:val="21"/>
                <w:highlight w:val="none"/>
              </w:rPr>
            </w:pPr>
          </w:p>
        </w:tc>
      </w:tr>
      <w:tr w14:paraId="5A185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14:paraId="61E79D0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5</w:t>
            </w:r>
          </w:p>
        </w:tc>
        <w:tc>
          <w:tcPr>
            <w:tcW w:w="2815" w:type="pct"/>
            <w:vAlign w:val="center"/>
          </w:tcPr>
          <w:p w14:paraId="0D8081B9">
            <w:pPr>
              <w:spacing w:line="360" w:lineRule="auto"/>
              <w:jc w:val="left"/>
              <w:rPr>
                <w:rFonts w:hint="eastAsia" w:ascii="黑体" w:hAnsi="黑体" w:eastAsia="黑体" w:cs="黑体"/>
                <w:color w:val="auto"/>
                <w:szCs w:val="21"/>
                <w:highlight w:val="none"/>
              </w:rPr>
            </w:pPr>
          </w:p>
        </w:tc>
        <w:tc>
          <w:tcPr>
            <w:tcW w:w="748" w:type="pct"/>
            <w:vAlign w:val="center"/>
          </w:tcPr>
          <w:p w14:paraId="15FD4EB5">
            <w:pPr>
              <w:spacing w:line="360" w:lineRule="auto"/>
              <w:jc w:val="center"/>
              <w:rPr>
                <w:rFonts w:hint="eastAsia" w:ascii="黑体" w:hAnsi="黑体" w:eastAsia="黑体" w:cs="黑体"/>
                <w:b/>
                <w:bCs/>
                <w:color w:val="auto"/>
                <w:szCs w:val="21"/>
                <w:highlight w:val="none"/>
              </w:rPr>
            </w:pPr>
          </w:p>
        </w:tc>
        <w:tc>
          <w:tcPr>
            <w:tcW w:w="1030" w:type="pct"/>
            <w:vAlign w:val="center"/>
          </w:tcPr>
          <w:p w14:paraId="31C12795">
            <w:pPr>
              <w:spacing w:line="360" w:lineRule="auto"/>
              <w:jc w:val="center"/>
              <w:rPr>
                <w:rFonts w:hint="eastAsia" w:ascii="黑体" w:hAnsi="黑体" w:eastAsia="黑体" w:cs="黑体"/>
                <w:b/>
                <w:bCs/>
                <w:color w:val="auto"/>
                <w:szCs w:val="21"/>
                <w:highlight w:val="none"/>
              </w:rPr>
            </w:pPr>
          </w:p>
        </w:tc>
      </w:tr>
      <w:tr w14:paraId="319B4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14:paraId="71E6619A">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6</w:t>
            </w:r>
          </w:p>
        </w:tc>
        <w:tc>
          <w:tcPr>
            <w:tcW w:w="2815" w:type="pct"/>
            <w:vAlign w:val="center"/>
          </w:tcPr>
          <w:p w14:paraId="2E3B3D4B">
            <w:pPr>
              <w:spacing w:line="360" w:lineRule="auto"/>
              <w:jc w:val="left"/>
              <w:rPr>
                <w:rFonts w:hint="eastAsia" w:ascii="黑体" w:hAnsi="黑体" w:eastAsia="黑体" w:cs="黑体"/>
                <w:b/>
                <w:bCs/>
                <w:color w:val="auto"/>
                <w:szCs w:val="21"/>
                <w:highlight w:val="none"/>
              </w:rPr>
            </w:pPr>
          </w:p>
        </w:tc>
        <w:tc>
          <w:tcPr>
            <w:tcW w:w="748" w:type="pct"/>
            <w:vAlign w:val="center"/>
          </w:tcPr>
          <w:p w14:paraId="31AB32E6">
            <w:pPr>
              <w:spacing w:line="360" w:lineRule="auto"/>
              <w:jc w:val="center"/>
              <w:rPr>
                <w:rFonts w:hint="eastAsia" w:ascii="黑体" w:hAnsi="黑体" w:eastAsia="黑体" w:cs="黑体"/>
                <w:b/>
                <w:bCs/>
                <w:color w:val="auto"/>
                <w:szCs w:val="21"/>
                <w:highlight w:val="none"/>
              </w:rPr>
            </w:pPr>
          </w:p>
        </w:tc>
        <w:tc>
          <w:tcPr>
            <w:tcW w:w="1030" w:type="pct"/>
            <w:vAlign w:val="center"/>
          </w:tcPr>
          <w:p w14:paraId="0FCC746E">
            <w:pPr>
              <w:spacing w:line="360" w:lineRule="auto"/>
              <w:jc w:val="center"/>
              <w:rPr>
                <w:rFonts w:hint="eastAsia" w:ascii="黑体" w:hAnsi="黑体" w:eastAsia="黑体" w:cs="黑体"/>
                <w:b/>
                <w:bCs/>
                <w:color w:val="auto"/>
                <w:szCs w:val="21"/>
                <w:highlight w:val="none"/>
              </w:rPr>
            </w:pPr>
          </w:p>
        </w:tc>
      </w:tr>
      <w:tr w14:paraId="3BFC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2E418858">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7</w:t>
            </w:r>
          </w:p>
        </w:tc>
        <w:tc>
          <w:tcPr>
            <w:tcW w:w="2815" w:type="pct"/>
            <w:vAlign w:val="center"/>
          </w:tcPr>
          <w:p w14:paraId="231869B8">
            <w:pPr>
              <w:spacing w:line="360" w:lineRule="auto"/>
              <w:jc w:val="left"/>
              <w:rPr>
                <w:rFonts w:hint="eastAsia" w:ascii="黑体" w:hAnsi="黑体" w:eastAsia="黑体" w:cs="黑体"/>
                <w:color w:val="auto"/>
                <w:szCs w:val="21"/>
                <w:highlight w:val="none"/>
              </w:rPr>
            </w:pPr>
          </w:p>
        </w:tc>
        <w:tc>
          <w:tcPr>
            <w:tcW w:w="748" w:type="pct"/>
            <w:vAlign w:val="center"/>
          </w:tcPr>
          <w:p w14:paraId="7A9C71D6">
            <w:pPr>
              <w:spacing w:line="360" w:lineRule="auto"/>
              <w:jc w:val="center"/>
              <w:rPr>
                <w:rFonts w:hint="eastAsia" w:ascii="黑体" w:hAnsi="黑体" w:eastAsia="黑体" w:cs="黑体"/>
                <w:b/>
                <w:bCs/>
                <w:color w:val="auto"/>
                <w:szCs w:val="21"/>
                <w:highlight w:val="none"/>
              </w:rPr>
            </w:pPr>
          </w:p>
        </w:tc>
        <w:tc>
          <w:tcPr>
            <w:tcW w:w="1030" w:type="pct"/>
            <w:vAlign w:val="center"/>
          </w:tcPr>
          <w:p w14:paraId="5EC80F35">
            <w:pPr>
              <w:spacing w:line="360" w:lineRule="auto"/>
              <w:jc w:val="center"/>
              <w:rPr>
                <w:rFonts w:hint="eastAsia" w:ascii="黑体" w:hAnsi="黑体" w:eastAsia="黑体" w:cs="黑体"/>
                <w:b/>
                <w:bCs/>
                <w:color w:val="auto"/>
                <w:szCs w:val="21"/>
                <w:highlight w:val="none"/>
              </w:rPr>
            </w:pPr>
          </w:p>
        </w:tc>
      </w:tr>
      <w:tr w14:paraId="439D5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14:paraId="5A9B85B6">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8</w:t>
            </w:r>
          </w:p>
        </w:tc>
        <w:tc>
          <w:tcPr>
            <w:tcW w:w="2815" w:type="pct"/>
            <w:vAlign w:val="center"/>
          </w:tcPr>
          <w:p w14:paraId="1B6585A4">
            <w:pPr>
              <w:spacing w:line="360" w:lineRule="auto"/>
              <w:jc w:val="left"/>
              <w:rPr>
                <w:rFonts w:hint="eastAsia" w:ascii="黑体" w:hAnsi="黑体" w:eastAsia="黑体" w:cs="黑体"/>
                <w:color w:val="auto"/>
                <w:szCs w:val="21"/>
                <w:highlight w:val="none"/>
              </w:rPr>
            </w:pPr>
          </w:p>
        </w:tc>
        <w:tc>
          <w:tcPr>
            <w:tcW w:w="748" w:type="pct"/>
            <w:vAlign w:val="center"/>
          </w:tcPr>
          <w:p w14:paraId="20C494FC">
            <w:pPr>
              <w:spacing w:line="360" w:lineRule="auto"/>
              <w:jc w:val="center"/>
              <w:rPr>
                <w:rFonts w:hint="eastAsia" w:ascii="黑体" w:hAnsi="黑体" w:eastAsia="黑体" w:cs="黑体"/>
                <w:b/>
                <w:bCs/>
                <w:color w:val="auto"/>
                <w:szCs w:val="21"/>
                <w:highlight w:val="none"/>
              </w:rPr>
            </w:pPr>
          </w:p>
        </w:tc>
        <w:tc>
          <w:tcPr>
            <w:tcW w:w="1030" w:type="pct"/>
            <w:vAlign w:val="center"/>
          </w:tcPr>
          <w:p w14:paraId="30944810">
            <w:pPr>
              <w:spacing w:line="360" w:lineRule="auto"/>
              <w:jc w:val="center"/>
              <w:rPr>
                <w:rFonts w:hint="eastAsia" w:ascii="黑体" w:hAnsi="黑体" w:eastAsia="黑体" w:cs="黑体"/>
                <w:b/>
                <w:bCs/>
                <w:color w:val="auto"/>
                <w:szCs w:val="21"/>
                <w:highlight w:val="none"/>
              </w:rPr>
            </w:pPr>
          </w:p>
        </w:tc>
      </w:tr>
      <w:tr w14:paraId="747A4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14:paraId="05204B90">
            <w:pPr>
              <w:spacing w:line="360" w:lineRule="auto"/>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9</w:t>
            </w:r>
          </w:p>
        </w:tc>
        <w:tc>
          <w:tcPr>
            <w:tcW w:w="2815" w:type="pct"/>
            <w:vAlign w:val="center"/>
          </w:tcPr>
          <w:p w14:paraId="42FF9600">
            <w:pPr>
              <w:spacing w:line="360" w:lineRule="auto"/>
              <w:jc w:val="left"/>
              <w:rPr>
                <w:rFonts w:hint="eastAsia" w:ascii="黑体" w:hAnsi="黑体" w:eastAsia="黑体" w:cs="黑体"/>
                <w:bCs/>
                <w:color w:val="auto"/>
                <w:szCs w:val="21"/>
                <w:highlight w:val="none"/>
              </w:rPr>
            </w:pPr>
          </w:p>
        </w:tc>
        <w:tc>
          <w:tcPr>
            <w:tcW w:w="748" w:type="pct"/>
            <w:vAlign w:val="center"/>
          </w:tcPr>
          <w:p w14:paraId="622A4ACD">
            <w:pPr>
              <w:spacing w:line="360" w:lineRule="auto"/>
              <w:jc w:val="center"/>
              <w:rPr>
                <w:rFonts w:hint="eastAsia" w:ascii="黑体" w:hAnsi="黑体" w:eastAsia="黑体" w:cs="黑体"/>
                <w:b/>
                <w:bCs/>
                <w:color w:val="auto"/>
                <w:szCs w:val="21"/>
                <w:highlight w:val="none"/>
              </w:rPr>
            </w:pPr>
          </w:p>
        </w:tc>
        <w:tc>
          <w:tcPr>
            <w:tcW w:w="1030" w:type="pct"/>
            <w:vAlign w:val="center"/>
          </w:tcPr>
          <w:p w14:paraId="0B847B49">
            <w:pPr>
              <w:spacing w:line="360" w:lineRule="auto"/>
              <w:jc w:val="center"/>
              <w:rPr>
                <w:rFonts w:hint="eastAsia" w:ascii="黑体" w:hAnsi="黑体" w:eastAsia="黑体" w:cs="黑体"/>
                <w:b/>
                <w:bCs/>
                <w:color w:val="auto"/>
                <w:szCs w:val="21"/>
                <w:highlight w:val="none"/>
              </w:rPr>
            </w:pPr>
          </w:p>
        </w:tc>
      </w:tr>
    </w:tbl>
    <w:p w14:paraId="11F76785">
      <w:pPr>
        <w:spacing w:before="312" w:beforeLines="10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5B4B242B">
      <w:pPr>
        <w:pStyle w:val="31"/>
        <w:numPr>
          <w:ilvl w:val="0"/>
          <w:numId w:val="63"/>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自查结论处请填写：通过/不通过；</w:t>
      </w:r>
    </w:p>
    <w:p w14:paraId="6CB77111">
      <w:pPr>
        <w:pStyle w:val="31"/>
        <w:numPr>
          <w:ilvl w:val="0"/>
          <w:numId w:val="63"/>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附表一资格性与符合性审查表相对应条款填写</w:t>
      </w:r>
      <w:r>
        <w:rPr>
          <w:rFonts w:hint="eastAsia" w:ascii="黑体" w:hAnsi="黑体" w:eastAsia="黑体" w:cs="黑体"/>
          <w:color w:val="auto"/>
          <w:highlight w:val="none"/>
        </w:rPr>
        <w:t>。</w:t>
      </w:r>
    </w:p>
    <w:p w14:paraId="54798526">
      <w:pPr>
        <w:pStyle w:val="31"/>
        <w:spacing w:line="360" w:lineRule="auto"/>
        <w:ind w:firstLine="0" w:firstLineChars="0"/>
        <w:rPr>
          <w:rFonts w:hint="eastAsia" w:ascii="黑体" w:hAnsi="黑体" w:eastAsia="黑体" w:cs="黑体"/>
          <w:color w:val="auto"/>
          <w:sz w:val="18"/>
          <w:szCs w:val="18"/>
          <w:highlight w:val="none"/>
        </w:rPr>
      </w:pPr>
    </w:p>
    <w:p w14:paraId="54F5D2E7">
      <w:pPr>
        <w:pStyle w:val="31"/>
        <w:spacing w:line="360" w:lineRule="auto"/>
        <w:ind w:firstLine="0" w:firstLineChars="0"/>
        <w:rPr>
          <w:rFonts w:hint="eastAsia" w:ascii="黑体" w:hAnsi="黑体" w:eastAsia="黑体" w:cs="黑体"/>
          <w:color w:val="auto"/>
          <w:sz w:val="18"/>
          <w:szCs w:val="18"/>
          <w:highlight w:val="none"/>
        </w:rPr>
      </w:pPr>
    </w:p>
    <w:tbl>
      <w:tblPr>
        <w:tblStyle w:val="19"/>
        <w:tblW w:w="0" w:type="auto"/>
        <w:tblInd w:w="0" w:type="dxa"/>
        <w:tblLayout w:type="autofit"/>
        <w:tblCellMar>
          <w:top w:w="0" w:type="dxa"/>
          <w:left w:w="108" w:type="dxa"/>
          <w:bottom w:w="0" w:type="dxa"/>
          <w:right w:w="108" w:type="dxa"/>
        </w:tblCellMar>
      </w:tblPr>
      <w:tblGrid>
        <w:gridCol w:w="6096"/>
        <w:gridCol w:w="2210"/>
      </w:tblGrid>
      <w:tr w14:paraId="7E99B889">
        <w:tblPrEx>
          <w:tblCellMar>
            <w:top w:w="0" w:type="dxa"/>
            <w:left w:w="108" w:type="dxa"/>
            <w:bottom w:w="0" w:type="dxa"/>
            <w:right w:w="108" w:type="dxa"/>
          </w:tblCellMar>
        </w:tblPrEx>
        <w:tc>
          <w:tcPr>
            <w:tcW w:w="6096" w:type="dxa"/>
          </w:tcPr>
          <w:p w14:paraId="75A8C86C">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2210" w:type="dxa"/>
          </w:tcPr>
          <w:p w14:paraId="671DD5A3">
            <w:pPr>
              <w:spacing w:line="360" w:lineRule="auto"/>
              <w:rPr>
                <w:rFonts w:hint="eastAsia" w:ascii="黑体" w:hAnsi="黑体" w:eastAsia="黑体" w:cs="黑体"/>
                <w:color w:val="auto"/>
                <w:szCs w:val="21"/>
                <w:highlight w:val="none"/>
              </w:rPr>
            </w:pPr>
          </w:p>
        </w:tc>
      </w:tr>
      <w:tr w14:paraId="5B9D2039">
        <w:tblPrEx>
          <w:tblCellMar>
            <w:top w:w="0" w:type="dxa"/>
            <w:left w:w="108" w:type="dxa"/>
            <w:bottom w:w="0" w:type="dxa"/>
            <w:right w:w="108" w:type="dxa"/>
          </w:tblCellMar>
        </w:tblPrEx>
        <w:tc>
          <w:tcPr>
            <w:tcW w:w="6096" w:type="dxa"/>
          </w:tcPr>
          <w:p w14:paraId="6A49564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2210" w:type="dxa"/>
          </w:tcPr>
          <w:p w14:paraId="1A80D5F7">
            <w:pPr>
              <w:spacing w:line="360" w:lineRule="auto"/>
              <w:rPr>
                <w:rFonts w:hint="eastAsia" w:ascii="黑体" w:hAnsi="黑体" w:eastAsia="黑体" w:cs="黑体"/>
                <w:color w:val="auto"/>
                <w:szCs w:val="21"/>
                <w:highlight w:val="none"/>
              </w:rPr>
            </w:pPr>
          </w:p>
        </w:tc>
      </w:tr>
    </w:tbl>
    <w:p w14:paraId="35EA0D17">
      <w:pPr>
        <w:pStyle w:val="39"/>
        <w:spacing w:before="312" w:beforeLines="100" w:line="360" w:lineRule="auto"/>
        <w:ind w:firstLine="0" w:firstLineChars="0"/>
        <w:rPr>
          <w:rFonts w:hint="eastAsia" w:ascii="黑体" w:hAnsi="黑体" w:eastAsia="黑体" w:cs="黑体"/>
          <w:b/>
          <w:color w:val="auto"/>
          <w:sz w:val="21"/>
          <w:szCs w:val="21"/>
          <w:highlight w:val="none"/>
        </w:rPr>
      </w:pPr>
    </w:p>
    <w:p w14:paraId="6F04F1C9">
      <w:pPr>
        <w:pStyle w:val="31"/>
        <w:pageBreakBefore/>
        <w:numPr>
          <w:ilvl w:val="0"/>
          <w:numId w:val="62"/>
        </w:numPr>
        <w:spacing w:line="480" w:lineRule="auto"/>
        <w:ind w:firstLineChars="0"/>
        <w:rPr>
          <w:rStyle w:val="22"/>
          <w:rFonts w:hint="eastAsia" w:ascii="黑体" w:hAnsi="黑体" w:eastAsia="黑体" w:cs="黑体"/>
          <w:color w:val="auto"/>
          <w:spacing w:val="12"/>
          <w:szCs w:val="21"/>
          <w:highlight w:val="none"/>
        </w:rPr>
      </w:pPr>
      <w:bookmarkStart w:id="282" w:name="_Toc405313961"/>
      <w:bookmarkStart w:id="283" w:name="_Toc13821088"/>
      <w:bookmarkStart w:id="284" w:name="_Toc391627757"/>
      <w:r>
        <w:rPr>
          <w:rStyle w:val="22"/>
          <w:rFonts w:hint="eastAsia" w:ascii="黑体" w:hAnsi="黑体" w:eastAsia="黑体" w:cs="黑体"/>
          <w:color w:val="auto"/>
          <w:spacing w:val="12"/>
          <w:szCs w:val="21"/>
          <w:highlight w:val="none"/>
        </w:rPr>
        <w:t>报价函</w:t>
      </w:r>
      <w:bookmarkEnd w:id="282"/>
      <w:bookmarkEnd w:id="283"/>
      <w:bookmarkEnd w:id="284"/>
    </w:p>
    <w:p w14:paraId="2BBCA255">
      <w:pPr>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报价函</w:t>
      </w:r>
    </w:p>
    <w:p w14:paraId="7EAC6985">
      <w:pPr>
        <w:spacing w:before="156" w:beforeLines="50" w:after="156" w:afterLines="5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012362DF">
      <w:pPr>
        <w:autoSpaceDE w:val="0"/>
        <w:autoSpaceDN w:val="0"/>
        <w:adjustRightInd w:val="0"/>
        <w:spacing w:line="360" w:lineRule="auto"/>
        <w:ind w:right="26" w:firstLine="420" w:firstLineChars="200"/>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依据贵方</w:t>
      </w:r>
      <w:r>
        <w:rPr>
          <w:rFonts w:hint="eastAsia" w:ascii="黑体" w:hAnsi="黑体" w:eastAsia="黑体" w:cs="黑体"/>
          <w:b/>
          <w:color w:val="auto"/>
          <w:kern w:val="0"/>
          <w:szCs w:val="21"/>
          <w:highlight w:val="none"/>
          <w:u w:val="single"/>
        </w:rPr>
        <w:t xml:space="preserve">    </w:t>
      </w:r>
      <w:r>
        <w:rPr>
          <w:rFonts w:hint="eastAsia" w:ascii="黑体" w:hAnsi="黑体" w:eastAsia="黑体" w:cs="黑体"/>
          <w:b/>
          <w:color w:val="auto"/>
          <w:szCs w:val="21"/>
          <w:highlight w:val="none"/>
          <w:u w:val="single"/>
        </w:rPr>
        <w:t>项目名称</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kern w:val="0"/>
          <w:szCs w:val="21"/>
          <w:highlight w:val="none"/>
        </w:rPr>
        <w:t>项目</w:t>
      </w:r>
      <w:r>
        <w:rPr>
          <w:rFonts w:hint="eastAsia" w:ascii="黑体" w:hAnsi="黑体" w:eastAsia="黑体" w:cs="黑体"/>
          <w:color w:val="auto"/>
          <w:szCs w:val="21"/>
          <w:highlight w:val="none"/>
          <w:u w:val="single"/>
        </w:rPr>
        <w:t>（</w:t>
      </w:r>
      <w:r>
        <w:rPr>
          <w:rFonts w:hint="eastAsia" w:ascii="黑体" w:hAnsi="黑体" w:eastAsia="黑体" w:cs="黑体"/>
          <w:b/>
          <w:color w:val="auto"/>
          <w:szCs w:val="21"/>
          <w:highlight w:val="none"/>
          <w:u w:val="single"/>
        </w:rPr>
        <w:t xml:space="preserve">项目编号：      </w:t>
      </w:r>
      <w:r>
        <w:rPr>
          <w:rFonts w:hint="eastAsia" w:ascii="黑体" w:hAnsi="黑体" w:eastAsia="黑体" w:cs="黑体"/>
          <w:color w:val="auto"/>
          <w:szCs w:val="21"/>
          <w:highlight w:val="none"/>
          <w:u w:val="single"/>
        </w:rPr>
        <w:t>)</w:t>
      </w:r>
      <w:r>
        <w:rPr>
          <w:rFonts w:hint="eastAsia" w:ascii="黑体" w:hAnsi="黑体" w:eastAsia="黑体" w:cs="黑体"/>
          <w:color w:val="auto"/>
          <w:kern w:val="0"/>
          <w:szCs w:val="21"/>
          <w:highlight w:val="none"/>
        </w:rPr>
        <w:t>的询价邀请，我方代表</w:t>
      </w:r>
      <w:r>
        <w:rPr>
          <w:rFonts w:hint="eastAsia" w:ascii="黑体" w:hAnsi="黑体" w:eastAsia="黑体" w:cs="黑体"/>
          <w:color w:val="auto"/>
          <w:kern w:val="0"/>
          <w:szCs w:val="21"/>
          <w:highlight w:val="none"/>
          <w:u w:val="single"/>
        </w:rPr>
        <w:t xml:space="preserve"> </w:t>
      </w:r>
      <w:r>
        <w:rPr>
          <w:rFonts w:hint="eastAsia" w:ascii="黑体" w:hAnsi="黑体" w:eastAsia="黑体" w:cs="黑体"/>
          <w:color w:val="auto"/>
          <w:szCs w:val="21"/>
          <w:highlight w:val="none"/>
          <w:u w:val="single"/>
        </w:rPr>
        <w:t>（</w:t>
      </w:r>
      <w:r>
        <w:rPr>
          <w:rFonts w:hint="eastAsia" w:ascii="黑体" w:hAnsi="黑体" w:eastAsia="黑体" w:cs="黑体"/>
          <w:b/>
          <w:color w:val="auto"/>
          <w:szCs w:val="21"/>
          <w:highlight w:val="none"/>
          <w:u w:val="single"/>
        </w:rPr>
        <w:t>姓名、职务</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kern w:val="0"/>
          <w:szCs w:val="21"/>
          <w:highlight w:val="none"/>
        </w:rPr>
        <w:t>经正式授权并代表</w:t>
      </w:r>
      <w:r>
        <w:rPr>
          <w:rFonts w:hint="eastAsia" w:ascii="黑体" w:hAnsi="黑体" w:eastAsia="黑体" w:cs="黑体"/>
          <w:color w:val="auto"/>
          <w:kern w:val="0"/>
          <w:szCs w:val="21"/>
          <w:highlight w:val="none"/>
          <w:u w:val="single"/>
        </w:rPr>
        <w:t xml:space="preserve"> </w:t>
      </w:r>
      <w:r>
        <w:rPr>
          <w:rFonts w:hint="eastAsia" w:ascii="黑体" w:hAnsi="黑体" w:eastAsia="黑体" w:cs="黑体"/>
          <w:color w:val="auto"/>
          <w:szCs w:val="21"/>
          <w:highlight w:val="none"/>
          <w:u w:val="single"/>
        </w:rPr>
        <w:t>（</w:t>
      </w:r>
      <w:r>
        <w:rPr>
          <w:rFonts w:hint="eastAsia" w:ascii="黑体" w:hAnsi="黑体" w:eastAsia="黑体" w:cs="黑体"/>
          <w:b/>
          <w:color w:val="auto"/>
          <w:szCs w:val="21"/>
          <w:highlight w:val="none"/>
          <w:u w:val="single"/>
        </w:rPr>
        <w:t>供应商名称</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kern w:val="0"/>
          <w:szCs w:val="21"/>
          <w:highlight w:val="none"/>
        </w:rPr>
        <w:t>提交保证金信封一份，电子文件一份，响应文件(含价格文件、商务技术文件)各正本一份，副本</w:t>
      </w:r>
      <w:r>
        <w:rPr>
          <w:rFonts w:hint="eastAsia" w:ascii="黑体" w:hAnsi="黑体" w:eastAsia="黑体" w:cs="黑体"/>
          <w:color w:val="auto"/>
          <w:kern w:val="0"/>
          <w:szCs w:val="21"/>
          <w:highlight w:val="none"/>
          <w:u w:val="single"/>
        </w:rPr>
        <w:t xml:space="preserve"> （</w:t>
      </w:r>
      <w:r>
        <w:rPr>
          <w:rFonts w:hint="eastAsia" w:ascii="黑体" w:hAnsi="黑体" w:eastAsia="黑体" w:cs="黑体"/>
          <w:b/>
          <w:color w:val="auto"/>
          <w:kern w:val="0"/>
          <w:szCs w:val="21"/>
          <w:highlight w:val="none"/>
          <w:u w:val="single"/>
        </w:rPr>
        <w:t>详见报价须知前附表</w:t>
      </w:r>
      <w:r>
        <w:rPr>
          <w:rFonts w:hint="eastAsia" w:ascii="黑体" w:hAnsi="黑体" w:eastAsia="黑体" w:cs="黑体"/>
          <w:color w:val="auto"/>
          <w:kern w:val="0"/>
          <w:szCs w:val="21"/>
          <w:highlight w:val="none"/>
          <w:u w:val="single"/>
        </w:rPr>
        <w:t xml:space="preserve">）  </w:t>
      </w:r>
      <w:r>
        <w:rPr>
          <w:rFonts w:hint="eastAsia" w:ascii="黑体" w:hAnsi="黑体" w:eastAsia="黑体" w:cs="黑体"/>
          <w:color w:val="auto"/>
          <w:kern w:val="0"/>
          <w:szCs w:val="21"/>
          <w:highlight w:val="none"/>
        </w:rPr>
        <w:t>份。</w:t>
      </w:r>
    </w:p>
    <w:p w14:paraId="4594A66E">
      <w:pPr>
        <w:autoSpaceDE w:val="0"/>
        <w:autoSpaceDN w:val="0"/>
        <w:adjustRightInd w:val="0"/>
        <w:spacing w:line="360" w:lineRule="auto"/>
        <w:ind w:right="244"/>
        <w:rPr>
          <w:rFonts w:hint="eastAsia" w:ascii="黑体" w:hAnsi="黑体" w:eastAsia="黑体" w:cs="黑体"/>
          <w:color w:val="auto"/>
          <w:kern w:val="0"/>
          <w:szCs w:val="21"/>
          <w:highlight w:val="none"/>
        </w:rPr>
      </w:pPr>
      <w:bookmarkStart w:id="285" w:name="_Hlk91019630"/>
      <w:r>
        <w:rPr>
          <w:rFonts w:hint="eastAsia" w:ascii="黑体" w:hAnsi="黑体" w:eastAsia="黑体" w:cs="黑体"/>
          <w:color w:val="auto"/>
          <w:kern w:val="0"/>
          <w:szCs w:val="21"/>
          <w:highlight w:val="none"/>
        </w:rPr>
        <w:t>我方已完全明白采购文件的所有条款要求，并声明如下：</w:t>
      </w:r>
    </w:p>
    <w:bookmarkEnd w:id="285"/>
    <w:p w14:paraId="72C1A43F">
      <w:pPr>
        <w:pStyle w:val="60"/>
        <w:numPr>
          <w:ilvl w:val="0"/>
          <w:numId w:val="64"/>
        </w:numPr>
        <w:spacing w:line="360" w:lineRule="auto"/>
        <w:ind w:firstLineChars="0"/>
        <w:rPr>
          <w:rFonts w:hint="eastAsia" w:ascii="黑体" w:hAnsi="黑体" w:eastAsia="黑体" w:cs="黑体"/>
          <w:color w:val="auto"/>
          <w:szCs w:val="21"/>
          <w:highlight w:val="none"/>
        </w:rPr>
      </w:pPr>
      <w:bookmarkStart w:id="286" w:name="_Hlk91019664"/>
      <w:r>
        <w:rPr>
          <w:rFonts w:hint="eastAsia" w:ascii="黑体" w:hAnsi="黑体" w:eastAsia="黑体" w:cs="黑体"/>
          <w:color w:val="auto"/>
          <w:szCs w:val="21"/>
          <w:highlight w:val="none"/>
        </w:rPr>
        <w:t>我方在参与响应前已详细研究了采购文件的所有内容，包括澄清、修改文件（如果有）和所有已提供的参考资料以及有关附件，我方完全明白并认为此采购文件没有倾向性，也不存在排斥潜在供应商的内容，我方同意采购文件的相关条款，放弃对采购文件提出误解和质疑的一切权力。</w:t>
      </w:r>
    </w:p>
    <w:p w14:paraId="09C70BD6">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同意并接受采购文件的各项要求，遵守采购文件中的各项规定，按采购文件的要求提供报价。</w:t>
      </w:r>
    </w:p>
    <w:p w14:paraId="341DC977">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本响应文件的有效期为从提交响应文件的截止之日起90日历天。如成交，有效期将延至合同终止日为止。</w:t>
      </w:r>
    </w:p>
    <w:p w14:paraId="75C6A0F6">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我方已毫无保留地向贵方提供一切所需的证明材料。</w:t>
      </w:r>
    </w:p>
    <w:p w14:paraId="6019E930">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我方承诺在本次响应文件中提供的一切文件，无论是原件还是复印件均为真实和准确的，绝无任何虚假、伪造和夸大的成份，否则，愿承担相应的后果和法律责任。</w:t>
      </w:r>
    </w:p>
    <w:p w14:paraId="5D13BEF6">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我方如果成交，将保证履行采购文件及其澄清、修改文件（如果有）中的全部责任和义务，按质、按量、按期完成 《采购需求》及《合同书》中的全部任务。</w:t>
      </w:r>
    </w:p>
    <w:bookmarkEnd w:id="286"/>
    <w:p w14:paraId="5991CC1E">
      <w:pPr>
        <w:pStyle w:val="60"/>
        <w:numPr>
          <w:ilvl w:val="0"/>
          <w:numId w:val="64"/>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我方同意按采购文件规定向采购代理机构缴纳采购代理服务费。</w:t>
      </w:r>
    </w:p>
    <w:p w14:paraId="79CC188F">
      <w:pPr>
        <w:pStyle w:val="60"/>
        <w:numPr>
          <w:ilvl w:val="0"/>
          <w:numId w:val="64"/>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所有与本项目有关的函件请发往下列地址：</w:t>
      </w:r>
    </w:p>
    <w:tbl>
      <w:tblPr>
        <w:tblStyle w:val="19"/>
        <w:tblW w:w="5000" w:type="pct"/>
        <w:jc w:val="center"/>
        <w:tblLayout w:type="autofit"/>
        <w:tblCellMar>
          <w:top w:w="0" w:type="dxa"/>
          <w:left w:w="108" w:type="dxa"/>
          <w:bottom w:w="0" w:type="dxa"/>
          <w:right w:w="108" w:type="dxa"/>
        </w:tblCellMar>
      </w:tblPr>
      <w:tblGrid>
        <w:gridCol w:w="4261"/>
        <w:gridCol w:w="4261"/>
      </w:tblGrid>
      <w:tr w14:paraId="2F1F19CC">
        <w:tblPrEx>
          <w:tblCellMar>
            <w:top w:w="0" w:type="dxa"/>
            <w:left w:w="108" w:type="dxa"/>
            <w:bottom w:w="0" w:type="dxa"/>
            <w:right w:w="108" w:type="dxa"/>
          </w:tblCellMar>
        </w:tblPrEx>
        <w:trPr>
          <w:jc w:val="center"/>
        </w:trPr>
        <w:tc>
          <w:tcPr>
            <w:tcW w:w="2500" w:type="pct"/>
          </w:tcPr>
          <w:p w14:paraId="25D7177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响应供应商地址：</w:t>
            </w:r>
            <w:r>
              <w:rPr>
                <w:rFonts w:hint="eastAsia" w:ascii="黑体" w:hAnsi="黑体" w:eastAsia="黑体" w:cs="黑体"/>
                <w:color w:val="auto"/>
                <w:szCs w:val="21"/>
                <w:highlight w:val="none"/>
                <w:u w:val="single"/>
              </w:rPr>
              <w:t xml:space="preserve">                          </w:t>
            </w:r>
          </w:p>
        </w:tc>
        <w:tc>
          <w:tcPr>
            <w:tcW w:w="2500" w:type="pct"/>
          </w:tcPr>
          <w:p w14:paraId="47AC114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邮编：</w:t>
            </w:r>
            <w:r>
              <w:rPr>
                <w:rFonts w:hint="eastAsia" w:ascii="黑体" w:hAnsi="黑体" w:eastAsia="黑体" w:cs="黑体"/>
                <w:color w:val="auto"/>
                <w:szCs w:val="21"/>
                <w:highlight w:val="none"/>
                <w:u w:val="single"/>
              </w:rPr>
              <w:t xml:space="preserve">                                </w:t>
            </w:r>
          </w:p>
        </w:tc>
      </w:tr>
      <w:tr w14:paraId="536688D1">
        <w:tblPrEx>
          <w:tblCellMar>
            <w:top w:w="0" w:type="dxa"/>
            <w:left w:w="108" w:type="dxa"/>
            <w:bottom w:w="0" w:type="dxa"/>
            <w:right w:w="108" w:type="dxa"/>
          </w:tblCellMar>
        </w:tblPrEx>
        <w:trPr>
          <w:jc w:val="center"/>
        </w:trPr>
        <w:tc>
          <w:tcPr>
            <w:tcW w:w="2500" w:type="pct"/>
          </w:tcPr>
          <w:p w14:paraId="572D748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联系电话：</w:t>
            </w:r>
            <w:r>
              <w:rPr>
                <w:rFonts w:hint="eastAsia" w:ascii="黑体" w:hAnsi="黑体" w:eastAsia="黑体" w:cs="黑体"/>
                <w:color w:val="auto"/>
                <w:szCs w:val="21"/>
                <w:highlight w:val="none"/>
                <w:u w:val="single"/>
              </w:rPr>
              <w:t xml:space="preserve">                            </w:t>
            </w:r>
          </w:p>
        </w:tc>
        <w:tc>
          <w:tcPr>
            <w:tcW w:w="2500" w:type="pct"/>
          </w:tcPr>
          <w:p w14:paraId="05DB916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传真：</w:t>
            </w:r>
            <w:r>
              <w:rPr>
                <w:rFonts w:hint="eastAsia" w:ascii="黑体" w:hAnsi="黑体" w:eastAsia="黑体" w:cs="黑体"/>
                <w:color w:val="auto"/>
                <w:szCs w:val="21"/>
                <w:highlight w:val="none"/>
                <w:u w:val="single"/>
              </w:rPr>
              <w:t xml:space="preserve">                                </w:t>
            </w:r>
          </w:p>
        </w:tc>
      </w:tr>
      <w:tr w14:paraId="63096780">
        <w:tblPrEx>
          <w:tblCellMar>
            <w:top w:w="0" w:type="dxa"/>
            <w:left w:w="108" w:type="dxa"/>
            <w:bottom w:w="0" w:type="dxa"/>
            <w:right w:w="108" w:type="dxa"/>
          </w:tblCellMar>
        </w:tblPrEx>
        <w:trPr>
          <w:jc w:val="center"/>
        </w:trPr>
        <w:tc>
          <w:tcPr>
            <w:tcW w:w="2500" w:type="pct"/>
          </w:tcPr>
          <w:p w14:paraId="1F9B96B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项目联系人：</w:t>
            </w:r>
            <w:r>
              <w:rPr>
                <w:rFonts w:hint="eastAsia" w:ascii="黑体" w:hAnsi="黑体" w:eastAsia="黑体" w:cs="黑体"/>
                <w:color w:val="auto"/>
                <w:szCs w:val="21"/>
                <w:highlight w:val="none"/>
                <w:u w:val="single"/>
              </w:rPr>
              <w:t xml:space="preserve">                          </w:t>
            </w:r>
          </w:p>
        </w:tc>
        <w:tc>
          <w:tcPr>
            <w:tcW w:w="2500" w:type="pct"/>
          </w:tcPr>
          <w:p w14:paraId="2EF0B2D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手机：</w:t>
            </w:r>
            <w:r>
              <w:rPr>
                <w:rFonts w:hint="eastAsia" w:ascii="黑体" w:hAnsi="黑体" w:eastAsia="黑体" w:cs="黑体"/>
                <w:color w:val="auto"/>
                <w:szCs w:val="21"/>
                <w:highlight w:val="none"/>
                <w:u w:val="single"/>
              </w:rPr>
              <w:t xml:space="preserve">                                </w:t>
            </w:r>
          </w:p>
        </w:tc>
      </w:tr>
      <w:tr w14:paraId="43CC9D1B">
        <w:tblPrEx>
          <w:tblCellMar>
            <w:top w:w="0" w:type="dxa"/>
            <w:left w:w="108" w:type="dxa"/>
            <w:bottom w:w="0" w:type="dxa"/>
            <w:right w:w="108" w:type="dxa"/>
          </w:tblCellMar>
        </w:tblPrEx>
        <w:trPr>
          <w:jc w:val="center"/>
        </w:trPr>
        <w:tc>
          <w:tcPr>
            <w:tcW w:w="5000" w:type="pct"/>
            <w:gridSpan w:val="2"/>
          </w:tcPr>
          <w:p w14:paraId="7AD4765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r>
      <w:tr w14:paraId="5F16BC26">
        <w:tblPrEx>
          <w:tblCellMar>
            <w:top w:w="0" w:type="dxa"/>
            <w:left w:w="108" w:type="dxa"/>
            <w:bottom w:w="0" w:type="dxa"/>
            <w:right w:w="108" w:type="dxa"/>
          </w:tblCellMar>
        </w:tblPrEx>
        <w:trPr>
          <w:jc w:val="center"/>
        </w:trPr>
        <w:tc>
          <w:tcPr>
            <w:tcW w:w="5000" w:type="pct"/>
            <w:gridSpan w:val="2"/>
          </w:tcPr>
          <w:p w14:paraId="1BB3E2F6">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响应供应商法定代表人或被授权人（签名或盖私章）：</w:t>
            </w:r>
            <w:r>
              <w:rPr>
                <w:rFonts w:hint="eastAsia" w:ascii="黑体" w:hAnsi="黑体" w:eastAsia="黑体" w:cs="黑体"/>
                <w:color w:val="auto"/>
                <w:szCs w:val="21"/>
                <w:highlight w:val="none"/>
                <w:u w:val="single"/>
              </w:rPr>
              <w:t xml:space="preserve">                                   </w:t>
            </w:r>
          </w:p>
        </w:tc>
      </w:tr>
      <w:tr w14:paraId="6B73B535">
        <w:tblPrEx>
          <w:tblCellMar>
            <w:top w:w="0" w:type="dxa"/>
            <w:left w:w="108" w:type="dxa"/>
            <w:bottom w:w="0" w:type="dxa"/>
            <w:right w:w="108" w:type="dxa"/>
          </w:tblCellMar>
        </w:tblPrEx>
        <w:trPr>
          <w:jc w:val="center"/>
        </w:trPr>
        <w:tc>
          <w:tcPr>
            <w:tcW w:w="5000" w:type="pct"/>
            <w:gridSpan w:val="2"/>
          </w:tcPr>
          <w:p w14:paraId="063CF445">
            <w:pPr>
              <w:spacing w:line="360" w:lineRule="auto"/>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50FBB0A8">
      <w:pPr>
        <w:pStyle w:val="31"/>
        <w:pageBreakBefore/>
        <w:numPr>
          <w:ilvl w:val="0"/>
          <w:numId w:val="62"/>
        </w:numPr>
        <w:spacing w:line="480" w:lineRule="auto"/>
        <w:ind w:firstLineChars="0"/>
        <w:rPr>
          <w:rStyle w:val="22"/>
          <w:rFonts w:hint="eastAsia" w:ascii="黑体" w:hAnsi="黑体" w:eastAsia="黑体" w:cs="黑体"/>
          <w:color w:val="auto"/>
          <w:spacing w:val="12"/>
          <w:szCs w:val="21"/>
          <w:highlight w:val="none"/>
        </w:rPr>
      </w:pPr>
      <w:bookmarkStart w:id="287" w:name="_Toc391627758"/>
      <w:bookmarkStart w:id="288" w:name="_Toc13821089"/>
      <w:bookmarkStart w:id="289" w:name="_Toc405313962"/>
      <w:r>
        <w:rPr>
          <w:rStyle w:val="22"/>
          <w:rFonts w:hint="eastAsia" w:ascii="黑体" w:hAnsi="黑体" w:eastAsia="黑体" w:cs="黑体"/>
          <w:color w:val="auto"/>
          <w:spacing w:val="12"/>
          <w:szCs w:val="21"/>
          <w:highlight w:val="none"/>
        </w:rPr>
        <w:t>法定代表人身份证明书</w:t>
      </w:r>
      <w:bookmarkEnd w:id="287"/>
      <w:bookmarkEnd w:id="288"/>
      <w:bookmarkEnd w:id="289"/>
    </w:p>
    <w:p w14:paraId="62B5075A">
      <w:pPr>
        <w:spacing w:before="156" w:beforeLines="5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法定代表人身份证明书</w:t>
      </w:r>
    </w:p>
    <w:p w14:paraId="55E7FE3B">
      <w:pPr>
        <w:spacing w:before="312" w:beforeLines="10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0"/>
        <w:gridCol w:w="5722"/>
      </w:tblGrid>
      <w:tr w14:paraId="67F63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401104E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同志，现任我单位</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职务，为法定代表人，特此证明。</w:t>
            </w:r>
          </w:p>
        </w:tc>
      </w:tr>
      <w:tr w14:paraId="59FF4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6AFEA8EF">
            <w:pPr>
              <w:spacing w:line="360" w:lineRule="auto"/>
              <w:rPr>
                <w:rFonts w:hint="eastAsia" w:ascii="黑体" w:hAnsi="黑体" w:eastAsia="黑体" w:cs="黑体"/>
                <w:color w:val="auto"/>
                <w:szCs w:val="21"/>
                <w:highlight w:val="none"/>
              </w:rPr>
            </w:pPr>
          </w:p>
          <w:p w14:paraId="46A3C4D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附：</w:t>
            </w:r>
          </w:p>
          <w:p w14:paraId="13C47628">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代表人性别：    </w:t>
            </w:r>
          </w:p>
          <w:p w14:paraId="72F5998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身份证号码： </w:t>
            </w:r>
          </w:p>
          <w:p w14:paraId="530F7DF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联系电话：  </w:t>
            </w:r>
          </w:p>
          <w:p w14:paraId="1460A0A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主营（产）：            </w:t>
            </w:r>
          </w:p>
        </w:tc>
      </w:tr>
      <w:tr w14:paraId="71D74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3110F016">
            <w:pPr>
              <w:spacing w:line="360" w:lineRule="auto"/>
              <w:rPr>
                <w:rFonts w:hint="eastAsia" w:ascii="黑体" w:hAnsi="黑体" w:eastAsia="黑体" w:cs="黑体"/>
                <w:color w:val="auto"/>
                <w:szCs w:val="21"/>
                <w:highlight w:val="none"/>
              </w:rPr>
            </w:pPr>
          </w:p>
        </w:tc>
      </w:tr>
      <w:tr w14:paraId="4BDBA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69C5E36C">
            <w:pPr>
              <w:spacing w:line="360" w:lineRule="auto"/>
              <w:rPr>
                <w:rFonts w:hint="eastAsia" w:ascii="黑体" w:hAnsi="黑体" w:eastAsia="黑体" w:cs="黑体"/>
                <w:color w:val="auto"/>
                <w:szCs w:val="21"/>
                <w:highlight w:val="none"/>
              </w:rPr>
            </w:pPr>
          </w:p>
        </w:tc>
        <w:tc>
          <w:tcPr>
            <w:tcW w:w="3357" w:type="pct"/>
          </w:tcPr>
          <w:p w14:paraId="67B2A7C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r>
      <w:tr w14:paraId="27746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447D5CD8">
            <w:pPr>
              <w:spacing w:line="360" w:lineRule="auto"/>
              <w:rPr>
                <w:rFonts w:hint="eastAsia" w:ascii="黑体" w:hAnsi="黑体" w:eastAsia="黑体" w:cs="黑体"/>
                <w:color w:val="auto"/>
                <w:szCs w:val="21"/>
                <w:highlight w:val="none"/>
              </w:rPr>
            </w:pPr>
          </w:p>
        </w:tc>
        <w:tc>
          <w:tcPr>
            <w:tcW w:w="3357" w:type="pct"/>
          </w:tcPr>
          <w:p w14:paraId="185F9F7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u w:val="single"/>
              </w:rPr>
              <w:t xml:space="preserve">                         </w:t>
            </w:r>
          </w:p>
        </w:tc>
      </w:tr>
      <w:tr w14:paraId="6C0E8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374AFF02">
            <w:pPr>
              <w:spacing w:line="360" w:lineRule="auto"/>
              <w:rPr>
                <w:rFonts w:hint="eastAsia" w:ascii="黑体" w:hAnsi="黑体" w:eastAsia="黑体" w:cs="黑体"/>
                <w:color w:val="auto"/>
                <w:szCs w:val="21"/>
                <w:highlight w:val="none"/>
              </w:rPr>
            </w:pPr>
          </w:p>
        </w:tc>
        <w:tc>
          <w:tcPr>
            <w:tcW w:w="3357" w:type="pct"/>
          </w:tcPr>
          <w:p w14:paraId="5325CBF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054C193A">
      <w:pPr>
        <w:spacing w:before="468" w:beforeLines="150" w:after="93" w:afterLines="3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须附：法定代表人有效期内身份证复印件</w:t>
      </w:r>
    </w:p>
    <w:tbl>
      <w:tblPr>
        <w:tblStyle w:val="19"/>
        <w:tblW w:w="8522"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63FAD32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4261" w:type="dxa"/>
            <w:vAlign w:val="center"/>
          </w:tcPr>
          <w:p w14:paraId="537079FF">
            <w:pPr>
              <w:pStyle w:val="39"/>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正面</w:t>
            </w:r>
          </w:p>
        </w:tc>
        <w:tc>
          <w:tcPr>
            <w:tcW w:w="4261" w:type="dxa"/>
            <w:vAlign w:val="center"/>
          </w:tcPr>
          <w:p w14:paraId="1D0500C2">
            <w:pPr>
              <w:pStyle w:val="39"/>
              <w:spacing w:line="460" w:lineRule="exact"/>
              <w:ind w:firstLine="0" w:firstLineChars="0"/>
              <w:jc w:val="center"/>
              <w:rPr>
                <w:rFonts w:hint="eastAsia" w:ascii="黑体" w:hAnsi="黑体" w:eastAsia="黑体" w:cs="黑体"/>
                <w:color w:val="auto"/>
                <w:sz w:val="22"/>
                <w:szCs w:val="22"/>
                <w:highlight w:val="none"/>
              </w:rPr>
            </w:pPr>
            <w:r>
              <w:rPr>
                <w:rFonts w:hint="eastAsia" w:ascii="黑体" w:hAnsi="黑体" w:eastAsia="黑体" w:cs="黑体"/>
                <w:color w:val="auto"/>
                <w:sz w:val="22"/>
                <w:szCs w:val="22"/>
                <w:highlight w:val="none"/>
              </w:rPr>
              <w:t>背面</w:t>
            </w:r>
          </w:p>
        </w:tc>
      </w:tr>
    </w:tbl>
    <w:p w14:paraId="2882DC8E">
      <w:pPr>
        <w:rPr>
          <w:rFonts w:hint="eastAsia" w:ascii="黑体" w:hAnsi="黑体" w:eastAsia="黑体" w:cs="黑体"/>
          <w:color w:val="auto"/>
          <w:highlight w:val="none"/>
        </w:rPr>
      </w:pPr>
    </w:p>
    <w:p w14:paraId="3F53EA36">
      <w:pPr>
        <w:pStyle w:val="31"/>
        <w:pageBreakBefore/>
        <w:numPr>
          <w:ilvl w:val="0"/>
          <w:numId w:val="62"/>
        </w:numPr>
        <w:spacing w:line="480" w:lineRule="auto"/>
        <w:ind w:firstLineChars="0"/>
        <w:rPr>
          <w:rStyle w:val="22"/>
          <w:rFonts w:hint="eastAsia" w:ascii="黑体" w:hAnsi="黑体" w:eastAsia="黑体" w:cs="黑体"/>
          <w:color w:val="auto"/>
          <w:spacing w:val="12"/>
          <w:szCs w:val="21"/>
          <w:highlight w:val="none"/>
        </w:rPr>
      </w:pPr>
      <w:bookmarkStart w:id="290" w:name="_Toc391627759"/>
      <w:bookmarkStart w:id="291" w:name="_Toc405313963"/>
      <w:bookmarkStart w:id="292" w:name="_Toc13821090"/>
      <w:r>
        <w:rPr>
          <w:rStyle w:val="22"/>
          <w:rFonts w:hint="eastAsia" w:ascii="黑体" w:hAnsi="黑体" w:eastAsia="黑体" w:cs="黑体"/>
          <w:color w:val="auto"/>
          <w:spacing w:val="12"/>
          <w:szCs w:val="21"/>
          <w:highlight w:val="none"/>
        </w:rPr>
        <w:t>法定代表人授权委托书</w:t>
      </w:r>
      <w:bookmarkEnd w:id="290"/>
      <w:bookmarkEnd w:id="291"/>
      <w:bookmarkEnd w:id="292"/>
    </w:p>
    <w:p w14:paraId="114CDD0E">
      <w:pPr>
        <w:spacing w:before="156" w:beforeLines="5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法定代表人授权委托书</w:t>
      </w:r>
    </w:p>
    <w:p w14:paraId="4CC927D8">
      <w:pPr>
        <w:spacing w:before="468" w:beforeLines="150" w:after="312" w:afterLines="100" w:line="360" w:lineRule="auto"/>
        <w:rPr>
          <w:rFonts w:hint="eastAsia" w:ascii="黑体" w:hAnsi="黑体" w:eastAsia="黑体" w:cs="黑体"/>
          <w:b/>
          <w:color w:val="auto"/>
          <w:highlight w:val="none"/>
        </w:rPr>
      </w:pPr>
      <w:r>
        <w:rPr>
          <w:rFonts w:hint="eastAsia" w:ascii="黑体" w:hAnsi="黑体" w:eastAsia="黑体" w:cs="黑体"/>
          <w:b/>
          <w:color w:val="auto"/>
          <w:highlight w:val="none"/>
        </w:rPr>
        <w:t>致：广东有德招标采购有限公司</w:t>
      </w:r>
    </w:p>
    <w:p w14:paraId="5C0A676D">
      <w:pPr>
        <w:pStyle w:val="39"/>
        <w:spacing w:line="360" w:lineRule="auto"/>
        <w:ind w:firstLine="450" w:firstLineChars="0"/>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本人</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系</w:t>
      </w:r>
      <w:r>
        <w:rPr>
          <w:rFonts w:hint="eastAsia" w:ascii="黑体" w:hAnsi="黑体" w:eastAsia="黑体" w:cs="黑体"/>
          <w:color w:val="auto"/>
          <w:sz w:val="21"/>
          <w:szCs w:val="21"/>
          <w:highlight w:val="none"/>
          <w:u w:val="single"/>
        </w:rPr>
        <w:t xml:space="preserve">     （响应供应商名称）    </w:t>
      </w:r>
      <w:r>
        <w:rPr>
          <w:rFonts w:hint="eastAsia" w:ascii="黑体" w:hAnsi="黑体" w:eastAsia="黑体" w:cs="黑体"/>
          <w:color w:val="auto"/>
          <w:sz w:val="21"/>
          <w:szCs w:val="21"/>
          <w:highlight w:val="none"/>
        </w:rPr>
        <w:t>的法定代表人，现委托</w:t>
      </w:r>
      <w:r>
        <w:rPr>
          <w:rFonts w:hint="eastAsia" w:ascii="黑体" w:hAnsi="黑体" w:eastAsia="黑体" w:cs="黑体"/>
          <w:color w:val="auto"/>
          <w:sz w:val="21"/>
          <w:szCs w:val="21"/>
          <w:highlight w:val="none"/>
          <w:u w:val="single"/>
        </w:rPr>
        <w:t xml:space="preserve"> （姓名） </w:t>
      </w:r>
      <w:r>
        <w:rPr>
          <w:rFonts w:hint="eastAsia" w:ascii="黑体" w:hAnsi="黑体" w:eastAsia="黑体" w:cs="黑体"/>
          <w:color w:val="auto"/>
          <w:sz w:val="21"/>
          <w:szCs w:val="21"/>
          <w:highlight w:val="none"/>
        </w:rPr>
        <w:t>为我方合法代理人。代理人根据授权，以我方名义签署、澄清、说明、补正、递交、撤回、修改</w:t>
      </w:r>
      <w:r>
        <w:rPr>
          <w:rFonts w:hint="eastAsia" w:ascii="黑体" w:hAnsi="黑体" w:eastAsia="黑体" w:cs="黑体"/>
          <w:color w:val="auto"/>
          <w:sz w:val="21"/>
          <w:szCs w:val="21"/>
          <w:highlight w:val="none"/>
          <w:u w:val="single"/>
        </w:rPr>
        <w:t xml:space="preserve">          （项目名称）      </w:t>
      </w:r>
      <w:r>
        <w:rPr>
          <w:rFonts w:hint="eastAsia" w:ascii="黑体" w:hAnsi="黑体" w:eastAsia="黑体" w:cs="黑体"/>
          <w:color w:val="auto"/>
          <w:sz w:val="21"/>
          <w:szCs w:val="21"/>
          <w:highlight w:val="none"/>
        </w:rPr>
        <w:t>（项目编号：</w:t>
      </w:r>
      <w:r>
        <w:rPr>
          <w:rFonts w:hint="eastAsia" w:ascii="黑体" w:hAnsi="黑体" w:eastAsia="黑体" w:cs="黑体"/>
          <w:color w:val="auto"/>
          <w:sz w:val="21"/>
          <w:szCs w:val="21"/>
          <w:highlight w:val="none"/>
          <w:u w:val="single"/>
        </w:rPr>
        <w:t>　　     　</w:t>
      </w:r>
      <w:r>
        <w:rPr>
          <w:rFonts w:hint="eastAsia" w:ascii="黑体" w:hAnsi="黑体" w:eastAsia="黑体" w:cs="黑体"/>
          <w:color w:val="auto"/>
          <w:sz w:val="21"/>
          <w:szCs w:val="21"/>
          <w:highlight w:val="none"/>
        </w:rPr>
        <w:t>）响应文件、签订合同和处理有关事宜，其法律后果由我方承担。</w:t>
      </w:r>
    </w:p>
    <w:p w14:paraId="162EB843">
      <w:pPr>
        <w:pStyle w:val="39"/>
        <w:spacing w:line="360" w:lineRule="auto"/>
        <w:ind w:firstLine="428" w:firstLineChars="204"/>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本委托书于</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年</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月</w:t>
      </w:r>
      <w:r>
        <w:rPr>
          <w:rFonts w:hint="eastAsia" w:ascii="黑体" w:hAnsi="黑体" w:eastAsia="黑体" w:cs="黑体"/>
          <w:color w:val="auto"/>
          <w:sz w:val="21"/>
          <w:szCs w:val="21"/>
          <w:highlight w:val="none"/>
          <w:u w:val="single"/>
        </w:rPr>
        <w:t xml:space="preserve">　 </w:t>
      </w:r>
      <w:r>
        <w:rPr>
          <w:rFonts w:hint="eastAsia" w:ascii="黑体" w:hAnsi="黑体" w:eastAsia="黑体" w:cs="黑体"/>
          <w:color w:val="auto"/>
          <w:sz w:val="21"/>
          <w:szCs w:val="21"/>
          <w:highlight w:val="none"/>
        </w:rPr>
        <w:t>日签字生效，特此证明。</w:t>
      </w:r>
    </w:p>
    <w:p w14:paraId="195F98E4">
      <w:pPr>
        <w:pStyle w:val="39"/>
        <w:spacing w:line="360" w:lineRule="auto"/>
        <w:ind w:firstLine="428" w:firstLineChars="204"/>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受委托人无转委托权。</w:t>
      </w:r>
    </w:p>
    <w:p w14:paraId="03791F4D">
      <w:pPr>
        <w:pStyle w:val="39"/>
        <w:spacing w:line="360" w:lineRule="auto"/>
        <w:ind w:firstLine="0" w:firstLineChars="0"/>
        <w:rPr>
          <w:rFonts w:hint="eastAsia" w:ascii="黑体" w:hAnsi="黑体" w:eastAsia="黑体" w:cs="黑体"/>
          <w:color w:val="auto"/>
          <w:sz w:val="21"/>
          <w:szCs w:val="21"/>
          <w:highlight w:val="none"/>
        </w:rPr>
      </w:pPr>
    </w:p>
    <w:p w14:paraId="58B2707D">
      <w:pPr>
        <w:pStyle w:val="39"/>
        <w:spacing w:line="360" w:lineRule="auto"/>
        <w:ind w:firstLine="0" w:firstLineChars="0"/>
        <w:rPr>
          <w:rFonts w:hint="eastAsia" w:ascii="黑体" w:hAnsi="黑体" w:eastAsia="黑体" w:cs="黑体"/>
          <w:color w:val="auto"/>
          <w:sz w:val="21"/>
          <w:szCs w:val="21"/>
          <w:highlight w:val="none"/>
        </w:rPr>
      </w:pPr>
    </w:p>
    <w:tbl>
      <w:tblPr>
        <w:tblStyle w:val="19"/>
        <w:tblW w:w="0" w:type="auto"/>
        <w:tblInd w:w="0" w:type="dxa"/>
        <w:tblLayout w:type="autofit"/>
        <w:tblCellMar>
          <w:top w:w="0" w:type="dxa"/>
          <w:left w:w="108" w:type="dxa"/>
          <w:bottom w:w="0" w:type="dxa"/>
          <w:right w:w="108" w:type="dxa"/>
        </w:tblCellMar>
      </w:tblPr>
      <w:tblGrid>
        <w:gridCol w:w="2800"/>
        <w:gridCol w:w="5722"/>
      </w:tblGrid>
      <w:tr w14:paraId="0A4DDAA9">
        <w:tblPrEx>
          <w:tblCellMar>
            <w:top w:w="0" w:type="dxa"/>
            <w:left w:w="108" w:type="dxa"/>
            <w:bottom w:w="0" w:type="dxa"/>
            <w:right w:w="108" w:type="dxa"/>
          </w:tblCellMar>
        </w:tblPrEx>
        <w:tc>
          <w:tcPr>
            <w:tcW w:w="2802" w:type="dxa"/>
          </w:tcPr>
          <w:p w14:paraId="509248FF">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1707337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r>
      <w:tr w14:paraId="551A2293">
        <w:tblPrEx>
          <w:tblCellMar>
            <w:top w:w="0" w:type="dxa"/>
            <w:left w:w="108" w:type="dxa"/>
            <w:bottom w:w="0" w:type="dxa"/>
            <w:right w:w="108" w:type="dxa"/>
          </w:tblCellMar>
        </w:tblPrEx>
        <w:tc>
          <w:tcPr>
            <w:tcW w:w="2802" w:type="dxa"/>
          </w:tcPr>
          <w:p w14:paraId="67CA3FFD">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5505A866">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法定代表人（签名或盖私章）：</w:t>
            </w:r>
            <w:r>
              <w:rPr>
                <w:rFonts w:hint="eastAsia" w:ascii="黑体" w:hAnsi="黑体" w:eastAsia="黑体" w:cs="黑体"/>
                <w:color w:val="auto"/>
                <w:szCs w:val="21"/>
                <w:highlight w:val="none"/>
                <w:u w:val="single"/>
              </w:rPr>
              <w:t xml:space="preserve">                         </w:t>
            </w:r>
          </w:p>
        </w:tc>
      </w:tr>
      <w:tr w14:paraId="19DB3392">
        <w:tblPrEx>
          <w:tblCellMar>
            <w:top w:w="0" w:type="dxa"/>
            <w:left w:w="108" w:type="dxa"/>
            <w:bottom w:w="0" w:type="dxa"/>
            <w:right w:w="108" w:type="dxa"/>
          </w:tblCellMar>
        </w:tblPrEx>
        <w:tc>
          <w:tcPr>
            <w:tcW w:w="2802" w:type="dxa"/>
          </w:tcPr>
          <w:p w14:paraId="66AD5337">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225E61D0">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身份证号码：</w:t>
            </w:r>
            <w:r>
              <w:rPr>
                <w:rFonts w:hint="eastAsia" w:ascii="黑体" w:hAnsi="黑体" w:eastAsia="黑体" w:cs="黑体"/>
                <w:color w:val="auto"/>
                <w:szCs w:val="21"/>
                <w:highlight w:val="none"/>
                <w:u w:val="single"/>
              </w:rPr>
              <w:t xml:space="preserve">                                        </w:t>
            </w:r>
          </w:p>
        </w:tc>
      </w:tr>
      <w:tr w14:paraId="2534F777">
        <w:tblPrEx>
          <w:tblCellMar>
            <w:top w:w="0" w:type="dxa"/>
            <w:left w:w="108" w:type="dxa"/>
            <w:bottom w:w="0" w:type="dxa"/>
            <w:right w:w="108" w:type="dxa"/>
          </w:tblCellMar>
        </w:tblPrEx>
        <w:tc>
          <w:tcPr>
            <w:tcW w:w="2802" w:type="dxa"/>
          </w:tcPr>
          <w:p w14:paraId="095614B3">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4664D46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被授权人（签名或盖私章）：</w:t>
            </w:r>
            <w:r>
              <w:rPr>
                <w:rFonts w:hint="eastAsia" w:ascii="黑体" w:hAnsi="黑体" w:eastAsia="黑体" w:cs="黑体"/>
                <w:color w:val="auto"/>
                <w:szCs w:val="21"/>
                <w:highlight w:val="none"/>
                <w:u w:val="single"/>
              </w:rPr>
              <w:t xml:space="preserve">                           </w:t>
            </w:r>
          </w:p>
        </w:tc>
      </w:tr>
      <w:tr w14:paraId="39A695B9">
        <w:tblPrEx>
          <w:tblCellMar>
            <w:top w:w="0" w:type="dxa"/>
            <w:left w:w="108" w:type="dxa"/>
            <w:bottom w:w="0" w:type="dxa"/>
            <w:right w:w="108" w:type="dxa"/>
          </w:tblCellMar>
        </w:tblPrEx>
        <w:tc>
          <w:tcPr>
            <w:tcW w:w="2802" w:type="dxa"/>
          </w:tcPr>
          <w:p w14:paraId="7C0662B9">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1C0652E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身份证号码：</w:t>
            </w:r>
            <w:r>
              <w:rPr>
                <w:rFonts w:hint="eastAsia" w:ascii="黑体" w:hAnsi="黑体" w:eastAsia="黑体" w:cs="黑体"/>
                <w:color w:val="auto"/>
                <w:szCs w:val="21"/>
                <w:highlight w:val="none"/>
                <w:u w:val="single"/>
              </w:rPr>
              <w:t xml:space="preserve">                                        </w:t>
            </w:r>
          </w:p>
        </w:tc>
      </w:tr>
      <w:tr w14:paraId="5847C2D6">
        <w:tblPrEx>
          <w:tblCellMar>
            <w:top w:w="0" w:type="dxa"/>
            <w:left w:w="108" w:type="dxa"/>
            <w:bottom w:w="0" w:type="dxa"/>
            <w:right w:w="108" w:type="dxa"/>
          </w:tblCellMar>
        </w:tblPrEx>
        <w:tc>
          <w:tcPr>
            <w:tcW w:w="2802" w:type="dxa"/>
          </w:tcPr>
          <w:p w14:paraId="46CAAA15">
            <w:pPr>
              <w:pStyle w:val="39"/>
              <w:spacing w:line="360" w:lineRule="auto"/>
              <w:ind w:firstLine="0" w:firstLineChars="0"/>
              <w:rPr>
                <w:rFonts w:hint="eastAsia" w:ascii="黑体" w:hAnsi="黑体" w:eastAsia="黑体" w:cs="黑体"/>
                <w:color w:val="auto"/>
                <w:sz w:val="21"/>
                <w:szCs w:val="21"/>
                <w:highlight w:val="none"/>
              </w:rPr>
            </w:pPr>
          </w:p>
        </w:tc>
        <w:tc>
          <w:tcPr>
            <w:tcW w:w="5726" w:type="dxa"/>
          </w:tcPr>
          <w:p w14:paraId="67EBB33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540A74DE">
      <w:pPr>
        <w:pStyle w:val="39"/>
        <w:spacing w:line="360" w:lineRule="auto"/>
        <w:ind w:firstLine="0" w:firstLineChars="0"/>
        <w:rPr>
          <w:rFonts w:hint="eastAsia" w:ascii="黑体" w:hAnsi="黑体" w:eastAsia="黑体" w:cs="黑体"/>
          <w:color w:val="auto"/>
          <w:sz w:val="21"/>
          <w:szCs w:val="21"/>
          <w:highlight w:val="none"/>
        </w:rPr>
      </w:pPr>
    </w:p>
    <w:p w14:paraId="30323C6B">
      <w:pPr>
        <w:pStyle w:val="39"/>
        <w:spacing w:line="360" w:lineRule="auto"/>
        <w:ind w:firstLine="0" w:firstLineChars="0"/>
        <w:rPr>
          <w:rFonts w:hint="eastAsia" w:ascii="黑体" w:hAnsi="黑体" w:eastAsia="黑体" w:cs="黑体"/>
          <w:color w:val="auto"/>
          <w:sz w:val="21"/>
          <w:szCs w:val="21"/>
          <w:highlight w:val="none"/>
        </w:rPr>
      </w:pPr>
    </w:p>
    <w:p w14:paraId="1244B18F">
      <w:pPr>
        <w:spacing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须附：法定代表人有效期内身份证复印件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61"/>
        <w:gridCol w:w="4261"/>
      </w:tblGrid>
      <w:tr w14:paraId="5F58BCE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705C88DF">
            <w:pPr>
              <w:pStyle w:val="39"/>
              <w:spacing w:line="460" w:lineRule="exact"/>
              <w:ind w:firstLine="0" w:firstLineChars="0"/>
              <w:jc w:val="center"/>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正面</w:t>
            </w:r>
          </w:p>
        </w:tc>
        <w:tc>
          <w:tcPr>
            <w:tcW w:w="2500" w:type="pct"/>
            <w:vAlign w:val="center"/>
          </w:tcPr>
          <w:p w14:paraId="28FBCF9F">
            <w:pPr>
              <w:pStyle w:val="39"/>
              <w:spacing w:line="460" w:lineRule="exact"/>
              <w:ind w:firstLine="0" w:firstLineChars="0"/>
              <w:jc w:val="center"/>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背面</w:t>
            </w:r>
          </w:p>
        </w:tc>
      </w:tr>
    </w:tbl>
    <w:p w14:paraId="053E8339">
      <w:pPr>
        <w:pageBreakBefore/>
        <w:numPr>
          <w:ilvl w:val="0"/>
          <w:numId w:val="65"/>
        </w:numPr>
        <w:spacing w:before="624" w:beforeLines="200" w:line="480" w:lineRule="auto"/>
        <w:rPr>
          <w:rFonts w:hint="eastAsia" w:ascii="黑体" w:hAnsi="黑体" w:eastAsia="黑体" w:cs="黑体"/>
          <w:b/>
          <w:color w:val="auto"/>
          <w:spacing w:val="12"/>
          <w:highlight w:val="none"/>
        </w:rPr>
      </w:pPr>
      <w:bookmarkStart w:id="293" w:name="_Toc13821091"/>
      <w:bookmarkStart w:id="294" w:name="_Toc405313964"/>
      <w:bookmarkStart w:id="295" w:name="_Toc391627760"/>
      <w:r>
        <w:rPr>
          <w:rFonts w:hint="eastAsia" w:ascii="黑体" w:hAnsi="黑体" w:eastAsia="黑体" w:cs="黑体"/>
          <w:b/>
          <w:bCs/>
          <w:color w:val="auto"/>
          <w:spacing w:val="12"/>
          <w:highlight w:val="none"/>
        </w:rPr>
        <w:t>资格声明函</w:t>
      </w:r>
    </w:p>
    <w:p w14:paraId="4A3CD5EF">
      <w:pPr>
        <w:spacing w:before="156" w:beforeLines="5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资格声明函</w:t>
      </w:r>
    </w:p>
    <w:p w14:paraId="1AE7FC75">
      <w:pPr>
        <w:adjustRightInd w:val="0"/>
        <w:snapToGrid w:val="0"/>
        <w:spacing w:after="156" w:afterLines="50" w:line="360" w:lineRule="auto"/>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广东有德招标采购有限公司：</w:t>
      </w:r>
    </w:p>
    <w:p w14:paraId="50CCC4AF">
      <w:pPr>
        <w:adjustRightInd w:val="0"/>
        <w:snapToGrid w:val="0"/>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关于贵公司</w:t>
      </w:r>
      <w:r>
        <w:rPr>
          <w:rFonts w:hint="eastAsia" w:ascii="黑体" w:hAnsi="黑体" w:eastAsia="黑体" w:cs="黑体"/>
          <w:color w:val="auto"/>
          <w:szCs w:val="21"/>
          <w:highlight w:val="none"/>
          <w:u w:val="single"/>
          <w:lang w:val="en-US" w:eastAsia="zh-CN"/>
        </w:rPr>
        <w:t>2025</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lang w:val="en-US" w:eastAsia="zh-CN"/>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lang w:val="en-US" w:eastAsia="zh-CN"/>
        </w:rPr>
        <w:t xml:space="preserve">   </w:t>
      </w:r>
      <w:r>
        <w:rPr>
          <w:rFonts w:hint="eastAsia" w:ascii="黑体" w:hAnsi="黑体" w:eastAsia="黑体" w:cs="黑体"/>
          <w:color w:val="auto"/>
          <w:szCs w:val="21"/>
          <w:highlight w:val="none"/>
        </w:rPr>
        <w:t>日发布东莞理工学院松山湖校区多媒体教室常态化录播设备采购项目（项目编号：</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）的采购公告，本公司（企业）愿意参加询价，并声明：</w:t>
      </w:r>
    </w:p>
    <w:p w14:paraId="5AA23F8B">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本单位具有依法缴纳税收和社会保障资金的良好记录。</w:t>
      </w:r>
    </w:p>
    <w:p w14:paraId="1D6CACC3">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本单位具有良好的商业信誉和健全的财务会计制度。</w:t>
      </w:r>
    </w:p>
    <w:p w14:paraId="6D2C7294">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本单位具有履行合同所必需的设备和专业技术能力。</w:t>
      </w:r>
    </w:p>
    <w:p w14:paraId="5D348B61">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3D3EC91">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本单位具备法律、行政法规规定的其他条件。</w:t>
      </w:r>
    </w:p>
    <w:p w14:paraId="342758D5">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本单位承诺单位负责人为同一人或者存在直接控股、管理关系的不同供应商，不得同时参加本采购项目（或采购包）投标。</w:t>
      </w:r>
    </w:p>
    <w:p w14:paraId="6487BB45">
      <w:pPr>
        <w:numPr>
          <w:ilvl w:val="0"/>
          <w:numId w:val="66"/>
        </w:numPr>
        <w:adjustRightInd w:val="0"/>
        <w:snapToGri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本单位承诺为本项目提供整体设计、规范编制或者项目管理、监理、检测等服务的供应商，不得再参与本项目投标。</w:t>
      </w:r>
    </w:p>
    <w:p w14:paraId="46282261">
      <w:pPr>
        <w:adjustRightInd w:val="0"/>
        <w:snapToGrid w:val="0"/>
        <w:spacing w:line="360" w:lineRule="auto"/>
        <w:ind w:firstLine="42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本单位承诺在本次采购活动中，如有违法、违规、弄虚作假行为，所造成的损失、不良后果及法律责任，一律由本单位承担。</w:t>
      </w:r>
    </w:p>
    <w:p w14:paraId="0CBBB4B0">
      <w:pPr>
        <w:adjustRightInd w:val="0"/>
        <w:snapToGrid w:val="0"/>
        <w:spacing w:line="360" w:lineRule="auto"/>
        <w:ind w:firstLine="420"/>
        <w:rPr>
          <w:rFonts w:hint="eastAsia" w:ascii="黑体" w:hAnsi="黑体" w:eastAsia="黑体" w:cs="黑体"/>
          <w:color w:val="auto"/>
          <w:szCs w:val="21"/>
          <w:highlight w:val="none"/>
        </w:rPr>
      </w:pPr>
      <w:r>
        <w:rPr>
          <w:rFonts w:hint="eastAsia" w:ascii="黑体" w:hAnsi="黑体" w:eastAsia="黑体" w:cs="黑体"/>
          <w:color w:val="auto"/>
          <w:szCs w:val="21"/>
          <w:highlight w:val="none"/>
        </w:rPr>
        <w:t>特此声明！</w:t>
      </w:r>
    </w:p>
    <w:p w14:paraId="180F886D">
      <w:pPr>
        <w:adjustRightInd w:val="0"/>
        <w:snapToGrid w:val="0"/>
        <w:spacing w:before="312" w:beforeLines="100" w:line="360" w:lineRule="auto"/>
        <w:ind w:firstLine="42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备注：1.本声明函必须提供且内容不得擅自删改，否则视为无效响应。</w:t>
      </w:r>
    </w:p>
    <w:p w14:paraId="26F171D3">
      <w:pPr>
        <w:adjustRightInd w:val="0"/>
        <w:snapToGrid w:val="0"/>
        <w:spacing w:line="360" w:lineRule="auto"/>
        <w:ind w:firstLine="1138" w:firstLineChars="54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2.本声明函如有虚假或与事实不符的，作无效响应处理。</w:t>
      </w:r>
    </w:p>
    <w:p w14:paraId="17A87649">
      <w:pPr>
        <w:adjustRightInd w:val="0"/>
        <w:snapToGrid w:val="0"/>
        <w:spacing w:after="156" w:afterLines="50" w:line="360" w:lineRule="auto"/>
        <w:jc w:val="left"/>
        <w:rPr>
          <w:rFonts w:hint="eastAsia" w:ascii="黑体" w:hAnsi="黑体" w:eastAsia="黑体" w:cs="黑体"/>
          <w:b/>
          <w:color w:val="auto"/>
          <w:szCs w:val="21"/>
          <w:highlight w:val="none"/>
        </w:rPr>
      </w:pPr>
    </w:p>
    <w:p w14:paraId="34CE7EB3">
      <w:pPr>
        <w:adjustRightInd w:val="0"/>
        <w:snapToGrid w:val="0"/>
        <w:spacing w:after="156" w:afterLines="50" w:line="360" w:lineRule="auto"/>
        <w:jc w:val="left"/>
        <w:rPr>
          <w:rFonts w:hint="eastAsia" w:ascii="黑体" w:hAnsi="黑体" w:eastAsia="黑体" w:cs="黑体"/>
          <w:b/>
          <w:color w:val="auto"/>
          <w:szCs w:val="21"/>
          <w:highlight w:val="none"/>
        </w:rPr>
      </w:pPr>
    </w:p>
    <w:tbl>
      <w:tblPr>
        <w:tblStyle w:val="6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14:paraId="3BD43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70DF6AF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3173" w:type="dxa"/>
          </w:tcPr>
          <w:p w14:paraId="4618ADE6">
            <w:pPr>
              <w:spacing w:line="360" w:lineRule="auto"/>
              <w:rPr>
                <w:rFonts w:hint="eastAsia" w:ascii="黑体" w:hAnsi="黑体" w:eastAsia="黑体" w:cs="黑体"/>
                <w:color w:val="auto"/>
                <w:szCs w:val="21"/>
                <w:highlight w:val="none"/>
              </w:rPr>
            </w:pPr>
          </w:p>
        </w:tc>
      </w:tr>
      <w:tr w14:paraId="36D33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56F7E48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3" w:type="dxa"/>
          </w:tcPr>
          <w:p w14:paraId="7F067C15">
            <w:pPr>
              <w:spacing w:line="360" w:lineRule="auto"/>
              <w:rPr>
                <w:rFonts w:hint="eastAsia" w:ascii="黑体" w:hAnsi="黑体" w:eastAsia="黑体" w:cs="黑体"/>
                <w:color w:val="auto"/>
                <w:szCs w:val="21"/>
                <w:highlight w:val="none"/>
              </w:rPr>
            </w:pPr>
          </w:p>
        </w:tc>
      </w:tr>
    </w:tbl>
    <w:p w14:paraId="6A55032D">
      <w:pPr>
        <w:pStyle w:val="31"/>
        <w:pageBreakBefore/>
        <w:numPr>
          <w:ilvl w:val="0"/>
          <w:numId w:val="62"/>
        </w:numPr>
        <w:spacing w:line="480" w:lineRule="auto"/>
        <w:ind w:firstLineChars="0"/>
        <w:rPr>
          <w:rStyle w:val="22"/>
          <w:rFonts w:hint="eastAsia" w:ascii="黑体" w:hAnsi="黑体" w:eastAsia="黑体" w:cs="黑体"/>
          <w:color w:val="auto"/>
          <w:spacing w:val="12"/>
          <w:szCs w:val="21"/>
          <w:highlight w:val="none"/>
        </w:rPr>
      </w:pPr>
      <w:r>
        <w:rPr>
          <w:rStyle w:val="22"/>
          <w:rFonts w:hint="eastAsia" w:ascii="黑体" w:hAnsi="黑体" w:eastAsia="黑体" w:cs="黑体"/>
          <w:color w:val="auto"/>
          <w:spacing w:val="12"/>
          <w:szCs w:val="21"/>
          <w:highlight w:val="none"/>
        </w:rPr>
        <w:t>响应供应商基本情况说明</w:t>
      </w:r>
      <w:bookmarkEnd w:id="293"/>
      <w:bookmarkEnd w:id="294"/>
      <w:bookmarkEnd w:id="295"/>
    </w:p>
    <w:p w14:paraId="5A67B3D5">
      <w:pPr>
        <w:spacing w:before="156" w:beforeLines="50" w:after="156" w:afterLines="5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响应供应商基本情况说明</w:t>
      </w:r>
    </w:p>
    <w:p w14:paraId="576ACE17">
      <w:pPr>
        <w:pStyle w:val="31"/>
        <w:numPr>
          <w:ilvl w:val="0"/>
          <w:numId w:val="67"/>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公司基本情况</w:t>
      </w:r>
    </w:p>
    <w:tbl>
      <w:tblPr>
        <w:tblStyle w:val="19"/>
        <w:tblW w:w="5000" w:type="pct"/>
        <w:jc w:val="center"/>
        <w:tblLayout w:type="autofit"/>
        <w:tblCellMar>
          <w:top w:w="0" w:type="dxa"/>
          <w:left w:w="108" w:type="dxa"/>
          <w:bottom w:w="0" w:type="dxa"/>
          <w:right w:w="108" w:type="dxa"/>
        </w:tblCellMar>
      </w:tblPr>
      <w:tblGrid>
        <w:gridCol w:w="1704"/>
        <w:gridCol w:w="2369"/>
        <w:gridCol w:w="1040"/>
        <w:gridCol w:w="1227"/>
        <w:gridCol w:w="2182"/>
      </w:tblGrid>
      <w:tr w14:paraId="3F6ACDC3">
        <w:tblPrEx>
          <w:tblCellMar>
            <w:top w:w="0" w:type="dxa"/>
            <w:left w:w="108" w:type="dxa"/>
            <w:bottom w:w="0" w:type="dxa"/>
            <w:right w:w="108" w:type="dxa"/>
          </w:tblCellMar>
        </w:tblPrEx>
        <w:trPr>
          <w:jc w:val="center"/>
        </w:trPr>
        <w:tc>
          <w:tcPr>
            <w:tcW w:w="3000" w:type="pct"/>
            <w:gridSpan w:val="3"/>
          </w:tcPr>
          <w:p w14:paraId="37712EC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公司名称：</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w:t>
            </w:r>
          </w:p>
        </w:tc>
        <w:tc>
          <w:tcPr>
            <w:tcW w:w="2000" w:type="pct"/>
            <w:gridSpan w:val="2"/>
          </w:tcPr>
          <w:p w14:paraId="0C1C941D">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公司固话：</w:t>
            </w:r>
            <w:r>
              <w:rPr>
                <w:rFonts w:hint="eastAsia" w:ascii="黑体" w:hAnsi="黑体" w:eastAsia="黑体" w:cs="黑体"/>
                <w:color w:val="auto"/>
                <w:szCs w:val="21"/>
                <w:highlight w:val="none"/>
                <w:u w:val="single"/>
              </w:rPr>
              <w:t xml:space="preserve">                    </w:t>
            </w:r>
          </w:p>
        </w:tc>
      </w:tr>
      <w:tr w14:paraId="394D3DA7">
        <w:tblPrEx>
          <w:tblCellMar>
            <w:top w:w="0" w:type="dxa"/>
            <w:left w:w="108" w:type="dxa"/>
            <w:bottom w:w="0" w:type="dxa"/>
            <w:right w:w="108" w:type="dxa"/>
          </w:tblCellMar>
        </w:tblPrEx>
        <w:trPr>
          <w:jc w:val="center"/>
        </w:trPr>
        <w:tc>
          <w:tcPr>
            <w:tcW w:w="3000" w:type="pct"/>
            <w:gridSpan w:val="3"/>
          </w:tcPr>
          <w:p w14:paraId="7F6498A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单位地址：</w:t>
            </w:r>
            <w:r>
              <w:rPr>
                <w:rFonts w:hint="eastAsia" w:ascii="黑体" w:hAnsi="黑体" w:eastAsia="黑体" w:cs="黑体"/>
                <w:color w:val="auto"/>
                <w:szCs w:val="21"/>
                <w:highlight w:val="none"/>
                <w:u w:val="single"/>
              </w:rPr>
              <w:t xml:space="preserve">                                    </w:t>
            </w:r>
          </w:p>
        </w:tc>
        <w:tc>
          <w:tcPr>
            <w:tcW w:w="2000" w:type="pct"/>
            <w:gridSpan w:val="2"/>
          </w:tcPr>
          <w:p w14:paraId="5140AD8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公司传真：</w:t>
            </w:r>
            <w:r>
              <w:rPr>
                <w:rFonts w:hint="eastAsia" w:ascii="黑体" w:hAnsi="黑体" w:eastAsia="黑体" w:cs="黑体"/>
                <w:color w:val="auto"/>
                <w:szCs w:val="21"/>
                <w:highlight w:val="none"/>
                <w:u w:val="single"/>
              </w:rPr>
              <w:t xml:space="preserve">                    </w:t>
            </w:r>
          </w:p>
        </w:tc>
      </w:tr>
      <w:tr w14:paraId="32B0941C">
        <w:tblPrEx>
          <w:tblCellMar>
            <w:top w:w="0" w:type="dxa"/>
            <w:left w:w="108" w:type="dxa"/>
            <w:bottom w:w="0" w:type="dxa"/>
            <w:right w:w="108" w:type="dxa"/>
          </w:tblCellMar>
        </w:tblPrEx>
        <w:trPr>
          <w:jc w:val="center"/>
        </w:trPr>
        <w:tc>
          <w:tcPr>
            <w:tcW w:w="3000" w:type="pct"/>
            <w:gridSpan w:val="3"/>
          </w:tcPr>
          <w:p w14:paraId="6342F8F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注册资金：</w:t>
            </w:r>
            <w:r>
              <w:rPr>
                <w:rFonts w:hint="eastAsia" w:ascii="黑体" w:hAnsi="黑体" w:eastAsia="黑体" w:cs="黑体"/>
                <w:color w:val="auto"/>
                <w:szCs w:val="21"/>
                <w:highlight w:val="none"/>
                <w:u w:val="single"/>
              </w:rPr>
              <w:t xml:space="preserve">                                    </w:t>
            </w:r>
          </w:p>
        </w:tc>
        <w:tc>
          <w:tcPr>
            <w:tcW w:w="2000" w:type="pct"/>
            <w:gridSpan w:val="2"/>
          </w:tcPr>
          <w:p w14:paraId="1B554E7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单位性质：</w:t>
            </w:r>
            <w:r>
              <w:rPr>
                <w:rFonts w:hint="eastAsia" w:ascii="黑体" w:hAnsi="黑体" w:eastAsia="黑体" w:cs="黑体"/>
                <w:color w:val="auto"/>
                <w:szCs w:val="21"/>
                <w:highlight w:val="none"/>
                <w:u w:val="single"/>
              </w:rPr>
              <w:t xml:space="preserve">                    </w:t>
            </w:r>
          </w:p>
        </w:tc>
      </w:tr>
      <w:tr w14:paraId="757B7808">
        <w:tblPrEx>
          <w:tblCellMar>
            <w:top w:w="0" w:type="dxa"/>
            <w:left w:w="108" w:type="dxa"/>
            <w:bottom w:w="0" w:type="dxa"/>
            <w:right w:w="108" w:type="dxa"/>
          </w:tblCellMar>
        </w:tblPrEx>
        <w:trPr>
          <w:jc w:val="center"/>
        </w:trPr>
        <w:tc>
          <w:tcPr>
            <w:tcW w:w="3000" w:type="pct"/>
            <w:gridSpan w:val="3"/>
          </w:tcPr>
          <w:p w14:paraId="3B2EBE5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公司开户银行名称：</w:t>
            </w:r>
            <w:r>
              <w:rPr>
                <w:rFonts w:hint="eastAsia" w:ascii="黑体" w:hAnsi="黑体" w:eastAsia="黑体" w:cs="黑体"/>
                <w:color w:val="auto"/>
                <w:szCs w:val="21"/>
                <w:highlight w:val="none"/>
                <w:u w:val="single"/>
              </w:rPr>
              <w:t xml:space="preserve">                            </w:t>
            </w:r>
          </w:p>
        </w:tc>
        <w:tc>
          <w:tcPr>
            <w:tcW w:w="2000" w:type="pct"/>
            <w:gridSpan w:val="2"/>
          </w:tcPr>
          <w:p w14:paraId="0B48734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开户账号：</w:t>
            </w:r>
            <w:r>
              <w:rPr>
                <w:rFonts w:hint="eastAsia" w:ascii="黑体" w:hAnsi="黑体" w:eastAsia="黑体" w:cs="黑体"/>
                <w:color w:val="auto"/>
                <w:szCs w:val="21"/>
                <w:highlight w:val="none"/>
                <w:u w:val="single"/>
              </w:rPr>
              <w:t xml:space="preserve">                    </w:t>
            </w:r>
          </w:p>
        </w:tc>
      </w:tr>
      <w:tr w14:paraId="74D6CB10">
        <w:tblPrEx>
          <w:tblCellMar>
            <w:top w:w="0" w:type="dxa"/>
            <w:left w:w="108" w:type="dxa"/>
            <w:bottom w:w="0" w:type="dxa"/>
            <w:right w:w="108" w:type="dxa"/>
          </w:tblCellMar>
        </w:tblPrEx>
        <w:trPr>
          <w:jc w:val="center"/>
        </w:trPr>
        <w:tc>
          <w:tcPr>
            <w:tcW w:w="5000" w:type="pct"/>
            <w:gridSpan w:val="5"/>
          </w:tcPr>
          <w:p w14:paraId="1CB8B3C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营业注册执照或事业单位法人证书号：</w:t>
            </w:r>
            <w:r>
              <w:rPr>
                <w:rFonts w:hint="eastAsia" w:ascii="黑体" w:hAnsi="黑体" w:eastAsia="黑体" w:cs="黑体"/>
                <w:color w:val="auto"/>
                <w:szCs w:val="21"/>
                <w:highlight w:val="none"/>
                <w:u w:val="single"/>
              </w:rPr>
              <w:t xml:space="preserve">                                             </w:t>
            </w:r>
          </w:p>
        </w:tc>
      </w:tr>
      <w:tr w14:paraId="7AD5A43C">
        <w:tblPrEx>
          <w:tblCellMar>
            <w:top w:w="0" w:type="dxa"/>
            <w:left w:w="108" w:type="dxa"/>
            <w:bottom w:w="0" w:type="dxa"/>
            <w:right w:w="108" w:type="dxa"/>
          </w:tblCellMar>
        </w:tblPrEx>
        <w:trPr>
          <w:trHeight w:val="583" w:hRule="atLeast"/>
          <w:jc w:val="center"/>
        </w:trPr>
        <w:tc>
          <w:tcPr>
            <w:tcW w:w="5000" w:type="pct"/>
            <w:gridSpan w:val="5"/>
          </w:tcPr>
          <w:p w14:paraId="6F390DDC">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公司财务状况：（如需）                                  【价格单位：（人民币）元】</w:t>
            </w:r>
          </w:p>
        </w:tc>
      </w:tr>
      <w:tr w14:paraId="5A830D2F">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710A809D">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度</w:t>
            </w:r>
          </w:p>
        </w:tc>
        <w:tc>
          <w:tcPr>
            <w:tcW w:w="1390" w:type="pct"/>
            <w:tcBorders>
              <w:top w:val="single" w:color="auto" w:sz="6" w:space="0"/>
              <w:left w:val="single" w:color="auto" w:sz="6" w:space="0"/>
              <w:bottom w:val="single" w:color="auto" w:sz="6" w:space="0"/>
              <w:right w:val="single" w:color="auto" w:sz="6" w:space="0"/>
            </w:tcBorders>
            <w:vAlign w:val="center"/>
          </w:tcPr>
          <w:p w14:paraId="3AF4F9C0">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总资产（元）</w:t>
            </w:r>
          </w:p>
        </w:tc>
        <w:tc>
          <w:tcPr>
            <w:tcW w:w="1330" w:type="pct"/>
            <w:gridSpan w:val="2"/>
            <w:tcBorders>
              <w:top w:val="single" w:color="auto" w:sz="6" w:space="0"/>
              <w:left w:val="single" w:color="auto" w:sz="6" w:space="0"/>
              <w:bottom w:val="single" w:color="auto" w:sz="6" w:space="0"/>
              <w:right w:val="single" w:color="auto" w:sz="6" w:space="0"/>
            </w:tcBorders>
            <w:vAlign w:val="center"/>
          </w:tcPr>
          <w:p w14:paraId="631E182F">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年营业额（元）</w:t>
            </w:r>
          </w:p>
        </w:tc>
        <w:tc>
          <w:tcPr>
            <w:tcW w:w="1280" w:type="pct"/>
            <w:tcBorders>
              <w:top w:val="single" w:color="auto" w:sz="6" w:space="0"/>
              <w:left w:val="single" w:color="auto" w:sz="6" w:space="0"/>
              <w:bottom w:val="single" w:color="auto" w:sz="6" w:space="0"/>
              <w:right w:val="single" w:color="auto" w:sz="6" w:space="0"/>
            </w:tcBorders>
            <w:vAlign w:val="center"/>
          </w:tcPr>
          <w:p w14:paraId="1492B05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年净利润（元）</w:t>
            </w:r>
          </w:p>
        </w:tc>
      </w:tr>
      <w:tr w14:paraId="3F794CFE">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709DA448">
            <w:pPr>
              <w:spacing w:line="360" w:lineRule="auto"/>
              <w:rPr>
                <w:rFonts w:hint="eastAsia" w:ascii="黑体" w:hAnsi="黑体" w:eastAsia="黑体" w:cs="黑体"/>
                <w:color w:val="auto"/>
                <w:szCs w:val="21"/>
                <w:highlight w:val="none"/>
              </w:rPr>
            </w:pPr>
          </w:p>
        </w:tc>
        <w:tc>
          <w:tcPr>
            <w:tcW w:w="1390" w:type="pct"/>
            <w:tcBorders>
              <w:top w:val="single" w:color="auto" w:sz="6" w:space="0"/>
              <w:left w:val="single" w:color="auto" w:sz="6" w:space="0"/>
              <w:bottom w:val="single" w:color="auto" w:sz="6" w:space="0"/>
              <w:right w:val="single" w:color="auto" w:sz="6" w:space="0"/>
            </w:tcBorders>
          </w:tcPr>
          <w:p w14:paraId="6AB440AF">
            <w:pPr>
              <w:spacing w:line="360" w:lineRule="auto"/>
              <w:rPr>
                <w:rFonts w:hint="eastAsia" w:ascii="黑体" w:hAnsi="黑体" w:eastAsia="黑体" w:cs="黑体"/>
                <w:color w:val="auto"/>
                <w:szCs w:val="21"/>
                <w:highlight w:val="none"/>
              </w:rPr>
            </w:pPr>
          </w:p>
        </w:tc>
        <w:tc>
          <w:tcPr>
            <w:tcW w:w="1330" w:type="pct"/>
            <w:gridSpan w:val="2"/>
            <w:tcBorders>
              <w:top w:val="single" w:color="auto" w:sz="6" w:space="0"/>
              <w:left w:val="single" w:color="auto" w:sz="6" w:space="0"/>
              <w:bottom w:val="single" w:color="auto" w:sz="6" w:space="0"/>
              <w:right w:val="single" w:color="auto" w:sz="6" w:space="0"/>
            </w:tcBorders>
          </w:tcPr>
          <w:p w14:paraId="20227462">
            <w:pPr>
              <w:spacing w:line="360" w:lineRule="auto"/>
              <w:rPr>
                <w:rFonts w:hint="eastAsia" w:ascii="黑体" w:hAnsi="黑体" w:eastAsia="黑体" w:cs="黑体"/>
                <w:color w:val="auto"/>
                <w:szCs w:val="21"/>
                <w:highlight w:val="none"/>
              </w:rPr>
            </w:pPr>
          </w:p>
        </w:tc>
        <w:tc>
          <w:tcPr>
            <w:tcW w:w="1280" w:type="pct"/>
            <w:tcBorders>
              <w:top w:val="single" w:color="auto" w:sz="6" w:space="0"/>
              <w:left w:val="single" w:color="auto" w:sz="6" w:space="0"/>
              <w:bottom w:val="single" w:color="auto" w:sz="6" w:space="0"/>
              <w:right w:val="single" w:color="auto" w:sz="6" w:space="0"/>
            </w:tcBorders>
          </w:tcPr>
          <w:p w14:paraId="64D7A246">
            <w:pPr>
              <w:spacing w:line="360" w:lineRule="auto"/>
              <w:rPr>
                <w:rFonts w:hint="eastAsia" w:ascii="黑体" w:hAnsi="黑体" w:eastAsia="黑体" w:cs="黑体"/>
                <w:color w:val="auto"/>
                <w:szCs w:val="21"/>
                <w:highlight w:val="none"/>
              </w:rPr>
            </w:pPr>
          </w:p>
        </w:tc>
      </w:tr>
      <w:tr w14:paraId="466FF144">
        <w:tblPrEx>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2B8B85E4">
            <w:pPr>
              <w:spacing w:line="360" w:lineRule="auto"/>
              <w:rPr>
                <w:rFonts w:hint="eastAsia" w:ascii="黑体" w:hAnsi="黑体" w:eastAsia="黑体" w:cs="黑体"/>
                <w:color w:val="auto"/>
                <w:szCs w:val="21"/>
                <w:highlight w:val="none"/>
              </w:rPr>
            </w:pPr>
          </w:p>
        </w:tc>
        <w:tc>
          <w:tcPr>
            <w:tcW w:w="1390" w:type="pct"/>
            <w:tcBorders>
              <w:top w:val="single" w:color="auto" w:sz="6" w:space="0"/>
              <w:left w:val="single" w:color="auto" w:sz="6" w:space="0"/>
              <w:bottom w:val="single" w:color="auto" w:sz="6" w:space="0"/>
              <w:right w:val="single" w:color="auto" w:sz="6" w:space="0"/>
            </w:tcBorders>
          </w:tcPr>
          <w:p w14:paraId="229C3899">
            <w:pPr>
              <w:spacing w:line="360" w:lineRule="auto"/>
              <w:rPr>
                <w:rFonts w:hint="eastAsia" w:ascii="黑体" w:hAnsi="黑体" w:eastAsia="黑体" w:cs="黑体"/>
                <w:color w:val="auto"/>
                <w:szCs w:val="21"/>
                <w:highlight w:val="none"/>
              </w:rPr>
            </w:pPr>
          </w:p>
        </w:tc>
        <w:tc>
          <w:tcPr>
            <w:tcW w:w="1330" w:type="pct"/>
            <w:gridSpan w:val="2"/>
            <w:tcBorders>
              <w:top w:val="single" w:color="auto" w:sz="6" w:space="0"/>
              <w:left w:val="single" w:color="auto" w:sz="6" w:space="0"/>
              <w:bottom w:val="single" w:color="auto" w:sz="6" w:space="0"/>
              <w:right w:val="single" w:color="auto" w:sz="6" w:space="0"/>
            </w:tcBorders>
          </w:tcPr>
          <w:p w14:paraId="5E3404F8">
            <w:pPr>
              <w:spacing w:line="360" w:lineRule="auto"/>
              <w:rPr>
                <w:rFonts w:hint="eastAsia" w:ascii="黑体" w:hAnsi="黑体" w:eastAsia="黑体" w:cs="黑体"/>
                <w:color w:val="auto"/>
                <w:szCs w:val="21"/>
                <w:highlight w:val="none"/>
              </w:rPr>
            </w:pPr>
          </w:p>
        </w:tc>
        <w:tc>
          <w:tcPr>
            <w:tcW w:w="1280" w:type="pct"/>
            <w:tcBorders>
              <w:top w:val="single" w:color="auto" w:sz="6" w:space="0"/>
              <w:left w:val="single" w:color="auto" w:sz="6" w:space="0"/>
              <w:bottom w:val="single" w:color="auto" w:sz="6" w:space="0"/>
              <w:right w:val="single" w:color="auto" w:sz="6" w:space="0"/>
            </w:tcBorders>
          </w:tcPr>
          <w:p w14:paraId="0CAF9190">
            <w:pPr>
              <w:spacing w:line="360" w:lineRule="auto"/>
              <w:rPr>
                <w:rFonts w:hint="eastAsia" w:ascii="黑体" w:hAnsi="黑体" w:eastAsia="黑体" w:cs="黑体"/>
                <w:color w:val="auto"/>
                <w:szCs w:val="21"/>
                <w:highlight w:val="none"/>
              </w:rPr>
            </w:pPr>
          </w:p>
        </w:tc>
      </w:tr>
    </w:tbl>
    <w:p w14:paraId="4F87A122">
      <w:pPr>
        <w:pStyle w:val="31"/>
        <w:numPr>
          <w:ilvl w:val="0"/>
          <w:numId w:val="67"/>
        </w:numPr>
        <w:spacing w:after="156" w:afterLines="50"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响应供应商获得国家有关部门颁发的资质证明或荣誉：（如需）</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0FC8C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213D709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证书名称</w:t>
            </w:r>
          </w:p>
        </w:tc>
        <w:tc>
          <w:tcPr>
            <w:tcW w:w="1250" w:type="pct"/>
            <w:vAlign w:val="center"/>
          </w:tcPr>
          <w:p w14:paraId="4D161A0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发证单位</w:t>
            </w:r>
          </w:p>
        </w:tc>
        <w:tc>
          <w:tcPr>
            <w:tcW w:w="1250" w:type="pct"/>
            <w:vAlign w:val="center"/>
          </w:tcPr>
          <w:p w14:paraId="63F0E344">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证书等级</w:t>
            </w:r>
          </w:p>
        </w:tc>
        <w:tc>
          <w:tcPr>
            <w:tcW w:w="1250" w:type="pct"/>
            <w:vAlign w:val="center"/>
          </w:tcPr>
          <w:p w14:paraId="2B4BA369">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证书有效期</w:t>
            </w:r>
          </w:p>
        </w:tc>
      </w:tr>
      <w:tr w14:paraId="214DE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24C8D898">
            <w:pPr>
              <w:spacing w:line="360" w:lineRule="auto"/>
              <w:rPr>
                <w:rFonts w:hint="eastAsia" w:ascii="黑体" w:hAnsi="黑体" w:eastAsia="黑体" w:cs="黑体"/>
                <w:color w:val="auto"/>
                <w:szCs w:val="21"/>
                <w:highlight w:val="none"/>
              </w:rPr>
            </w:pPr>
          </w:p>
        </w:tc>
        <w:tc>
          <w:tcPr>
            <w:tcW w:w="1250" w:type="pct"/>
          </w:tcPr>
          <w:p w14:paraId="4829F6F7">
            <w:pPr>
              <w:spacing w:line="360" w:lineRule="auto"/>
              <w:rPr>
                <w:rFonts w:hint="eastAsia" w:ascii="黑体" w:hAnsi="黑体" w:eastAsia="黑体" w:cs="黑体"/>
                <w:color w:val="auto"/>
                <w:szCs w:val="21"/>
                <w:highlight w:val="none"/>
              </w:rPr>
            </w:pPr>
          </w:p>
        </w:tc>
        <w:tc>
          <w:tcPr>
            <w:tcW w:w="1250" w:type="pct"/>
          </w:tcPr>
          <w:p w14:paraId="0CF440F8">
            <w:pPr>
              <w:spacing w:line="360" w:lineRule="auto"/>
              <w:rPr>
                <w:rFonts w:hint="eastAsia" w:ascii="黑体" w:hAnsi="黑体" w:eastAsia="黑体" w:cs="黑体"/>
                <w:color w:val="auto"/>
                <w:szCs w:val="21"/>
                <w:highlight w:val="none"/>
              </w:rPr>
            </w:pPr>
          </w:p>
        </w:tc>
        <w:tc>
          <w:tcPr>
            <w:tcW w:w="1250" w:type="pct"/>
          </w:tcPr>
          <w:p w14:paraId="116D1867">
            <w:pPr>
              <w:spacing w:line="360" w:lineRule="auto"/>
              <w:rPr>
                <w:rFonts w:hint="eastAsia" w:ascii="黑体" w:hAnsi="黑体" w:eastAsia="黑体" w:cs="黑体"/>
                <w:color w:val="auto"/>
                <w:szCs w:val="21"/>
                <w:highlight w:val="none"/>
              </w:rPr>
            </w:pPr>
          </w:p>
        </w:tc>
      </w:tr>
      <w:tr w14:paraId="0FC3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4449040D">
            <w:pPr>
              <w:spacing w:line="360" w:lineRule="auto"/>
              <w:rPr>
                <w:rFonts w:hint="eastAsia" w:ascii="黑体" w:hAnsi="黑体" w:eastAsia="黑体" w:cs="黑体"/>
                <w:color w:val="auto"/>
                <w:szCs w:val="21"/>
                <w:highlight w:val="none"/>
              </w:rPr>
            </w:pPr>
          </w:p>
        </w:tc>
        <w:tc>
          <w:tcPr>
            <w:tcW w:w="1250" w:type="pct"/>
          </w:tcPr>
          <w:p w14:paraId="402D4176">
            <w:pPr>
              <w:spacing w:line="360" w:lineRule="auto"/>
              <w:rPr>
                <w:rFonts w:hint="eastAsia" w:ascii="黑体" w:hAnsi="黑体" w:eastAsia="黑体" w:cs="黑体"/>
                <w:color w:val="auto"/>
                <w:szCs w:val="21"/>
                <w:highlight w:val="none"/>
              </w:rPr>
            </w:pPr>
          </w:p>
        </w:tc>
        <w:tc>
          <w:tcPr>
            <w:tcW w:w="1250" w:type="pct"/>
          </w:tcPr>
          <w:p w14:paraId="2335246F">
            <w:pPr>
              <w:spacing w:line="360" w:lineRule="auto"/>
              <w:rPr>
                <w:rFonts w:hint="eastAsia" w:ascii="黑体" w:hAnsi="黑体" w:eastAsia="黑体" w:cs="黑体"/>
                <w:color w:val="auto"/>
                <w:szCs w:val="21"/>
                <w:highlight w:val="none"/>
              </w:rPr>
            </w:pPr>
          </w:p>
        </w:tc>
        <w:tc>
          <w:tcPr>
            <w:tcW w:w="1250" w:type="pct"/>
          </w:tcPr>
          <w:p w14:paraId="48C384A0">
            <w:pPr>
              <w:spacing w:line="360" w:lineRule="auto"/>
              <w:rPr>
                <w:rFonts w:hint="eastAsia" w:ascii="黑体" w:hAnsi="黑体" w:eastAsia="黑体" w:cs="黑体"/>
                <w:color w:val="auto"/>
                <w:szCs w:val="21"/>
                <w:highlight w:val="none"/>
              </w:rPr>
            </w:pPr>
          </w:p>
        </w:tc>
      </w:tr>
    </w:tbl>
    <w:p w14:paraId="63CA0CB0">
      <w:pPr>
        <w:spacing w:before="156" w:beforeLines="50" w:after="156" w:after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兹证明上述声明是真实、正确的，并提供了全部能提供的资料和数据，我方同意遵照贵方要求出示有关证明文件。</w:t>
      </w:r>
    </w:p>
    <w:p w14:paraId="59559D31">
      <w:pPr>
        <w:spacing w:before="156" w:beforeLines="50" w:after="156" w:afterLines="50"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804"/>
        <w:gridCol w:w="1502"/>
      </w:tblGrid>
      <w:tr w14:paraId="7F64A48F">
        <w:tblPrEx>
          <w:tblCellMar>
            <w:top w:w="0" w:type="dxa"/>
            <w:left w:w="108" w:type="dxa"/>
            <w:bottom w:w="0" w:type="dxa"/>
            <w:right w:w="108" w:type="dxa"/>
          </w:tblCellMar>
        </w:tblPrEx>
        <w:tc>
          <w:tcPr>
            <w:tcW w:w="6804" w:type="dxa"/>
          </w:tcPr>
          <w:p w14:paraId="447C5829">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502" w:type="dxa"/>
          </w:tcPr>
          <w:p w14:paraId="714F044B">
            <w:pPr>
              <w:spacing w:line="360" w:lineRule="auto"/>
              <w:rPr>
                <w:rFonts w:hint="eastAsia" w:ascii="黑体" w:hAnsi="黑体" w:eastAsia="黑体" w:cs="黑体"/>
                <w:color w:val="auto"/>
                <w:szCs w:val="21"/>
                <w:highlight w:val="none"/>
              </w:rPr>
            </w:pPr>
          </w:p>
        </w:tc>
      </w:tr>
      <w:tr w14:paraId="5A92F1BB">
        <w:tblPrEx>
          <w:tblCellMar>
            <w:top w:w="0" w:type="dxa"/>
            <w:left w:w="108" w:type="dxa"/>
            <w:bottom w:w="0" w:type="dxa"/>
            <w:right w:w="108" w:type="dxa"/>
          </w:tblCellMar>
        </w:tblPrEx>
        <w:tc>
          <w:tcPr>
            <w:tcW w:w="6804" w:type="dxa"/>
          </w:tcPr>
          <w:p w14:paraId="5309F0C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502" w:type="dxa"/>
          </w:tcPr>
          <w:p w14:paraId="3F6681EB">
            <w:pPr>
              <w:spacing w:line="360" w:lineRule="auto"/>
              <w:rPr>
                <w:rFonts w:hint="eastAsia" w:ascii="黑体" w:hAnsi="黑体" w:eastAsia="黑体" w:cs="黑体"/>
                <w:color w:val="auto"/>
                <w:szCs w:val="21"/>
                <w:highlight w:val="none"/>
              </w:rPr>
            </w:pPr>
          </w:p>
        </w:tc>
      </w:tr>
    </w:tbl>
    <w:p w14:paraId="0E7CFBE7">
      <w:pPr>
        <w:pStyle w:val="31"/>
        <w:keepNext w:val="0"/>
        <w:keepLines w:val="0"/>
        <w:pageBreakBefore/>
        <w:widowControl w:val="0"/>
        <w:numPr>
          <w:ilvl w:val="0"/>
          <w:numId w:val="68"/>
        </w:numPr>
        <w:kinsoku/>
        <w:wordWrap/>
        <w:overflowPunct/>
        <w:topLinePunct w:val="0"/>
        <w:autoSpaceDE/>
        <w:autoSpaceDN/>
        <w:bidi w:val="0"/>
        <w:adjustRightInd/>
        <w:snapToGrid/>
        <w:spacing w:line="360" w:lineRule="auto"/>
        <w:ind w:left="420" w:hanging="420" w:firstLineChars="0"/>
        <w:textAlignment w:val="auto"/>
        <w:rPr>
          <w:rFonts w:hint="eastAsia" w:ascii="黑体" w:hAnsi="黑体" w:eastAsia="黑体" w:cs="黑体"/>
          <w:b/>
          <w:bCs/>
          <w:color w:val="auto"/>
          <w:highlight w:val="none"/>
        </w:rPr>
      </w:pPr>
      <w:bookmarkStart w:id="296" w:name="_Toc91018658"/>
      <w:bookmarkStart w:id="297" w:name="_Toc90980152"/>
      <w:bookmarkStart w:id="298" w:name="_Toc90976522"/>
      <w:bookmarkStart w:id="299" w:name="_Toc405313965"/>
      <w:bookmarkStart w:id="300" w:name="_Toc391627761"/>
      <w:bookmarkStart w:id="301" w:name="_Toc13821092"/>
      <w:r>
        <w:rPr>
          <w:rFonts w:hint="eastAsia" w:ascii="黑体" w:hAnsi="黑体" w:eastAsia="黑体" w:cs="黑体"/>
          <w:b/>
          <w:bCs/>
          <w:color w:val="auto"/>
          <w:highlight w:val="none"/>
        </w:rPr>
        <w:t>供应商资格证明文件</w:t>
      </w:r>
      <w:bookmarkEnd w:id="296"/>
      <w:bookmarkEnd w:id="297"/>
      <w:bookmarkEnd w:id="298"/>
    </w:p>
    <w:bookmarkEnd w:id="299"/>
    <w:bookmarkEnd w:id="300"/>
    <w:bookmarkEnd w:id="301"/>
    <w:p w14:paraId="06CBA293">
      <w:pPr>
        <w:spacing w:line="360" w:lineRule="auto"/>
        <w:rPr>
          <w:rFonts w:hint="eastAsia" w:ascii="黑体" w:hAnsi="黑体" w:eastAsia="黑体" w:cs="黑体"/>
          <w:color w:val="auto"/>
          <w:szCs w:val="21"/>
          <w:highlight w:val="none"/>
        </w:rPr>
      </w:pPr>
    </w:p>
    <w:p w14:paraId="7A13C8BF">
      <w:pPr>
        <w:spacing w:line="360" w:lineRule="auto"/>
        <w:rPr>
          <w:rFonts w:hint="eastAsia" w:ascii="黑体" w:hAnsi="黑体" w:eastAsia="黑体" w:cs="黑体"/>
          <w:color w:val="auto"/>
          <w:szCs w:val="21"/>
          <w:highlight w:val="none"/>
        </w:rPr>
      </w:pPr>
    </w:p>
    <w:p w14:paraId="67E98819">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02" w:name="_Toc405313968"/>
      <w:bookmarkStart w:id="303" w:name="_Toc391627765"/>
      <w:bookmarkStart w:id="304" w:name="_Toc13821095"/>
      <w:r>
        <w:rPr>
          <w:rStyle w:val="22"/>
          <w:rFonts w:hint="eastAsia" w:ascii="黑体" w:hAnsi="黑体" w:eastAsia="黑体" w:cs="黑体"/>
          <w:bCs w:val="0"/>
          <w:color w:val="auto"/>
          <w:spacing w:val="12"/>
          <w:highlight w:val="none"/>
        </w:rPr>
        <w:t>业绩表</w:t>
      </w:r>
      <w:bookmarkEnd w:id="302"/>
      <w:bookmarkEnd w:id="303"/>
      <w:bookmarkEnd w:id="304"/>
    </w:p>
    <w:p w14:paraId="0517232B">
      <w:pPr>
        <w:spacing w:after="312" w:after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771"/>
        <w:gridCol w:w="1132"/>
        <w:gridCol w:w="1179"/>
        <w:gridCol w:w="1981"/>
        <w:gridCol w:w="1087"/>
        <w:gridCol w:w="728"/>
      </w:tblGrid>
      <w:tr w14:paraId="74CC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63ACD44D">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序号</w:t>
            </w:r>
          </w:p>
        </w:tc>
        <w:tc>
          <w:tcPr>
            <w:tcW w:w="1039" w:type="pct"/>
            <w:vAlign w:val="center"/>
          </w:tcPr>
          <w:p w14:paraId="78598A33">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项目名称</w:t>
            </w:r>
          </w:p>
        </w:tc>
        <w:tc>
          <w:tcPr>
            <w:tcW w:w="664" w:type="pct"/>
            <w:vAlign w:val="center"/>
          </w:tcPr>
          <w:p w14:paraId="1E17CCE0">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合同金额</w:t>
            </w:r>
          </w:p>
        </w:tc>
        <w:tc>
          <w:tcPr>
            <w:tcW w:w="692" w:type="pct"/>
            <w:vAlign w:val="center"/>
          </w:tcPr>
          <w:p w14:paraId="121B7B14">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签约时间</w:t>
            </w:r>
          </w:p>
        </w:tc>
        <w:tc>
          <w:tcPr>
            <w:tcW w:w="1162" w:type="pct"/>
            <w:vAlign w:val="center"/>
          </w:tcPr>
          <w:p w14:paraId="434D6F9A">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联系人及联系方式</w:t>
            </w:r>
          </w:p>
        </w:tc>
        <w:tc>
          <w:tcPr>
            <w:tcW w:w="638" w:type="pct"/>
            <w:vAlign w:val="center"/>
          </w:tcPr>
          <w:p w14:paraId="0CBF4FC6">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完成情况</w:t>
            </w:r>
          </w:p>
        </w:tc>
        <w:tc>
          <w:tcPr>
            <w:tcW w:w="427" w:type="pct"/>
            <w:vAlign w:val="center"/>
          </w:tcPr>
          <w:p w14:paraId="226416D4">
            <w:pPr>
              <w:spacing w:before="156" w:after="156" w:line="240" w:lineRule="exact"/>
              <w:jc w:val="center"/>
              <w:rPr>
                <w:rFonts w:hint="eastAsia" w:ascii="黑体" w:hAnsi="黑体" w:eastAsia="黑体" w:cs="黑体"/>
                <w:bCs/>
                <w:color w:val="auto"/>
                <w:szCs w:val="21"/>
                <w:highlight w:val="none"/>
              </w:rPr>
            </w:pPr>
            <w:r>
              <w:rPr>
                <w:rFonts w:hint="eastAsia" w:ascii="黑体" w:hAnsi="黑体" w:eastAsia="黑体" w:cs="黑体"/>
                <w:bCs/>
                <w:color w:val="auto"/>
                <w:szCs w:val="21"/>
                <w:highlight w:val="none"/>
              </w:rPr>
              <w:t>备注</w:t>
            </w:r>
          </w:p>
        </w:tc>
      </w:tr>
      <w:tr w14:paraId="754AE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5D03014">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7ED15397">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3F80D060">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4BC6CAEA">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24635D42">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12FD762F">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20ABAE4F">
            <w:pPr>
              <w:spacing w:before="156" w:after="156" w:line="240" w:lineRule="exact"/>
              <w:jc w:val="center"/>
              <w:rPr>
                <w:rFonts w:hint="eastAsia" w:ascii="黑体" w:hAnsi="黑体" w:eastAsia="黑体" w:cs="黑体"/>
                <w:color w:val="auto"/>
                <w:szCs w:val="21"/>
                <w:highlight w:val="none"/>
              </w:rPr>
            </w:pPr>
          </w:p>
        </w:tc>
      </w:tr>
      <w:tr w14:paraId="3855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48998AB">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3DB2B28F">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0B78FB02">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3B423426">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75D76706">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63984D7C">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64E17512">
            <w:pPr>
              <w:spacing w:before="156" w:after="156" w:line="240" w:lineRule="exact"/>
              <w:jc w:val="center"/>
              <w:rPr>
                <w:rFonts w:hint="eastAsia" w:ascii="黑体" w:hAnsi="黑体" w:eastAsia="黑体" w:cs="黑体"/>
                <w:color w:val="auto"/>
                <w:szCs w:val="21"/>
                <w:highlight w:val="none"/>
              </w:rPr>
            </w:pPr>
          </w:p>
        </w:tc>
      </w:tr>
      <w:tr w14:paraId="62E79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364781DD">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704DBEB8">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719A84F6">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4FEBD5C4">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2574988C">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050CEC42">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5BD058B2">
            <w:pPr>
              <w:spacing w:before="156" w:after="156" w:line="240" w:lineRule="exact"/>
              <w:jc w:val="center"/>
              <w:rPr>
                <w:rFonts w:hint="eastAsia" w:ascii="黑体" w:hAnsi="黑体" w:eastAsia="黑体" w:cs="黑体"/>
                <w:color w:val="auto"/>
                <w:szCs w:val="21"/>
                <w:highlight w:val="none"/>
              </w:rPr>
            </w:pPr>
          </w:p>
        </w:tc>
      </w:tr>
      <w:tr w14:paraId="77FE0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CFAB4C">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01EB6B10">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3F77003B">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5350B2D9">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59EA1063">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038392D7">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69A4F2A8">
            <w:pPr>
              <w:spacing w:before="156" w:after="156" w:line="240" w:lineRule="exact"/>
              <w:jc w:val="center"/>
              <w:rPr>
                <w:rFonts w:hint="eastAsia" w:ascii="黑体" w:hAnsi="黑体" w:eastAsia="黑体" w:cs="黑体"/>
                <w:color w:val="auto"/>
                <w:szCs w:val="21"/>
                <w:highlight w:val="none"/>
              </w:rPr>
            </w:pPr>
          </w:p>
        </w:tc>
      </w:tr>
      <w:tr w14:paraId="1F4F1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193E20">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2B7137C1">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3174B0B2">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64AB5E60">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1D506E2E">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319FA45E">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547172D4">
            <w:pPr>
              <w:spacing w:before="156" w:after="156" w:line="240" w:lineRule="exact"/>
              <w:jc w:val="center"/>
              <w:rPr>
                <w:rFonts w:hint="eastAsia" w:ascii="黑体" w:hAnsi="黑体" w:eastAsia="黑体" w:cs="黑体"/>
                <w:color w:val="auto"/>
                <w:szCs w:val="21"/>
                <w:highlight w:val="none"/>
              </w:rPr>
            </w:pPr>
          </w:p>
        </w:tc>
      </w:tr>
      <w:tr w14:paraId="3AEB1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372D3E8F">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5DC5B91B">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055B33C1">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16DD18A8">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3B079895">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2D7564C5">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0BA7AED7">
            <w:pPr>
              <w:spacing w:before="156" w:after="156" w:line="240" w:lineRule="exact"/>
              <w:jc w:val="center"/>
              <w:rPr>
                <w:rFonts w:hint="eastAsia" w:ascii="黑体" w:hAnsi="黑体" w:eastAsia="黑体" w:cs="黑体"/>
                <w:color w:val="auto"/>
                <w:szCs w:val="21"/>
                <w:highlight w:val="none"/>
              </w:rPr>
            </w:pPr>
          </w:p>
        </w:tc>
      </w:tr>
      <w:tr w14:paraId="519EF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7C4F633">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0A25E044">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6A194D18">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67AF7AFE">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520E43FB">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0852C8A2">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6AE79729">
            <w:pPr>
              <w:spacing w:before="156" w:after="156" w:line="240" w:lineRule="exact"/>
              <w:jc w:val="center"/>
              <w:rPr>
                <w:rFonts w:hint="eastAsia" w:ascii="黑体" w:hAnsi="黑体" w:eastAsia="黑体" w:cs="黑体"/>
                <w:color w:val="auto"/>
                <w:szCs w:val="21"/>
                <w:highlight w:val="none"/>
              </w:rPr>
            </w:pPr>
          </w:p>
        </w:tc>
      </w:tr>
      <w:tr w14:paraId="06FD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A3B6331">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335938E6">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00E8B131">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79E24BE9">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798722CD">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504F1346">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04A34790">
            <w:pPr>
              <w:spacing w:before="156" w:after="156" w:line="240" w:lineRule="exact"/>
              <w:jc w:val="center"/>
              <w:rPr>
                <w:rFonts w:hint="eastAsia" w:ascii="黑体" w:hAnsi="黑体" w:eastAsia="黑体" w:cs="黑体"/>
                <w:color w:val="auto"/>
                <w:szCs w:val="21"/>
                <w:highlight w:val="none"/>
              </w:rPr>
            </w:pPr>
          </w:p>
        </w:tc>
      </w:tr>
      <w:tr w14:paraId="6941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378FAC7E">
            <w:pPr>
              <w:spacing w:before="156" w:after="156" w:line="240" w:lineRule="exact"/>
              <w:jc w:val="center"/>
              <w:rPr>
                <w:rFonts w:hint="eastAsia" w:ascii="黑体" w:hAnsi="黑体" w:eastAsia="黑体" w:cs="黑体"/>
                <w:color w:val="auto"/>
                <w:szCs w:val="21"/>
                <w:highlight w:val="none"/>
              </w:rPr>
            </w:pPr>
          </w:p>
        </w:tc>
        <w:tc>
          <w:tcPr>
            <w:tcW w:w="1039" w:type="pct"/>
            <w:vAlign w:val="center"/>
          </w:tcPr>
          <w:p w14:paraId="1DD93418">
            <w:pPr>
              <w:spacing w:before="156" w:after="156" w:line="240" w:lineRule="exact"/>
              <w:jc w:val="center"/>
              <w:rPr>
                <w:rFonts w:hint="eastAsia" w:ascii="黑体" w:hAnsi="黑体" w:eastAsia="黑体" w:cs="黑体"/>
                <w:color w:val="auto"/>
                <w:szCs w:val="21"/>
                <w:highlight w:val="none"/>
              </w:rPr>
            </w:pPr>
          </w:p>
        </w:tc>
        <w:tc>
          <w:tcPr>
            <w:tcW w:w="664" w:type="pct"/>
            <w:vAlign w:val="center"/>
          </w:tcPr>
          <w:p w14:paraId="30B039C9">
            <w:pPr>
              <w:spacing w:before="156" w:after="156" w:line="240" w:lineRule="exact"/>
              <w:jc w:val="center"/>
              <w:rPr>
                <w:rFonts w:hint="eastAsia" w:ascii="黑体" w:hAnsi="黑体" w:eastAsia="黑体" w:cs="黑体"/>
                <w:color w:val="auto"/>
                <w:szCs w:val="21"/>
                <w:highlight w:val="none"/>
              </w:rPr>
            </w:pPr>
          </w:p>
        </w:tc>
        <w:tc>
          <w:tcPr>
            <w:tcW w:w="692" w:type="pct"/>
            <w:vAlign w:val="center"/>
          </w:tcPr>
          <w:p w14:paraId="73A5AF48">
            <w:pPr>
              <w:spacing w:before="156" w:after="156" w:line="240" w:lineRule="exact"/>
              <w:jc w:val="center"/>
              <w:rPr>
                <w:rFonts w:hint="eastAsia" w:ascii="黑体" w:hAnsi="黑体" w:eastAsia="黑体" w:cs="黑体"/>
                <w:color w:val="auto"/>
                <w:szCs w:val="21"/>
                <w:highlight w:val="none"/>
              </w:rPr>
            </w:pPr>
          </w:p>
        </w:tc>
        <w:tc>
          <w:tcPr>
            <w:tcW w:w="1162" w:type="pct"/>
            <w:vAlign w:val="center"/>
          </w:tcPr>
          <w:p w14:paraId="36424023">
            <w:pPr>
              <w:spacing w:before="156" w:after="156" w:line="240" w:lineRule="exact"/>
              <w:jc w:val="center"/>
              <w:rPr>
                <w:rFonts w:hint="eastAsia" w:ascii="黑体" w:hAnsi="黑体" w:eastAsia="黑体" w:cs="黑体"/>
                <w:color w:val="auto"/>
                <w:szCs w:val="21"/>
                <w:highlight w:val="none"/>
              </w:rPr>
            </w:pPr>
          </w:p>
        </w:tc>
        <w:tc>
          <w:tcPr>
            <w:tcW w:w="638" w:type="pct"/>
            <w:vAlign w:val="center"/>
          </w:tcPr>
          <w:p w14:paraId="26A3569C">
            <w:pPr>
              <w:spacing w:before="156" w:after="156" w:line="240" w:lineRule="exact"/>
              <w:jc w:val="center"/>
              <w:rPr>
                <w:rFonts w:hint="eastAsia" w:ascii="黑体" w:hAnsi="黑体" w:eastAsia="黑体" w:cs="黑体"/>
                <w:color w:val="auto"/>
                <w:szCs w:val="21"/>
                <w:highlight w:val="none"/>
              </w:rPr>
            </w:pPr>
          </w:p>
        </w:tc>
        <w:tc>
          <w:tcPr>
            <w:tcW w:w="427" w:type="pct"/>
            <w:vAlign w:val="center"/>
          </w:tcPr>
          <w:p w14:paraId="633E549E">
            <w:pPr>
              <w:spacing w:before="156" w:after="156" w:line="240" w:lineRule="exact"/>
              <w:jc w:val="center"/>
              <w:rPr>
                <w:rFonts w:hint="eastAsia" w:ascii="黑体" w:hAnsi="黑体" w:eastAsia="黑体" w:cs="黑体"/>
                <w:color w:val="auto"/>
                <w:szCs w:val="21"/>
                <w:highlight w:val="none"/>
              </w:rPr>
            </w:pPr>
          </w:p>
        </w:tc>
      </w:tr>
    </w:tbl>
    <w:p w14:paraId="03D6C11B">
      <w:pPr>
        <w:spacing w:before="156" w:beforeLines="50" w:line="360" w:lineRule="auto"/>
        <w:rPr>
          <w:rFonts w:hint="eastAsia" w:ascii="黑体" w:hAnsi="黑体" w:eastAsia="黑体" w:cs="黑体"/>
          <w:color w:val="auto"/>
          <w:szCs w:val="21"/>
          <w:highlight w:val="none"/>
        </w:rPr>
      </w:pPr>
    </w:p>
    <w:p w14:paraId="60BADD08">
      <w:pPr>
        <w:spacing w:line="360" w:lineRule="auto"/>
        <w:rPr>
          <w:rFonts w:hint="eastAsia" w:ascii="黑体" w:hAnsi="黑体" w:eastAsia="黑体" w:cs="黑体"/>
          <w:color w:val="auto"/>
          <w:szCs w:val="21"/>
          <w:highlight w:val="none"/>
        </w:rPr>
      </w:pPr>
    </w:p>
    <w:p w14:paraId="7BBE6CE5">
      <w:pPr>
        <w:spacing w:line="360" w:lineRule="auto"/>
        <w:rPr>
          <w:rFonts w:hint="eastAsia" w:ascii="黑体" w:hAnsi="黑体" w:eastAsia="黑体" w:cs="黑体"/>
          <w:color w:val="auto"/>
          <w:szCs w:val="21"/>
          <w:highlight w:val="none"/>
        </w:rPr>
      </w:pPr>
    </w:p>
    <w:p w14:paraId="53648A19">
      <w:pPr>
        <w:spacing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663"/>
        <w:gridCol w:w="1643"/>
      </w:tblGrid>
      <w:tr w14:paraId="2902878B">
        <w:tblPrEx>
          <w:tblCellMar>
            <w:top w:w="0" w:type="dxa"/>
            <w:left w:w="108" w:type="dxa"/>
            <w:bottom w:w="0" w:type="dxa"/>
            <w:right w:w="108" w:type="dxa"/>
          </w:tblCellMar>
        </w:tblPrEx>
        <w:tc>
          <w:tcPr>
            <w:tcW w:w="6663" w:type="dxa"/>
          </w:tcPr>
          <w:p w14:paraId="5312B321">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643" w:type="dxa"/>
          </w:tcPr>
          <w:p w14:paraId="0F6ECEDC">
            <w:pPr>
              <w:spacing w:line="360" w:lineRule="auto"/>
              <w:rPr>
                <w:rFonts w:hint="eastAsia" w:ascii="黑体" w:hAnsi="黑体" w:eastAsia="黑体" w:cs="黑体"/>
                <w:color w:val="auto"/>
                <w:szCs w:val="21"/>
                <w:highlight w:val="none"/>
              </w:rPr>
            </w:pPr>
          </w:p>
        </w:tc>
      </w:tr>
      <w:tr w14:paraId="15D52339">
        <w:tblPrEx>
          <w:tblCellMar>
            <w:top w:w="0" w:type="dxa"/>
            <w:left w:w="108" w:type="dxa"/>
            <w:bottom w:w="0" w:type="dxa"/>
            <w:right w:w="108" w:type="dxa"/>
          </w:tblCellMar>
        </w:tblPrEx>
        <w:tc>
          <w:tcPr>
            <w:tcW w:w="6663" w:type="dxa"/>
          </w:tcPr>
          <w:p w14:paraId="6116AD1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643" w:type="dxa"/>
          </w:tcPr>
          <w:p w14:paraId="3DFC5EFF">
            <w:pPr>
              <w:spacing w:line="360" w:lineRule="auto"/>
              <w:rPr>
                <w:rFonts w:hint="eastAsia" w:ascii="黑体" w:hAnsi="黑体" w:eastAsia="黑体" w:cs="黑体"/>
                <w:color w:val="auto"/>
                <w:szCs w:val="21"/>
                <w:highlight w:val="none"/>
              </w:rPr>
            </w:pPr>
          </w:p>
        </w:tc>
      </w:tr>
    </w:tbl>
    <w:p w14:paraId="2CB4F93B">
      <w:pPr>
        <w:spacing w:line="360" w:lineRule="auto"/>
        <w:rPr>
          <w:rFonts w:hint="eastAsia" w:ascii="黑体" w:hAnsi="黑体" w:eastAsia="黑体" w:cs="黑体"/>
          <w:color w:val="auto"/>
          <w:szCs w:val="21"/>
          <w:highlight w:val="none"/>
        </w:rPr>
      </w:pPr>
    </w:p>
    <w:p w14:paraId="5B80BB9E">
      <w:pPr>
        <w:spacing w:line="360" w:lineRule="auto"/>
        <w:rPr>
          <w:rFonts w:hint="eastAsia" w:ascii="黑体" w:hAnsi="黑体" w:eastAsia="黑体" w:cs="黑体"/>
          <w:color w:val="auto"/>
          <w:szCs w:val="21"/>
          <w:highlight w:val="none"/>
        </w:rPr>
      </w:pPr>
    </w:p>
    <w:p w14:paraId="4033FB77">
      <w:pPr>
        <w:spacing w:line="360" w:lineRule="auto"/>
        <w:rPr>
          <w:rFonts w:hint="eastAsia" w:ascii="黑体" w:hAnsi="黑体" w:eastAsia="黑体" w:cs="黑体"/>
          <w:color w:val="auto"/>
          <w:szCs w:val="21"/>
          <w:highlight w:val="none"/>
        </w:rPr>
      </w:pPr>
    </w:p>
    <w:p w14:paraId="1692AD20">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r>
        <w:rPr>
          <w:rStyle w:val="22"/>
          <w:rFonts w:hint="eastAsia" w:ascii="黑体" w:hAnsi="黑体" w:eastAsia="黑体" w:cs="黑体"/>
          <w:bCs w:val="0"/>
          <w:color w:val="auto"/>
          <w:spacing w:val="12"/>
          <w:highlight w:val="none"/>
        </w:rPr>
        <w:t>商务要求偏离表</w:t>
      </w:r>
    </w:p>
    <w:p w14:paraId="14085329">
      <w:pPr>
        <w:pStyle w:val="31"/>
        <w:spacing w:before="312" w:beforeLines="100" w:after="468" w:afterLines="150" w:line="360" w:lineRule="auto"/>
        <w:ind w:left="420" w:firstLine="0" w:firstLineChars="0"/>
        <w:jc w:val="center"/>
        <w:rPr>
          <w:rFonts w:hint="eastAsia" w:ascii="黑体" w:hAnsi="黑体" w:eastAsia="黑体" w:cs="黑体"/>
          <w:b/>
          <w:color w:val="auto"/>
          <w:spacing w:val="20"/>
          <w:sz w:val="30"/>
          <w:szCs w:val="30"/>
          <w:highlight w:val="none"/>
        </w:rPr>
      </w:pPr>
      <w:bookmarkStart w:id="305" w:name="_Hlk91064332"/>
      <w:r>
        <w:rPr>
          <w:rFonts w:hint="eastAsia" w:ascii="黑体" w:hAnsi="黑体" w:eastAsia="黑体" w:cs="黑体"/>
          <w:b/>
          <w:color w:val="auto"/>
          <w:spacing w:val="20"/>
          <w:sz w:val="30"/>
          <w:szCs w:val="30"/>
          <w:highlight w:val="none"/>
        </w:rPr>
        <w:t>商务要求偏离表</w:t>
      </w:r>
    </w:p>
    <w:bookmarkEnd w:id="305"/>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2A613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E6AF7A8">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08AB9E82">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采购文件要求</w:t>
            </w:r>
          </w:p>
        </w:tc>
        <w:tc>
          <w:tcPr>
            <w:tcW w:w="2126" w:type="dxa"/>
            <w:vAlign w:val="center"/>
          </w:tcPr>
          <w:p w14:paraId="3AEC96BA">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响应文件响应内容</w:t>
            </w:r>
          </w:p>
        </w:tc>
        <w:tc>
          <w:tcPr>
            <w:tcW w:w="1644" w:type="dxa"/>
            <w:vAlign w:val="center"/>
          </w:tcPr>
          <w:p w14:paraId="215F2B93">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5B175D40">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3624B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6EC4D89C">
            <w:pPr>
              <w:spacing w:line="360" w:lineRule="auto"/>
              <w:jc w:val="center"/>
              <w:rPr>
                <w:rFonts w:hint="eastAsia" w:ascii="黑体" w:hAnsi="黑体" w:eastAsia="黑体" w:cs="黑体"/>
                <w:color w:val="auto"/>
                <w:szCs w:val="21"/>
                <w:highlight w:val="none"/>
              </w:rPr>
            </w:pPr>
          </w:p>
        </w:tc>
        <w:tc>
          <w:tcPr>
            <w:tcW w:w="2352" w:type="dxa"/>
            <w:vAlign w:val="center"/>
          </w:tcPr>
          <w:p w14:paraId="10B6DE1F">
            <w:pPr>
              <w:spacing w:line="360" w:lineRule="auto"/>
              <w:jc w:val="center"/>
              <w:rPr>
                <w:rFonts w:hint="eastAsia" w:ascii="黑体" w:hAnsi="黑体" w:eastAsia="黑体" w:cs="黑体"/>
                <w:color w:val="auto"/>
                <w:szCs w:val="21"/>
                <w:highlight w:val="none"/>
              </w:rPr>
            </w:pPr>
          </w:p>
        </w:tc>
        <w:tc>
          <w:tcPr>
            <w:tcW w:w="2126" w:type="dxa"/>
            <w:vAlign w:val="center"/>
          </w:tcPr>
          <w:p w14:paraId="52741211">
            <w:pPr>
              <w:spacing w:line="360" w:lineRule="auto"/>
              <w:jc w:val="center"/>
              <w:rPr>
                <w:rFonts w:hint="eastAsia" w:ascii="黑体" w:hAnsi="黑体" w:eastAsia="黑体" w:cs="黑体"/>
                <w:color w:val="auto"/>
                <w:szCs w:val="21"/>
                <w:highlight w:val="none"/>
              </w:rPr>
            </w:pPr>
          </w:p>
        </w:tc>
        <w:tc>
          <w:tcPr>
            <w:tcW w:w="1644" w:type="dxa"/>
            <w:vAlign w:val="center"/>
          </w:tcPr>
          <w:p w14:paraId="49E608F7">
            <w:pPr>
              <w:spacing w:line="360" w:lineRule="auto"/>
              <w:jc w:val="center"/>
              <w:rPr>
                <w:rFonts w:hint="eastAsia" w:ascii="黑体" w:hAnsi="黑体" w:eastAsia="黑体" w:cs="黑体"/>
                <w:color w:val="auto"/>
                <w:szCs w:val="21"/>
                <w:highlight w:val="none"/>
              </w:rPr>
            </w:pPr>
          </w:p>
        </w:tc>
        <w:tc>
          <w:tcPr>
            <w:tcW w:w="1575" w:type="dxa"/>
            <w:vAlign w:val="center"/>
          </w:tcPr>
          <w:p w14:paraId="18F2D010">
            <w:pPr>
              <w:spacing w:line="360" w:lineRule="auto"/>
              <w:jc w:val="center"/>
              <w:rPr>
                <w:rFonts w:hint="eastAsia" w:ascii="黑体" w:hAnsi="黑体" w:eastAsia="黑体" w:cs="黑体"/>
                <w:color w:val="auto"/>
                <w:szCs w:val="21"/>
                <w:highlight w:val="none"/>
              </w:rPr>
            </w:pPr>
          </w:p>
        </w:tc>
      </w:tr>
      <w:tr w14:paraId="76AE4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38BE5F33">
            <w:pPr>
              <w:spacing w:line="360" w:lineRule="auto"/>
              <w:jc w:val="center"/>
              <w:rPr>
                <w:rFonts w:hint="eastAsia" w:ascii="黑体" w:hAnsi="黑体" w:eastAsia="黑体" w:cs="黑体"/>
                <w:color w:val="auto"/>
                <w:szCs w:val="21"/>
                <w:highlight w:val="none"/>
              </w:rPr>
            </w:pPr>
          </w:p>
        </w:tc>
        <w:tc>
          <w:tcPr>
            <w:tcW w:w="2352" w:type="dxa"/>
            <w:vAlign w:val="center"/>
          </w:tcPr>
          <w:p w14:paraId="7A5703D6">
            <w:pPr>
              <w:spacing w:line="360" w:lineRule="auto"/>
              <w:jc w:val="center"/>
              <w:rPr>
                <w:rFonts w:hint="eastAsia" w:ascii="黑体" w:hAnsi="黑体" w:eastAsia="黑体" w:cs="黑体"/>
                <w:color w:val="auto"/>
                <w:szCs w:val="21"/>
                <w:highlight w:val="none"/>
              </w:rPr>
            </w:pPr>
          </w:p>
        </w:tc>
        <w:tc>
          <w:tcPr>
            <w:tcW w:w="2126" w:type="dxa"/>
            <w:vAlign w:val="center"/>
          </w:tcPr>
          <w:p w14:paraId="773B208D">
            <w:pPr>
              <w:spacing w:line="360" w:lineRule="auto"/>
              <w:jc w:val="center"/>
              <w:rPr>
                <w:rFonts w:hint="eastAsia" w:ascii="黑体" w:hAnsi="黑体" w:eastAsia="黑体" w:cs="黑体"/>
                <w:color w:val="auto"/>
                <w:szCs w:val="21"/>
                <w:highlight w:val="none"/>
              </w:rPr>
            </w:pPr>
          </w:p>
        </w:tc>
        <w:tc>
          <w:tcPr>
            <w:tcW w:w="1644" w:type="dxa"/>
            <w:vAlign w:val="center"/>
          </w:tcPr>
          <w:p w14:paraId="325CAC26">
            <w:pPr>
              <w:spacing w:line="360" w:lineRule="auto"/>
              <w:jc w:val="center"/>
              <w:rPr>
                <w:rFonts w:hint="eastAsia" w:ascii="黑体" w:hAnsi="黑体" w:eastAsia="黑体" w:cs="黑体"/>
                <w:color w:val="auto"/>
                <w:szCs w:val="21"/>
                <w:highlight w:val="none"/>
              </w:rPr>
            </w:pPr>
          </w:p>
        </w:tc>
        <w:tc>
          <w:tcPr>
            <w:tcW w:w="1575" w:type="dxa"/>
            <w:vAlign w:val="center"/>
          </w:tcPr>
          <w:p w14:paraId="2844E913">
            <w:pPr>
              <w:spacing w:line="360" w:lineRule="auto"/>
              <w:jc w:val="center"/>
              <w:rPr>
                <w:rFonts w:hint="eastAsia" w:ascii="黑体" w:hAnsi="黑体" w:eastAsia="黑体" w:cs="黑体"/>
                <w:color w:val="auto"/>
                <w:szCs w:val="21"/>
                <w:highlight w:val="none"/>
              </w:rPr>
            </w:pPr>
          </w:p>
        </w:tc>
      </w:tr>
      <w:tr w14:paraId="1A1DD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178E9B09">
            <w:pPr>
              <w:spacing w:line="360" w:lineRule="auto"/>
              <w:jc w:val="center"/>
              <w:rPr>
                <w:rFonts w:hint="eastAsia" w:ascii="黑体" w:hAnsi="黑体" w:eastAsia="黑体" w:cs="黑体"/>
                <w:color w:val="auto"/>
                <w:szCs w:val="21"/>
                <w:highlight w:val="none"/>
              </w:rPr>
            </w:pPr>
          </w:p>
        </w:tc>
        <w:tc>
          <w:tcPr>
            <w:tcW w:w="2352" w:type="dxa"/>
            <w:vAlign w:val="center"/>
          </w:tcPr>
          <w:p w14:paraId="54DE772B">
            <w:pPr>
              <w:spacing w:line="360" w:lineRule="auto"/>
              <w:jc w:val="center"/>
              <w:rPr>
                <w:rFonts w:hint="eastAsia" w:ascii="黑体" w:hAnsi="黑体" w:eastAsia="黑体" w:cs="黑体"/>
                <w:color w:val="auto"/>
                <w:szCs w:val="21"/>
                <w:highlight w:val="none"/>
              </w:rPr>
            </w:pPr>
          </w:p>
        </w:tc>
        <w:tc>
          <w:tcPr>
            <w:tcW w:w="2126" w:type="dxa"/>
            <w:vAlign w:val="center"/>
          </w:tcPr>
          <w:p w14:paraId="758E90B9">
            <w:pPr>
              <w:spacing w:line="360" w:lineRule="auto"/>
              <w:jc w:val="center"/>
              <w:rPr>
                <w:rFonts w:hint="eastAsia" w:ascii="黑体" w:hAnsi="黑体" w:eastAsia="黑体" w:cs="黑体"/>
                <w:color w:val="auto"/>
                <w:szCs w:val="21"/>
                <w:highlight w:val="none"/>
              </w:rPr>
            </w:pPr>
          </w:p>
        </w:tc>
        <w:tc>
          <w:tcPr>
            <w:tcW w:w="1644" w:type="dxa"/>
            <w:vAlign w:val="center"/>
          </w:tcPr>
          <w:p w14:paraId="7952FCD1">
            <w:pPr>
              <w:spacing w:line="360" w:lineRule="auto"/>
              <w:jc w:val="center"/>
              <w:rPr>
                <w:rFonts w:hint="eastAsia" w:ascii="黑体" w:hAnsi="黑体" w:eastAsia="黑体" w:cs="黑体"/>
                <w:color w:val="auto"/>
                <w:szCs w:val="21"/>
                <w:highlight w:val="none"/>
              </w:rPr>
            </w:pPr>
          </w:p>
        </w:tc>
        <w:tc>
          <w:tcPr>
            <w:tcW w:w="1575" w:type="dxa"/>
            <w:vAlign w:val="center"/>
          </w:tcPr>
          <w:p w14:paraId="7FB9E89D">
            <w:pPr>
              <w:spacing w:line="360" w:lineRule="auto"/>
              <w:jc w:val="center"/>
              <w:rPr>
                <w:rFonts w:hint="eastAsia" w:ascii="黑体" w:hAnsi="黑体" w:eastAsia="黑体" w:cs="黑体"/>
                <w:color w:val="auto"/>
                <w:szCs w:val="21"/>
                <w:highlight w:val="none"/>
              </w:rPr>
            </w:pPr>
          </w:p>
        </w:tc>
      </w:tr>
      <w:tr w14:paraId="59492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05E61A6D">
            <w:pPr>
              <w:spacing w:line="360" w:lineRule="auto"/>
              <w:jc w:val="center"/>
              <w:rPr>
                <w:rFonts w:hint="eastAsia" w:ascii="黑体" w:hAnsi="黑体" w:eastAsia="黑体" w:cs="黑体"/>
                <w:color w:val="auto"/>
                <w:szCs w:val="21"/>
                <w:highlight w:val="none"/>
              </w:rPr>
            </w:pPr>
          </w:p>
        </w:tc>
        <w:tc>
          <w:tcPr>
            <w:tcW w:w="2352" w:type="dxa"/>
            <w:vAlign w:val="center"/>
          </w:tcPr>
          <w:p w14:paraId="67908064">
            <w:pPr>
              <w:spacing w:line="360" w:lineRule="auto"/>
              <w:jc w:val="center"/>
              <w:rPr>
                <w:rFonts w:hint="eastAsia" w:ascii="黑体" w:hAnsi="黑体" w:eastAsia="黑体" w:cs="黑体"/>
                <w:color w:val="auto"/>
                <w:szCs w:val="21"/>
                <w:highlight w:val="none"/>
              </w:rPr>
            </w:pPr>
          </w:p>
        </w:tc>
        <w:tc>
          <w:tcPr>
            <w:tcW w:w="2126" w:type="dxa"/>
            <w:vAlign w:val="center"/>
          </w:tcPr>
          <w:p w14:paraId="2D9A7065">
            <w:pPr>
              <w:spacing w:line="360" w:lineRule="auto"/>
              <w:jc w:val="center"/>
              <w:rPr>
                <w:rFonts w:hint="eastAsia" w:ascii="黑体" w:hAnsi="黑体" w:eastAsia="黑体" w:cs="黑体"/>
                <w:color w:val="auto"/>
                <w:szCs w:val="21"/>
                <w:highlight w:val="none"/>
              </w:rPr>
            </w:pPr>
          </w:p>
        </w:tc>
        <w:tc>
          <w:tcPr>
            <w:tcW w:w="1644" w:type="dxa"/>
            <w:vAlign w:val="center"/>
          </w:tcPr>
          <w:p w14:paraId="18D69408">
            <w:pPr>
              <w:spacing w:line="360" w:lineRule="auto"/>
              <w:jc w:val="center"/>
              <w:rPr>
                <w:rFonts w:hint="eastAsia" w:ascii="黑体" w:hAnsi="黑体" w:eastAsia="黑体" w:cs="黑体"/>
                <w:color w:val="auto"/>
                <w:szCs w:val="21"/>
                <w:highlight w:val="none"/>
              </w:rPr>
            </w:pPr>
          </w:p>
        </w:tc>
        <w:tc>
          <w:tcPr>
            <w:tcW w:w="1575" w:type="dxa"/>
            <w:vAlign w:val="center"/>
          </w:tcPr>
          <w:p w14:paraId="7AF9B95D">
            <w:pPr>
              <w:spacing w:line="360" w:lineRule="auto"/>
              <w:jc w:val="center"/>
              <w:rPr>
                <w:rFonts w:hint="eastAsia" w:ascii="黑体" w:hAnsi="黑体" w:eastAsia="黑体" w:cs="黑体"/>
                <w:color w:val="auto"/>
                <w:szCs w:val="21"/>
                <w:highlight w:val="none"/>
              </w:rPr>
            </w:pPr>
          </w:p>
        </w:tc>
      </w:tr>
      <w:tr w14:paraId="140B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66C66819">
            <w:pPr>
              <w:spacing w:line="360" w:lineRule="auto"/>
              <w:jc w:val="center"/>
              <w:rPr>
                <w:rFonts w:hint="eastAsia" w:ascii="黑体" w:hAnsi="黑体" w:eastAsia="黑体" w:cs="黑体"/>
                <w:color w:val="auto"/>
                <w:szCs w:val="21"/>
                <w:highlight w:val="none"/>
              </w:rPr>
            </w:pPr>
          </w:p>
        </w:tc>
        <w:tc>
          <w:tcPr>
            <w:tcW w:w="2352" w:type="dxa"/>
            <w:vAlign w:val="center"/>
          </w:tcPr>
          <w:p w14:paraId="649487CF">
            <w:pPr>
              <w:spacing w:line="360" w:lineRule="auto"/>
              <w:jc w:val="center"/>
              <w:rPr>
                <w:rFonts w:hint="eastAsia" w:ascii="黑体" w:hAnsi="黑体" w:eastAsia="黑体" w:cs="黑体"/>
                <w:color w:val="auto"/>
                <w:szCs w:val="21"/>
                <w:highlight w:val="none"/>
              </w:rPr>
            </w:pPr>
          </w:p>
        </w:tc>
        <w:tc>
          <w:tcPr>
            <w:tcW w:w="2126" w:type="dxa"/>
            <w:vAlign w:val="center"/>
          </w:tcPr>
          <w:p w14:paraId="312AEC4A">
            <w:pPr>
              <w:spacing w:line="360" w:lineRule="auto"/>
              <w:jc w:val="center"/>
              <w:rPr>
                <w:rFonts w:hint="eastAsia" w:ascii="黑体" w:hAnsi="黑体" w:eastAsia="黑体" w:cs="黑体"/>
                <w:color w:val="auto"/>
                <w:szCs w:val="21"/>
                <w:highlight w:val="none"/>
              </w:rPr>
            </w:pPr>
          </w:p>
        </w:tc>
        <w:tc>
          <w:tcPr>
            <w:tcW w:w="1644" w:type="dxa"/>
            <w:vAlign w:val="center"/>
          </w:tcPr>
          <w:p w14:paraId="56B78F6C">
            <w:pPr>
              <w:spacing w:line="360" w:lineRule="auto"/>
              <w:jc w:val="center"/>
              <w:rPr>
                <w:rFonts w:hint="eastAsia" w:ascii="黑体" w:hAnsi="黑体" w:eastAsia="黑体" w:cs="黑体"/>
                <w:color w:val="auto"/>
                <w:szCs w:val="21"/>
                <w:highlight w:val="none"/>
              </w:rPr>
            </w:pPr>
          </w:p>
        </w:tc>
        <w:tc>
          <w:tcPr>
            <w:tcW w:w="1575" w:type="dxa"/>
            <w:vAlign w:val="center"/>
          </w:tcPr>
          <w:p w14:paraId="5B061972">
            <w:pPr>
              <w:spacing w:line="360" w:lineRule="auto"/>
              <w:jc w:val="center"/>
              <w:rPr>
                <w:rFonts w:hint="eastAsia" w:ascii="黑体" w:hAnsi="黑体" w:eastAsia="黑体" w:cs="黑体"/>
                <w:color w:val="auto"/>
                <w:szCs w:val="21"/>
                <w:highlight w:val="none"/>
              </w:rPr>
            </w:pPr>
          </w:p>
        </w:tc>
      </w:tr>
    </w:tbl>
    <w:p w14:paraId="05A0A3F0">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7EBDCF74">
      <w:pPr>
        <w:pStyle w:val="31"/>
        <w:numPr>
          <w:ilvl w:val="0"/>
          <w:numId w:val="69"/>
        </w:numPr>
        <w:spacing w:line="360" w:lineRule="auto"/>
        <w:ind w:left="567" w:hanging="425"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52CC87DB">
      <w:pPr>
        <w:pStyle w:val="31"/>
        <w:numPr>
          <w:ilvl w:val="0"/>
          <w:numId w:val="69"/>
        </w:numPr>
        <w:spacing w:line="360" w:lineRule="auto"/>
        <w:ind w:left="567" w:hanging="425"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供应商应按照采购文件要求，根据“采购需求”内容作出全面响应。对响应有偏离的，则说明偏离的内容。“采购需求”内容中若有要求提供相关证明资料的，须按要求提供，否则视为负偏离。</w:t>
      </w:r>
    </w:p>
    <w:p w14:paraId="0B84B9FF">
      <w:pPr>
        <w:spacing w:line="360" w:lineRule="auto"/>
        <w:rPr>
          <w:rFonts w:hint="eastAsia" w:ascii="黑体" w:hAnsi="黑体" w:eastAsia="黑体" w:cs="黑体"/>
          <w:color w:val="auto"/>
          <w:szCs w:val="21"/>
          <w:highlight w:val="none"/>
        </w:rPr>
      </w:pPr>
    </w:p>
    <w:p w14:paraId="7DE03284">
      <w:pPr>
        <w:spacing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379"/>
        <w:gridCol w:w="1927"/>
      </w:tblGrid>
      <w:tr w14:paraId="3AFB838E">
        <w:tblPrEx>
          <w:tblCellMar>
            <w:top w:w="0" w:type="dxa"/>
            <w:left w:w="108" w:type="dxa"/>
            <w:bottom w:w="0" w:type="dxa"/>
            <w:right w:w="108" w:type="dxa"/>
          </w:tblCellMar>
        </w:tblPrEx>
        <w:tc>
          <w:tcPr>
            <w:tcW w:w="6379" w:type="dxa"/>
          </w:tcPr>
          <w:p w14:paraId="1CFEEBB7">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927" w:type="dxa"/>
          </w:tcPr>
          <w:p w14:paraId="7AA58566">
            <w:pPr>
              <w:spacing w:line="360" w:lineRule="auto"/>
              <w:rPr>
                <w:rFonts w:hint="eastAsia" w:ascii="黑体" w:hAnsi="黑体" w:eastAsia="黑体" w:cs="黑体"/>
                <w:color w:val="auto"/>
                <w:szCs w:val="21"/>
                <w:highlight w:val="none"/>
              </w:rPr>
            </w:pPr>
          </w:p>
        </w:tc>
      </w:tr>
      <w:tr w14:paraId="62ADE173">
        <w:tblPrEx>
          <w:tblCellMar>
            <w:top w:w="0" w:type="dxa"/>
            <w:left w:w="108" w:type="dxa"/>
            <w:bottom w:w="0" w:type="dxa"/>
            <w:right w:w="108" w:type="dxa"/>
          </w:tblCellMar>
        </w:tblPrEx>
        <w:tc>
          <w:tcPr>
            <w:tcW w:w="6379" w:type="dxa"/>
          </w:tcPr>
          <w:p w14:paraId="5DF2AED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927" w:type="dxa"/>
          </w:tcPr>
          <w:p w14:paraId="422A0FD3">
            <w:pPr>
              <w:spacing w:line="360" w:lineRule="auto"/>
              <w:rPr>
                <w:rFonts w:hint="eastAsia" w:ascii="黑体" w:hAnsi="黑体" w:eastAsia="黑体" w:cs="黑体"/>
                <w:color w:val="auto"/>
                <w:szCs w:val="21"/>
                <w:highlight w:val="none"/>
              </w:rPr>
            </w:pPr>
          </w:p>
        </w:tc>
      </w:tr>
    </w:tbl>
    <w:p w14:paraId="39FB84C3">
      <w:pPr>
        <w:spacing w:line="360" w:lineRule="auto"/>
        <w:rPr>
          <w:rFonts w:hint="eastAsia" w:ascii="黑体" w:hAnsi="黑体" w:eastAsia="黑体" w:cs="黑体"/>
          <w:b/>
          <w:color w:val="auto"/>
          <w:szCs w:val="21"/>
          <w:highlight w:val="none"/>
        </w:rPr>
      </w:pPr>
    </w:p>
    <w:p w14:paraId="70A9BE43">
      <w:pPr>
        <w:spacing w:line="360" w:lineRule="auto"/>
        <w:rPr>
          <w:rFonts w:hint="eastAsia" w:ascii="黑体" w:hAnsi="黑体" w:eastAsia="黑体" w:cs="黑体"/>
          <w:b/>
          <w:color w:val="auto"/>
          <w:szCs w:val="21"/>
          <w:highlight w:val="none"/>
        </w:rPr>
      </w:pPr>
    </w:p>
    <w:p w14:paraId="2FB11B5B">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06" w:name="_Toc46688472"/>
      <w:bookmarkStart w:id="307" w:name="_Toc494567328"/>
      <w:bookmarkStart w:id="308" w:name="_Toc521951154"/>
      <w:r>
        <w:rPr>
          <w:rStyle w:val="22"/>
          <w:rFonts w:hint="eastAsia" w:ascii="黑体" w:hAnsi="黑体" w:eastAsia="黑体" w:cs="黑体"/>
          <w:bCs w:val="0"/>
          <w:color w:val="auto"/>
          <w:spacing w:val="12"/>
          <w:highlight w:val="none"/>
        </w:rPr>
        <w:t>拟</w:t>
      </w:r>
      <w:bookmarkEnd w:id="306"/>
      <w:bookmarkEnd w:id="307"/>
      <w:bookmarkEnd w:id="308"/>
      <w:r>
        <w:rPr>
          <w:rStyle w:val="22"/>
          <w:rFonts w:hint="eastAsia" w:ascii="黑体" w:hAnsi="黑体" w:eastAsia="黑体" w:cs="黑体"/>
          <w:bCs w:val="0"/>
          <w:color w:val="auto"/>
          <w:spacing w:val="12"/>
          <w:highlight w:val="none"/>
        </w:rPr>
        <w:t>投入本项目设备情况表</w:t>
      </w:r>
    </w:p>
    <w:p w14:paraId="38734BD3">
      <w:pPr>
        <w:spacing w:before="624" w:beforeLines="200" w:after="312" w:afterLines="100" w:line="360" w:lineRule="auto"/>
        <w:jc w:val="center"/>
        <w:rPr>
          <w:rFonts w:hint="eastAsia" w:ascii="黑体" w:hAnsi="黑体" w:eastAsia="黑体" w:cs="黑体"/>
          <w:b/>
          <w:color w:val="auto"/>
          <w:spacing w:val="10"/>
          <w:sz w:val="30"/>
          <w:szCs w:val="30"/>
          <w:highlight w:val="none"/>
        </w:rPr>
      </w:pPr>
      <w:r>
        <w:rPr>
          <w:rFonts w:hint="eastAsia" w:ascii="黑体" w:hAnsi="黑体" w:eastAsia="黑体" w:cs="黑体"/>
          <w:b/>
          <w:color w:val="auto"/>
          <w:spacing w:val="10"/>
          <w:sz w:val="30"/>
          <w:szCs w:val="30"/>
          <w:highlight w:val="none"/>
        </w:rPr>
        <w:t>拟投入本项目设备情况表</w:t>
      </w: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0"/>
        <w:gridCol w:w="1503"/>
        <w:gridCol w:w="946"/>
        <w:gridCol w:w="2062"/>
        <w:gridCol w:w="1304"/>
      </w:tblGrid>
      <w:tr w14:paraId="110E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687" w:type="dxa"/>
            <w:vAlign w:val="center"/>
          </w:tcPr>
          <w:p w14:paraId="3A30A85B">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序号</w:t>
            </w:r>
          </w:p>
        </w:tc>
        <w:tc>
          <w:tcPr>
            <w:tcW w:w="2020" w:type="dxa"/>
            <w:vAlign w:val="center"/>
          </w:tcPr>
          <w:p w14:paraId="77B78891">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名称</w:t>
            </w:r>
          </w:p>
        </w:tc>
        <w:tc>
          <w:tcPr>
            <w:tcW w:w="1503" w:type="dxa"/>
            <w:vAlign w:val="center"/>
          </w:tcPr>
          <w:p w14:paraId="56FF16E3">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规格型号</w:t>
            </w:r>
          </w:p>
        </w:tc>
        <w:tc>
          <w:tcPr>
            <w:tcW w:w="946" w:type="dxa"/>
            <w:vAlign w:val="center"/>
          </w:tcPr>
          <w:p w14:paraId="131DF82E">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数量</w:t>
            </w:r>
          </w:p>
        </w:tc>
        <w:tc>
          <w:tcPr>
            <w:tcW w:w="2062" w:type="dxa"/>
            <w:vAlign w:val="center"/>
          </w:tcPr>
          <w:p w14:paraId="7FC6BDE5">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使用年限</w:t>
            </w:r>
          </w:p>
        </w:tc>
        <w:tc>
          <w:tcPr>
            <w:tcW w:w="1304" w:type="dxa"/>
            <w:vAlign w:val="center"/>
          </w:tcPr>
          <w:p w14:paraId="066FFB72">
            <w:pPr>
              <w:spacing w:line="360" w:lineRule="auto"/>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备注</w:t>
            </w:r>
          </w:p>
        </w:tc>
      </w:tr>
      <w:tr w14:paraId="5DFDB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687" w:type="dxa"/>
            <w:vAlign w:val="center"/>
          </w:tcPr>
          <w:p w14:paraId="61D46183">
            <w:pPr>
              <w:spacing w:line="360" w:lineRule="auto"/>
              <w:jc w:val="center"/>
              <w:rPr>
                <w:rFonts w:hint="eastAsia" w:ascii="黑体" w:hAnsi="黑体" w:eastAsia="黑体" w:cs="黑体"/>
                <w:color w:val="auto"/>
                <w:szCs w:val="21"/>
                <w:highlight w:val="none"/>
              </w:rPr>
            </w:pPr>
          </w:p>
        </w:tc>
        <w:tc>
          <w:tcPr>
            <w:tcW w:w="2020" w:type="dxa"/>
            <w:vAlign w:val="center"/>
          </w:tcPr>
          <w:p w14:paraId="2BADD44E">
            <w:pPr>
              <w:spacing w:line="360" w:lineRule="auto"/>
              <w:jc w:val="center"/>
              <w:rPr>
                <w:rFonts w:hint="eastAsia" w:ascii="黑体" w:hAnsi="黑体" w:eastAsia="黑体" w:cs="黑体"/>
                <w:color w:val="auto"/>
                <w:szCs w:val="21"/>
                <w:highlight w:val="none"/>
              </w:rPr>
            </w:pPr>
          </w:p>
        </w:tc>
        <w:tc>
          <w:tcPr>
            <w:tcW w:w="1503" w:type="dxa"/>
            <w:vAlign w:val="center"/>
          </w:tcPr>
          <w:p w14:paraId="46B67586">
            <w:pPr>
              <w:spacing w:line="360" w:lineRule="auto"/>
              <w:jc w:val="center"/>
              <w:rPr>
                <w:rFonts w:hint="eastAsia" w:ascii="黑体" w:hAnsi="黑体" w:eastAsia="黑体" w:cs="黑体"/>
                <w:color w:val="auto"/>
                <w:szCs w:val="21"/>
                <w:highlight w:val="none"/>
              </w:rPr>
            </w:pPr>
          </w:p>
        </w:tc>
        <w:tc>
          <w:tcPr>
            <w:tcW w:w="946" w:type="dxa"/>
            <w:vAlign w:val="center"/>
          </w:tcPr>
          <w:p w14:paraId="60C77091">
            <w:pPr>
              <w:spacing w:line="360" w:lineRule="auto"/>
              <w:jc w:val="center"/>
              <w:rPr>
                <w:rFonts w:hint="eastAsia" w:ascii="黑体" w:hAnsi="黑体" w:eastAsia="黑体" w:cs="黑体"/>
                <w:color w:val="auto"/>
                <w:szCs w:val="21"/>
                <w:highlight w:val="none"/>
              </w:rPr>
            </w:pPr>
          </w:p>
        </w:tc>
        <w:tc>
          <w:tcPr>
            <w:tcW w:w="2062" w:type="dxa"/>
            <w:vAlign w:val="center"/>
          </w:tcPr>
          <w:p w14:paraId="5E36512D">
            <w:pPr>
              <w:spacing w:line="360" w:lineRule="auto"/>
              <w:jc w:val="center"/>
              <w:rPr>
                <w:rFonts w:hint="eastAsia" w:ascii="黑体" w:hAnsi="黑体" w:eastAsia="黑体" w:cs="黑体"/>
                <w:color w:val="auto"/>
                <w:szCs w:val="21"/>
                <w:highlight w:val="none"/>
              </w:rPr>
            </w:pPr>
          </w:p>
        </w:tc>
        <w:tc>
          <w:tcPr>
            <w:tcW w:w="1304" w:type="dxa"/>
            <w:vAlign w:val="center"/>
          </w:tcPr>
          <w:p w14:paraId="64D517C4">
            <w:pPr>
              <w:spacing w:line="360" w:lineRule="auto"/>
              <w:jc w:val="center"/>
              <w:rPr>
                <w:rFonts w:hint="eastAsia" w:ascii="黑体" w:hAnsi="黑体" w:eastAsia="黑体" w:cs="黑体"/>
                <w:color w:val="auto"/>
                <w:szCs w:val="21"/>
                <w:highlight w:val="none"/>
              </w:rPr>
            </w:pPr>
          </w:p>
        </w:tc>
      </w:tr>
      <w:tr w14:paraId="4F5E8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7" w:type="dxa"/>
            <w:vAlign w:val="center"/>
          </w:tcPr>
          <w:p w14:paraId="68F0A472">
            <w:pPr>
              <w:spacing w:line="360" w:lineRule="auto"/>
              <w:jc w:val="center"/>
              <w:rPr>
                <w:rFonts w:hint="eastAsia" w:ascii="黑体" w:hAnsi="黑体" w:eastAsia="黑体" w:cs="黑体"/>
                <w:color w:val="auto"/>
                <w:szCs w:val="21"/>
                <w:highlight w:val="none"/>
              </w:rPr>
            </w:pPr>
          </w:p>
        </w:tc>
        <w:tc>
          <w:tcPr>
            <w:tcW w:w="2020" w:type="dxa"/>
            <w:vAlign w:val="center"/>
          </w:tcPr>
          <w:p w14:paraId="72E187D2">
            <w:pPr>
              <w:spacing w:line="360" w:lineRule="auto"/>
              <w:jc w:val="center"/>
              <w:rPr>
                <w:rFonts w:hint="eastAsia" w:ascii="黑体" w:hAnsi="黑体" w:eastAsia="黑体" w:cs="黑体"/>
                <w:color w:val="auto"/>
                <w:szCs w:val="21"/>
                <w:highlight w:val="none"/>
              </w:rPr>
            </w:pPr>
          </w:p>
        </w:tc>
        <w:tc>
          <w:tcPr>
            <w:tcW w:w="1503" w:type="dxa"/>
            <w:vAlign w:val="center"/>
          </w:tcPr>
          <w:p w14:paraId="51247E65">
            <w:pPr>
              <w:spacing w:line="360" w:lineRule="auto"/>
              <w:jc w:val="center"/>
              <w:rPr>
                <w:rFonts w:hint="eastAsia" w:ascii="黑体" w:hAnsi="黑体" w:eastAsia="黑体" w:cs="黑体"/>
                <w:color w:val="auto"/>
                <w:szCs w:val="21"/>
                <w:highlight w:val="none"/>
              </w:rPr>
            </w:pPr>
          </w:p>
        </w:tc>
        <w:tc>
          <w:tcPr>
            <w:tcW w:w="946" w:type="dxa"/>
            <w:vAlign w:val="center"/>
          </w:tcPr>
          <w:p w14:paraId="0011D352">
            <w:pPr>
              <w:spacing w:line="360" w:lineRule="auto"/>
              <w:jc w:val="center"/>
              <w:rPr>
                <w:rFonts w:hint="eastAsia" w:ascii="黑体" w:hAnsi="黑体" w:eastAsia="黑体" w:cs="黑体"/>
                <w:color w:val="auto"/>
                <w:szCs w:val="21"/>
                <w:highlight w:val="none"/>
              </w:rPr>
            </w:pPr>
          </w:p>
        </w:tc>
        <w:tc>
          <w:tcPr>
            <w:tcW w:w="2062" w:type="dxa"/>
            <w:vAlign w:val="center"/>
          </w:tcPr>
          <w:p w14:paraId="46E4901C">
            <w:pPr>
              <w:spacing w:line="360" w:lineRule="auto"/>
              <w:jc w:val="center"/>
              <w:rPr>
                <w:rFonts w:hint="eastAsia" w:ascii="黑体" w:hAnsi="黑体" w:eastAsia="黑体" w:cs="黑体"/>
                <w:color w:val="auto"/>
                <w:szCs w:val="21"/>
                <w:highlight w:val="none"/>
              </w:rPr>
            </w:pPr>
          </w:p>
        </w:tc>
        <w:tc>
          <w:tcPr>
            <w:tcW w:w="1304" w:type="dxa"/>
            <w:vAlign w:val="center"/>
          </w:tcPr>
          <w:p w14:paraId="4979592A">
            <w:pPr>
              <w:spacing w:line="360" w:lineRule="auto"/>
              <w:jc w:val="center"/>
              <w:rPr>
                <w:rFonts w:hint="eastAsia" w:ascii="黑体" w:hAnsi="黑体" w:eastAsia="黑体" w:cs="黑体"/>
                <w:color w:val="auto"/>
                <w:szCs w:val="21"/>
                <w:highlight w:val="none"/>
              </w:rPr>
            </w:pPr>
          </w:p>
        </w:tc>
      </w:tr>
      <w:tr w14:paraId="25B24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77E072D8">
            <w:pPr>
              <w:spacing w:line="360" w:lineRule="auto"/>
              <w:jc w:val="center"/>
              <w:rPr>
                <w:rFonts w:hint="eastAsia" w:ascii="黑体" w:hAnsi="黑体" w:eastAsia="黑体" w:cs="黑体"/>
                <w:color w:val="auto"/>
                <w:szCs w:val="21"/>
                <w:highlight w:val="none"/>
              </w:rPr>
            </w:pPr>
          </w:p>
        </w:tc>
        <w:tc>
          <w:tcPr>
            <w:tcW w:w="2020" w:type="dxa"/>
            <w:vAlign w:val="center"/>
          </w:tcPr>
          <w:p w14:paraId="78A2C00D">
            <w:pPr>
              <w:spacing w:line="360" w:lineRule="auto"/>
              <w:jc w:val="center"/>
              <w:rPr>
                <w:rFonts w:hint="eastAsia" w:ascii="黑体" w:hAnsi="黑体" w:eastAsia="黑体" w:cs="黑体"/>
                <w:color w:val="auto"/>
                <w:szCs w:val="21"/>
                <w:highlight w:val="none"/>
              </w:rPr>
            </w:pPr>
          </w:p>
        </w:tc>
        <w:tc>
          <w:tcPr>
            <w:tcW w:w="1503" w:type="dxa"/>
            <w:vAlign w:val="center"/>
          </w:tcPr>
          <w:p w14:paraId="16AEAF08">
            <w:pPr>
              <w:spacing w:line="360" w:lineRule="auto"/>
              <w:jc w:val="center"/>
              <w:rPr>
                <w:rFonts w:hint="eastAsia" w:ascii="黑体" w:hAnsi="黑体" w:eastAsia="黑体" w:cs="黑体"/>
                <w:color w:val="auto"/>
                <w:szCs w:val="21"/>
                <w:highlight w:val="none"/>
              </w:rPr>
            </w:pPr>
          </w:p>
        </w:tc>
        <w:tc>
          <w:tcPr>
            <w:tcW w:w="946" w:type="dxa"/>
            <w:vAlign w:val="center"/>
          </w:tcPr>
          <w:p w14:paraId="467D8692">
            <w:pPr>
              <w:spacing w:line="360" w:lineRule="auto"/>
              <w:jc w:val="center"/>
              <w:rPr>
                <w:rFonts w:hint="eastAsia" w:ascii="黑体" w:hAnsi="黑体" w:eastAsia="黑体" w:cs="黑体"/>
                <w:color w:val="auto"/>
                <w:szCs w:val="21"/>
                <w:highlight w:val="none"/>
              </w:rPr>
            </w:pPr>
          </w:p>
        </w:tc>
        <w:tc>
          <w:tcPr>
            <w:tcW w:w="2062" w:type="dxa"/>
            <w:vAlign w:val="center"/>
          </w:tcPr>
          <w:p w14:paraId="58A05F83">
            <w:pPr>
              <w:spacing w:line="360" w:lineRule="auto"/>
              <w:jc w:val="center"/>
              <w:rPr>
                <w:rFonts w:hint="eastAsia" w:ascii="黑体" w:hAnsi="黑体" w:eastAsia="黑体" w:cs="黑体"/>
                <w:color w:val="auto"/>
                <w:szCs w:val="21"/>
                <w:highlight w:val="none"/>
              </w:rPr>
            </w:pPr>
          </w:p>
        </w:tc>
        <w:tc>
          <w:tcPr>
            <w:tcW w:w="1304" w:type="dxa"/>
            <w:vAlign w:val="center"/>
          </w:tcPr>
          <w:p w14:paraId="1B7D0194">
            <w:pPr>
              <w:spacing w:line="360" w:lineRule="auto"/>
              <w:jc w:val="center"/>
              <w:rPr>
                <w:rFonts w:hint="eastAsia" w:ascii="黑体" w:hAnsi="黑体" w:eastAsia="黑体" w:cs="黑体"/>
                <w:color w:val="auto"/>
                <w:szCs w:val="21"/>
                <w:highlight w:val="none"/>
              </w:rPr>
            </w:pPr>
          </w:p>
        </w:tc>
      </w:tr>
      <w:tr w14:paraId="771B9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446EE6A6">
            <w:pPr>
              <w:spacing w:line="360" w:lineRule="auto"/>
              <w:jc w:val="center"/>
              <w:rPr>
                <w:rFonts w:hint="eastAsia" w:ascii="黑体" w:hAnsi="黑体" w:eastAsia="黑体" w:cs="黑体"/>
                <w:color w:val="auto"/>
                <w:szCs w:val="21"/>
                <w:highlight w:val="none"/>
              </w:rPr>
            </w:pPr>
          </w:p>
        </w:tc>
        <w:tc>
          <w:tcPr>
            <w:tcW w:w="2020" w:type="dxa"/>
            <w:vAlign w:val="center"/>
          </w:tcPr>
          <w:p w14:paraId="6D934C43">
            <w:pPr>
              <w:spacing w:line="360" w:lineRule="auto"/>
              <w:jc w:val="center"/>
              <w:rPr>
                <w:rFonts w:hint="eastAsia" w:ascii="黑体" w:hAnsi="黑体" w:eastAsia="黑体" w:cs="黑体"/>
                <w:color w:val="auto"/>
                <w:szCs w:val="21"/>
                <w:highlight w:val="none"/>
              </w:rPr>
            </w:pPr>
          </w:p>
        </w:tc>
        <w:tc>
          <w:tcPr>
            <w:tcW w:w="1503" w:type="dxa"/>
            <w:vAlign w:val="center"/>
          </w:tcPr>
          <w:p w14:paraId="46E19E00">
            <w:pPr>
              <w:spacing w:line="360" w:lineRule="auto"/>
              <w:jc w:val="center"/>
              <w:rPr>
                <w:rFonts w:hint="eastAsia" w:ascii="黑体" w:hAnsi="黑体" w:eastAsia="黑体" w:cs="黑体"/>
                <w:color w:val="auto"/>
                <w:szCs w:val="21"/>
                <w:highlight w:val="none"/>
              </w:rPr>
            </w:pPr>
          </w:p>
        </w:tc>
        <w:tc>
          <w:tcPr>
            <w:tcW w:w="946" w:type="dxa"/>
            <w:vAlign w:val="center"/>
          </w:tcPr>
          <w:p w14:paraId="587742FC">
            <w:pPr>
              <w:spacing w:line="360" w:lineRule="auto"/>
              <w:jc w:val="center"/>
              <w:rPr>
                <w:rFonts w:hint="eastAsia" w:ascii="黑体" w:hAnsi="黑体" w:eastAsia="黑体" w:cs="黑体"/>
                <w:color w:val="auto"/>
                <w:szCs w:val="21"/>
                <w:highlight w:val="none"/>
              </w:rPr>
            </w:pPr>
          </w:p>
        </w:tc>
        <w:tc>
          <w:tcPr>
            <w:tcW w:w="2062" w:type="dxa"/>
            <w:vAlign w:val="center"/>
          </w:tcPr>
          <w:p w14:paraId="7251A758">
            <w:pPr>
              <w:spacing w:line="360" w:lineRule="auto"/>
              <w:jc w:val="center"/>
              <w:rPr>
                <w:rFonts w:hint="eastAsia" w:ascii="黑体" w:hAnsi="黑体" w:eastAsia="黑体" w:cs="黑体"/>
                <w:color w:val="auto"/>
                <w:szCs w:val="21"/>
                <w:highlight w:val="none"/>
              </w:rPr>
            </w:pPr>
          </w:p>
        </w:tc>
        <w:tc>
          <w:tcPr>
            <w:tcW w:w="1304" w:type="dxa"/>
            <w:vAlign w:val="center"/>
          </w:tcPr>
          <w:p w14:paraId="418DC717">
            <w:pPr>
              <w:spacing w:line="360" w:lineRule="auto"/>
              <w:jc w:val="center"/>
              <w:rPr>
                <w:rFonts w:hint="eastAsia" w:ascii="黑体" w:hAnsi="黑体" w:eastAsia="黑体" w:cs="黑体"/>
                <w:color w:val="auto"/>
                <w:szCs w:val="21"/>
                <w:highlight w:val="none"/>
              </w:rPr>
            </w:pPr>
          </w:p>
        </w:tc>
      </w:tr>
      <w:tr w14:paraId="40BA1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79252397">
            <w:pPr>
              <w:spacing w:line="360" w:lineRule="auto"/>
              <w:jc w:val="center"/>
              <w:rPr>
                <w:rFonts w:hint="eastAsia" w:ascii="黑体" w:hAnsi="黑体" w:eastAsia="黑体" w:cs="黑体"/>
                <w:color w:val="auto"/>
                <w:szCs w:val="21"/>
                <w:highlight w:val="none"/>
              </w:rPr>
            </w:pPr>
          </w:p>
        </w:tc>
        <w:tc>
          <w:tcPr>
            <w:tcW w:w="2020" w:type="dxa"/>
            <w:vAlign w:val="center"/>
          </w:tcPr>
          <w:p w14:paraId="20D35729">
            <w:pPr>
              <w:spacing w:line="360" w:lineRule="auto"/>
              <w:jc w:val="center"/>
              <w:rPr>
                <w:rFonts w:hint="eastAsia" w:ascii="黑体" w:hAnsi="黑体" w:eastAsia="黑体" w:cs="黑体"/>
                <w:color w:val="auto"/>
                <w:szCs w:val="21"/>
                <w:highlight w:val="none"/>
              </w:rPr>
            </w:pPr>
          </w:p>
        </w:tc>
        <w:tc>
          <w:tcPr>
            <w:tcW w:w="1503" w:type="dxa"/>
            <w:vAlign w:val="center"/>
          </w:tcPr>
          <w:p w14:paraId="66C38ABF">
            <w:pPr>
              <w:spacing w:line="360" w:lineRule="auto"/>
              <w:jc w:val="center"/>
              <w:rPr>
                <w:rFonts w:hint="eastAsia" w:ascii="黑体" w:hAnsi="黑体" w:eastAsia="黑体" w:cs="黑体"/>
                <w:color w:val="auto"/>
                <w:szCs w:val="21"/>
                <w:highlight w:val="none"/>
              </w:rPr>
            </w:pPr>
          </w:p>
        </w:tc>
        <w:tc>
          <w:tcPr>
            <w:tcW w:w="946" w:type="dxa"/>
            <w:vAlign w:val="center"/>
          </w:tcPr>
          <w:p w14:paraId="76AEACD5">
            <w:pPr>
              <w:spacing w:line="360" w:lineRule="auto"/>
              <w:jc w:val="center"/>
              <w:rPr>
                <w:rFonts w:hint="eastAsia" w:ascii="黑体" w:hAnsi="黑体" w:eastAsia="黑体" w:cs="黑体"/>
                <w:color w:val="auto"/>
                <w:szCs w:val="21"/>
                <w:highlight w:val="none"/>
              </w:rPr>
            </w:pPr>
          </w:p>
        </w:tc>
        <w:tc>
          <w:tcPr>
            <w:tcW w:w="2062" w:type="dxa"/>
            <w:vAlign w:val="center"/>
          </w:tcPr>
          <w:p w14:paraId="2629535A">
            <w:pPr>
              <w:spacing w:line="360" w:lineRule="auto"/>
              <w:jc w:val="center"/>
              <w:rPr>
                <w:rFonts w:hint="eastAsia" w:ascii="黑体" w:hAnsi="黑体" w:eastAsia="黑体" w:cs="黑体"/>
                <w:color w:val="auto"/>
                <w:szCs w:val="21"/>
                <w:highlight w:val="none"/>
              </w:rPr>
            </w:pPr>
          </w:p>
        </w:tc>
        <w:tc>
          <w:tcPr>
            <w:tcW w:w="1304" w:type="dxa"/>
            <w:vAlign w:val="center"/>
          </w:tcPr>
          <w:p w14:paraId="1A6F73CC">
            <w:pPr>
              <w:spacing w:line="360" w:lineRule="auto"/>
              <w:jc w:val="center"/>
              <w:rPr>
                <w:rFonts w:hint="eastAsia" w:ascii="黑体" w:hAnsi="黑体" w:eastAsia="黑体" w:cs="黑体"/>
                <w:color w:val="auto"/>
                <w:szCs w:val="21"/>
                <w:highlight w:val="none"/>
              </w:rPr>
            </w:pPr>
          </w:p>
        </w:tc>
      </w:tr>
      <w:tr w14:paraId="7E41D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3D817CA8">
            <w:pPr>
              <w:spacing w:line="360" w:lineRule="auto"/>
              <w:jc w:val="center"/>
              <w:rPr>
                <w:rFonts w:hint="eastAsia" w:ascii="黑体" w:hAnsi="黑体" w:eastAsia="黑体" w:cs="黑体"/>
                <w:color w:val="auto"/>
                <w:szCs w:val="21"/>
                <w:highlight w:val="none"/>
              </w:rPr>
            </w:pPr>
          </w:p>
        </w:tc>
        <w:tc>
          <w:tcPr>
            <w:tcW w:w="2020" w:type="dxa"/>
            <w:vAlign w:val="center"/>
          </w:tcPr>
          <w:p w14:paraId="2B97FCEB">
            <w:pPr>
              <w:spacing w:line="360" w:lineRule="auto"/>
              <w:jc w:val="center"/>
              <w:rPr>
                <w:rFonts w:hint="eastAsia" w:ascii="黑体" w:hAnsi="黑体" w:eastAsia="黑体" w:cs="黑体"/>
                <w:color w:val="auto"/>
                <w:szCs w:val="21"/>
                <w:highlight w:val="none"/>
              </w:rPr>
            </w:pPr>
          </w:p>
        </w:tc>
        <w:tc>
          <w:tcPr>
            <w:tcW w:w="1503" w:type="dxa"/>
            <w:vAlign w:val="center"/>
          </w:tcPr>
          <w:p w14:paraId="00CE8C95">
            <w:pPr>
              <w:spacing w:line="360" w:lineRule="auto"/>
              <w:jc w:val="center"/>
              <w:rPr>
                <w:rFonts w:hint="eastAsia" w:ascii="黑体" w:hAnsi="黑体" w:eastAsia="黑体" w:cs="黑体"/>
                <w:color w:val="auto"/>
                <w:szCs w:val="21"/>
                <w:highlight w:val="none"/>
              </w:rPr>
            </w:pPr>
          </w:p>
        </w:tc>
        <w:tc>
          <w:tcPr>
            <w:tcW w:w="946" w:type="dxa"/>
            <w:vAlign w:val="center"/>
          </w:tcPr>
          <w:p w14:paraId="0EF3CF01">
            <w:pPr>
              <w:spacing w:line="360" w:lineRule="auto"/>
              <w:jc w:val="center"/>
              <w:rPr>
                <w:rFonts w:hint="eastAsia" w:ascii="黑体" w:hAnsi="黑体" w:eastAsia="黑体" w:cs="黑体"/>
                <w:color w:val="auto"/>
                <w:szCs w:val="21"/>
                <w:highlight w:val="none"/>
              </w:rPr>
            </w:pPr>
          </w:p>
        </w:tc>
        <w:tc>
          <w:tcPr>
            <w:tcW w:w="2062" w:type="dxa"/>
            <w:vAlign w:val="center"/>
          </w:tcPr>
          <w:p w14:paraId="3A59068C">
            <w:pPr>
              <w:spacing w:line="360" w:lineRule="auto"/>
              <w:jc w:val="center"/>
              <w:rPr>
                <w:rFonts w:hint="eastAsia" w:ascii="黑体" w:hAnsi="黑体" w:eastAsia="黑体" w:cs="黑体"/>
                <w:color w:val="auto"/>
                <w:szCs w:val="21"/>
                <w:highlight w:val="none"/>
              </w:rPr>
            </w:pPr>
          </w:p>
        </w:tc>
        <w:tc>
          <w:tcPr>
            <w:tcW w:w="1304" w:type="dxa"/>
            <w:vAlign w:val="center"/>
          </w:tcPr>
          <w:p w14:paraId="045CFC25">
            <w:pPr>
              <w:spacing w:line="360" w:lineRule="auto"/>
              <w:jc w:val="center"/>
              <w:rPr>
                <w:rFonts w:hint="eastAsia" w:ascii="黑体" w:hAnsi="黑体" w:eastAsia="黑体" w:cs="黑体"/>
                <w:color w:val="auto"/>
                <w:szCs w:val="21"/>
                <w:highlight w:val="none"/>
              </w:rPr>
            </w:pPr>
          </w:p>
        </w:tc>
      </w:tr>
      <w:tr w14:paraId="5329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3F54310C">
            <w:pPr>
              <w:spacing w:line="360" w:lineRule="auto"/>
              <w:jc w:val="center"/>
              <w:rPr>
                <w:rFonts w:hint="eastAsia" w:ascii="黑体" w:hAnsi="黑体" w:eastAsia="黑体" w:cs="黑体"/>
                <w:color w:val="auto"/>
                <w:szCs w:val="21"/>
                <w:highlight w:val="none"/>
              </w:rPr>
            </w:pPr>
          </w:p>
        </w:tc>
        <w:tc>
          <w:tcPr>
            <w:tcW w:w="2020" w:type="dxa"/>
            <w:vAlign w:val="center"/>
          </w:tcPr>
          <w:p w14:paraId="1BEA827C">
            <w:pPr>
              <w:spacing w:line="360" w:lineRule="auto"/>
              <w:jc w:val="center"/>
              <w:rPr>
                <w:rFonts w:hint="eastAsia" w:ascii="黑体" w:hAnsi="黑体" w:eastAsia="黑体" w:cs="黑体"/>
                <w:color w:val="auto"/>
                <w:szCs w:val="21"/>
                <w:highlight w:val="none"/>
              </w:rPr>
            </w:pPr>
          </w:p>
        </w:tc>
        <w:tc>
          <w:tcPr>
            <w:tcW w:w="1503" w:type="dxa"/>
            <w:vAlign w:val="center"/>
          </w:tcPr>
          <w:p w14:paraId="0E9CA2D2">
            <w:pPr>
              <w:spacing w:line="360" w:lineRule="auto"/>
              <w:jc w:val="center"/>
              <w:rPr>
                <w:rFonts w:hint="eastAsia" w:ascii="黑体" w:hAnsi="黑体" w:eastAsia="黑体" w:cs="黑体"/>
                <w:color w:val="auto"/>
                <w:szCs w:val="21"/>
                <w:highlight w:val="none"/>
              </w:rPr>
            </w:pPr>
          </w:p>
        </w:tc>
        <w:tc>
          <w:tcPr>
            <w:tcW w:w="946" w:type="dxa"/>
            <w:vAlign w:val="center"/>
          </w:tcPr>
          <w:p w14:paraId="2A1F089D">
            <w:pPr>
              <w:spacing w:line="360" w:lineRule="auto"/>
              <w:jc w:val="center"/>
              <w:rPr>
                <w:rFonts w:hint="eastAsia" w:ascii="黑体" w:hAnsi="黑体" w:eastAsia="黑体" w:cs="黑体"/>
                <w:color w:val="auto"/>
                <w:szCs w:val="21"/>
                <w:highlight w:val="none"/>
              </w:rPr>
            </w:pPr>
          </w:p>
        </w:tc>
        <w:tc>
          <w:tcPr>
            <w:tcW w:w="2062" w:type="dxa"/>
            <w:vAlign w:val="center"/>
          </w:tcPr>
          <w:p w14:paraId="039A3CF7">
            <w:pPr>
              <w:spacing w:line="360" w:lineRule="auto"/>
              <w:jc w:val="center"/>
              <w:rPr>
                <w:rFonts w:hint="eastAsia" w:ascii="黑体" w:hAnsi="黑体" w:eastAsia="黑体" w:cs="黑体"/>
                <w:color w:val="auto"/>
                <w:szCs w:val="21"/>
                <w:highlight w:val="none"/>
              </w:rPr>
            </w:pPr>
          </w:p>
        </w:tc>
        <w:tc>
          <w:tcPr>
            <w:tcW w:w="1304" w:type="dxa"/>
            <w:vAlign w:val="center"/>
          </w:tcPr>
          <w:p w14:paraId="4F217F9C">
            <w:pPr>
              <w:spacing w:line="360" w:lineRule="auto"/>
              <w:jc w:val="center"/>
              <w:rPr>
                <w:rFonts w:hint="eastAsia" w:ascii="黑体" w:hAnsi="黑体" w:eastAsia="黑体" w:cs="黑体"/>
                <w:color w:val="auto"/>
                <w:szCs w:val="21"/>
                <w:highlight w:val="none"/>
              </w:rPr>
            </w:pPr>
          </w:p>
        </w:tc>
      </w:tr>
      <w:tr w14:paraId="4C61B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87" w:type="dxa"/>
            <w:vAlign w:val="center"/>
          </w:tcPr>
          <w:p w14:paraId="7559D7BB">
            <w:pPr>
              <w:spacing w:line="360" w:lineRule="auto"/>
              <w:jc w:val="center"/>
              <w:rPr>
                <w:rFonts w:hint="eastAsia" w:ascii="黑体" w:hAnsi="黑体" w:eastAsia="黑体" w:cs="黑体"/>
                <w:color w:val="auto"/>
                <w:szCs w:val="21"/>
                <w:highlight w:val="none"/>
              </w:rPr>
            </w:pPr>
          </w:p>
        </w:tc>
        <w:tc>
          <w:tcPr>
            <w:tcW w:w="2020" w:type="dxa"/>
            <w:vAlign w:val="center"/>
          </w:tcPr>
          <w:p w14:paraId="12B629E8">
            <w:pPr>
              <w:spacing w:line="360" w:lineRule="auto"/>
              <w:jc w:val="center"/>
              <w:rPr>
                <w:rFonts w:hint="eastAsia" w:ascii="黑体" w:hAnsi="黑体" w:eastAsia="黑体" w:cs="黑体"/>
                <w:color w:val="auto"/>
                <w:szCs w:val="21"/>
                <w:highlight w:val="none"/>
              </w:rPr>
            </w:pPr>
          </w:p>
        </w:tc>
        <w:tc>
          <w:tcPr>
            <w:tcW w:w="1503" w:type="dxa"/>
            <w:vAlign w:val="center"/>
          </w:tcPr>
          <w:p w14:paraId="71725E41">
            <w:pPr>
              <w:spacing w:line="360" w:lineRule="auto"/>
              <w:jc w:val="center"/>
              <w:rPr>
                <w:rFonts w:hint="eastAsia" w:ascii="黑体" w:hAnsi="黑体" w:eastAsia="黑体" w:cs="黑体"/>
                <w:color w:val="auto"/>
                <w:szCs w:val="21"/>
                <w:highlight w:val="none"/>
              </w:rPr>
            </w:pPr>
          </w:p>
        </w:tc>
        <w:tc>
          <w:tcPr>
            <w:tcW w:w="946" w:type="dxa"/>
            <w:vAlign w:val="center"/>
          </w:tcPr>
          <w:p w14:paraId="4B96CD90">
            <w:pPr>
              <w:spacing w:line="360" w:lineRule="auto"/>
              <w:jc w:val="center"/>
              <w:rPr>
                <w:rFonts w:hint="eastAsia" w:ascii="黑体" w:hAnsi="黑体" w:eastAsia="黑体" w:cs="黑体"/>
                <w:color w:val="auto"/>
                <w:szCs w:val="21"/>
                <w:highlight w:val="none"/>
              </w:rPr>
            </w:pPr>
          </w:p>
        </w:tc>
        <w:tc>
          <w:tcPr>
            <w:tcW w:w="2062" w:type="dxa"/>
            <w:vAlign w:val="center"/>
          </w:tcPr>
          <w:p w14:paraId="7358E128">
            <w:pPr>
              <w:spacing w:line="360" w:lineRule="auto"/>
              <w:jc w:val="center"/>
              <w:rPr>
                <w:rFonts w:hint="eastAsia" w:ascii="黑体" w:hAnsi="黑体" w:eastAsia="黑体" w:cs="黑体"/>
                <w:color w:val="auto"/>
                <w:szCs w:val="21"/>
                <w:highlight w:val="none"/>
              </w:rPr>
            </w:pPr>
          </w:p>
        </w:tc>
        <w:tc>
          <w:tcPr>
            <w:tcW w:w="1304" w:type="dxa"/>
            <w:vAlign w:val="center"/>
          </w:tcPr>
          <w:p w14:paraId="33C29F30">
            <w:pPr>
              <w:spacing w:line="360" w:lineRule="auto"/>
              <w:jc w:val="center"/>
              <w:rPr>
                <w:rFonts w:hint="eastAsia" w:ascii="黑体" w:hAnsi="黑体" w:eastAsia="黑体" w:cs="黑体"/>
                <w:color w:val="auto"/>
                <w:szCs w:val="21"/>
                <w:highlight w:val="none"/>
              </w:rPr>
            </w:pPr>
          </w:p>
        </w:tc>
      </w:tr>
    </w:tbl>
    <w:p w14:paraId="5CD1E6E1">
      <w:pPr>
        <w:spacing w:line="360" w:lineRule="auto"/>
        <w:rPr>
          <w:rFonts w:hint="eastAsia" w:ascii="黑体" w:hAnsi="黑体" w:eastAsia="黑体" w:cs="黑体"/>
          <w:color w:val="auto"/>
          <w:szCs w:val="21"/>
          <w:highlight w:val="none"/>
        </w:rPr>
      </w:pPr>
    </w:p>
    <w:p w14:paraId="7B933CCC">
      <w:pPr>
        <w:spacing w:line="360" w:lineRule="auto"/>
        <w:rPr>
          <w:rFonts w:hint="eastAsia" w:ascii="黑体" w:hAnsi="黑体" w:eastAsia="黑体" w:cs="黑体"/>
          <w:color w:val="auto"/>
          <w:szCs w:val="21"/>
          <w:highlight w:val="none"/>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14:paraId="2DF6A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5A905000">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3173" w:type="dxa"/>
          </w:tcPr>
          <w:p w14:paraId="6D59ED6F">
            <w:pPr>
              <w:spacing w:line="360" w:lineRule="auto"/>
              <w:rPr>
                <w:rFonts w:hint="eastAsia" w:ascii="黑体" w:hAnsi="黑体" w:eastAsia="黑体" w:cs="黑体"/>
                <w:color w:val="auto"/>
                <w:szCs w:val="21"/>
                <w:highlight w:val="none"/>
              </w:rPr>
            </w:pPr>
          </w:p>
        </w:tc>
      </w:tr>
      <w:tr w14:paraId="7CE6E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6AADBC95">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3" w:type="dxa"/>
          </w:tcPr>
          <w:p w14:paraId="26288E47">
            <w:pPr>
              <w:spacing w:line="360" w:lineRule="auto"/>
              <w:rPr>
                <w:rFonts w:hint="eastAsia" w:ascii="黑体" w:hAnsi="黑体" w:eastAsia="黑体" w:cs="黑体"/>
                <w:color w:val="auto"/>
                <w:szCs w:val="21"/>
                <w:highlight w:val="none"/>
              </w:rPr>
            </w:pPr>
          </w:p>
        </w:tc>
      </w:tr>
    </w:tbl>
    <w:p w14:paraId="36796978">
      <w:pPr>
        <w:spacing w:line="360" w:lineRule="auto"/>
        <w:rPr>
          <w:rFonts w:hint="eastAsia" w:ascii="黑体" w:hAnsi="黑体" w:eastAsia="黑体" w:cs="黑体"/>
          <w:b/>
          <w:color w:val="auto"/>
          <w:szCs w:val="21"/>
          <w:highlight w:val="none"/>
        </w:rPr>
      </w:pPr>
    </w:p>
    <w:p w14:paraId="76CE8595">
      <w:pPr>
        <w:spacing w:line="360" w:lineRule="auto"/>
        <w:rPr>
          <w:rFonts w:hint="eastAsia" w:ascii="黑体" w:hAnsi="黑体" w:eastAsia="黑体" w:cs="黑体"/>
          <w:b/>
          <w:color w:val="auto"/>
          <w:szCs w:val="21"/>
          <w:highlight w:val="none"/>
        </w:rPr>
      </w:pPr>
    </w:p>
    <w:p w14:paraId="2CB3AE2F">
      <w:pPr>
        <w:spacing w:line="360" w:lineRule="auto"/>
        <w:rPr>
          <w:rFonts w:hint="eastAsia" w:ascii="黑体" w:hAnsi="黑体" w:eastAsia="黑体" w:cs="黑体"/>
          <w:b/>
          <w:color w:val="auto"/>
          <w:szCs w:val="21"/>
          <w:highlight w:val="none"/>
        </w:rPr>
      </w:pPr>
    </w:p>
    <w:p w14:paraId="0A940CF2">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r>
        <w:rPr>
          <w:rStyle w:val="22"/>
          <w:rFonts w:hint="eastAsia" w:ascii="黑体" w:hAnsi="黑体" w:eastAsia="黑体" w:cs="黑体"/>
          <w:bCs w:val="0"/>
          <w:color w:val="auto"/>
          <w:spacing w:val="12"/>
          <w:highlight w:val="none"/>
        </w:rPr>
        <w:t>货物详细说明</w:t>
      </w:r>
    </w:p>
    <w:p w14:paraId="6CC1661F">
      <w:pPr>
        <w:spacing w:before="624" w:beforeLines="2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货物详细说明</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292"/>
        <w:gridCol w:w="777"/>
        <w:gridCol w:w="1047"/>
        <w:gridCol w:w="1560"/>
        <w:gridCol w:w="1053"/>
        <w:gridCol w:w="1309"/>
        <w:gridCol w:w="813"/>
      </w:tblGrid>
      <w:tr w14:paraId="7AF91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4" w:type="pct"/>
            <w:vAlign w:val="center"/>
          </w:tcPr>
          <w:p w14:paraId="527794AB">
            <w:pPr>
              <w:jc w:val="center"/>
              <w:rPr>
                <w:rFonts w:hint="eastAsia" w:ascii="黑体" w:hAnsi="黑体" w:eastAsia="黑体" w:cs="黑体"/>
                <w:color w:val="auto"/>
                <w:highlight w:val="none"/>
              </w:rPr>
            </w:pPr>
            <w:r>
              <w:rPr>
                <w:rFonts w:hint="eastAsia" w:ascii="黑体" w:hAnsi="黑体" w:eastAsia="黑体" w:cs="黑体"/>
                <w:color w:val="auto"/>
                <w:highlight w:val="none"/>
              </w:rPr>
              <w:t>序号</w:t>
            </w:r>
          </w:p>
        </w:tc>
        <w:tc>
          <w:tcPr>
            <w:tcW w:w="758" w:type="pct"/>
            <w:vAlign w:val="center"/>
          </w:tcPr>
          <w:p w14:paraId="508F430E">
            <w:pPr>
              <w:jc w:val="center"/>
              <w:rPr>
                <w:rFonts w:hint="eastAsia" w:ascii="黑体" w:hAnsi="黑体" w:eastAsia="黑体" w:cs="黑体"/>
                <w:color w:val="auto"/>
                <w:highlight w:val="none"/>
              </w:rPr>
            </w:pPr>
            <w:r>
              <w:rPr>
                <w:rFonts w:hint="eastAsia" w:ascii="黑体" w:hAnsi="黑体" w:eastAsia="黑体" w:cs="黑体"/>
                <w:color w:val="auto"/>
                <w:highlight w:val="none"/>
              </w:rPr>
              <w:t>货物名称</w:t>
            </w:r>
          </w:p>
        </w:tc>
        <w:tc>
          <w:tcPr>
            <w:tcW w:w="456" w:type="pct"/>
            <w:vAlign w:val="center"/>
          </w:tcPr>
          <w:p w14:paraId="230C4F3F">
            <w:pPr>
              <w:jc w:val="center"/>
              <w:rPr>
                <w:rFonts w:hint="eastAsia" w:ascii="黑体" w:hAnsi="黑体" w:eastAsia="黑体" w:cs="黑体"/>
                <w:color w:val="auto"/>
                <w:highlight w:val="none"/>
              </w:rPr>
            </w:pPr>
            <w:r>
              <w:rPr>
                <w:rFonts w:hint="eastAsia" w:ascii="黑体" w:hAnsi="黑体" w:eastAsia="黑体" w:cs="黑体"/>
                <w:color w:val="auto"/>
                <w:highlight w:val="none"/>
              </w:rPr>
              <w:t>数量</w:t>
            </w:r>
          </w:p>
        </w:tc>
        <w:tc>
          <w:tcPr>
            <w:tcW w:w="614" w:type="pct"/>
            <w:vAlign w:val="center"/>
          </w:tcPr>
          <w:p w14:paraId="2A48F197">
            <w:pPr>
              <w:jc w:val="center"/>
              <w:rPr>
                <w:rFonts w:hint="eastAsia" w:ascii="黑体" w:hAnsi="黑体" w:eastAsia="黑体" w:cs="黑体"/>
                <w:color w:val="auto"/>
                <w:highlight w:val="none"/>
              </w:rPr>
            </w:pPr>
            <w:r>
              <w:rPr>
                <w:rFonts w:hint="eastAsia" w:ascii="黑体" w:hAnsi="黑体" w:eastAsia="黑体" w:cs="黑体"/>
                <w:color w:val="auto"/>
                <w:highlight w:val="none"/>
              </w:rPr>
              <w:t>品牌</w:t>
            </w:r>
          </w:p>
        </w:tc>
        <w:tc>
          <w:tcPr>
            <w:tcW w:w="915" w:type="pct"/>
            <w:vAlign w:val="center"/>
          </w:tcPr>
          <w:p w14:paraId="4B68EF31">
            <w:pPr>
              <w:jc w:val="center"/>
              <w:rPr>
                <w:rFonts w:hint="eastAsia" w:ascii="黑体" w:hAnsi="黑体" w:eastAsia="黑体" w:cs="黑体"/>
                <w:color w:val="auto"/>
                <w:highlight w:val="none"/>
              </w:rPr>
            </w:pPr>
            <w:r>
              <w:rPr>
                <w:rFonts w:hint="eastAsia" w:ascii="黑体" w:hAnsi="黑体" w:eastAsia="黑体" w:cs="黑体"/>
                <w:color w:val="auto"/>
                <w:highlight w:val="none"/>
              </w:rPr>
              <w:t>规格型号</w:t>
            </w:r>
          </w:p>
        </w:tc>
        <w:tc>
          <w:tcPr>
            <w:tcW w:w="618" w:type="pct"/>
            <w:vAlign w:val="center"/>
          </w:tcPr>
          <w:p w14:paraId="13AD13A1">
            <w:pPr>
              <w:jc w:val="center"/>
              <w:rPr>
                <w:rFonts w:hint="eastAsia" w:ascii="黑体" w:hAnsi="黑体" w:eastAsia="黑体" w:cs="黑体"/>
                <w:color w:val="auto"/>
                <w:highlight w:val="none"/>
              </w:rPr>
            </w:pPr>
            <w:r>
              <w:rPr>
                <w:rFonts w:hint="eastAsia" w:ascii="黑体" w:hAnsi="黑体" w:eastAsia="黑体" w:cs="黑体"/>
                <w:color w:val="auto"/>
                <w:highlight w:val="none"/>
              </w:rPr>
              <w:t>原产地</w:t>
            </w:r>
          </w:p>
        </w:tc>
        <w:tc>
          <w:tcPr>
            <w:tcW w:w="768" w:type="pct"/>
            <w:vAlign w:val="center"/>
          </w:tcPr>
          <w:p w14:paraId="71D6BF62">
            <w:pPr>
              <w:jc w:val="center"/>
              <w:rPr>
                <w:rFonts w:hint="eastAsia" w:ascii="黑体" w:hAnsi="黑体" w:eastAsia="黑体" w:cs="黑体"/>
                <w:color w:val="auto"/>
                <w:highlight w:val="none"/>
              </w:rPr>
            </w:pPr>
            <w:r>
              <w:rPr>
                <w:rFonts w:hint="eastAsia" w:ascii="黑体" w:hAnsi="黑体" w:eastAsia="黑体" w:cs="黑体"/>
                <w:color w:val="auto"/>
                <w:highlight w:val="none"/>
              </w:rPr>
              <w:t>性能及技术参数</w:t>
            </w:r>
          </w:p>
        </w:tc>
        <w:tc>
          <w:tcPr>
            <w:tcW w:w="477" w:type="pct"/>
            <w:vAlign w:val="center"/>
          </w:tcPr>
          <w:p w14:paraId="5678FFC5">
            <w:pPr>
              <w:jc w:val="center"/>
              <w:rPr>
                <w:rFonts w:hint="eastAsia" w:ascii="黑体" w:hAnsi="黑体" w:eastAsia="黑体" w:cs="黑体"/>
                <w:color w:val="auto"/>
                <w:highlight w:val="none"/>
              </w:rPr>
            </w:pPr>
            <w:r>
              <w:rPr>
                <w:rFonts w:hint="eastAsia" w:ascii="黑体" w:hAnsi="黑体" w:eastAsia="黑体" w:cs="黑体"/>
                <w:color w:val="auto"/>
                <w:highlight w:val="none"/>
              </w:rPr>
              <w:t>备注</w:t>
            </w:r>
          </w:p>
        </w:tc>
      </w:tr>
      <w:tr w14:paraId="03CC6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419E3642">
            <w:pPr>
              <w:spacing w:line="480" w:lineRule="auto"/>
              <w:jc w:val="center"/>
              <w:rPr>
                <w:rFonts w:hint="eastAsia" w:ascii="黑体" w:hAnsi="黑体" w:eastAsia="黑体" w:cs="黑体"/>
                <w:color w:val="auto"/>
                <w:szCs w:val="21"/>
                <w:highlight w:val="none"/>
              </w:rPr>
            </w:pPr>
          </w:p>
        </w:tc>
        <w:tc>
          <w:tcPr>
            <w:tcW w:w="758" w:type="pct"/>
            <w:vAlign w:val="center"/>
          </w:tcPr>
          <w:p w14:paraId="6D946002">
            <w:pPr>
              <w:spacing w:line="480" w:lineRule="auto"/>
              <w:jc w:val="center"/>
              <w:rPr>
                <w:rFonts w:hint="eastAsia" w:ascii="黑体" w:hAnsi="黑体" w:eastAsia="黑体" w:cs="黑体"/>
                <w:color w:val="auto"/>
                <w:szCs w:val="21"/>
                <w:highlight w:val="none"/>
              </w:rPr>
            </w:pPr>
          </w:p>
        </w:tc>
        <w:tc>
          <w:tcPr>
            <w:tcW w:w="456" w:type="pct"/>
            <w:vAlign w:val="center"/>
          </w:tcPr>
          <w:p w14:paraId="70342B5A">
            <w:pPr>
              <w:spacing w:line="480" w:lineRule="auto"/>
              <w:jc w:val="center"/>
              <w:rPr>
                <w:rFonts w:hint="eastAsia" w:ascii="黑体" w:hAnsi="黑体" w:eastAsia="黑体" w:cs="黑体"/>
                <w:color w:val="auto"/>
                <w:szCs w:val="21"/>
                <w:highlight w:val="none"/>
              </w:rPr>
            </w:pPr>
          </w:p>
        </w:tc>
        <w:tc>
          <w:tcPr>
            <w:tcW w:w="614" w:type="pct"/>
            <w:vAlign w:val="center"/>
          </w:tcPr>
          <w:p w14:paraId="1C701B00">
            <w:pPr>
              <w:spacing w:line="480" w:lineRule="auto"/>
              <w:jc w:val="center"/>
              <w:rPr>
                <w:rFonts w:hint="eastAsia" w:ascii="黑体" w:hAnsi="黑体" w:eastAsia="黑体" w:cs="黑体"/>
                <w:color w:val="auto"/>
                <w:szCs w:val="21"/>
                <w:highlight w:val="none"/>
              </w:rPr>
            </w:pPr>
          </w:p>
        </w:tc>
        <w:tc>
          <w:tcPr>
            <w:tcW w:w="915" w:type="pct"/>
            <w:vAlign w:val="center"/>
          </w:tcPr>
          <w:p w14:paraId="13C899DB">
            <w:pPr>
              <w:spacing w:line="480" w:lineRule="auto"/>
              <w:jc w:val="center"/>
              <w:rPr>
                <w:rFonts w:hint="eastAsia" w:ascii="黑体" w:hAnsi="黑体" w:eastAsia="黑体" w:cs="黑体"/>
                <w:color w:val="auto"/>
                <w:szCs w:val="21"/>
                <w:highlight w:val="none"/>
              </w:rPr>
            </w:pPr>
          </w:p>
        </w:tc>
        <w:tc>
          <w:tcPr>
            <w:tcW w:w="618" w:type="pct"/>
            <w:vAlign w:val="center"/>
          </w:tcPr>
          <w:p w14:paraId="11C32BA5">
            <w:pPr>
              <w:spacing w:line="480" w:lineRule="auto"/>
              <w:jc w:val="center"/>
              <w:rPr>
                <w:rFonts w:hint="eastAsia" w:ascii="黑体" w:hAnsi="黑体" w:eastAsia="黑体" w:cs="黑体"/>
                <w:color w:val="auto"/>
                <w:szCs w:val="21"/>
                <w:highlight w:val="none"/>
              </w:rPr>
            </w:pPr>
          </w:p>
        </w:tc>
        <w:tc>
          <w:tcPr>
            <w:tcW w:w="768" w:type="pct"/>
          </w:tcPr>
          <w:p w14:paraId="076E1E8E">
            <w:pPr>
              <w:spacing w:line="480" w:lineRule="auto"/>
              <w:jc w:val="center"/>
              <w:rPr>
                <w:rFonts w:hint="eastAsia" w:ascii="黑体" w:hAnsi="黑体" w:eastAsia="黑体" w:cs="黑体"/>
                <w:color w:val="auto"/>
                <w:szCs w:val="21"/>
                <w:highlight w:val="none"/>
              </w:rPr>
            </w:pPr>
          </w:p>
        </w:tc>
        <w:tc>
          <w:tcPr>
            <w:tcW w:w="477" w:type="pct"/>
          </w:tcPr>
          <w:p w14:paraId="2696D73F">
            <w:pPr>
              <w:spacing w:line="480" w:lineRule="auto"/>
              <w:jc w:val="center"/>
              <w:rPr>
                <w:rFonts w:hint="eastAsia" w:ascii="黑体" w:hAnsi="黑体" w:eastAsia="黑体" w:cs="黑体"/>
                <w:color w:val="auto"/>
                <w:szCs w:val="21"/>
                <w:highlight w:val="none"/>
              </w:rPr>
            </w:pPr>
          </w:p>
        </w:tc>
      </w:tr>
      <w:tr w14:paraId="6A61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535BE2C2">
            <w:pPr>
              <w:spacing w:line="480" w:lineRule="auto"/>
              <w:jc w:val="center"/>
              <w:rPr>
                <w:rFonts w:hint="eastAsia" w:ascii="黑体" w:hAnsi="黑体" w:eastAsia="黑体" w:cs="黑体"/>
                <w:color w:val="auto"/>
                <w:szCs w:val="21"/>
                <w:highlight w:val="none"/>
              </w:rPr>
            </w:pPr>
          </w:p>
        </w:tc>
        <w:tc>
          <w:tcPr>
            <w:tcW w:w="758" w:type="pct"/>
            <w:vAlign w:val="center"/>
          </w:tcPr>
          <w:p w14:paraId="0717165B">
            <w:pPr>
              <w:spacing w:line="480" w:lineRule="auto"/>
              <w:jc w:val="center"/>
              <w:rPr>
                <w:rFonts w:hint="eastAsia" w:ascii="黑体" w:hAnsi="黑体" w:eastAsia="黑体" w:cs="黑体"/>
                <w:color w:val="auto"/>
                <w:szCs w:val="21"/>
                <w:highlight w:val="none"/>
              </w:rPr>
            </w:pPr>
          </w:p>
        </w:tc>
        <w:tc>
          <w:tcPr>
            <w:tcW w:w="456" w:type="pct"/>
            <w:vAlign w:val="center"/>
          </w:tcPr>
          <w:p w14:paraId="1BC1476D">
            <w:pPr>
              <w:spacing w:line="480" w:lineRule="auto"/>
              <w:jc w:val="center"/>
              <w:rPr>
                <w:rFonts w:hint="eastAsia" w:ascii="黑体" w:hAnsi="黑体" w:eastAsia="黑体" w:cs="黑体"/>
                <w:color w:val="auto"/>
                <w:szCs w:val="21"/>
                <w:highlight w:val="none"/>
              </w:rPr>
            </w:pPr>
          </w:p>
        </w:tc>
        <w:tc>
          <w:tcPr>
            <w:tcW w:w="614" w:type="pct"/>
            <w:vAlign w:val="center"/>
          </w:tcPr>
          <w:p w14:paraId="60DDD412">
            <w:pPr>
              <w:spacing w:line="480" w:lineRule="auto"/>
              <w:jc w:val="center"/>
              <w:rPr>
                <w:rFonts w:hint="eastAsia" w:ascii="黑体" w:hAnsi="黑体" w:eastAsia="黑体" w:cs="黑体"/>
                <w:color w:val="auto"/>
                <w:szCs w:val="21"/>
                <w:highlight w:val="none"/>
              </w:rPr>
            </w:pPr>
          </w:p>
        </w:tc>
        <w:tc>
          <w:tcPr>
            <w:tcW w:w="915" w:type="pct"/>
            <w:vAlign w:val="center"/>
          </w:tcPr>
          <w:p w14:paraId="391DAE93">
            <w:pPr>
              <w:spacing w:line="480" w:lineRule="auto"/>
              <w:jc w:val="center"/>
              <w:rPr>
                <w:rFonts w:hint="eastAsia" w:ascii="黑体" w:hAnsi="黑体" w:eastAsia="黑体" w:cs="黑体"/>
                <w:color w:val="auto"/>
                <w:szCs w:val="21"/>
                <w:highlight w:val="none"/>
              </w:rPr>
            </w:pPr>
          </w:p>
        </w:tc>
        <w:tc>
          <w:tcPr>
            <w:tcW w:w="618" w:type="pct"/>
            <w:vAlign w:val="center"/>
          </w:tcPr>
          <w:p w14:paraId="42BF16CB">
            <w:pPr>
              <w:spacing w:line="480" w:lineRule="auto"/>
              <w:jc w:val="center"/>
              <w:rPr>
                <w:rFonts w:hint="eastAsia" w:ascii="黑体" w:hAnsi="黑体" w:eastAsia="黑体" w:cs="黑体"/>
                <w:color w:val="auto"/>
                <w:szCs w:val="21"/>
                <w:highlight w:val="none"/>
              </w:rPr>
            </w:pPr>
          </w:p>
        </w:tc>
        <w:tc>
          <w:tcPr>
            <w:tcW w:w="768" w:type="pct"/>
          </w:tcPr>
          <w:p w14:paraId="37DA37F9">
            <w:pPr>
              <w:spacing w:line="480" w:lineRule="auto"/>
              <w:jc w:val="center"/>
              <w:rPr>
                <w:rFonts w:hint="eastAsia" w:ascii="黑体" w:hAnsi="黑体" w:eastAsia="黑体" w:cs="黑体"/>
                <w:color w:val="auto"/>
                <w:szCs w:val="21"/>
                <w:highlight w:val="none"/>
              </w:rPr>
            </w:pPr>
          </w:p>
        </w:tc>
        <w:tc>
          <w:tcPr>
            <w:tcW w:w="477" w:type="pct"/>
          </w:tcPr>
          <w:p w14:paraId="49A21736">
            <w:pPr>
              <w:spacing w:line="480" w:lineRule="auto"/>
              <w:jc w:val="center"/>
              <w:rPr>
                <w:rFonts w:hint="eastAsia" w:ascii="黑体" w:hAnsi="黑体" w:eastAsia="黑体" w:cs="黑体"/>
                <w:color w:val="auto"/>
                <w:szCs w:val="21"/>
                <w:highlight w:val="none"/>
              </w:rPr>
            </w:pPr>
          </w:p>
        </w:tc>
      </w:tr>
      <w:tr w14:paraId="28F65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2FAB2E1A">
            <w:pPr>
              <w:spacing w:line="480" w:lineRule="auto"/>
              <w:jc w:val="center"/>
              <w:rPr>
                <w:rFonts w:hint="eastAsia" w:ascii="黑体" w:hAnsi="黑体" w:eastAsia="黑体" w:cs="黑体"/>
                <w:color w:val="auto"/>
                <w:szCs w:val="21"/>
                <w:highlight w:val="none"/>
              </w:rPr>
            </w:pPr>
          </w:p>
        </w:tc>
        <w:tc>
          <w:tcPr>
            <w:tcW w:w="758" w:type="pct"/>
            <w:vAlign w:val="center"/>
          </w:tcPr>
          <w:p w14:paraId="55146FF7">
            <w:pPr>
              <w:spacing w:line="480" w:lineRule="auto"/>
              <w:jc w:val="center"/>
              <w:rPr>
                <w:rFonts w:hint="eastAsia" w:ascii="黑体" w:hAnsi="黑体" w:eastAsia="黑体" w:cs="黑体"/>
                <w:color w:val="auto"/>
                <w:szCs w:val="21"/>
                <w:highlight w:val="none"/>
              </w:rPr>
            </w:pPr>
          </w:p>
        </w:tc>
        <w:tc>
          <w:tcPr>
            <w:tcW w:w="456" w:type="pct"/>
            <w:vAlign w:val="center"/>
          </w:tcPr>
          <w:p w14:paraId="0C182C61">
            <w:pPr>
              <w:spacing w:line="480" w:lineRule="auto"/>
              <w:jc w:val="center"/>
              <w:rPr>
                <w:rFonts w:hint="eastAsia" w:ascii="黑体" w:hAnsi="黑体" w:eastAsia="黑体" w:cs="黑体"/>
                <w:color w:val="auto"/>
                <w:szCs w:val="21"/>
                <w:highlight w:val="none"/>
              </w:rPr>
            </w:pPr>
          </w:p>
        </w:tc>
        <w:tc>
          <w:tcPr>
            <w:tcW w:w="614" w:type="pct"/>
            <w:vAlign w:val="center"/>
          </w:tcPr>
          <w:p w14:paraId="166B29F5">
            <w:pPr>
              <w:spacing w:line="480" w:lineRule="auto"/>
              <w:jc w:val="center"/>
              <w:rPr>
                <w:rFonts w:hint="eastAsia" w:ascii="黑体" w:hAnsi="黑体" w:eastAsia="黑体" w:cs="黑体"/>
                <w:color w:val="auto"/>
                <w:szCs w:val="21"/>
                <w:highlight w:val="none"/>
              </w:rPr>
            </w:pPr>
          </w:p>
        </w:tc>
        <w:tc>
          <w:tcPr>
            <w:tcW w:w="915" w:type="pct"/>
            <w:vAlign w:val="center"/>
          </w:tcPr>
          <w:p w14:paraId="28354FA2">
            <w:pPr>
              <w:spacing w:line="480" w:lineRule="auto"/>
              <w:jc w:val="center"/>
              <w:rPr>
                <w:rFonts w:hint="eastAsia" w:ascii="黑体" w:hAnsi="黑体" w:eastAsia="黑体" w:cs="黑体"/>
                <w:color w:val="auto"/>
                <w:szCs w:val="21"/>
                <w:highlight w:val="none"/>
              </w:rPr>
            </w:pPr>
          </w:p>
        </w:tc>
        <w:tc>
          <w:tcPr>
            <w:tcW w:w="618" w:type="pct"/>
            <w:vAlign w:val="center"/>
          </w:tcPr>
          <w:p w14:paraId="203CB319">
            <w:pPr>
              <w:spacing w:line="480" w:lineRule="auto"/>
              <w:jc w:val="center"/>
              <w:rPr>
                <w:rFonts w:hint="eastAsia" w:ascii="黑体" w:hAnsi="黑体" w:eastAsia="黑体" w:cs="黑体"/>
                <w:color w:val="auto"/>
                <w:szCs w:val="21"/>
                <w:highlight w:val="none"/>
              </w:rPr>
            </w:pPr>
          </w:p>
        </w:tc>
        <w:tc>
          <w:tcPr>
            <w:tcW w:w="768" w:type="pct"/>
          </w:tcPr>
          <w:p w14:paraId="53AF973A">
            <w:pPr>
              <w:spacing w:line="480" w:lineRule="auto"/>
              <w:jc w:val="center"/>
              <w:rPr>
                <w:rFonts w:hint="eastAsia" w:ascii="黑体" w:hAnsi="黑体" w:eastAsia="黑体" w:cs="黑体"/>
                <w:color w:val="auto"/>
                <w:szCs w:val="21"/>
                <w:highlight w:val="none"/>
              </w:rPr>
            </w:pPr>
          </w:p>
        </w:tc>
        <w:tc>
          <w:tcPr>
            <w:tcW w:w="477" w:type="pct"/>
          </w:tcPr>
          <w:p w14:paraId="12498169">
            <w:pPr>
              <w:spacing w:line="480" w:lineRule="auto"/>
              <w:jc w:val="center"/>
              <w:rPr>
                <w:rFonts w:hint="eastAsia" w:ascii="黑体" w:hAnsi="黑体" w:eastAsia="黑体" w:cs="黑体"/>
                <w:color w:val="auto"/>
                <w:szCs w:val="21"/>
                <w:highlight w:val="none"/>
              </w:rPr>
            </w:pPr>
          </w:p>
        </w:tc>
      </w:tr>
      <w:tr w14:paraId="4C6ED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0E7B63B1">
            <w:pPr>
              <w:spacing w:line="480" w:lineRule="auto"/>
              <w:jc w:val="center"/>
              <w:rPr>
                <w:rFonts w:hint="eastAsia" w:ascii="黑体" w:hAnsi="黑体" w:eastAsia="黑体" w:cs="黑体"/>
                <w:color w:val="auto"/>
                <w:szCs w:val="21"/>
                <w:highlight w:val="none"/>
              </w:rPr>
            </w:pPr>
          </w:p>
        </w:tc>
        <w:tc>
          <w:tcPr>
            <w:tcW w:w="758" w:type="pct"/>
            <w:vAlign w:val="center"/>
          </w:tcPr>
          <w:p w14:paraId="2EAC3B91">
            <w:pPr>
              <w:spacing w:line="480" w:lineRule="auto"/>
              <w:jc w:val="center"/>
              <w:rPr>
                <w:rFonts w:hint="eastAsia" w:ascii="黑体" w:hAnsi="黑体" w:eastAsia="黑体" w:cs="黑体"/>
                <w:color w:val="auto"/>
                <w:szCs w:val="21"/>
                <w:highlight w:val="none"/>
              </w:rPr>
            </w:pPr>
          </w:p>
        </w:tc>
        <w:tc>
          <w:tcPr>
            <w:tcW w:w="456" w:type="pct"/>
            <w:vAlign w:val="center"/>
          </w:tcPr>
          <w:p w14:paraId="20760158">
            <w:pPr>
              <w:spacing w:line="480" w:lineRule="auto"/>
              <w:jc w:val="center"/>
              <w:rPr>
                <w:rFonts w:hint="eastAsia" w:ascii="黑体" w:hAnsi="黑体" w:eastAsia="黑体" w:cs="黑体"/>
                <w:color w:val="auto"/>
                <w:szCs w:val="21"/>
                <w:highlight w:val="none"/>
              </w:rPr>
            </w:pPr>
          </w:p>
        </w:tc>
        <w:tc>
          <w:tcPr>
            <w:tcW w:w="614" w:type="pct"/>
            <w:vAlign w:val="center"/>
          </w:tcPr>
          <w:p w14:paraId="6A1E5460">
            <w:pPr>
              <w:spacing w:line="480" w:lineRule="auto"/>
              <w:jc w:val="center"/>
              <w:rPr>
                <w:rFonts w:hint="eastAsia" w:ascii="黑体" w:hAnsi="黑体" w:eastAsia="黑体" w:cs="黑体"/>
                <w:color w:val="auto"/>
                <w:szCs w:val="21"/>
                <w:highlight w:val="none"/>
              </w:rPr>
            </w:pPr>
          </w:p>
        </w:tc>
        <w:tc>
          <w:tcPr>
            <w:tcW w:w="915" w:type="pct"/>
            <w:vAlign w:val="center"/>
          </w:tcPr>
          <w:p w14:paraId="2897C4B0">
            <w:pPr>
              <w:spacing w:line="480" w:lineRule="auto"/>
              <w:jc w:val="center"/>
              <w:rPr>
                <w:rFonts w:hint="eastAsia" w:ascii="黑体" w:hAnsi="黑体" w:eastAsia="黑体" w:cs="黑体"/>
                <w:color w:val="auto"/>
                <w:szCs w:val="21"/>
                <w:highlight w:val="none"/>
              </w:rPr>
            </w:pPr>
          </w:p>
        </w:tc>
        <w:tc>
          <w:tcPr>
            <w:tcW w:w="618" w:type="pct"/>
            <w:vAlign w:val="center"/>
          </w:tcPr>
          <w:p w14:paraId="6161574C">
            <w:pPr>
              <w:spacing w:line="480" w:lineRule="auto"/>
              <w:jc w:val="center"/>
              <w:rPr>
                <w:rFonts w:hint="eastAsia" w:ascii="黑体" w:hAnsi="黑体" w:eastAsia="黑体" w:cs="黑体"/>
                <w:color w:val="auto"/>
                <w:szCs w:val="21"/>
                <w:highlight w:val="none"/>
              </w:rPr>
            </w:pPr>
          </w:p>
        </w:tc>
        <w:tc>
          <w:tcPr>
            <w:tcW w:w="768" w:type="pct"/>
          </w:tcPr>
          <w:p w14:paraId="6E5EE3C3">
            <w:pPr>
              <w:spacing w:line="480" w:lineRule="auto"/>
              <w:jc w:val="center"/>
              <w:rPr>
                <w:rFonts w:hint="eastAsia" w:ascii="黑体" w:hAnsi="黑体" w:eastAsia="黑体" w:cs="黑体"/>
                <w:color w:val="auto"/>
                <w:szCs w:val="21"/>
                <w:highlight w:val="none"/>
              </w:rPr>
            </w:pPr>
          </w:p>
        </w:tc>
        <w:tc>
          <w:tcPr>
            <w:tcW w:w="477" w:type="pct"/>
          </w:tcPr>
          <w:p w14:paraId="495491EC">
            <w:pPr>
              <w:spacing w:line="480" w:lineRule="auto"/>
              <w:jc w:val="center"/>
              <w:rPr>
                <w:rFonts w:hint="eastAsia" w:ascii="黑体" w:hAnsi="黑体" w:eastAsia="黑体" w:cs="黑体"/>
                <w:color w:val="auto"/>
                <w:szCs w:val="21"/>
                <w:highlight w:val="none"/>
              </w:rPr>
            </w:pPr>
          </w:p>
        </w:tc>
      </w:tr>
      <w:tr w14:paraId="4C3BF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53F07C55">
            <w:pPr>
              <w:spacing w:line="480" w:lineRule="auto"/>
              <w:jc w:val="center"/>
              <w:rPr>
                <w:rFonts w:hint="eastAsia" w:ascii="黑体" w:hAnsi="黑体" w:eastAsia="黑体" w:cs="黑体"/>
                <w:color w:val="auto"/>
                <w:szCs w:val="21"/>
                <w:highlight w:val="none"/>
              </w:rPr>
            </w:pPr>
          </w:p>
        </w:tc>
        <w:tc>
          <w:tcPr>
            <w:tcW w:w="758" w:type="pct"/>
            <w:vAlign w:val="center"/>
          </w:tcPr>
          <w:p w14:paraId="4BDEBC31">
            <w:pPr>
              <w:spacing w:line="480" w:lineRule="auto"/>
              <w:jc w:val="center"/>
              <w:rPr>
                <w:rFonts w:hint="eastAsia" w:ascii="黑体" w:hAnsi="黑体" w:eastAsia="黑体" w:cs="黑体"/>
                <w:color w:val="auto"/>
                <w:szCs w:val="21"/>
                <w:highlight w:val="none"/>
              </w:rPr>
            </w:pPr>
          </w:p>
        </w:tc>
        <w:tc>
          <w:tcPr>
            <w:tcW w:w="456" w:type="pct"/>
            <w:vAlign w:val="center"/>
          </w:tcPr>
          <w:p w14:paraId="3AE6928C">
            <w:pPr>
              <w:spacing w:line="480" w:lineRule="auto"/>
              <w:jc w:val="center"/>
              <w:rPr>
                <w:rFonts w:hint="eastAsia" w:ascii="黑体" w:hAnsi="黑体" w:eastAsia="黑体" w:cs="黑体"/>
                <w:color w:val="auto"/>
                <w:szCs w:val="21"/>
                <w:highlight w:val="none"/>
              </w:rPr>
            </w:pPr>
          </w:p>
        </w:tc>
        <w:tc>
          <w:tcPr>
            <w:tcW w:w="614" w:type="pct"/>
            <w:vAlign w:val="center"/>
          </w:tcPr>
          <w:p w14:paraId="3A90CA2B">
            <w:pPr>
              <w:spacing w:line="480" w:lineRule="auto"/>
              <w:jc w:val="center"/>
              <w:rPr>
                <w:rFonts w:hint="eastAsia" w:ascii="黑体" w:hAnsi="黑体" w:eastAsia="黑体" w:cs="黑体"/>
                <w:color w:val="auto"/>
                <w:szCs w:val="21"/>
                <w:highlight w:val="none"/>
              </w:rPr>
            </w:pPr>
          </w:p>
        </w:tc>
        <w:tc>
          <w:tcPr>
            <w:tcW w:w="915" w:type="pct"/>
            <w:vAlign w:val="center"/>
          </w:tcPr>
          <w:p w14:paraId="5FA8AE22">
            <w:pPr>
              <w:spacing w:line="480" w:lineRule="auto"/>
              <w:jc w:val="center"/>
              <w:rPr>
                <w:rFonts w:hint="eastAsia" w:ascii="黑体" w:hAnsi="黑体" w:eastAsia="黑体" w:cs="黑体"/>
                <w:color w:val="auto"/>
                <w:szCs w:val="21"/>
                <w:highlight w:val="none"/>
              </w:rPr>
            </w:pPr>
          </w:p>
        </w:tc>
        <w:tc>
          <w:tcPr>
            <w:tcW w:w="618" w:type="pct"/>
            <w:vAlign w:val="center"/>
          </w:tcPr>
          <w:p w14:paraId="652D3860">
            <w:pPr>
              <w:spacing w:line="480" w:lineRule="auto"/>
              <w:jc w:val="center"/>
              <w:rPr>
                <w:rFonts w:hint="eastAsia" w:ascii="黑体" w:hAnsi="黑体" w:eastAsia="黑体" w:cs="黑体"/>
                <w:color w:val="auto"/>
                <w:szCs w:val="21"/>
                <w:highlight w:val="none"/>
              </w:rPr>
            </w:pPr>
          </w:p>
        </w:tc>
        <w:tc>
          <w:tcPr>
            <w:tcW w:w="768" w:type="pct"/>
          </w:tcPr>
          <w:p w14:paraId="12D8958B">
            <w:pPr>
              <w:spacing w:line="480" w:lineRule="auto"/>
              <w:jc w:val="center"/>
              <w:rPr>
                <w:rFonts w:hint="eastAsia" w:ascii="黑体" w:hAnsi="黑体" w:eastAsia="黑体" w:cs="黑体"/>
                <w:color w:val="auto"/>
                <w:szCs w:val="21"/>
                <w:highlight w:val="none"/>
              </w:rPr>
            </w:pPr>
          </w:p>
        </w:tc>
        <w:tc>
          <w:tcPr>
            <w:tcW w:w="477" w:type="pct"/>
          </w:tcPr>
          <w:p w14:paraId="19EDA0BB">
            <w:pPr>
              <w:spacing w:line="480" w:lineRule="auto"/>
              <w:jc w:val="center"/>
              <w:rPr>
                <w:rFonts w:hint="eastAsia" w:ascii="黑体" w:hAnsi="黑体" w:eastAsia="黑体" w:cs="黑体"/>
                <w:color w:val="auto"/>
                <w:szCs w:val="21"/>
                <w:highlight w:val="none"/>
              </w:rPr>
            </w:pPr>
          </w:p>
        </w:tc>
      </w:tr>
      <w:tr w14:paraId="114C9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33B38D68">
            <w:pPr>
              <w:spacing w:line="480" w:lineRule="auto"/>
              <w:jc w:val="center"/>
              <w:rPr>
                <w:rFonts w:hint="eastAsia" w:ascii="黑体" w:hAnsi="黑体" w:eastAsia="黑体" w:cs="黑体"/>
                <w:color w:val="auto"/>
                <w:szCs w:val="21"/>
                <w:highlight w:val="none"/>
              </w:rPr>
            </w:pPr>
          </w:p>
        </w:tc>
        <w:tc>
          <w:tcPr>
            <w:tcW w:w="758" w:type="pct"/>
            <w:vAlign w:val="center"/>
          </w:tcPr>
          <w:p w14:paraId="0A449A2A">
            <w:pPr>
              <w:spacing w:line="480" w:lineRule="auto"/>
              <w:jc w:val="center"/>
              <w:rPr>
                <w:rFonts w:hint="eastAsia" w:ascii="黑体" w:hAnsi="黑体" w:eastAsia="黑体" w:cs="黑体"/>
                <w:color w:val="auto"/>
                <w:szCs w:val="21"/>
                <w:highlight w:val="none"/>
              </w:rPr>
            </w:pPr>
          </w:p>
        </w:tc>
        <w:tc>
          <w:tcPr>
            <w:tcW w:w="456" w:type="pct"/>
            <w:vAlign w:val="center"/>
          </w:tcPr>
          <w:p w14:paraId="04DAE666">
            <w:pPr>
              <w:spacing w:line="480" w:lineRule="auto"/>
              <w:jc w:val="center"/>
              <w:rPr>
                <w:rFonts w:hint="eastAsia" w:ascii="黑体" w:hAnsi="黑体" w:eastAsia="黑体" w:cs="黑体"/>
                <w:color w:val="auto"/>
                <w:szCs w:val="21"/>
                <w:highlight w:val="none"/>
              </w:rPr>
            </w:pPr>
          </w:p>
        </w:tc>
        <w:tc>
          <w:tcPr>
            <w:tcW w:w="614" w:type="pct"/>
            <w:vAlign w:val="center"/>
          </w:tcPr>
          <w:p w14:paraId="5CC57FD0">
            <w:pPr>
              <w:spacing w:line="480" w:lineRule="auto"/>
              <w:jc w:val="center"/>
              <w:rPr>
                <w:rFonts w:hint="eastAsia" w:ascii="黑体" w:hAnsi="黑体" w:eastAsia="黑体" w:cs="黑体"/>
                <w:color w:val="auto"/>
                <w:szCs w:val="21"/>
                <w:highlight w:val="none"/>
              </w:rPr>
            </w:pPr>
          </w:p>
        </w:tc>
        <w:tc>
          <w:tcPr>
            <w:tcW w:w="915" w:type="pct"/>
            <w:vAlign w:val="center"/>
          </w:tcPr>
          <w:p w14:paraId="1FC54793">
            <w:pPr>
              <w:spacing w:line="480" w:lineRule="auto"/>
              <w:jc w:val="center"/>
              <w:rPr>
                <w:rFonts w:hint="eastAsia" w:ascii="黑体" w:hAnsi="黑体" w:eastAsia="黑体" w:cs="黑体"/>
                <w:color w:val="auto"/>
                <w:szCs w:val="21"/>
                <w:highlight w:val="none"/>
              </w:rPr>
            </w:pPr>
          </w:p>
        </w:tc>
        <w:tc>
          <w:tcPr>
            <w:tcW w:w="618" w:type="pct"/>
            <w:vAlign w:val="center"/>
          </w:tcPr>
          <w:p w14:paraId="6E57934A">
            <w:pPr>
              <w:spacing w:line="480" w:lineRule="auto"/>
              <w:jc w:val="center"/>
              <w:rPr>
                <w:rFonts w:hint="eastAsia" w:ascii="黑体" w:hAnsi="黑体" w:eastAsia="黑体" w:cs="黑体"/>
                <w:color w:val="auto"/>
                <w:szCs w:val="21"/>
                <w:highlight w:val="none"/>
              </w:rPr>
            </w:pPr>
          </w:p>
        </w:tc>
        <w:tc>
          <w:tcPr>
            <w:tcW w:w="768" w:type="pct"/>
          </w:tcPr>
          <w:p w14:paraId="30BA6343">
            <w:pPr>
              <w:spacing w:line="480" w:lineRule="auto"/>
              <w:jc w:val="center"/>
              <w:rPr>
                <w:rFonts w:hint="eastAsia" w:ascii="黑体" w:hAnsi="黑体" w:eastAsia="黑体" w:cs="黑体"/>
                <w:color w:val="auto"/>
                <w:szCs w:val="21"/>
                <w:highlight w:val="none"/>
              </w:rPr>
            </w:pPr>
          </w:p>
        </w:tc>
        <w:tc>
          <w:tcPr>
            <w:tcW w:w="477" w:type="pct"/>
          </w:tcPr>
          <w:p w14:paraId="797ED209">
            <w:pPr>
              <w:spacing w:line="480" w:lineRule="auto"/>
              <w:jc w:val="center"/>
              <w:rPr>
                <w:rFonts w:hint="eastAsia" w:ascii="黑体" w:hAnsi="黑体" w:eastAsia="黑体" w:cs="黑体"/>
                <w:color w:val="auto"/>
                <w:szCs w:val="21"/>
                <w:highlight w:val="none"/>
              </w:rPr>
            </w:pPr>
          </w:p>
        </w:tc>
      </w:tr>
      <w:tr w14:paraId="4F1C4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42032355">
            <w:pPr>
              <w:spacing w:line="480" w:lineRule="auto"/>
              <w:jc w:val="center"/>
              <w:rPr>
                <w:rFonts w:hint="eastAsia" w:ascii="黑体" w:hAnsi="黑体" w:eastAsia="黑体" w:cs="黑体"/>
                <w:color w:val="auto"/>
                <w:szCs w:val="21"/>
                <w:highlight w:val="none"/>
              </w:rPr>
            </w:pPr>
          </w:p>
        </w:tc>
        <w:tc>
          <w:tcPr>
            <w:tcW w:w="758" w:type="pct"/>
            <w:vAlign w:val="center"/>
          </w:tcPr>
          <w:p w14:paraId="0D6F3AC4">
            <w:pPr>
              <w:spacing w:line="480" w:lineRule="auto"/>
              <w:jc w:val="center"/>
              <w:rPr>
                <w:rFonts w:hint="eastAsia" w:ascii="黑体" w:hAnsi="黑体" w:eastAsia="黑体" w:cs="黑体"/>
                <w:color w:val="auto"/>
                <w:szCs w:val="21"/>
                <w:highlight w:val="none"/>
              </w:rPr>
            </w:pPr>
          </w:p>
        </w:tc>
        <w:tc>
          <w:tcPr>
            <w:tcW w:w="456" w:type="pct"/>
            <w:vAlign w:val="center"/>
          </w:tcPr>
          <w:p w14:paraId="7F2E1E3B">
            <w:pPr>
              <w:spacing w:line="480" w:lineRule="auto"/>
              <w:jc w:val="center"/>
              <w:rPr>
                <w:rFonts w:hint="eastAsia" w:ascii="黑体" w:hAnsi="黑体" w:eastAsia="黑体" w:cs="黑体"/>
                <w:color w:val="auto"/>
                <w:szCs w:val="21"/>
                <w:highlight w:val="none"/>
              </w:rPr>
            </w:pPr>
          </w:p>
        </w:tc>
        <w:tc>
          <w:tcPr>
            <w:tcW w:w="614" w:type="pct"/>
            <w:vAlign w:val="center"/>
          </w:tcPr>
          <w:p w14:paraId="274AC402">
            <w:pPr>
              <w:spacing w:line="480" w:lineRule="auto"/>
              <w:jc w:val="center"/>
              <w:rPr>
                <w:rFonts w:hint="eastAsia" w:ascii="黑体" w:hAnsi="黑体" w:eastAsia="黑体" w:cs="黑体"/>
                <w:color w:val="auto"/>
                <w:szCs w:val="21"/>
                <w:highlight w:val="none"/>
              </w:rPr>
            </w:pPr>
          </w:p>
        </w:tc>
        <w:tc>
          <w:tcPr>
            <w:tcW w:w="915" w:type="pct"/>
            <w:vAlign w:val="center"/>
          </w:tcPr>
          <w:p w14:paraId="7A4E3CE4">
            <w:pPr>
              <w:spacing w:line="480" w:lineRule="auto"/>
              <w:jc w:val="center"/>
              <w:rPr>
                <w:rFonts w:hint="eastAsia" w:ascii="黑体" w:hAnsi="黑体" w:eastAsia="黑体" w:cs="黑体"/>
                <w:color w:val="auto"/>
                <w:szCs w:val="21"/>
                <w:highlight w:val="none"/>
              </w:rPr>
            </w:pPr>
          </w:p>
        </w:tc>
        <w:tc>
          <w:tcPr>
            <w:tcW w:w="618" w:type="pct"/>
            <w:vAlign w:val="center"/>
          </w:tcPr>
          <w:p w14:paraId="2682F190">
            <w:pPr>
              <w:spacing w:line="480" w:lineRule="auto"/>
              <w:jc w:val="center"/>
              <w:rPr>
                <w:rFonts w:hint="eastAsia" w:ascii="黑体" w:hAnsi="黑体" w:eastAsia="黑体" w:cs="黑体"/>
                <w:color w:val="auto"/>
                <w:szCs w:val="21"/>
                <w:highlight w:val="none"/>
              </w:rPr>
            </w:pPr>
          </w:p>
        </w:tc>
        <w:tc>
          <w:tcPr>
            <w:tcW w:w="768" w:type="pct"/>
          </w:tcPr>
          <w:p w14:paraId="0879E92C">
            <w:pPr>
              <w:spacing w:line="480" w:lineRule="auto"/>
              <w:jc w:val="center"/>
              <w:rPr>
                <w:rFonts w:hint="eastAsia" w:ascii="黑体" w:hAnsi="黑体" w:eastAsia="黑体" w:cs="黑体"/>
                <w:color w:val="auto"/>
                <w:szCs w:val="21"/>
                <w:highlight w:val="none"/>
              </w:rPr>
            </w:pPr>
          </w:p>
        </w:tc>
        <w:tc>
          <w:tcPr>
            <w:tcW w:w="477" w:type="pct"/>
          </w:tcPr>
          <w:p w14:paraId="47F2F7E1">
            <w:pPr>
              <w:spacing w:line="480" w:lineRule="auto"/>
              <w:jc w:val="center"/>
              <w:rPr>
                <w:rFonts w:hint="eastAsia" w:ascii="黑体" w:hAnsi="黑体" w:eastAsia="黑体" w:cs="黑体"/>
                <w:color w:val="auto"/>
                <w:szCs w:val="21"/>
                <w:highlight w:val="none"/>
              </w:rPr>
            </w:pPr>
          </w:p>
        </w:tc>
      </w:tr>
      <w:tr w14:paraId="42735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4" w:type="pct"/>
            <w:vAlign w:val="center"/>
          </w:tcPr>
          <w:p w14:paraId="0A5F6AB4">
            <w:pPr>
              <w:spacing w:line="480" w:lineRule="auto"/>
              <w:jc w:val="center"/>
              <w:rPr>
                <w:rFonts w:hint="eastAsia" w:ascii="黑体" w:hAnsi="黑体" w:eastAsia="黑体" w:cs="黑体"/>
                <w:color w:val="auto"/>
                <w:szCs w:val="21"/>
                <w:highlight w:val="none"/>
              </w:rPr>
            </w:pPr>
          </w:p>
        </w:tc>
        <w:tc>
          <w:tcPr>
            <w:tcW w:w="758" w:type="pct"/>
            <w:vAlign w:val="center"/>
          </w:tcPr>
          <w:p w14:paraId="098D21FB">
            <w:pPr>
              <w:spacing w:line="480" w:lineRule="auto"/>
              <w:jc w:val="center"/>
              <w:rPr>
                <w:rFonts w:hint="eastAsia" w:ascii="黑体" w:hAnsi="黑体" w:eastAsia="黑体" w:cs="黑体"/>
                <w:color w:val="auto"/>
                <w:szCs w:val="21"/>
                <w:highlight w:val="none"/>
              </w:rPr>
            </w:pPr>
          </w:p>
        </w:tc>
        <w:tc>
          <w:tcPr>
            <w:tcW w:w="456" w:type="pct"/>
            <w:vAlign w:val="center"/>
          </w:tcPr>
          <w:p w14:paraId="065D6291">
            <w:pPr>
              <w:spacing w:line="480" w:lineRule="auto"/>
              <w:jc w:val="center"/>
              <w:rPr>
                <w:rFonts w:hint="eastAsia" w:ascii="黑体" w:hAnsi="黑体" w:eastAsia="黑体" w:cs="黑体"/>
                <w:color w:val="auto"/>
                <w:szCs w:val="21"/>
                <w:highlight w:val="none"/>
              </w:rPr>
            </w:pPr>
          </w:p>
        </w:tc>
        <w:tc>
          <w:tcPr>
            <w:tcW w:w="614" w:type="pct"/>
            <w:vAlign w:val="center"/>
          </w:tcPr>
          <w:p w14:paraId="479B19FC">
            <w:pPr>
              <w:spacing w:line="480" w:lineRule="auto"/>
              <w:jc w:val="center"/>
              <w:rPr>
                <w:rFonts w:hint="eastAsia" w:ascii="黑体" w:hAnsi="黑体" w:eastAsia="黑体" w:cs="黑体"/>
                <w:color w:val="auto"/>
                <w:szCs w:val="21"/>
                <w:highlight w:val="none"/>
              </w:rPr>
            </w:pPr>
          </w:p>
        </w:tc>
        <w:tc>
          <w:tcPr>
            <w:tcW w:w="915" w:type="pct"/>
            <w:vAlign w:val="center"/>
          </w:tcPr>
          <w:p w14:paraId="2440B310">
            <w:pPr>
              <w:spacing w:line="480" w:lineRule="auto"/>
              <w:jc w:val="center"/>
              <w:rPr>
                <w:rFonts w:hint="eastAsia" w:ascii="黑体" w:hAnsi="黑体" w:eastAsia="黑体" w:cs="黑体"/>
                <w:color w:val="auto"/>
                <w:szCs w:val="21"/>
                <w:highlight w:val="none"/>
              </w:rPr>
            </w:pPr>
          </w:p>
        </w:tc>
        <w:tc>
          <w:tcPr>
            <w:tcW w:w="618" w:type="pct"/>
            <w:vAlign w:val="center"/>
          </w:tcPr>
          <w:p w14:paraId="61223079">
            <w:pPr>
              <w:spacing w:line="480" w:lineRule="auto"/>
              <w:jc w:val="center"/>
              <w:rPr>
                <w:rFonts w:hint="eastAsia" w:ascii="黑体" w:hAnsi="黑体" w:eastAsia="黑体" w:cs="黑体"/>
                <w:color w:val="auto"/>
                <w:szCs w:val="21"/>
                <w:highlight w:val="none"/>
              </w:rPr>
            </w:pPr>
          </w:p>
        </w:tc>
        <w:tc>
          <w:tcPr>
            <w:tcW w:w="768" w:type="pct"/>
          </w:tcPr>
          <w:p w14:paraId="77AA6C9E">
            <w:pPr>
              <w:spacing w:line="480" w:lineRule="auto"/>
              <w:jc w:val="center"/>
              <w:rPr>
                <w:rFonts w:hint="eastAsia" w:ascii="黑体" w:hAnsi="黑体" w:eastAsia="黑体" w:cs="黑体"/>
                <w:color w:val="auto"/>
                <w:szCs w:val="21"/>
                <w:highlight w:val="none"/>
              </w:rPr>
            </w:pPr>
          </w:p>
        </w:tc>
        <w:tc>
          <w:tcPr>
            <w:tcW w:w="477" w:type="pct"/>
          </w:tcPr>
          <w:p w14:paraId="6015E15B">
            <w:pPr>
              <w:spacing w:line="480" w:lineRule="auto"/>
              <w:jc w:val="center"/>
              <w:rPr>
                <w:rFonts w:hint="eastAsia" w:ascii="黑体" w:hAnsi="黑体" w:eastAsia="黑体" w:cs="黑体"/>
                <w:color w:val="auto"/>
                <w:szCs w:val="21"/>
                <w:highlight w:val="none"/>
              </w:rPr>
            </w:pPr>
          </w:p>
        </w:tc>
      </w:tr>
    </w:tbl>
    <w:p w14:paraId="1A850F32">
      <w:pPr>
        <w:pStyle w:val="7"/>
        <w:overflowPunct w:val="0"/>
        <w:spacing w:before="156" w:beforeLines="50" w:after="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7DA4C109">
      <w:pPr>
        <w:pStyle w:val="60"/>
        <w:numPr>
          <w:ilvl w:val="0"/>
          <w:numId w:val="70"/>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供应商应按采购文件要求，根据“采购需求”详细列出产品的各项技术要求、技术措施或处理（须提供“采购需求”中要求提交的证明资料）</w:t>
      </w:r>
    </w:p>
    <w:p w14:paraId="348E683D">
      <w:pPr>
        <w:spacing w:line="360" w:lineRule="auto"/>
        <w:rPr>
          <w:rFonts w:hint="eastAsia" w:ascii="黑体" w:hAnsi="黑体" w:eastAsia="黑体" w:cs="黑体"/>
          <w:color w:val="auto"/>
          <w:szCs w:val="21"/>
          <w:highlight w:val="none"/>
        </w:rPr>
      </w:pPr>
    </w:p>
    <w:p w14:paraId="5641AA46">
      <w:pPr>
        <w:spacing w:line="360" w:lineRule="auto"/>
        <w:rPr>
          <w:rFonts w:hint="eastAsia" w:ascii="黑体" w:hAnsi="黑体" w:eastAsia="黑体" w:cs="黑体"/>
          <w:color w:val="auto"/>
          <w:szCs w:val="21"/>
          <w:highlight w:val="none"/>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49"/>
        <w:gridCol w:w="3173"/>
      </w:tblGrid>
      <w:tr w14:paraId="55DA2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302E2F86">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3173" w:type="dxa"/>
          </w:tcPr>
          <w:p w14:paraId="76E1F753">
            <w:pPr>
              <w:spacing w:line="360" w:lineRule="auto"/>
              <w:rPr>
                <w:rFonts w:hint="eastAsia" w:ascii="黑体" w:hAnsi="黑体" w:eastAsia="黑体" w:cs="黑体"/>
                <w:color w:val="auto"/>
                <w:szCs w:val="21"/>
                <w:highlight w:val="none"/>
              </w:rPr>
            </w:pPr>
          </w:p>
        </w:tc>
      </w:tr>
      <w:tr w14:paraId="5FAE7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49" w:type="dxa"/>
          </w:tcPr>
          <w:p w14:paraId="2E39AE52">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3" w:type="dxa"/>
          </w:tcPr>
          <w:p w14:paraId="75E14F5C">
            <w:pPr>
              <w:spacing w:line="360" w:lineRule="auto"/>
              <w:rPr>
                <w:rFonts w:hint="eastAsia" w:ascii="黑体" w:hAnsi="黑体" w:eastAsia="黑体" w:cs="黑体"/>
                <w:color w:val="auto"/>
                <w:szCs w:val="21"/>
                <w:highlight w:val="none"/>
              </w:rPr>
            </w:pPr>
          </w:p>
        </w:tc>
      </w:tr>
    </w:tbl>
    <w:p w14:paraId="0F1F8207">
      <w:pPr>
        <w:spacing w:line="360" w:lineRule="auto"/>
        <w:rPr>
          <w:rFonts w:hint="eastAsia" w:ascii="黑体" w:hAnsi="黑体" w:eastAsia="黑体" w:cs="黑体"/>
          <w:bCs/>
          <w:color w:val="auto"/>
          <w:szCs w:val="21"/>
          <w:highlight w:val="none"/>
        </w:rPr>
      </w:pPr>
    </w:p>
    <w:p w14:paraId="46F7EE2F">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09" w:name="_Toc405313975"/>
      <w:bookmarkStart w:id="310" w:name="_Toc13821100"/>
      <w:bookmarkStart w:id="311" w:name="_Toc391627771"/>
      <w:r>
        <w:rPr>
          <w:rStyle w:val="22"/>
          <w:rFonts w:hint="eastAsia" w:ascii="黑体" w:hAnsi="黑体" w:eastAsia="黑体" w:cs="黑体"/>
          <w:bCs w:val="0"/>
          <w:color w:val="auto"/>
          <w:spacing w:val="12"/>
          <w:highlight w:val="none"/>
        </w:rPr>
        <w:t>项目服务人员配置情况表</w:t>
      </w:r>
    </w:p>
    <w:p w14:paraId="30796614">
      <w:pPr>
        <w:spacing w:before="624" w:beforeLines="200" w:after="312" w:afterLines="100" w:line="360" w:lineRule="auto"/>
        <w:jc w:val="center"/>
        <w:rPr>
          <w:rFonts w:hint="eastAsia" w:ascii="黑体" w:hAnsi="黑体" w:eastAsia="黑体" w:cs="黑体"/>
          <w:b/>
          <w:color w:val="auto"/>
          <w:spacing w:val="20"/>
          <w:sz w:val="28"/>
          <w:szCs w:val="28"/>
          <w:highlight w:val="none"/>
        </w:rPr>
      </w:pPr>
      <w:r>
        <w:rPr>
          <w:rFonts w:hint="eastAsia" w:ascii="黑体" w:hAnsi="黑体" w:eastAsia="黑体" w:cs="黑体"/>
          <w:b/>
          <w:color w:val="auto"/>
          <w:spacing w:val="20"/>
          <w:sz w:val="28"/>
          <w:szCs w:val="28"/>
          <w:highlight w:val="none"/>
        </w:rPr>
        <w:t>项目服务人员配置情况表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113"/>
        <w:gridCol w:w="1260"/>
        <w:gridCol w:w="1842"/>
        <w:gridCol w:w="1415"/>
        <w:gridCol w:w="992"/>
        <w:gridCol w:w="1191"/>
      </w:tblGrid>
      <w:tr w14:paraId="6E7E2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C4DE169">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序号</w:t>
            </w:r>
          </w:p>
        </w:tc>
        <w:tc>
          <w:tcPr>
            <w:tcW w:w="653" w:type="pct"/>
            <w:vAlign w:val="center"/>
          </w:tcPr>
          <w:p w14:paraId="12CD525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姓名</w:t>
            </w:r>
          </w:p>
        </w:tc>
        <w:tc>
          <w:tcPr>
            <w:tcW w:w="739" w:type="pct"/>
            <w:vAlign w:val="center"/>
          </w:tcPr>
          <w:p w14:paraId="69DB8061">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职位</w:t>
            </w:r>
          </w:p>
        </w:tc>
        <w:tc>
          <w:tcPr>
            <w:tcW w:w="1081" w:type="pct"/>
            <w:vAlign w:val="center"/>
          </w:tcPr>
          <w:p w14:paraId="24D907B8">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持何种资格证件</w:t>
            </w:r>
          </w:p>
        </w:tc>
        <w:tc>
          <w:tcPr>
            <w:tcW w:w="830" w:type="pct"/>
            <w:vAlign w:val="center"/>
          </w:tcPr>
          <w:p w14:paraId="3509E8B3">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发证时间</w:t>
            </w:r>
          </w:p>
        </w:tc>
        <w:tc>
          <w:tcPr>
            <w:tcW w:w="582" w:type="pct"/>
            <w:vAlign w:val="center"/>
          </w:tcPr>
          <w:p w14:paraId="5830E01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学历</w:t>
            </w:r>
          </w:p>
        </w:tc>
        <w:tc>
          <w:tcPr>
            <w:tcW w:w="699" w:type="pct"/>
            <w:vAlign w:val="center"/>
          </w:tcPr>
          <w:p w14:paraId="66127E24">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经验年限</w:t>
            </w:r>
          </w:p>
        </w:tc>
      </w:tr>
      <w:tr w14:paraId="5A10D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7D6ABC4">
            <w:pPr>
              <w:spacing w:line="480" w:lineRule="auto"/>
              <w:jc w:val="center"/>
              <w:rPr>
                <w:rFonts w:hint="eastAsia" w:ascii="黑体" w:hAnsi="黑体" w:eastAsia="黑体" w:cs="黑体"/>
                <w:color w:val="auto"/>
                <w:szCs w:val="21"/>
                <w:highlight w:val="none"/>
              </w:rPr>
            </w:pPr>
          </w:p>
        </w:tc>
        <w:tc>
          <w:tcPr>
            <w:tcW w:w="653" w:type="pct"/>
            <w:vAlign w:val="center"/>
          </w:tcPr>
          <w:p w14:paraId="018880CF">
            <w:pPr>
              <w:spacing w:line="480" w:lineRule="auto"/>
              <w:jc w:val="center"/>
              <w:rPr>
                <w:rFonts w:hint="eastAsia" w:ascii="黑体" w:hAnsi="黑体" w:eastAsia="黑体" w:cs="黑体"/>
                <w:color w:val="auto"/>
                <w:szCs w:val="21"/>
                <w:highlight w:val="none"/>
              </w:rPr>
            </w:pPr>
          </w:p>
        </w:tc>
        <w:tc>
          <w:tcPr>
            <w:tcW w:w="739" w:type="pct"/>
            <w:vAlign w:val="center"/>
          </w:tcPr>
          <w:p w14:paraId="6CC22963">
            <w:pPr>
              <w:spacing w:line="480" w:lineRule="auto"/>
              <w:jc w:val="center"/>
              <w:rPr>
                <w:rFonts w:hint="eastAsia" w:ascii="黑体" w:hAnsi="黑体" w:eastAsia="黑体" w:cs="黑体"/>
                <w:color w:val="auto"/>
                <w:szCs w:val="21"/>
                <w:highlight w:val="none"/>
              </w:rPr>
            </w:pPr>
          </w:p>
        </w:tc>
        <w:tc>
          <w:tcPr>
            <w:tcW w:w="1081" w:type="pct"/>
            <w:vAlign w:val="center"/>
          </w:tcPr>
          <w:p w14:paraId="6FBAB0E7">
            <w:pPr>
              <w:spacing w:line="480" w:lineRule="auto"/>
              <w:jc w:val="center"/>
              <w:rPr>
                <w:rFonts w:hint="eastAsia" w:ascii="黑体" w:hAnsi="黑体" w:eastAsia="黑体" w:cs="黑体"/>
                <w:color w:val="auto"/>
                <w:szCs w:val="21"/>
                <w:highlight w:val="none"/>
              </w:rPr>
            </w:pPr>
          </w:p>
        </w:tc>
        <w:tc>
          <w:tcPr>
            <w:tcW w:w="830" w:type="pct"/>
          </w:tcPr>
          <w:p w14:paraId="68216F8C">
            <w:pPr>
              <w:spacing w:line="480" w:lineRule="auto"/>
              <w:jc w:val="center"/>
              <w:rPr>
                <w:rFonts w:hint="eastAsia" w:ascii="黑体" w:hAnsi="黑体" w:eastAsia="黑体" w:cs="黑体"/>
                <w:color w:val="auto"/>
                <w:szCs w:val="21"/>
                <w:highlight w:val="none"/>
              </w:rPr>
            </w:pPr>
          </w:p>
        </w:tc>
        <w:tc>
          <w:tcPr>
            <w:tcW w:w="582" w:type="pct"/>
            <w:vAlign w:val="center"/>
          </w:tcPr>
          <w:p w14:paraId="65C141C5">
            <w:pPr>
              <w:spacing w:line="480" w:lineRule="auto"/>
              <w:jc w:val="center"/>
              <w:rPr>
                <w:rFonts w:hint="eastAsia" w:ascii="黑体" w:hAnsi="黑体" w:eastAsia="黑体" w:cs="黑体"/>
                <w:color w:val="auto"/>
                <w:szCs w:val="21"/>
                <w:highlight w:val="none"/>
              </w:rPr>
            </w:pPr>
          </w:p>
        </w:tc>
        <w:tc>
          <w:tcPr>
            <w:tcW w:w="699" w:type="pct"/>
          </w:tcPr>
          <w:p w14:paraId="420522B2">
            <w:pPr>
              <w:spacing w:line="480" w:lineRule="auto"/>
              <w:jc w:val="center"/>
              <w:rPr>
                <w:rFonts w:hint="eastAsia" w:ascii="黑体" w:hAnsi="黑体" w:eastAsia="黑体" w:cs="黑体"/>
                <w:color w:val="auto"/>
                <w:szCs w:val="21"/>
                <w:highlight w:val="none"/>
              </w:rPr>
            </w:pPr>
          </w:p>
        </w:tc>
      </w:tr>
      <w:tr w14:paraId="42A07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23CE0A8">
            <w:pPr>
              <w:spacing w:line="480" w:lineRule="auto"/>
              <w:jc w:val="center"/>
              <w:rPr>
                <w:rFonts w:hint="eastAsia" w:ascii="黑体" w:hAnsi="黑体" w:eastAsia="黑体" w:cs="黑体"/>
                <w:color w:val="auto"/>
                <w:szCs w:val="21"/>
                <w:highlight w:val="none"/>
              </w:rPr>
            </w:pPr>
          </w:p>
        </w:tc>
        <w:tc>
          <w:tcPr>
            <w:tcW w:w="653" w:type="pct"/>
            <w:vAlign w:val="center"/>
          </w:tcPr>
          <w:p w14:paraId="04838140">
            <w:pPr>
              <w:spacing w:line="480" w:lineRule="auto"/>
              <w:jc w:val="center"/>
              <w:rPr>
                <w:rFonts w:hint="eastAsia" w:ascii="黑体" w:hAnsi="黑体" w:eastAsia="黑体" w:cs="黑体"/>
                <w:color w:val="auto"/>
                <w:szCs w:val="21"/>
                <w:highlight w:val="none"/>
              </w:rPr>
            </w:pPr>
          </w:p>
        </w:tc>
        <w:tc>
          <w:tcPr>
            <w:tcW w:w="739" w:type="pct"/>
            <w:vAlign w:val="center"/>
          </w:tcPr>
          <w:p w14:paraId="44021D29">
            <w:pPr>
              <w:spacing w:line="480" w:lineRule="auto"/>
              <w:jc w:val="center"/>
              <w:rPr>
                <w:rFonts w:hint="eastAsia" w:ascii="黑体" w:hAnsi="黑体" w:eastAsia="黑体" w:cs="黑体"/>
                <w:color w:val="auto"/>
                <w:szCs w:val="21"/>
                <w:highlight w:val="none"/>
              </w:rPr>
            </w:pPr>
          </w:p>
        </w:tc>
        <w:tc>
          <w:tcPr>
            <w:tcW w:w="1081" w:type="pct"/>
            <w:vAlign w:val="center"/>
          </w:tcPr>
          <w:p w14:paraId="20258E7B">
            <w:pPr>
              <w:spacing w:line="480" w:lineRule="auto"/>
              <w:jc w:val="center"/>
              <w:rPr>
                <w:rFonts w:hint="eastAsia" w:ascii="黑体" w:hAnsi="黑体" w:eastAsia="黑体" w:cs="黑体"/>
                <w:color w:val="auto"/>
                <w:szCs w:val="21"/>
                <w:highlight w:val="none"/>
              </w:rPr>
            </w:pPr>
          </w:p>
        </w:tc>
        <w:tc>
          <w:tcPr>
            <w:tcW w:w="830" w:type="pct"/>
          </w:tcPr>
          <w:p w14:paraId="5BD7BD54">
            <w:pPr>
              <w:spacing w:line="480" w:lineRule="auto"/>
              <w:jc w:val="center"/>
              <w:rPr>
                <w:rFonts w:hint="eastAsia" w:ascii="黑体" w:hAnsi="黑体" w:eastAsia="黑体" w:cs="黑体"/>
                <w:color w:val="auto"/>
                <w:szCs w:val="21"/>
                <w:highlight w:val="none"/>
              </w:rPr>
            </w:pPr>
          </w:p>
        </w:tc>
        <w:tc>
          <w:tcPr>
            <w:tcW w:w="582" w:type="pct"/>
            <w:vAlign w:val="center"/>
          </w:tcPr>
          <w:p w14:paraId="7E8725A4">
            <w:pPr>
              <w:spacing w:line="480" w:lineRule="auto"/>
              <w:jc w:val="center"/>
              <w:rPr>
                <w:rFonts w:hint="eastAsia" w:ascii="黑体" w:hAnsi="黑体" w:eastAsia="黑体" w:cs="黑体"/>
                <w:color w:val="auto"/>
                <w:szCs w:val="21"/>
                <w:highlight w:val="none"/>
              </w:rPr>
            </w:pPr>
          </w:p>
        </w:tc>
        <w:tc>
          <w:tcPr>
            <w:tcW w:w="699" w:type="pct"/>
          </w:tcPr>
          <w:p w14:paraId="21BBF486">
            <w:pPr>
              <w:spacing w:line="480" w:lineRule="auto"/>
              <w:jc w:val="center"/>
              <w:rPr>
                <w:rFonts w:hint="eastAsia" w:ascii="黑体" w:hAnsi="黑体" w:eastAsia="黑体" w:cs="黑体"/>
                <w:color w:val="auto"/>
                <w:szCs w:val="21"/>
                <w:highlight w:val="none"/>
              </w:rPr>
            </w:pPr>
          </w:p>
        </w:tc>
      </w:tr>
      <w:tr w14:paraId="6B113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189F360">
            <w:pPr>
              <w:spacing w:line="480" w:lineRule="auto"/>
              <w:jc w:val="center"/>
              <w:rPr>
                <w:rFonts w:hint="eastAsia" w:ascii="黑体" w:hAnsi="黑体" w:eastAsia="黑体" w:cs="黑体"/>
                <w:color w:val="auto"/>
                <w:szCs w:val="21"/>
                <w:highlight w:val="none"/>
              </w:rPr>
            </w:pPr>
          </w:p>
        </w:tc>
        <w:tc>
          <w:tcPr>
            <w:tcW w:w="653" w:type="pct"/>
            <w:vAlign w:val="center"/>
          </w:tcPr>
          <w:p w14:paraId="444A6B4A">
            <w:pPr>
              <w:spacing w:line="480" w:lineRule="auto"/>
              <w:jc w:val="center"/>
              <w:rPr>
                <w:rFonts w:hint="eastAsia" w:ascii="黑体" w:hAnsi="黑体" w:eastAsia="黑体" w:cs="黑体"/>
                <w:color w:val="auto"/>
                <w:szCs w:val="21"/>
                <w:highlight w:val="none"/>
              </w:rPr>
            </w:pPr>
          </w:p>
        </w:tc>
        <w:tc>
          <w:tcPr>
            <w:tcW w:w="739" w:type="pct"/>
            <w:vAlign w:val="center"/>
          </w:tcPr>
          <w:p w14:paraId="7602BF4F">
            <w:pPr>
              <w:spacing w:line="480" w:lineRule="auto"/>
              <w:jc w:val="center"/>
              <w:rPr>
                <w:rFonts w:hint="eastAsia" w:ascii="黑体" w:hAnsi="黑体" w:eastAsia="黑体" w:cs="黑体"/>
                <w:color w:val="auto"/>
                <w:szCs w:val="21"/>
                <w:highlight w:val="none"/>
              </w:rPr>
            </w:pPr>
          </w:p>
        </w:tc>
        <w:tc>
          <w:tcPr>
            <w:tcW w:w="1081" w:type="pct"/>
            <w:vAlign w:val="center"/>
          </w:tcPr>
          <w:p w14:paraId="62723A33">
            <w:pPr>
              <w:spacing w:line="480" w:lineRule="auto"/>
              <w:jc w:val="center"/>
              <w:rPr>
                <w:rFonts w:hint="eastAsia" w:ascii="黑体" w:hAnsi="黑体" w:eastAsia="黑体" w:cs="黑体"/>
                <w:color w:val="auto"/>
                <w:szCs w:val="21"/>
                <w:highlight w:val="none"/>
              </w:rPr>
            </w:pPr>
          </w:p>
        </w:tc>
        <w:tc>
          <w:tcPr>
            <w:tcW w:w="830" w:type="pct"/>
          </w:tcPr>
          <w:p w14:paraId="532FA426">
            <w:pPr>
              <w:spacing w:line="480" w:lineRule="auto"/>
              <w:jc w:val="center"/>
              <w:rPr>
                <w:rFonts w:hint="eastAsia" w:ascii="黑体" w:hAnsi="黑体" w:eastAsia="黑体" w:cs="黑体"/>
                <w:color w:val="auto"/>
                <w:szCs w:val="21"/>
                <w:highlight w:val="none"/>
              </w:rPr>
            </w:pPr>
          </w:p>
        </w:tc>
        <w:tc>
          <w:tcPr>
            <w:tcW w:w="582" w:type="pct"/>
            <w:vAlign w:val="center"/>
          </w:tcPr>
          <w:p w14:paraId="65B915AD">
            <w:pPr>
              <w:spacing w:line="480" w:lineRule="auto"/>
              <w:jc w:val="center"/>
              <w:rPr>
                <w:rFonts w:hint="eastAsia" w:ascii="黑体" w:hAnsi="黑体" w:eastAsia="黑体" w:cs="黑体"/>
                <w:color w:val="auto"/>
                <w:szCs w:val="21"/>
                <w:highlight w:val="none"/>
              </w:rPr>
            </w:pPr>
          </w:p>
        </w:tc>
        <w:tc>
          <w:tcPr>
            <w:tcW w:w="699" w:type="pct"/>
          </w:tcPr>
          <w:p w14:paraId="08817FD1">
            <w:pPr>
              <w:spacing w:line="480" w:lineRule="auto"/>
              <w:jc w:val="center"/>
              <w:rPr>
                <w:rFonts w:hint="eastAsia" w:ascii="黑体" w:hAnsi="黑体" w:eastAsia="黑体" w:cs="黑体"/>
                <w:color w:val="auto"/>
                <w:szCs w:val="21"/>
                <w:highlight w:val="none"/>
              </w:rPr>
            </w:pPr>
          </w:p>
        </w:tc>
      </w:tr>
      <w:tr w14:paraId="12C8E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DDD16DC">
            <w:pPr>
              <w:spacing w:line="480" w:lineRule="auto"/>
              <w:jc w:val="center"/>
              <w:rPr>
                <w:rFonts w:hint="eastAsia" w:ascii="黑体" w:hAnsi="黑体" w:eastAsia="黑体" w:cs="黑体"/>
                <w:color w:val="auto"/>
                <w:szCs w:val="21"/>
                <w:highlight w:val="none"/>
              </w:rPr>
            </w:pPr>
          </w:p>
        </w:tc>
        <w:tc>
          <w:tcPr>
            <w:tcW w:w="653" w:type="pct"/>
            <w:vAlign w:val="center"/>
          </w:tcPr>
          <w:p w14:paraId="75C2A367">
            <w:pPr>
              <w:spacing w:line="480" w:lineRule="auto"/>
              <w:jc w:val="center"/>
              <w:rPr>
                <w:rFonts w:hint="eastAsia" w:ascii="黑体" w:hAnsi="黑体" w:eastAsia="黑体" w:cs="黑体"/>
                <w:color w:val="auto"/>
                <w:szCs w:val="21"/>
                <w:highlight w:val="none"/>
              </w:rPr>
            </w:pPr>
          </w:p>
        </w:tc>
        <w:tc>
          <w:tcPr>
            <w:tcW w:w="739" w:type="pct"/>
            <w:vAlign w:val="center"/>
          </w:tcPr>
          <w:p w14:paraId="47038A13">
            <w:pPr>
              <w:spacing w:line="480" w:lineRule="auto"/>
              <w:jc w:val="center"/>
              <w:rPr>
                <w:rFonts w:hint="eastAsia" w:ascii="黑体" w:hAnsi="黑体" w:eastAsia="黑体" w:cs="黑体"/>
                <w:color w:val="auto"/>
                <w:szCs w:val="21"/>
                <w:highlight w:val="none"/>
              </w:rPr>
            </w:pPr>
          </w:p>
        </w:tc>
        <w:tc>
          <w:tcPr>
            <w:tcW w:w="1081" w:type="pct"/>
            <w:vAlign w:val="center"/>
          </w:tcPr>
          <w:p w14:paraId="6DD4C4DB">
            <w:pPr>
              <w:spacing w:line="480" w:lineRule="auto"/>
              <w:jc w:val="center"/>
              <w:rPr>
                <w:rFonts w:hint="eastAsia" w:ascii="黑体" w:hAnsi="黑体" w:eastAsia="黑体" w:cs="黑体"/>
                <w:color w:val="auto"/>
                <w:szCs w:val="21"/>
                <w:highlight w:val="none"/>
              </w:rPr>
            </w:pPr>
          </w:p>
        </w:tc>
        <w:tc>
          <w:tcPr>
            <w:tcW w:w="830" w:type="pct"/>
          </w:tcPr>
          <w:p w14:paraId="1690EA1D">
            <w:pPr>
              <w:spacing w:line="480" w:lineRule="auto"/>
              <w:jc w:val="center"/>
              <w:rPr>
                <w:rFonts w:hint="eastAsia" w:ascii="黑体" w:hAnsi="黑体" w:eastAsia="黑体" w:cs="黑体"/>
                <w:color w:val="auto"/>
                <w:szCs w:val="21"/>
                <w:highlight w:val="none"/>
              </w:rPr>
            </w:pPr>
          </w:p>
        </w:tc>
        <w:tc>
          <w:tcPr>
            <w:tcW w:w="582" w:type="pct"/>
            <w:vAlign w:val="center"/>
          </w:tcPr>
          <w:p w14:paraId="50722B62">
            <w:pPr>
              <w:spacing w:line="480" w:lineRule="auto"/>
              <w:jc w:val="center"/>
              <w:rPr>
                <w:rFonts w:hint="eastAsia" w:ascii="黑体" w:hAnsi="黑体" w:eastAsia="黑体" w:cs="黑体"/>
                <w:color w:val="auto"/>
                <w:szCs w:val="21"/>
                <w:highlight w:val="none"/>
              </w:rPr>
            </w:pPr>
          </w:p>
        </w:tc>
        <w:tc>
          <w:tcPr>
            <w:tcW w:w="699" w:type="pct"/>
          </w:tcPr>
          <w:p w14:paraId="46F72811">
            <w:pPr>
              <w:spacing w:line="480" w:lineRule="auto"/>
              <w:jc w:val="center"/>
              <w:rPr>
                <w:rFonts w:hint="eastAsia" w:ascii="黑体" w:hAnsi="黑体" w:eastAsia="黑体" w:cs="黑体"/>
                <w:color w:val="auto"/>
                <w:szCs w:val="21"/>
                <w:highlight w:val="none"/>
              </w:rPr>
            </w:pPr>
          </w:p>
        </w:tc>
      </w:tr>
      <w:tr w14:paraId="1C202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0ADA925">
            <w:pPr>
              <w:spacing w:line="480" w:lineRule="auto"/>
              <w:jc w:val="center"/>
              <w:rPr>
                <w:rFonts w:hint="eastAsia" w:ascii="黑体" w:hAnsi="黑体" w:eastAsia="黑体" w:cs="黑体"/>
                <w:color w:val="auto"/>
                <w:szCs w:val="21"/>
                <w:highlight w:val="none"/>
              </w:rPr>
            </w:pPr>
          </w:p>
        </w:tc>
        <w:tc>
          <w:tcPr>
            <w:tcW w:w="653" w:type="pct"/>
            <w:vAlign w:val="center"/>
          </w:tcPr>
          <w:p w14:paraId="613EBCCB">
            <w:pPr>
              <w:spacing w:line="480" w:lineRule="auto"/>
              <w:jc w:val="center"/>
              <w:rPr>
                <w:rFonts w:hint="eastAsia" w:ascii="黑体" w:hAnsi="黑体" w:eastAsia="黑体" w:cs="黑体"/>
                <w:color w:val="auto"/>
                <w:szCs w:val="21"/>
                <w:highlight w:val="none"/>
              </w:rPr>
            </w:pPr>
          </w:p>
        </w:tc>
        <w:tc>
          <w:tcPr>
            <w:tcW w:w="739" w:type="pct"/>
            <w:vAlign w:val="center"/>
          </w:tcPr>
          <w:p w14:paraId="3EDD951B">
            <w:pPr>
              <w:spacing w:line="480" w:lineRule="auto"/>
              <w:jc w:val="center"/>
              <w:rPr>
                <w:rFonts w:hint="eastAsia" w:ascii="黑体" w:hAnsi="黑体" w:eastAsia="黑体" w:cs="黑体"/>
                <w:color w:val="auto"/>
                <w:szCs w:val="21"/>
                <w:highlight w:val="none"/>
              </w:rPr>
            </w:pPr>
          </w:p>
        </w:tc>
        <w:tc>
          <w:tcPr>
            <w:tcW w:w="1081" w:type="pct"/>
            <w:vAlign w:val="center"/>
          </w:tcPr>
          <w:p w14:paraId="55AE1316">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121F0A83">
            <w:pPr>
              <w:spacing w:line="480" w:lineRule="auto"/>
              <w:jc w:val="center"/>
              <w:rPr>
                <w:rFonts w:hint="eastAsia" w:ascii="黑体" w:hAnsi="黑体" w:eastAsia="黑体" w:cs="黑体"/>
                <w:color w:val="auto"/>
                <w:szCs w:val="21"/>
                <w:highlight w:val="none"/>
              </w:rPr>
            </w:pPr>
          </w:p>
        </w:tc>
        <w:tc>
          <w:tcPr>
            <w:tcW w:w="582" w:type="pct"/>
            <w:vAlign w:val="center"/>
          </w:tcPr>
          <w:p w14:paraId="4BE2FD0F">
            <w:pPr>
              <w:spacing w:line="480" w:lineRule="auto"/>
              <w:jc w:val="center"/>
              <w:rPr>
                <w:rFonts w:hint="eastAsia" w:ascii="黑体" w:hAnsi="黑体" w:eastAsia="黑体" w:cs="黑体"/>
                <w:color w:val="auto"/>
                <w:szCs w:val="21"/>
                <w:highlight w:val="none"/>
              </w:rPr>
            </w:pPr>
          </w:p>
        </w:tc>
        <w:tc>
          <w:tcPr>
            <w:tcW w:w="699" w:type="pct"/>
          </w:tcPr>
          <w:p w14:paraId="5E130E80">
            <w:pPr>
              <w:spacing w:line="480" w:lineRule="auto"/>
              <w:jc w:val="center"/>
              <w:rPr>
                <w:rFonts w:hint="eastAsia" w:ascii="黑体" w:hAnsi="黑体" w:eastAsia="黑体" w:cs="黑体"/>
                <w:color w:val="auto"/>
                <w:szCs w:val="21"/>
                <w:highlight w:val="none"/>
              </w:rPr>
            </w:pPr>
          </w:p>
        </w:tc>
      </w:tr>
      <w:tr w14:paraId="13A5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97D6728">
            <w:pPr>
              <w:spacing w:line="480" w:lineRule="auto"/>
              <w:jc w:val="center"/>
              <w:rPr>
                <w:rFonts w:hint="eastAsia" w:ascii="黑体" w:hAnsi="黑体" w:eastAsia="黑体" w:cs="黑体"/>
                <w:color w:val="auto"/>
                <w:szCs w:val="21"/>
                <w:highlight w:val="none"/>
              </w:rPr>
            </w:pPr>
          </w:p>
        </w:tc>
        <w:tc>
          <w:tcPr>
            <w:tcW w:w="653" w:type="pct"/>
            <w:vAlign w:val="center"/>
          </w:tcPr>
          <w:p w14:paraId="7AEB2818">
            <w:pPr>
              <w:spacing w:line="480" w:lineRule="auto"/>
              <w:jc w:val="center"/>
              <w:rPr>
                <w:rFonts w:hint="eastAsia" w:ascii="黑体" w:hAnsi="黑体" w:eastAsia="黑体" w:cs="黑体"/>
                <w:color w:val="auto"/>
                <w:szCs w:val="21"/>
                <w:highlight w:val="none"/>
              </w:rPr>
            </w:pPr>
          </w:p>
        </w:tc>
        <w:tc>
          <w:tcPr>
            <w:tcW w:w="739" w:type="pct"/>
            <w:vAlign w:val="center"/>
          </w:tcPr>
          <w:p w14:paraId="2A6E1443">
            <w:pPr>
              <w:spacing w:line="480" w:lineRule="auto"/>
              <w:jc w:val="center"/>
              <w:rPr>
                <w:rFonts w:hint="eastAsia" w:ascii="黑体" w:hAnsi="黑体" w:eastAsia="黑体" w:cs="黑体"/>
                <w:color w:val="auto"/>
                <w:szCs w:val="21"/>
                <w:highlight w:val="none"/>
              </w:rPr>
            </w:pPr>
          </w:p>
        </w:tc>
        <w:tc>
          <w:tcPr>
            <w:tcW w:w="1081" w:type="pct"/>
            <w:vAlign w:val="center"/>
          </w:tcPr>
          <w:p w14:paraId="5C0C0569">
            <w:pPr>
              <w:widowControl/>
              <w:tabs>
                <w:tab w:val="right" w:leader="dot" w:pos="8302"/>
              </w:tabs>
              <w:spacing w:line="480" w:lineRule="auto"/>
              <w:jc w:val="center"/>
              <w:rPr>
                <w:rFonts w:hint="eastAsia" w:ascii="黑体" w:hAnsi="黑体" w:eastAsia="黑体" w:cs="黑体"/>
                <w:color w:val="auto"/>
                <w:kern w:val="0"/>
                <w:szCs w:val="21"/>
                <w:highlight w:val="none"/>
              </w:rPr>
            </w:pPr>
          </w:p>
        </w:tc>
        <w:tc>
          <w:tcPr>
            <w:tcW w:w="830" w:type="pct"/>
          </w:tcPr>
          <w:p w14:paraId="54387A64">
            <w:pPr>
              <w:spacing w:line="480" w:lineRule="auto"/>
              <w:jc w:val="center"/>
              <w:rPr>
                <w:rFonts w:hint="eastAsia" w:ascii="黑体" w:hAnsi="黑体" w:eastAsia="黑体" w:cs="黑体"/>
                <w:color w:val="auto"/>
                <w:szCs w:val="21"/>
                <w:highlight w:val="none"/>
              </w:rPr>
            </w:pPr>
          </w:p>
        </w:tc>
        <w:tc>
          <w:tcPr>
            <w:tcW w:w="582" w:type="pct"/>
            <w:vAlign w:val="center"/>
          </w:tcPr>
          <w:p w14:paraId="15BC21BA">
            <w:pPr>
              <w:spacing w:line="480" w:lineRule="auto"/>
              <w:jc w:val="center"/>
              <w:rPr>
                <w:rFonts w:hint="eastAsia" w:ascii="黑体" w:hAnsi="黑体" w:eastAsia="黑体" w:cs="黑体"/>
                <w:color w:val="auto"/>
                <w:szCs w:val="21"/>
                <w:highlight w:val="none"/>
              </w:rPr>
            </w:pPr>
          </w:p>
        </w:tc>
        <w:tc>
          <w:tcPr>
            <w:tcW w:w="699" w:type="pct"/>
          </w:tcPr>
          <w:p w14:paraId="6D66966A">
            <w:pPr>
              <w:spacing w:line="480" w:lineRule="auto"/>
              <w:jc w:val="center"/>
              <w:rPr>
                <w:rFonts w:hint="eastAsia" w:ascii="黑体" w:hAnsi="黑体" w:eastAsia="黑体" w:cs="黑体"/>
                <w:color w:val="auto"/>
                <w:szCs w:val="21"/>
                <w:highlight w:val="none"/>
              </w:rPr>
            </w:pPr>
          </w:p>
        </w:tc>
      </w:tr>
      <w:tr w14:paraId="0F7EC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609AB14">
            <w:pPr>
              <w:spacing w:line="480" w:lineRule="auto"/>
              <w:jc w:val="center"/>
              <w:rPr>
                <w:rFonts w:hint="eastAsia" w:ascii="黑体" w:hAnsi="黑体" w:eastAsia="黑体" w:cs="黑体"/>
                <w:color w:val="auto"/>
                <w:szCs w:val="21"/>
                <w:highlight w:val="none"/>
              </w:rPr>
            </w:pPr>
          </w:p>
        </w:tc>
        <w:tc>
          <w:tcPr>
            <w:tcW w:w="653" w:type="pct"/>
            <w:vAlign w:val="center"/>
          </w:tcPr>
          <w:p w14:paraId="7BF4ECF0">
            <w:pPr>
              <w:spacing w:line="480" w:lineRule="auto"/>
              <w:jc w:val="center"/>
              <w:rPr>
                <w:rFonts w:hint="eastAsia" w:ascii="黑体" w:hAnsi="黑体" w:eastAsia="黑体" w:cs="黑体"/>
                <w:color w:val="auto"/>
                <w:szCs w:val="21"/>
                <w:highlight w:val="none"/>
              </w:rPr>
            </w:pPr>
          </w:p>
        </w:tc>
        <w:tc>
          <w:tcPr>
            <w:tcW w:w="739" w:type="pct"/>
            <w:vAlign w:val="center"/>
          </w:tcPr>
          <w:p w14:paraId="7E32A8BF">
            <w:pPr>
              <w:spacing w:line="480" w:lineRule="auto"/>
              <w:jc w:val="center"/>
              <w:rPr>
                <w:rFonts w:hint="eastAsia" w:ascii="黑体" w:hAnsi="黑体" w:eastAsia="黑体" w:cs="黑体"/>
                <w:color w:val="auto"/>
                <w:szCs w:val="21"/>
                <w:highlight w:val="none"/>
              </w:rPr>
            </w:pPr>
          </w:p>
        </w:tc>
        <w:tc>
          <w:tcPr>
            <w:tcW w:w="1081" w:type="pct"/>
            <w:vAlign w:val="center"/>
          </w:tcPr>
          <w:p w14:paraId="7880A770">
            <w:pPr>
              <w:spacing w:line="480" w:lineRule="auto"/>
              <w:jc w:val="center"/>
              <w:rPr>
                <w:rFonts w:hint="eastAsia" w:ascii="黑体" w:hAnsi="黑体" w:eastAsia="黑体" w:cs="黑体"/>
                <w:color w:val="auto"/>
                <w:szCs w:val="21"/>
                <w:highlight w:val="none"/>
              </w:rPr>
            </w:pPr>
          </w:p>
        </w:tc>
        <w:tc>
          <w:tcPr>
            <w:tcW w:w="830" w:type="pct"/>
          </w:tcPr>
          <w:p w14:paraId="7AA45DDC">
            <w:pPr>
              <w:spacing w:line="480" w:lineRule="auto"/>
              <w:jc w:val="center"/>
              <w:rPr>
                <w:rFonts w:hint="eastAsia" w:ascii="黑体" w:hAnsi="黑体" w:eastAsia="黑体" w:cs="黑体"/>
                <w:color w:val="auto"/>
                <w:szCs w:val="21"/>
                <w:highlight w:val="none"/>
              </w:rPr>
            </w:pPr>
          </w:p>
        </w:tc>
        <w:tc>
          <w:tcPr>
            <w:tcW w:w="582" w:type="pct"/>
            <w:vAlign w:val="center"/>
          </w:tcPr>
          <w:p w14:paraId="0EB1A99A">
            <w:pPr>
              <w:spacing w:line="480" w:lineRule="auto"/>
              <w:jc w:val="center"/>
              <w:rPr>
                <w:rFonts w:hint="eastAsia" w:ascii="黑体" w:hAnsi="黑体" w:eastAsia="黑体" w:cs="黑体"/>
                <w:color w:val="auto"/>
                <w:szCs w:val="21"/>
                <w:highlight w:val="none"/>
              </w:rPr>
            </w:pPr>
          </w:p>
        </w:tc>
        <w:tc>
          <w:tcPr>
            <w:tcW w:w="699" w:type="pct"/>
          </w:tcPr>
          <w:p w14:paraId="50C422FB">
            <w:pPr>
              <w:spacing w:line="480" w:lineRule="auto"/>
              <w:jc w:val="center"/>
              <w:rPr>
                <w:rFonts w:hint="eastAsia" w:ascii="黑体" w:hAnsi="黑体" w:eastAsia="黑体" w:cs="黑体"/>
                <w:color w:val="auto"/>
                <w:szCs w:val="21"/>
                <w:highlight w:val="none"/>
              </w:rPr>
            </w:pPr>
          </w:p>
        </w:tc>
      </w:tr>
      <w:tr w14:paraId="37BD9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E930B73">
            <w:pPr>
              <w:spacing w:line="480" w:lineRule="auto"/>
              <w:jc w:val="center"/>
              <w:rPr>
                <w:rFonts w:hint="eastAsia" w:ascii="黑体" w:hAnsi="黑体" w:eastAsia="黑体" w:cs="黑体"/>
                <w:color w:val="auto"/>
                <w:szCs w:val="21"/>
                <w:highlight w:val="none"/>
              </w:rPr>
            </w:pPr>
          </w:p>
        </w:tc>
        <w:tc>
          <w:tcPr>
            <w:tcW w:w="653" w:type="pct"/>
            <w:vAlign w:val="center"/>
          </w:tcPr>
          <w:p w14:paraId="3A2B0029">
            <w:pPr>
              <w:spacing w:line="480" w:lineRule="auto"/>
              <w:jc w:val="center"/>
              <w:rPr>
                <w:rFonts w:hint="eastAsia" w:ascii="黑体" w:hAnsi="黑体" w:eastAsia="黑体" w:cs="黑体"/>
                <w:color w:val="auto"/>
                <w:szCs w:val="21"/>
                <w:highlight w:val="none"/>
              </w:rPr>
            </w:pPr>
          </w:p>
        </w:tc>
        <w:tc>
          <w:tcPr>
            <w:tcW w:w="739" w:type="pct"/>
            <w:vAlign w:val="center"/>
          </w:tcPr>
          <w:p w14:paraId="1EB20661">
            <w:pPr>
              <w:spacing w:line="480" w:lineRule="auto"/>
              <w:jc w:val="center"/>
              <w:rPr>
                <w:rFonts w:hint="eastAsia" w:ascii="黑体" w:hAnsi="黑体" w:eastAsia="黑体" w:cs="黑体"/>
                <w:color w:val="auto"/>
                <w:szCs w:val="21"/>
                <w:highlight w:val="none"/>
              </w:rPr>
            </w:pPr>
          </w:p>
        </w:tc>
        <w:tc>
          <w:tcPr>
            <w:tcW w:w="1081" w:type="pct"/>
            <w:vAlign w:val="center"/>
          </w:tcPr>
          <w:p w14:paraId="2EAB76C7">
            <w:pPr>
              <w:spacing w:line="480" w:lineRule="auto"/>
              <w:jc w:val="center"/>
              <w:rPr>
                <w:rFonts w:hint="eastAsia" w:ascii="黑体" w:hAnsi="黑体" w:eastAsia="黑体" w:cs="黑体"/>
                <w:color w:val="auto"/>
                <w:szCs w:val="21"/>
                <w:highlight w:val="none"/>
              </w:rPr>
            </w:pPr>
          </w:p>
        </w:tc>
        <w:tc>
          <w:tcPr>
            <w:tcW w:w="830" w:type="pct"/>
          </w:tcPr>
          <w:p w14:paraId="02F88B56">
            <w:pPr>
              <w:spacing w:line="480" w:lineRule="auto"/>
              <w:jc w:val="center"/>
              <w:rPr>
                <w:rFonts w:hint="eastAsia" w:ascii="黑体" w:hAnsi="黑体" w:eastAsia="黑体" w:cs="黑体"/>
                <w:color w:val="auto"/>
                <w:szCs w:val="21"/>
                <w:highlight w:val="none"/>
              </w:rPr>
            </w:pPr>
          </w:p>
        </w:tc>
        <w:tc>
          <w:tcPr>
            <w:tcW w:w="582" w:type="pct"/>
            <w:vAlign w:val="center"/>
          </w:tcPr>
          <w:p w14:paraId="140609F5">
            <w:pPr>
              <w:spacing w:line="480" w:lineRule="auto"/>
              <w:jc w:val="center"/>
              <w:rPr>
                <w:rFonts w:hint="eastAsia" w:ascii="黑体" w:hAnsi="黑体" w:eastAsia="黑体" w:cs="黑体"/>
                <w:color w:val="auto"/>
                <w:szCs w:val="21"/>
                <w:highlight w:val="none"/>
              </w:rPr>
            </w:pPr>
          </w:p>
        </w:tc>
        <w:tc>
          <w:tcPr>
            <w:tcW w:w="699" w:type="pct"/>
          </w:tcPr>
          <w:p w14:paraId="46B8B9D2">
            <w:pPr>
              <w:spacing w:line="480" w:lineRule="auto"/>
              <w:jc w:val="center"/>
              <w:rPr>
                <w:rFonts w:hint="eastAsia" w:ascii="黑体" w:hAnsi="黑体" w:eastAsia="黑体" w:cs="黑体"/>
                <w:color w:val="auto"/>
                <w:szCs w:val="21"/>
                <w:highlight w:val="none"/>
              </w:rPr>
            </w:pPr>
          </w:p>
        </w:tc>
      </w:tr>
    </w:tbl>
    <w:p w14:paraId="7F90B0A7">
      <w:pPr>
        <w:spacing w:line="360" w:lineRule="auto"/>
        <w:rPr>
          <w:rFonts w:hint="eastAsia" w:ascii="黑体" w:hAnsi="黑体" w:eastAsia="黑体" w:cs="黑体"/>
          <w:color w:val="auto"/>
          <w:highlight w:val="none"/>
        </w:rPr>
      </w:pPr>
    </w:p>
    <w:p w14:paraId="6CD5F96A">
      <w:pPr>
        <w:spacing w:line="360" w:lineRule="auto"/>
        <w:rPr>
          <w:rFonts w:hint="eastAsia" w:ascii="黑体" w:hAnsi="黑体" w:eastAsia="黑体" w:cs="黑体"/>
          <w:color w:val="auto"/>
          <w:highlight w:val="none"/>
        </w:rPr>
      </w:pPr>
    </w:p>
    <w:p w14:paraId="67CE565C">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6379"/>
        <w:gridCol w:w="1927"/>
      </w:tblGrid>
      <w:tr w14:paraId="17A5E866">
        <w:tblPrEx>
          <w:tblCellMar>
            <w:top w:w="0" w:type="dxa"/>
            <w:left w:w="108" w:type="dxa"/>
            <w:bottom w:w="0" w:type="dxa"/>
            <w:right w:w="108" w:type="dxa"/>
          </w:tblCellMar>
        </w:tblPrEx>
        <w:tc>
          <w:tcPr>
            <w:tcW w:w="6379" w:type="dxa"/>
          </w:tcPr>
          <w:p w14:paraId="71D3F530">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1927" w:type="dxa"/>
          </w:tcPr>
          <w:p w14:paraId="6B72369C">
            <w:pPr>
              <w:spacing w:line="360" w:lineRule="auto"/>
              <w:rPr>
                <w:rFonts w:hint="eastAsia" w:ascii="黑体" w:hAnsi="黑体" w:eastAsia="黑体" w:cs="黑体"/>
                <w:color w:val="auto"/>
                <w:szCs w:val="21"/>
                <w:highlight w:val="none"/>
              </w:rPr>
            </w:pPr>
          </w:p>
        </w:tc>
      </w:tr>
      <w:tr w14:paraId="1F02A30A">
        <w:tblPrEx>
          <w:tblCellMar>
            <w:top w:w="0" w:type="dxa"/>
            <w:left w:w="108" w:type="dxa"/>
            <w:bottom w:w="0" w:type="dxa"/>
            <w:right w:w="108" w:type="dxa"/>
          </w:tblCellMar>
        </w:tblPrEx>
        <w:tc>
          <w:tcPr>
            <w:tcW w:w="6379" w:type="dxa"/>
          </w:tcPr>
          <w:p w14:paraId="52D14FE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1927" w:type="dxa"/>
          </w:tcPr>
          <w:p w14:paraId="42F3D36C">
            <w:pPr>
              <w:spacing w:line="360" w:lineRule="auto"/>
              <w:rPr>
                <w:rFonts w:hint="eastAsia" w:ascii="黑体" w:hAnsi="黑体" w:eastAsia="黑体" w:cs="黑体"/>
                <w:color w:val="auto"/>
                <w:szCs w:val="21"/>
                <w:highlight w:val="none"/>
              </w:rPr>
            </w:pPr>
          </w:p>
        </w:tc>
      </w:tr>
      <w:bookmarkEnd w:id="309"/>
      <w:bookmarkEnd w:id="310"/>
      <w:bookmarkEnd w:id="311"/>
    </w:tbl>
    <w:p w14:paraId="0AC41DF3">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12" w:name="_Toc405313976"/>
      <w:bookmarkStart w:id="313" w:name="_Toc13821101"/>
      <w:bookmarkStart w:id="314" w:name="_Toc391627772"/>
      <w:r>
        <w:rPr>
          <w:rStyle w:val="22"/>
          <w:rFonts w:hint="eastAsia" w:ascii="黑体" w:hAnsi="黑体" w:eastAsia="黑体" w:cs="黑体"/>
          <w:bCs w:val="0"/>
          <w:color w:val="auto"/>
          <w:spacing w:val="12"/>
          <w:highlight w:val="none"/>
        </w:rPr>
        <w:t>拟担任本项目主要负责人简历表</w:t>
      </w:r>
    </w:p>
    <w:p w14:paraId="20BDA57B">
      <w:pPr>
        <w:spacing w:before="624" w:beforeLines="200" w:after="312" w:afterLines="100" w:line="360" w:lineRule="auto"/>
        <w:jc w:val="center"/>
        <w:rPr>
          <w:rFonts w:hint="eastAsia" w:ascii="黑体" w:hAnsi="黑体" w:eastAsia="黑体" w:cs="黑体"/>
          <w:color w:val="auto"/>
          <w:szCs w:val="21"/>
          <w:highlight w:val="none"/>
        </w:rPr>
      </w:pPr>
      <w:r>
        <w:rPr>
          <w:rFonts w:hint="eastAsia" w:ascii="黑体" w:hAnsi="黑体" w:eastAsia="黑体" w:cs="黑体"/>
          <w:b/>
          <w:color w:val="auto"/>
          <w:spacing w:val="20"/>
          <w:sz w:val="28"/>
          <w:szCs w:val="28"/>
          <w:highlight w:val="none"/>
        </w:rPr>
        <w:t>拟担任本项目主要负责人简历表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726"/>
        <w:gridCol w:w="1323"/>
        <w:gridCol w:w="315"/>
        <w:gridCol w:w="179"/>
        <w:gridCol w:w="818"/>
        <w:gridCol w:w="530"/>
        <w:gridCol w:w="12"/>
        <w:gridCol w:w="1098"/>
        <w:gridCol w:w="423"/>
        <w:gridCol w:w="629"/>
        <w:gridCol w:w="399"/>
        <w:gridCol w:w="1357"/>
      </w:tblGrid>
      <w:tr w14:paraId="60B63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26822DF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姓名</w:t>
            </w:r>
          </w:p>
        </w:tc>
        <w:tc>
          <w:tcPr>
            <w:tcW w:w="1492" w:type="pct"/>
            <w:gridSpan w:val="4"/>
            <w:vAlign w:val="center"/>
          </w:tcPr>
          <w:p w14:paraId="6B2AEF44">
            <w:pPr>
              <w:jc w:val="center"/>
              <w:rPr>
                <w:rFonts w:hint="eastAsia" w:ascii="黑体" w:hAnsi="黑体" w:eastAsia="黑体" w:cs="黑体"/>
                <w:color w:val="auto"/>
                <w:szCs w:val="21"/>
                <w:highlight w:val="none"/>
              </w:rPr>
            </w:pPr>
          </w:p>
        </w:tc>
        <w:tc>
          <w:tcPr>
            <w:tcW w:w="480" w:type="pct"/>
            <w:vAlign w:val="center"/>
          </w:tcPr>
          <w:p w14:paraId="6929F1E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性别</w:t>
            </w:r>
          </w:p>
        </w:tc>
        <w:tc>
          <w:tcPr>
            <w:tcW w:w="962" w:type="pct"/>
            <w:gridSpan w:val="3"/>
            <w:vAlign w:val="center"/>
          </w:tcPr>
          <w:p w14:paraId="0932CC12">
            <w:pPr>
              <w:jc w:val="center"/>
              <w:rPr>
                <w:rFonts w:hint="eastAsia" w:ascii="黑体" w:hAnsi="黑体" w:eastAsia="黑体" w:cs="黑体"/>
                <w:color w:val="auto"/>
                <w:szCs w:val="21"/>
                <w:highlight w:val="none"/>
              </w:rPr>
            </w:pPr>
          </w:p>
        </w:tc>
        <w:tc>
          <w:tcPr>
            <w:tcW w:w="617" w:type="pct"/>
            <w:gridSpan w:val="2"/>
            <w:vAlign w:val="center"/>
          </w:tcPr>
          <w:p w14:paraId="7CCB8023">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年龄</w:t>
            </w:r>
          </w:p>
        </w:tc>
        <w:tc>
          <w:tcPr>
            <w:tcW w:w="1030" w:type="pct"/>
            <w:gridSpan w:val="2"/>
            <w:vAlign w:val="center"/>
          </w:tcPr>
          <w:p w14:paraId="25FFC85C">
            <w:pPr>
              <w:jc w:val="center"/>
              <w:rPr>
                <w:rFonts w:hint="eastAsia" w:ascii="黑体" w:hAnsi="黑体" w:eastAsia="黑体" w:cs="黑体"/>
                <w:color w:val="auto"/>
                <w:szCs w:val="21"/>
                <w:highlight w:val="none"/>
              </w:rPr>
            </w:pPr>
          </w:p>
        </w:tc>
      </w:tr>
      <w:tr w14:paraId="3A73E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A94F07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职务</w:t>
            </w:r>
          </w:p>
        </w:tc>
        <w:tc>
          <w:tcPr>
            <w:tcW w:w="1492" w:type="pct"/>
            <w:gridSpan w:val="4"/>
            <w:vAlign w:val="center"/>
          </w:tcPr>
          <w:p w14:paraId="4EDA71A1">
            <w:pPr>
              <w:jc w:val="center"/>
              <w:rPr>
                <w:rFonts w:hint="eastAsia" w:ascii="黑体" w:hAnsi="黑体" w:eastAsia="黑体" w:cs="黑体"/>
                <w:color w:val="auto"/>
                <w:szCs w:val="21"/>
                <w:highlight w:val="none"/>
              </w:rPr>
            </w:pPr>
          </w:p>
        </w:tc>
        <w:tc>
          <w:tcPr>
            <w:tcW w:w="480" w:type="pct"/>
            <w:vAlign w:val="center"/>
          </w:tcPr>
          <w:p w14:paraId="2D460A4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职称</w:t>
            </w:r>
          </w:p>
        </w:tc>
        <w:tc>
          <w:tcPr>
            <w:tcW w:w="962" w:type="pct"/>
            <w:gridSpan w:val="3"/>
            <w:vAlign w:val="center"/>
          </w:tcPr>
          <w:p w14:paraId="73040E24">
            <w:pPr>
              <w:jc w:val="center"/>
              <w:rPr>
                <w:rFonts w:hint="eastAsia" w:ascii="黑体" w:hAnsi="黑体" w:eastAsia="黑体" w:cs="黑体"/>
                <w:color w:val="auto"/>
                <w:szCs w:val="21"/>
                <w:highlight w:val="none"/>
              </w:rPr>
            </w:pPr>
          </w:p>
        </w:tc>
        <w:tc>
          <w:tcPr>
            <w:tcW w:w="617" w:type="pct"/>
            <w:gridSpan w:val="2"/>
            <w:vAlign w:val="center"/>
          </w:tcPr>
          <w:p w14:paraId="7D9F738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学历</w:t>
            </w:r>
          </w:p>
        </w:tc>
        <w:tc>
          <w:tcPr>
            <w:tcW w:w="1030" w:type="pct"/>
            <w:gridSpan w:val="2"/>
            <w:vAlign w:val="center"/>
          </w:tcPr>
          <w:p w14:paraId="69213825">
            <w:pPr>
              <w:jc w:val="center"/>
              <w:rPr>
                <w:rFonts w:hint="eastAsia" w:ascii="黑体" w:hAnsi="黑体" w:eastAsia="黑体" w:cs="黑体"/>
                <w:color w:val="auto"/>
                <w:szCs w:val="21"/>
                <w:highlight w:val="none"/>
              </w:rPr>
            </w:pPr>
          </w:p>
        </w:tc>
      </w:tr>
      <w:tr w14:paraId="2028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B417EFF">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参加工作时间</w:t>
            </w:r>
          </w:p>
        </w:tc>
        <w:tc>
          <w:tcPr>
            <w:tcW w:w="1081" w:type="pct"/>
            <w:gridSpan w:val="4"/>
            <w:vAlign w:val="center"/>
          </w:tcPr>
          <w:p w14:paraId="6AB1AF5C">
            <w:pPr>
              <w:jc w:val="center"/>
              <w:rPr>
                <w:rFonts w:hint="eastAsia" w:ascii="黑体" w:hAnsi="黑体" w:eastAsia="黑体" w:cs="黑体"/>
                <w:color w:val="auto"/>
                <w:szCs w:val="21"/>
                <w:highlight w:val="none"/>
              </w:rPr>
            </w:pPr>
          </w:p>
        </w:tc>
        <w:tc>
          <w:tcPr>
            <w:tcW w:w="1502" w:type="pct"/>
            <w:gridSpan w:val="5"/>
            <w:vAlign w:val="center"/>
          </w:tcPr>
          <w:p w14:paraId="3DA15B8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相关经验年限</w:t>
            </w:r>
          </w:p>
        </w:tc>
        <w:tc>
          <w:tcPr>
            <w:tcW w:w="797" w:type="pct"/>
            <w:vAlign w:val="center"/>
          </w:tcPr>
          <w:p w14:paraId="724019BC">
            <w:pPr>
              <w:jc w:val="center"/>
              <w:rPr>
                <w:rFonts w:hint="eastAsia" w:ascii="黑体" w:hAnsi="黑体" w:eastAsia="黑体" w:cs="黑体"/>
                <w:color w:val="auto"/>
                <w:szCs w:val="21"/>
                <w:highlight w:val="none"/>
              </w:rPr>
            </w:pPr>
          </w:p>
        </w:tc>
      </w:tr>
      <w:tr w14:paraId="1F131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411857D5">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资格证书名称、编号</w:t>
            </w:r>
          </w:p>
        </w:tc>
        <w:tc>
          <w:tcPr>
            <w:tcW w:w="3379" w:type="pct"/>
            <w:gridSpan w:val="10"/>
            <w:vAlign w:val="center"/>
          </w:tcPr>
          <w:p w14:paraId="5DEE6E87">
            <w:pPr>
              <w:jc w:val="center"/>
              <w:rPr>
                <w:rFonts w:hint="eastAsia" w:ascii="黑体" w:hAnsi="黑体" w:eastAsia="黑体" w:cs="黑体"/>
                <w:color w:val="auto"/>
                <w:szCs w:val="21"/>
                <w:highlight w:val="none"/>
              </w:rPr>
            </w:pPr>
          </w:p>
        </w:tc>
      </w:tr>
      <w:tr w14:paraId="4B18B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B5871F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目前在任及以往服务项目情况</w:t>
            </w:r>
          </w:p>
        </w:tc>
      </w:tr>
      <w:tr w14:paraId="1A0C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0DA813E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采购人</w:t>
            </w:r>
          </w:p>
        </w:tc>
        <w:tc>
          <w:tcPr>
            <w:tcW w:w="961" w:type="pct"/>
            <w:gridSpan w:val="2"/>
            <w:vAlign w:val="center"/>
          </w:tcPr>
          <w:p w14:paraId="041013FC">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项目名称</w:t>
            </w:r>
          </w:p>
        </w:tc>
        <w:tc>
          <w:tcPr>
            <w:tcW w:w="903" w:type="pct"/>
            <w:gridSpan w:val="4"/>
            <w:vAlign w:val="center"/>
          </w:tcPr>
          <w:p w14:paraId="77DB4B36">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项目规模</w:t>
            </w:r>
          </w:p>
        </w:tc>
        <w:tc>
          <w:tcPr>
            <w:tcW w:w="892" w:type="pct"/>
            <w:gridSpan w:val="2"/>
            <w:vAlign w:val="center"/>
          </w:tcPr>
          <w:p w14:paraId="32E15E50">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所任职务</w:t>
            </w:r>
          </w:p>
        </w:tc>
        <w:tc>
          <w:tcPr>
            <w:tcW w:w="1398" w:type="pct"/>
            <w:gridSpan w:val="3"/>
            <w:vAlign w:val="center"/>
          </w:tcPr>
          <w:p w14:paraId="0AEBFB1B">
            <w:pPr>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起止时间</w:t>
            </w:r>
          </w:p>
        </w:tc>
      </w:tr>
      <w:tr w14:paraId="7B5EF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93BBDE">
            <w:pPr>
              <w:jc w:val="center"/>
              <w:rPr>
                <w:rFonts w:hint="eastAsia" w:ascii="黑体" w:hAnsi="黑体" w:eastAsia="黑体" w:cs="黑体"/>
                <w:color w:val="auto"/>
                <w:szCs w:val="21"/>
                <w:highlight w:val="none"/>
              </w:rPr>
            </w:pPr>
          </w:p>
        </w:tc>
        <w:tc>
          <w:tcPr>
            <w:tcW w:w="961" w:type="pct"/>
            <w:gridSpan w:val="2"/>
            <w:vAlign w:val="center"/>
          </w:tcPr>
          <w:p w14:paraId="619B1F3E">
            <w:pPr>
              <w:jc w:val="center"/>
              <w:rPr>
                <w:rFonts w:hint="eastAsia" w:ascii="黑体" w:hAnsi="黑体" w:eastAsia="黑体" w:cs="黑体"/>
                <w:color w:val="auto"/>
                <w:szCs w:val="21"/>
                <w:highlight w:val="none"/>
              </w:rPr>
            </w:pPr>
          </w:p>
        </w:tc>
        <w:tc>
          <w:tcPr>
            <w:tcW w:w="903" w:type="pct"/>
            <w:gridSpan w:val="4"/>
            <w:vAlign w:val="center"/>
          </w:tcPr>
          <w:p w14:paraId="170A876F">
            <w:pPr>
              <w:jc w:val="center"/>
              <w:rPr>
                <w:rFonts w:hint="eastAsia" w:ascii="黑体" w:hAnsi="黑体" w:eastAsia="黑体" w:cs="黑体"/>
                <w:color w:val="auto"/>
                <w:szCs w:val="21"/>
                <w:highlight w:val="none"/>
              </w:rPr>
            </w:pPr>
          </w:p>
        </w:tc>
        <w:tc>
          <w:tcPr>
            <w:tcW w:w="892" w:type="pct"/>
            <w:gridSpan w:val="2"/>
            <w:vAlign w:val="center"/>
          </w:tcPr>
          <w:p w14:paraId="09FA751C">
            <w:pPr>
              <w:jc w:val="center"/>
              <w:rPr>
                <w:rFonts w:hint="eastAsia" w:ascii="黑体" w:hAnsi="黑体" w:eastAsia="黑体" w:cs="黑体"/>
                <w:color w:val="auto"/>
                <w:szCs w:val="21"/>
                <w:highlight w:val="none"/>
              </w:rPr>
            </w:pPr>
          </w:p>
        </w:tc>
        <w:tc>
          <w:tcPr>
            <w:tcW w:w="1398" w:type="pct"/>
            <w:gridSpan w:val="3"/>
            <w:vAlign w:val="center"/>
          </w:tcPr>
          <w:p w14:paraId="686B6718">
            <w:pPr>
              <w:jc w:val="center"/>
              <w:rPr>
                <w:rFonts w:hint="eastAsia" w:ascii="黑体" w:hAnsi="黑体" w:eastAsia="黑体" w:cs="黑体"/>
                <w:color w:val="auto"/>
                <w:szCs w:val="21"/>
                <w:highlight w:val="none"/>
              </w:rPr>
            </w:pPr>
          </w:p>
        </w:tc>
      </w:tr>
      <w:tr w14:paraId="416E9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6712E8F">
            <w:pPr>
              <w:jc w:val="center"/>
              <w:rPr>
                <w:rFonts w:hint="eastAsia" w:ascii="黑体" w:hAnsi="黑体" w:eastAsia="黑体" w:cs="黑体"/>
                <w:color w:val="auto"/>
                <w:szCs w:val="21"/>
                <w:highlight w:val="none"/>
              </w:rPr>
            </w:pPr>
          </w:p>
        </w:tc>
        <w:tc>
          <w:tcPr>
            <w:tcW w:w="961" w:type="pct"/>
            <w:gridSpan w:val="2"/>
            <w:vAlign w:val="center"/>
          </w:tcPr>
          <w:p w14:paraId="3F13CE22">
            <w:pPr>
              <w:jc w:val="center"/>
              <w:rPr>
                <w:rFonts w:hint="eastAsia" w:ascii="黑体" w:hAnsi="黑体" w:eastAsia="黑体" w:cs="黑体"/>
                <w:color w:val="auto"/>
                <w:szCs w:val="21"/>
                <w:highlight w:val="none"/>
              </w:rPr>
            </w:pPr>
          </w:p>
        </w:tc>
        <w:tc>
          <w:tcPr>
            <w:tcW w:w="903" w:type="pct"/>
            <w:gridSpan w:val="4"/>
            <w:vAlign w:val="center"/>
          </w:tcPr>
          <w:p w14:paraId="75D7D24E">
            <w:pPr>
              <w:jc w:val="center"/>
              <w:rPr>
                <w:rFonts w:hint="eastAsia" w:ascii="黑体" w:hAnsi="黑体" w:eastAsia="黑体" w:cs="黑体"/>
                <w:color w:val="auto"/>
                <w:szCs w:val="21"/>
                <w:highlight w:val="none"/>
              </w:rPr>
            </w:pPr>
          </w:p>
        </w:tc>
        <w:tc>
          <w:tcPr>
            <w:tcW w:w="892" w:type="pct"/>
            <w:gridSpan w:val="2"/>
            <w:vAlign w:val="center"/>
          </w:tcPr>
          <w:p w14:paraId="73ABE003">
            <w:pPr>
              <w:jc w:val="center"/>
              <w:rPr>
                <w:rFonts w:hint="eastAsia" w:ascii="黑体" w:hAnsi="黑体" w:eastAsia="黑体" w:cs="黑体"/>
                <w:color w:val="auto"/>
                <w:szCs w:val="21"/>
                <w:highlight w:val="none"/>
              </w:rPr>
            </w:pPr>
          </w:p>
        </w:tc>
        <w:tc>
          <w:tcPr>
            <w:tcW w:w="1398" w:type="pct"/>
            <w:gridSpan w:val="3"/>
            <w:vAlign w:val="center"/>
          </w:tcPr>
          <w:p w14:paraId="23BDBFAA">
            <w:pPr>
              <w:jc w:val="center"/>
              <w:rPr>
                <w:rFonts w:hint="eastAsia" w:ascii="黑体" w:hAnsi="黑体" w:eastAsia="黑体" w:cs="黑体"/>
                <w:color w:val="auto"/>
                <w:szCs w:val="21"/>
                <w:highlight w:val="none"/>
              </w:rPr>
            </w:pPr>
          </w:p>
        </w:tc>
      </w:tr>
      <w:tr w14:paraId="2E43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AC55247">
            <w:pPr>
              <w:jc w:val="center"/>
              <w:rPr>
                <w:rFonts w:hint="eastAsia" w:ascii="黑体" w:hAnsi="黑体" w:eastAsia="黑体" w:cs="黑体"/>
                <w:color w:val="auto"/>
                <w:szCs w:val="21"/>
                <w:highlight w:val="none"/>
              </w:rPr>
            </w:pPr>
          </w:p>
        </w:tc>
        <w:tc>
          <w:tcPr>
            <w:tcW w:w="961" w:type="pct"/>
            <w:gridSpan w:val="2"/>
            <w:vAlign w:val="center"/>
          </w:tcPr>
          <w:p w14:paraId="0EF248D6">
            <w:pPr>
              <w:jc w:val="center"/>
              <w:rPr>
                <w:rFonts w:hint="eastAsia" w:ascii="黑体" w:hAnsi="黑体" w:eastAsia="黑体" w:cs="黑体"/>
                <w:color w:val="auto"/>
                <w:szCs w:val="21"/>
                <w:highlight w:val="none"/>
              </w:rPr>
            </w:pPr>
          </w:p>
        </w:tc>
        <w:tc>
          <w:tcPr>
            <w:tcW w:w="903" w:type="pct"/>
            <w:gridSpan w:val="4"/>
            <w:vAlign w:val="center"/>
          </w:tcPr>
          <w:p w14:paraId="7FE0E173">
            <w:pPr>
              <w:jc w:val="center"/>
              <w:rPr>
                <w:rFonts w:hint="eastAsia" w:ascii="黑体" w:hAnsi="黑体" w:eastAsia="黑体" w:cs="黑体"/>
                <w:color w:val="auto"/>
                <w:szCs w:val="21"/>
                <w:highlight w:val="none"/>
              </w:rPr>
            </w:pPr>
          </w:p>
        </w:tc>
        <w:tc>
          <w:tcPr>
            <w:tcW w:w="892" w:type="pct"/>
            <w:gridSpan w:val="2"/>
            <w:vAlign w:val="center"/>
          </w:tcPr>
          <w:p w14:paraId="71360351">
            <w:pPr>
              <w:jc w:val="center"/>
              <w:rPr>
                <w:rFonts w:hint="eastAsia" w:ascii="黑体" w:hAnsi="黑体" w:eastAsia="黑体" w:cs="黑体"/>
                <w:color w:val="auto"/>
                <w:szCs w:val="21"/>
                <w:highlight w:val="none"/>
              </w:rPr>
            </w:pPr>
          </w:p>
        </w:tc>
        <w:tc>
          <w:tcPr>
            <w:tcW w:w="1398" w:type="pct"/>
            <w:gridSpan w:val="3"/>
            <w:vAlign w:val="center"/>
          </w:tcPr>
          <w:p w14:paraId="402A3515">
            <w:pPr>
              <w:jc w:val="center"/>
              <w:rPr>
                <w:rFonts w:hint="eastAsia" w:ascii="黑体" w:hAnsi="黑体" w:eastAsia="黑体" w:cs="黑体"/>
                <w:color w:val="auto"/>
                <w:szCs w:val="21"/>
                <w:highlight w:val="none"/>
              </w:rPr>
            </w:pPr>
          </w:p>
        </w:tc>
      </w:tr>
      <w:tr w14:paraId="64184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70CB63E">
            <w:pPr>
              <w:jc w:val="center"/>
              <w:rPr>
                <w:rFonts w:hint="eastAsia" w:ascii="黑体" w:hAnsi="黑体" w:eastAsia="黑体" w:cs="黑体"/>
                <w:color w:val="auto"/>
                <w:szCs w:val="21"/>
                <w:highlight w:val="none"/>
              </w:rPr>
            </w:pPr>
          </w:p>
        </w:tc>
        <w:tc>
          <w:tcPr>
            <w:tcW w:w="961" w:type="pct"/>
            <w:gridSpan w:val="2"/>
            <w:vAlign w:val="center"/>
          </w:tcPr>
          <w:p w14:paraId="6DB863A1">
            <w:pPr>
              <w:jc w:val="center"/>
              <w:rPr>
                <w:rFonts w:hint="eastAsia" w:ascii="黑体" w:hAnsi="黑体" w:eastAsia="黑体" w:cs="黑体"/>
                <w:color w:val="auto"/>
                <w:szCs w:val="21"/>
                <w:highlight w:val="none"/>
              </w:rPr>
            </w:pPr>
          </w:p>
        </w:tc>
        <w:tc>
          <w:tcPr>
            <w:tcW w:w="903" w:type="pct"/>
            <w:gridSpan w:val="4"/>
            <w:vAlign w:val="center"/>
          </w:tcPr>
          <w:p w14:paraId="55D30209">
            <w:pPr>
              <w:jc w:val="center"/>
              <w:rPr>
                <w:rFonts w:hint="eastAsia" w:ascii="黑体" w:hAnsi="黑体" w:eastAsia="黑体" w:cs="黑体"/>
                <w:color w:val="auto"/>
                <w:szCs w:val="21"/>
                <w:highlight w:val="none"/>
              </w:rPr>
            </w:pPr>
          </w:p>
        </w:tc>
        <w:tc>
          <w:tcPr>
            <w:tcW w:w="892" w:type="pct"/>
            <w:gridSpan w:val="2"/>
            <w:vAlign w:val="center"/>
          </w:tcPr>
          <w:p w14:paraId="1B01F880">
            <w:pPr>
              <w:jc w:val="center"/>
              <w:rPr>
                <w:rFonts w:hint="eastAsia" w:ascii="黑体" w:hAnsi="黑体" w:eastAsia="黑体" w:cs="黑体"/>
                <w:color w:val="auto"/>
                <w:szCs w:val="21"/>
                <w:highlight w:val="none"/>
              </w:rPr>
            </w:pPr>
          </w:p>
        </w:tc>
        <w:tc>
          <w:tcPr>
            <w:tcW w:w="1398" w:type="pct"/>
            <w:gridSpan w:val="3"/>
            <w:vAlign w:val="center"/>
          </w:tcPr>
          <w:p w14:paraId="35A70930">
            <w:pPr>
              <w:jc w:val="center"/>
              <w:rPr>
                <w:rFonts w:hint="eastAsia" w:ascii="黑体" w:hAnsi="黑体" w:eastAsia="黑体" w:cs="黑体"/>
                <w:color w:val="auto"/>
                <w:szCs w:val="21"/>
                <w:highlight w:val="none"/>
              </w:rPr>
            </w:pPr>
          </w:p>
        </w:tc>
      </w:tr>
      <w:tr w14:paraId="5434F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1D85BF8">
            <w:pPr>
              <w:jc w:val="center"/>
              <w:rPr>
                <w:rFonts w:hint="eastAsia" w:ascii="黑体" w:hAnsi="黑体" w:eastAsia="黑体" w:cs="黑体"/>
                <w:color w:val="auto"/>
                <w:szCs w:val="21"/>
                <w:highlight w:val="none"/>
              </w:rPr>
            </w:pPr>
          </w:p>
        </w:tc>
        <w:tc>
          <w:tcPr>
            <w:tcW w:w="961" w:type="pct"/>
            <w:gridSpan w:val="2"/>
            <w:vAlign w:val="center"/>
          </w:tcPr>
          <w:p w14:paraId="344D06A5">
            <w:pPr>
              <w:jc w:val="center"/>
              <w:rPr>
                <w:rFonts w:hint="eastAsia" w:ascii="黑体" w:hAnsi="黑体" w:eastAsia="黑体" w:cs="黑体"/>
                <w:color w:val="auto"/>
                <w:szCs w:val="21"/>
                <w:highlight w:val="none"/>
              </w:rPr>
            </w:pPr>
          </w:p>
        </w:tc>
        <w:tc>
          <w:tcPr>
            <w:tcW w:w="903" w:type="pct"/>
            <w:gridSpan w:val="4"/>
            <w:vAlign w:val="center"/>
          </w:tcPr>
          <w:p w14:paraId="0A04C1B6">
            <w:pPr>
              <w:jc w:val="center"/>
              <w:rPr>
                <w:rFonts w:hint="eastAsia" w:ascii="黑体" w:hAnsi="黑体" w:eastAsia="黑体" w:cs="黑体"/>
                <w:color w:val="auto"/>
                <w:szCs w:val="21"/>
                <w:highlight w:val="none"/>
              </w:rPr>
            </w:pPr>
          </w:p>
        </w:tc>
        <w:tc>
          <w:tcPr>
            <w:tcW w:w="892" w:type="pct"/>
            <w:gridSpan w:val="2"/>
            <w:vAlign w:val="center"/>
          </w:tcPr>
          <w:p w14:paraId="73880774">
            <w:pPr>
              <w:jc w:val="center"/>
              <w:rPr>
                <w:rFonts w:hint="eastAsia" w:ascii="黑体" w:hAnsi="黑体" w:eastAsia="黑体" w:cs="黑体"/>
                <w:color w:val="auto"/>
                <w:szCs w:val="21"/>
                <w:highlight w:val="none"/>
              </w:rPr>
            </w:pPr>
          </w:p>
        </w:tc>
        <w:tc>
          <w:tcPr>
            <w:tcW w:w="1398" w:type="pct"/>
            <w:gridSpan w:val="3"/>
            <w:vAlign w:val="center"/>
          </w:tcPr>
          <w:p w14:paraId="4492F104">
            <w:pPr>
              <w:jc w:val="center"/>
              <w:rPr>
                <w:rFonts w:hint="eastAsia" w:ascii="黑体" w:hAnsi="黑体" w:eastAsia="黑体" w:cs="黑体"/>
                <w:color w:val="auto"/>
                <w:szCs w:val="21"/>
                <w:highlight w:val="none"/>
              </w:rPr>
            </w:pPr>
          </w:p>
        </w:tc>
      </w:tr>
      <w:tr w14:paraId="733B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E8D239D">
            <w:pPr>
              <w:jc w:val="center"/>
              <w:rPr>
                <w:rFonts w:hint="eastAsia" w:ascii="黑体" w:hAnsi="黑体" w:eastAsia="黑体" w:cs="黑体"/>
                <w:color w:val="auto"/>
                <w:szCs w:val="21"/>
                <w:highlight w:val="none"/>
              </w:rPr>
            </w:pPr>
          </w:p>
        </w:tc>
        <w:tc>
          <w:tcPr>
            <w:tcW w:w="961" w:type="pct"/>
            <w:gridSpan w:val="2"/>
            <w:vAlign w:val="center"/>
          </w:tcPr>
          <w:p w14:paraId="579BF841">
            <w:pPr>
              <w:jc w:val="center"/>
              <w:rPr>
                <w:rFonts w:hint="eastAsia" w:ascii="黑体" w:hAnsi="黑体" w:eastAsia="黑体" w:cs="黑体"/>
                <w:color w:val="auto"/>
                <w:szCs w:val="21"/>
                <w:highlight w:val="none"/>
              </w:rPr>
            </w:pPr>
          </w:p>
        </w:tc>
        <w:tc>
          <w:tcPr>
            <w:tcW w:w="903" w:type="pct"/>
            <w:gridSpan w:val="4"/>
            <w:vAlign w:val="center"/>
          </w:tcPr>
          <w:p w14:paraId="158FB4A0">
            <w:pPr>
              <w:jc w:val="center"/>
              <w:rPr>
                <w:rFonts w:hint="eastAsia" w:ascii="黑体" w:hAnsi="黑体" w:eastAsia="黑体" w:cs="黑体"/>
                <w:color w:val="auto"/>
                <w:szCs w:val="21"/>
                <w:highlight w:val="none"/>
              </w:rPr>
            </w:pPr>
          </w:p>
        </w:tc>
        <w:tc>
          <w:tcPr>
            <w:tcW w:w="892" w:type="pct"/>
            <w:gridSpan w:val="2"/>
            <w:vAlign w:val="center"/>
          </w:tcPr>
          <w:p w14:paraId="45111DE4">
            <w:pPr>
              <w:jc w:val="center"/>
              <w:rPr>
                <w:rFonts w:hint="eastAsia" w:ascii="黑体" w:hAnsi="黑体" w:eastAsia="黑体" w:cs="黑体"/>
                <w:color w:val="auto"/>
                <w:szCs w:val="21"/>
                <w:highlight w:val="none"/>
              </w:rPr>
            </w:pPr>
          </w:p>
        </w:tc>
        <w:tc>
          <w:tcPr>
            <w:tcW w:w="1398" w:type="pct"/>
            <w:gridSpan w:val="3"/>
            <w:vAlign w:val="center"/>
          </w:tcPr>
          <w:p w14:paraId="3CB47D69">
            <w:pPr>
              <w:jc w:val="center"/>
              <w:rPr>
                <w:rFonts w:hint="eastAsia" w:ascii="黑体" w:hAnsi="黑体" w:eastAsia="黑体" w:cs="黑体"/>
                <w:color w:val="auto"/>
                <w:szCs w:val="21"/>
                <w:highlight w:val="none"/>
              </w:rPr>
            </w:pPr>
          </w:p>
        </w:tc>
      </w:tr>
      <w:tr w14:paraId="24ADF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C1444DC">
            <w:pPr>
              <w:jc w:val="center"/>
              <w:rPr>
                <w:rFonts w:hint="eastAsia" w:ascii="黑体" w:hAnsi="黑体" w:eastAsia="黑体" w:cs="黑体"/>
                <w:color w:val="auto"/>
                <w:szCs w:val="21"/>
                <w:highlight w:val="none"/>
              </w:rPr>
            </w:pPr>
          </w:p>
        </w:tc>
        <w:tc>
          <w:tcPr>
            <w:tcW w:w="961" w:type="pct"/>
            <w:gridSpan w:val="2"/>
            <w:vAlign w:val="center"/>
          </w:tcPr>
          <w:p w14:paraId="10A29BF1">
            <w:pPr>
              <w:jc w:val="center"/>
              <w:rPr>
                <w:rFonts w:hint="eastAsia" w:ascii="黑体" w:hAnsi="黑体" w:eastAsia="黑体" w:cs="黑体"/>
                <w:color w:val="auto"/>
                <w:szCs w:val="21"/>
                <w:highlight w:val="none"/>
              </w:rPr>
            </w:pPr>
          </w:p>
        </w:tc>
        <w:tc>
          <w:tcPr>
            <w:tcW w:w="903" w:type="pct"/>
            <w:gridSpan w:val="4"/>
            <w:vAlign w:val="center"/>
          </w:tcPr>
          <w:p w14:paraId="4945353B">
            <w:pPr>
              <w:jc w:val="center"/>
              <w:rPr>
                <w:rFonts w:hint="eastAsia" w:ascii="黑体" w:hAnsi="黑体" w:eastAsia="黑体" w:cs="黑体"/>
                <w:color w:val="auto"/>
                <w:szCs w:val="21"/>
                <w:highlight w:val="none"/>
              </w:rPr>
            </w:pPr>
          </w:p>
        </w:tc>
        <w:tc>
          <w:tcPr>
            <w:tcW w:w="892" w:type="pct"/>
            <w:gridSpan w:val="2"/>
            <w:vAlign w:val="center"/>
          </w:tcPr>
          <w:p w14:paraId="7F17F99D">
            <w:pPr>
              <w:jc w:val="center"/>
              <w:rPr>
                <w:rFonts w:hint="eastAsia" w:ascii="黑体" w:hAnsi="黑体" w:eastAsia="黑体" w:cs="黑体"/>
                <w:color w:val="auto"/>
                <w:szCs w:val="21"/>
                <w:highlight w:val="none"/>
              </w:rPr>
            </w:pPr>
          </w:p>
        </w:tc>
        <w:tc>
          <w:tcPr>
            <w:tcW w:w="1398" w:type="pct"/>
            <w:gridSpan w:val="3"/>
            <w:vAlign w:val="center"/>
          </w:tcPr>
          <w:p w14:paraId="55CFEC6D">
            <w:pPr>
              <w:jc w:val="center"/>
              <w:rPr>
                <w:rFonts w:hint="eastAsia" w:ascii="黑体" w:hAnsi="黑体" w:eastAsia="黑体" w:cs="黑体"/>
                <w:color w:val="auto"/>
                <w:szCs w:val="21"/>
                <w:highlight w:val="none"/>
              </w:rPr>
            </w:pPr>
          </w:p>
        </w:tc>
      </w:tr>
    </w:tbl>
    <w:p w14:paraId="41D45AD7">
      <w:pPr>
        <w:spacing w:line="360" w:lineRule="auto"/>
        <w:rPr>
          <w:rFonts w:hint="eastAsia" w:ascii="黑体" w:hAnsi="黑体" w:eastAsia="黑体" w:cs="黑体"/>
          <w:color w:val="auto"/>
          <w:szCs w:val="21"/>
          <w:highlight w:val="none"/>
        </w:rPr>
      </w:pPr>
    </w:p>
    <w:p w14:paraId="0AADB603">
      <w:pPr>
        <w:spacing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237"/>
        <w:gridCol w:w="2069"/>
      </w:tblGrid>
      <w:tr w14:paraId="3FAAD99D">
        <w:tblPrEx>
          <w:tblCellMar>
            <w:top w:w="0" w:type="dxa"/>
            <w:left w:w="108" w:type="dxa"/>
            <w:bottom w:w="0" w:type="dxa"/>
            <w:right w:w="108" w:type="dxa"/>
          </w:tblCellMar>
        </w:tblPrEx>
        <w:tc>
          <w:tcPr>
            <w:tcW w:w="6237" w:type="dxa"/>
          </w:tcPr>
          <w:p w14:paraId="452C44A4">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2069" w:type="dxa"/>
          </w:tcPr>
          <w:p w14:paraId="4E522038">
            <w:pPr>
              <w:spacing w:line="360" w:lineRule="auto"/>
              <w:rPr>
                <w:rFonts w:hint="eastAsia" w:ascii="黑体" w:hAnsi="黑体" w:eastAsia="黑体" w:cs="黑体"/>
                <w:color w:val="auto"/>
                <w:szCs w:val="21"/>
                <w:highlight w:val="none"/>
              </w:rPr>
            </w:pPr>
          </w:p>
        </w:tc>
      </w:tr>
      <w:tr w14:paraId="1DA62E27">
        <w:tblPrEx>
          <w:tblCellMar>
            <w:top w:w="0" w:type="dxa"/>
            <w:left w:w="108" w:type="dxa"/>
            <w:bottom w:w="0" w:type="dxa"/>
            <w:right w:w="108" w:type="dxa"/>
          </w:tblCellMar>
        </w:tblPrEx>
        <w:tc>
          <w:tcPr>
            <w:tcW w:w="6237" w:type="dxa"/>
          </w:tcPr>
          <w:p w14:paraId="186B2AA3">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2069" w:type="dxa"/>
          </w:tcPr>
          <w:p w14:paraId="624F7772">
            <w:pPr>
              <w:spacing w:line="360" w:lineRule="auto"/>
              <w:rPr>
                <w:rFonts w:hint="eastAsia" w:ascii="黑体" w:hAnsi="黑体" w:eastAsia="黑体" w:cs="黑体"/>
                <w:color w:val="auto"/>
                <w:szCs w:val="21"/>
                <w:highlight w:val="none"/>
              </w:rPr>
            </w:pPr>
          </w:p>
        </w:tc>
      </w:tr>
    </w:tbl>
    <w:p w14:paraId="0B454A90">
      <w:pPr>
        <w:spacing w:line="360" w:lineRule="auto"/>
        <w:rPr>
          <w:rFonts w:hint="eastAsia" w:ascii="黑体" w:hAnsi="黑体" w:eastAsia="黑体" w:cs="黑体"/>
          <w:color w:val="auto"/>
          <w:szCs w:val="21"/>
          <w:highlight w:val="none"/>
        </w:rPr>
      </w:pPr>
    </w:p>
    <w:bookmarkEnd w:id="312"/>
    <w:bookmarkEnd w:id="313"/>
    <w:bookmarkEnd w:id="314"/>
    <w:p w14:paraId="141A889A">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15" w:name="_Toc90980158"/>
      <w:bookmarkStart w:id="316" w:name="_Toc91018665"/>
      <w:r>
        <w:rPr>
          <w:rStyle w:val="22"/>
          <w:rFonts w:hint="eastAsia" w:ascii="黑体" w:hAnsi="黑体" w:eastAsia="黑体" w:cs="黑体"/>
          <w:bCs w:val="0"/>
          <w:color w:val="auto"/>
          <w:spacing w:val="12"/>
          <w:highlight w:val="none"/>
        </w:rPr>
        <w:t>技术要求偏离表</w:t>
      </w:r>
      <w:bookmarkEnd w:id="315"/>
      <w:bookmarkEnd w:id="316"/>
    </w:p>
    <w:p w14:paraId="58F74260">
      <w:pPr>
        <w:spacing w:before="312" w:beforeLines="100" w:after="468" w:afterLines="15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091C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20BA5330">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序号</w:t>
            </w:r>
          </w:p>
        </w:tc>
        <w:tc>
          <w:tcPr>
            <w:tcW w:w="2352" w:type="dxa"/>
            <w:vAlign w:val="center"/>
          </w:tcPr>
          <w:p w14:paraId="27162B03">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采购文件要求</w:t>
            </w:r>
          </w:p>
        </w:tc>
        <w:tc>
          <w:tcPr>
            <w:tcW w:w="2126" w:type="dxa"/>
            <w:vAlign w:val="center"/>
          </w:tcPr>
          <w:p w14:paraId="187CCC03">
            <w:pPr>
              <w:jc w:val="center"/>
              <w:rPr>
                <w:rFonts w:hint="eastAsia" w:ascii="黑体" w:hAnsi="黑体" w:eastAsia="黑体" w:cs="黑体"/>
                <w:b/>
                <w:color w:val="auto"/>
                <w:szCs w:val="21"/>
                <w:highlight w:val="none"/>
              </w:rPr>
            </w:pPr>
            <w:r>
              <w:rPr>
                <w:rFonts w:hint="eastAsia" w:ascii="黑体" w:hAnsi="黑体" w:eastAsia="黑体" w:cs="黑体"/>
                <w:b/>
                <w:bCs/>
                <w:color w:val="auto"/>
                <w:szCs w:val="21"/>
                <w:highlight w:val="none"/>
              </w:rPr>
              <w:t>响应文件响应内容</w:t>
            </w:r>
          </w:p>
        </w:tc>
        <w:tc>
          <w:tcPr>
            <w:tcW w:w="1644" w:type="dxa"/>
            <w:vAlign w:val="center"/>
          </w:tcPr>
          <w:p w14:paraId="06AB523B">
            <w:pPr>
              <w:ind w:left="293" w:hanging="293" w:hangingChars="139"/>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偏离情况</w:t>
            </w:r>
          </w:p>
        </w:tc>
        <w:tc>
          <w:tcPr>
            <w:tcW w:w="1575" w:type="dxa"/>
            <w:vAlign w:val="center"/>
          </w:tcPr>
          <w:p w14:paraId="757E4B51">
            <w:pPr>
              <w:jc w:val="center"/>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说明</w:t>
            </w:r>
          </w:p>
        </w:tc>
      </w:tr>
      <w:tr w14:paraId="47F71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1E574AF6">
            <w:pPr>
              <w:spacing w:line="360" w:lineRule="auto"/>
              <w:jc w:val="center"/>
              <w:rPr>
                <w:rFonts w:hint="eastAsia" w:ascii="黑体" w:hAnsi="黑体" w:eastAsia="黑体" w:cs="黑体"/>
                <w:color w:val="auto"/>
                <w:szCs w:val="21"/>
                <w:highlight w:val="none"/>
              </w:rPr>
            </w:pPr>
          </w:p>
        </w:tc>
        <w:tc>
          <w:tcPr>
            <w:tcW w:w="2352" w:type="dxa"/>
            <w:vAlign w:val="center"/>
          </w:tcPr>
          <w:p w14:paraId="15E391F1">
            <w:pPr>
              <w:spacing w:line="360" w:lineRule="auto"/>
              <w:jc w:val="center"/>
              <w:rPr>
                <w:rFonts w:hint="eastAsia" w:ascii="黑体" w:hAnsi="黑体" w:eastAsia="黑体" w:cs="黑体"/>
                <w:color w:val="auto"/>
                <w:szCs w:val="21"/>
                <w:highlight w:val="none"/>
              </w:rPr>
            </w:pPr>
          </w:p>
        </w:tc>
        <w:tc>
          <w:tcPr>
            <w:tcW w:w="2126" w:type="dxa"/>
            <w:vAlign w:val="center"/>
          </w:tcPr>
          <w:p w14:paraId="56628478">
            <w:pPr>
              <w:spacing w:line="360" w:lineRule="auto"/>
              <w:jc w:val="center"/>
              <w:rPr>
                <w:rFonts w:hint="eastAsia" w:ascii="黑体" w:hAnsi="黑体" w:eastAsia="黑体" w:cs="黑体"/>
                <w:color w:val="auto"/>
                <w:szCs w:val="21"/>
                <w:highlight w:val="none"/>
              </w:rPr>
            </w:pPr>
          </w:p>
        </w:tc>
        <w:tc>
          <w:tcPr>
            <w:tcW w:w="1644" w:type="dxa"/>
            <w:vAlign w:val="center"/>
          </w:tcPr>
          <w:p w14:paraId="1C80D918">
            <w:pPr>
              <w:spacing w:line="360" w:lineRule="auto"/>
              <w:jc w:val="center"/>
              <w:rPr>
                <w:rFonts w:hint="eastAsia" w:ascii="黑体" w:hAnsi="黑体" w:eastAsia="黑体" w:cs="黑体"/>
                <w:color w:val="auto"/>
                <w:szCs w:val="21"/>
                <w:highlight w:val="none"/>
              </w:rPr>
            </w:pPr>
          </w:p>
        </w:tc>
        <w:tc>
          <w:tcPr>
            <w:tcW w:w="1575" w:type="dxa"/>
            <w:vAlign w:val="center"/>
          </w:tcPr>
          <w:p w14:paraId="16153DF8">
            <w:pPr>
              <w:spacing w:line="360" w:lineRule="auto"/>
              <w:jc w:val="center"/>
              <w:rPr>
                <w:rFonts w:hint="eastAsia" w:ascii="黑体" w:hAnsi="黑体" w:eastAsia="黑体" w:cs="黑体"/>
                <w:color w:val="auto"/>
                <w:szCs w:val="21"/>
                <w:highlight w:val="none"/>
              </w:rPr>
            </w:pPr>
          </w:p>
        </w:tc>
      </w:tr>
      <w:tr w14:paraId="4FB42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6DDA5D25">
            <w:pPr>
              <w:spacing w:line="360" w:lineRule="auto"/>
              <w:jc w:val="center"/>
              <w:rPr>
                <w:rFonts w:hint="eastAsia" w:ascii="黑体" w:hAnsi="黑体" w:eastAsia="黑体" w:cs="黑体"/>
                <w:color w:val="auto"/>
                <w:szCs w:val="21"/>
                <w:highlight w:val="none"/>
              </w:rPr>
            </w:pPr>
          </w:p>
        </w:tc>
        <w:tc>
          <w:tcPr>
            <w:tcW w:w="2352" w:type="dxa"/>
            <w:vAlign w:val="center"/>
          </w:tcPr>
          <w:p w14:paraId="6D343F70">
            <w:pPr>
              <w:spacing w:line="360" w:lineRule="auto"/>
              <w:jc w:val="center"/>
              <w:rPr>
                <w:rFonts w:hint="eastAsia" w:ascii="黑体" w:hAnsi="黑体" w:eastAsia="黑体" w:cs="黑体"/>
                <w:color w:val="auto"/>
                <w:szCs w:val="21"/>
                <w:highlight w:val="none"/>
              </w:rPr>
            </w:pPr>
          </w:p>
        </w:tc>
        <w:tc>
          <w:tcPr>
            <w:tcW w:w="2126" w:type="dxa"/>
            <w:vAlign w:val="center"/>
          </w:tcPr>
          <w:p w14:paraId="08729437">
            <w:pPr>
              <w:spacing w:line="360" w:lineRule="auto"/>
              <w:jc w:val="center"/>
              <w:rPr>
                <w:rFonts w:hint="eastAsia" w:ascii="黑体" w:hAnsi="黑体" w:eastAsia="黑体" w:cs="黑体"/>
                <w:color w:val="auto"/>
                <w:szCs w:val="21"/>
                <w:highlight w:val="none"/>
              </w:rPr>
            </w:pPr>
          </w:p>
        </w:tc>
        <w:tc>
          <w:tcPr>
            <w:tcW w:w="1644" w:type="dxa"/>
            <w:vAlign w:val="center"/>
          </w:tcPr>
          <w:p w14:paraId="2EACC471">
            <w:pPr>
              <w:spacing w:line="360" w:lineRule="auto"/>
              <w:jc w:val="center"/>
              <w:rPr>
                <w:rFonts w:hint="eastAsia" w:ascii="黑体" w:hAnsi="黑体" w:eastAsia="黑体" w:cs="黑体"/>
                <w:color w:val="auto"/>
                <w:szCs w:val="21"/>
                <w:highlight w:val="none"/>
              </w:rPr>
            </w:pPr>
          </w:p>
        </w:tc>
        <w:tc>
          <w:tcPr>
            <w:tcW w:w="1575" w:type="dxa"/>
            <w:vAlign w:val="center"/>
          </w:tcPr>
          <w:p w14:paraId="34F90150">
            <w:pPr>
              <w:spacing w:line="360" w:lineRule="auto"/>
              <w:jc w:val="center"/>
              <w:rPr>
                <w:rFonts w:hint="eastAsia" w:ascii="黑体" w:hAnsi="黑体" w:eastAsia="黑体" w:cs="黑体"/>
                <w:color w:val="auto"/>
                <w:szCs w:val="21"/>
                <w:highlight w:val="none"/>
              </w:rPr>
            </w:pPr>
          </w:p>
        </w:tc>
      </w:tr>
      <w:tr w14:paraId="4B043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4C5DD770">
            <w:pPr>
              <w:spacing w:line="360" w:lineRule="auto"/>
              <w:jc w:val="center"/>
              <w:rPr>
                <w:rFonts w:hint="eastAsia" w:ascii="黑体" w:hAnsi="黑体" w:eastAsia="黑体" w:cs="黑体"/>
                <w:color w:val="auto"/>
                <w:szCs w:val="21"/>
                <w:highlight w:val="none"/>
              </w:rPr>
            </w:pPr>
          </w:p>
        </w:tc>
        <w:tc>
          <w:tcPr>
            <w:tcW w:w="2352" w:type="dxa"/>
            <w:vAlign w:val="center"/>
          </w:tcPr>
          <w:p w14:paraId="471EC804">
            <w:pPr>
              <w:spacing w:line="360" w:lineRule="auto"/>
              <w:jc w:val="center"/>
              <w:rPr>
                <w:rFonts w:hint="eastAsia" w:ascii="黑体" w:hAnsi="黑体" w:eastAsia="黑体" w:cs="黑体"/>
                <w:color w:val="auto"/>
                <w:szCs w:val="21"/>
                <w:highlight w:val="none"/>
              </w:rPr>
            </w:pPr>
          </w:p>
        </w:tc>
        <w:tc>
          <w:tcPr>
            <w:tcW w:w="2126" w:type="dxa"/>
            <w:vAlign w:val="center"/>
          </w:tcPr>
          <w:p w14:paraId="02EC239D">
            <w:pPr>
              <w:spacing w:line="360" w:lineRule="auto"/>
              <w:jc w:val="center"/>
              <w:rPr>
                <w:rFonts w:hint="eastAsia" w:ascii="黑体" w:hAnsi="黑体" w:eastAsia="黑体" w:cs="黑体"/>
                <w:color w:val="auto"/>
                <w:szCs w:val="21"/>
                <w:highlight w:val="none"/>
              </w:rPr>
            </w:pPr>
          </w:p>
        </w:tc>
        <w:tc>
          <w:tcPr>
            <w:tcW w:w="1644" w:type="dxa"/>
            <w:vAlign w:val="center"/>
          </w:tcPr>
          <w:p w14:paraId="381EEF90">
            <w:pPr>
              <w:spacing w:line="360" w:lineRule="auto"/>
              <w:jc w:val="center"/>
              <w:rPr>
                <w:rFonts w:hint="eastAsia" w:ascii="黑体" w:hAnsi="黑体" w:eastAsia="黑体" w:cs="黑体"/>
                <w:color w:val="auto"/>
                <w:szCs w:val="21"/>
                <w:highlight w:val="none"/>
              </w:rPr>
            </w:pPr>
          </w:p>
        </w:tc>
        <w:tc>
          <w:tcPr>
            <w:tcW w:w="1575" w:type="dxa"/>
            <w:vAlign w:val="center"/>
          </w:tcPr>
          <w:p w14:paraId="15D943A1">
            <w:pPr>
              <w:spacing w:line="360" w:lineRule="auto"/>
              <w:jc w:val="center"/>
              <w:rPr>
                <w:rFonts w:hint="eastAsia" w:ascii="黑体" w:hAnsi="黑体" w:eastAsia="黑体" w:cs="黑体"/>
                <w:color w:val="auto"/>
                <w:szCs w:val="21"/>
                <w:highlight w:val="none"/>
              </w:rPr>
            </w:pPr>
          </w:p>
        </w:tc>
      </w:tr>
      <w:tr w14:paraId="49454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7C219E2E">
            <w:pPr>
              <w:spacing w:line="360" w:lineRule="auto"/>
              <w:jc w:val="center"/>
              <w:rPr>
                <w:rFonts w:hint="eastAsia" w:ascii="黑体" w:hAnsi="黑体" w:eastAsia="黑体" w:cs="黑体"/>
                <w:color w:val="auto"/>
                <w:szCs w:val="21"/>
                <w:highlight w:val="none"/>
              </w:rPr>
            </w:pPr>
          </w:p>
        </w:tc>
        <w:tc>
          <w:tcPr>
            <w:tcW w:w="2352" w:type="dxa"/>
            <w:vAlign w:val="center"/>
          </w:tcPr>
          <w:p w14:paraId="30BE4C7D">
            <w:pPr>
              <w:spacing w:line="360" w:lineRule="auto"/>
              <w:jc w:val="center"/>
              <w:rPr>
                <w:rFonts w:hint="eastAsia" w:ascii="黑体" w:hAnsi="黑体" w:eastAsia="黑体" w:cs="黑体"/>
                <w:color w:val="auto"/>
                <w:szCs w:val="21"/>
                <w:highlight w:val="none"/>
              </w:rPr>
            </w:pPr>
          </w:p>
        </w:tc>
        <w:tc>
          <w:tcPr>
            <w:tcW w:w="2126" w:type="dxa"/>
            <w:vAlign w:val="center"/>
          </w:tcPr>
          <w:p w14:paraId="0F8921F8">
            <w:pPr>
              <w:spacing w:line="360" w:lineRule="auto"/>
              <w:jc w:val="center"/>
              <w:rPr>
                <w:rFonts w:hint="eastAsia" w:ascii="黑体" w:hAnsi="黑体" w:eastAsia="黑体" w:cs="黑体"/>
                <w:color w:val="auto"/>
                <w:szCs w:val="21"/>
                <w:highlight w:val="none"/>
              </w:rPr>
            </w:pPr>
          </w:p>
        </w:tc>
        <w:tc>
          <w:tcPr>
            <w:tcW w:w="1644" w:type="dxa"/>
            <w:vAlign w:val="center"/>
          </w:tcPr>
          <w:p w14:paraId="1AE8D04F">
            <w:pPr>
              <w:spacing w:line="360" w:lineRule="auto"/>
              <w:jc w:val="center"/>
              <w:rPr>
                <w:rFonts w:hint="eastAsia" w:ascii="黑体" w:hAnsi="黑体" w:eastAsia="黑体" w:cs="黑体"/>
                <w:color w:val="auto"/>
                <w:szCs w:val="21"/>
                <w:highlight w:val="none"/>
              </w:rPr>
            </w:pPr>
          </w:p>
        </w:tc>
        <w:tc>
          <w:tcPr>
            <w:tcW w:w="1575" w:type="dxa"/>
            <w:vAlign w:val="center"/>
          </w:tcPr>
          <w:p w14:paraId="708C166D">
            <w:pPr>
              <w:spacing w:line="360" w:lineRule="auto"/>
              <w:jc w:val="center"/>
              <w:rPr>
                <w:rFonts w:hint="eastAsia" w:ascii="黑体" w:hAnsi="黑体" w:eastAsia="黑体" w:cs="黑体"/>
                <w:color w:val="auto"/>
                <w:szCs w:val="21"/>
                <w:highlight w:val="none"/>
              </w:rPr>
            </w:pPr>
          </w:p>
        </w:tc>
      </w:tr>
      <w:tr w14:paraId="249A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01FAA4AD">
            <w:pPr>
              <w:spacing w:line="360" w:lineRule="auto"/>
              <w:jc w:val="center"/>
              <w:rPr>
                <w:rFonts w:hint="eastAsia" w:ascii="黑体" w:hAnsi="黑体" w:eastAsia="黑体" w:cs="黑体"/>
                <w:color w:val="auto"/>
                <w:szCs w:val="21"/>
                <w:highlight w:val="none"/>
              </w:rPr>
            </w:pPr>
          </w:p>
        </w:tc>
        <w:tc>
          <w:tcPr>
            <w:tcW w:w="2352" w:type="dxa"/>
            <w:vAlign w:val="center"/>
          </w:tcPr>
          <w:p w14:paraId="078C3C58">
            <w:pPr>
              <w:spacing w:line="360" w:lineRule="auto"/>
              <w:jc w:val="center"/>
              <w:rPr>
                <w:rFonts w:hint="eastAsia" w:ascii="黑体" w:hAnsi="黑体" w:eastAsia="黑体" w:cs="黑体"/>
                <w:color w:val="auto"/>
                <w:szCs w:val="21"/>
                <w:highlight w:val="none"/>
              </w:rPr>
            </w:pPr>
          </w:p>
        </w:tc>
        <w:tc>
          <w:tcPr>
            <w:tcW w:w="2126" w:type="dxa"/>
            <w:vAlign w:val="center"/>
          </w:tcPr>
          <w:p w14:paraId="29F3B7FE">
            <w:pPr>
              <w:spacing w:line="360" w:lineRule="auto"/>
              <w:jc w:val="center"/>
              <w:rPr>
                <w:rFonts w:hint="eastAsia" w:ascii="黑体" w:hAnsi="黑体" w:eastAsia="黑体" w:cs="黑体"/>
                <w:color w:val="auto"/>
                <w:szCs w:val="21"/>
                <w:highlight w:val="none"/>
              </w:rPr>
            </w:pPr>
          </w:p>
        </w:tc>
        <w:tc>
          <w:tcPr>
            <w:tcW w:w="1644" w:type="dxa"/>
            <w:vAlign w:val="center"/>
          </w:tcPr>
          <w:p w14:paraId="05E64257">
            <w:pPr>
              <w:spacing w:line="360" w:lineRule="auto"/>
              <w:jc w:val="center"/>
              <w:rPr>
                <w:rFonts w:hint="eastAsia" w:ascii="黑体" w:hAnsi="黑体" w:eastAsia="黑体" w:cs="黑体"/>
                <w:color w:val="auto"/>
                <w:szCs w:val="21"/>
                <w:highlight w:val="none"/>
              </w:rPr>
            </w:pPr>
          </w:p>
        </w:tc>
        <w:tc>
          <w:tcPr>
            <w:tcW w:w="1575" w:type="dxa"/>
            <w:vAlign w:val="center"/>
          </w:tcPr>
          <w:p w14:paraId="6D8BBB3D">
            <w:pPr>
              <w:spacing w:line="360" w:lineRule="auto"/>
              <w:jc w:val="center"/>
              <w:rPr>
                <w:rFonts w:hint="eastAsia" w:ascii="黑体" w:hAnsi="黑体" w:eastAsia="黑体" w:cs="黑体"/>
                <w:color w:val="auto"/>
                <w:szCs w:val="21"/>
                <w:highlight w:val="none"/>
              </w:rPr>
            </w:pPr>
          </w:p>
        </w:tc>
      </w:tr>
    </w:tbl>
    <w:p w14:paraId="68A0C254">
      <w:pPr>
        <w:spacing w:before="156" w:beforeLines="50"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注明：</w:t>
      </w:r>
    </w:p>
    <w:p w14:paraId="7A4C0A32">
      <w:pPr>
        <w:pStyle w:val="31"/>
        <w:numPr>
          <w:ilvl w:val="0"/>
          <w:numId w:val="71"/>
        </w:numPr>
        <w:spacing w:line="360" w:lineRule="auto"/>
        <w:ind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偏离情况项填写“正”、“负”或“无”，说明项中填写原因。</w:t>
      </w:r>
    </w:p>
    <w:p w14:paraId="52301FC4">
      <w:pPr>
        <w:pStyle w:val="31"/>
        <w:numPr>
          <w:ilvl w:val="0"/>
          <w:numId w:val="71"/>
        </w:numPr>
        <w:spacing w:line="360" w:lineRule="auto"/>
        <w:ind w:left="426" w:hanging="426" w:firstLineChars="0"/>
        <w:rPr>
          <w:rFonts w:hint="eastAsia" w:ascii="黑体" w:hAnsi="黑体" w:eastAsia="黑体" w:cs="黑体"/>
          <w:color w:val="auto"/>
          <w:szCs w:val="21"/>
          <w:highlight w:val="none"/>
        </w:rPr>
      </w:pPr>
      <w:r>
        <w:rPr>
          <w:rFonts w:hint="eastAsia" w:ascii="黑体" w:hAnsi="黑体" w:eastAsia="黑体" w:cs="黑体"/>
          <w:color w:val="auto"/>
          <w:szCs w:val="21"/>
          <w:highlight w:val="none"/>
        </w:rPr>
        <w:t>供应商应按照采购文件要求，根据“采购需求”内容作出全面响应。对响应有偏离的，则说明偏离的内容。“采购需求”内容中若有要求提供相关证明资料的，须按要求提供，否则视为负偏离。</w:t>
      </w:r>
    </w:p>
    <w:p w14:paraId="329CC50F">
      <w:pPr>
        <w:pStyle w:val="31"/>
        <w:numPr>
          <w:ilvl w:val="0"/>
          <w:numId w:val="0"/>
        </w:numPr>
        <w:spacing w:line="360" w:lineRule="auto"/>
        <w:ind w:leftChars="0"/>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6237"/>
        <w:gridCol w:w="2069"/>
      </w:tblGrid>
      <w:tr w14:paraId="636B4550">
        <w:tblPrEx>
          <w:tblCellMar>
            <w:top w:w="0" w:type="dxa"/>
            <w:left w:w="108" w:type="dxa"/>
            <w:bottom w:w="0" w:type="dxa"/>
            <w:right w:w="108" w:type="dxa"/>
          </w:tblCellMar>
        </w:tblPrEx>
        <w:tc>
          <w:tcPr>
            <w:tcW w:w="6237" w:type="dxa"/>
          </w:tcPr>
          <w:p w14:paraId="1126B402">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2069" w:type="dxa"/>
          </w:tcPr>
          <w:p w14:paraId="70356776">
            <w:pPr>
              <w:spacing w:line="360" w:lineRule="auto"/>
              <w:rPr>
                <w:rFonts w:hint="eastAsia" w:ascii="黑体" w:hAnsi="黑体" w:eastAsia="黑体" w:cs="黑体"/>
                <w:color w:val="auto"/>
                <w:szCs w:val="21"/>
                <w:highlight w:val="none"/>
              </w:rPr>
            </w:pPr>
          </w:p>
        </w:tc>
      </w:tr>
      <w:tr w14:paraId="282C32BF">
        <w:tblPrEx>
          <w:tblCellMar>
            <w:top w:w="0" w:type="dxa"/>
            <w:left w:w="108" w:type="dxa"/>
            <w:bottom w:w="0" w:type="dxa"/>
            <w:right w:w="108" w:type="dxa"/>
          </w:tblCellMar>
        </w:tblPrEx>
        <w:tc>
          <w:tcPr>
            <w:tcW w:w="6237" w:type="dxa"/>
          </w:tcPr>
          <w:p w14:paraId="018F7E2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2069" w:type="dxa"/>
          </w:tcPr>
          <w:p w14:paraId="201D437C">
            <w:pPr>
              <w:spacing w:line="360" w:lineRule="auto"/>
              <w:rPr>
                <w:rFonts w:hint="eastAsia" w:ascii="黑体" w:hAnsi="黑体" w:eastAsia="黑体" w:cs="黑体"/>
                <w:color w:val="auto"/>
                <w:szCs w:val="21"/>
                <w:highlight w:val="none"/>
              </w:rPr>
            </w:pPr>
          </w:p>
        </w:tc>
      </w:tr>
    </w:tbl>
    <w:p w14:paraId="3FE3B0B0">
      <w:pPr>
        <w:spacing w:line="360" w:lineRule="auto"/>
        <w:rPr>
          <w:rFonts w:hint="eastAsia" w:ascii="黑体" w:hAnsi="黑体" w:eastAsia="黑体" w:cs="黑体"/>
          <w:color w:val="auto"/>
          <w:szCs w:val="21"/>
          <w:highlight w:val="none"/>
        </w:rPr>
      </w:pPr>
    </w:p>
    <w:p w14:paraId="0ABCE6E0">
      <w:pPr>
        <w:pStyle w:val="31"/>
        <w:numPr>
          <w:ilvl w:val="0"/>
          <w:numId w:val="0"/>
        </w:numPr>
        <w:spacing w:line="360" w:lineRule="auto"/>
        <w:ind w:leftChars="0"/>
        <w:rPr>
          <w:rFonts w:hint="eastAsia" w:ascii="黑体" w:hAnsi="黑体" w:eastAsia="黑体" w:cs="黑体"/>
          <w:color w:val="auto"/>
          <w:szCs w:val="21"/>
          <w:highlight w:val="none"/>
        </w:rPr>
      </w:pPr>
    </w:p>
    <w:p w14:paraId="7CB1493D">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r>
        <w:rPr>
          <w:rStyle w:val="22"/>
          <w:rFonts w:hint="eastAsia" w:ascii="黑体" w:hAnsi="黑体" w:eastAsia="黑体" w:cs="黑体"/>
          <w:bCs w:val="0"/>
          <w:color w:val="auto"/>
          <w:spacing w:val="12"/>
          <w:highlight w:val="none"/>
        </w:rPr>
        <w:t>实质性响应一览表（可选）</w:t>
      </w:r>
    </w:p>
    <w:p w14:paraId="38539775">
      <w:pPr>
        <w:spacing w:before="312" w:beforeLines="100" w:after="312" w:afterLines="100"/>
        <w:jc w:val="center"/>
        <w:rPr>
          <w:rFonts w:hint="eastAsia" w:ascii="黑体" w:hAnsi="黑体" w:eastAsia="黑体" w:cs="黑体"/>
          <w:color w:val="auto"/>
          <w:szCs w:val="21"/>
          <w:highlight w:val="none"/>
        </w:rPr>
      </w:pPr>
      <w:r>
        <w:rPr>
          <w:rFonts w:hint="eastAsia" w:ascii="黑体" w:hAnsi="黑体" w:eastAsia="黑体" w:cs="黑体"/>
          <w:b/>
          <w:color w:val="auto"/>
          <w:spacing w:val="20"/>
          <w:sz w:val="28"/>
          <w:szCs w:val="28"/>
          <w:highlight w:val="none"/>
        </w:rPr>
        <w:t>实质性响应一览表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693"/>
        <w:gridCol w:w="1701"/>
        <w:gridCol w:w="2032"/>
        <w:gridCol w:w="1166"/>
      </w:tblGrid>
      <w:tr w14:paraId="67F5B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704" w:type="dxa"/>
            <w:shd w:val="clear" w:color="auto" w:fill="auto"/>
            <w:vAlign w:val="center"/>
          </w:tcPr>
          <w:p w14:paraId="79E6255D">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序号</w:t>
            </w:r>
          </w:p>
        </w:tc>
        <w:tc>
          <w:tcPr>
            <w:tcW w:w="2693" w:type="dxa"/>
            <w:shd w:val="clear" w:color="auto" w:fill="auto"/>
            <w:vAlign w:val="center"/>
          </w:tcPr>
          <w:p w14:paraId="0D345407">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采购需求实质性条款要求</w:t>
            </w:r>
          </w:p>
        </w:tc>
        <w:tc>
          <w:tcPr>
            <w:tcW w:w="1701" w:type="dxa"/>
            <w:shd w:val="clear" w:color="auto" w:fill="auto"/>
            <w:vAlign w:val="center"/>
          </w:tcPr>
          <w:p w14:paraId="2B88521B">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响应供应商</w:t>
            </w:r>
          </w:p>
          <w:p w14:paraId="27C2AD2D">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响应内容</w:t>
            </w:r>
          </w:p>
        </w:tc>
        <w:tc>
          <w:tcPr>
            <w:tcW w:w="2032" w:type="dxa"/>
            <w:shd w:val="clear" w:color="auto" w:fill="auto"/>
            <w:vAlign w:val="center"/>
          </w:tcPr>
          <w:p w14:paraId="727A693E">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偏离情况及说明</w:t>
            </w:r>
          </w:p>
          <w:p w14:paraId="5D245DD1">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(正偏离/无偏离/负偏离)</w:t>
            </w:r>
          </w:p>
        </w:tc>
        <w:tc>
          <w:tcPr>
            <w:tcW w:w="1166" w:type="dxa"/>
            <w:shd w:val="clear" w:color="auto" w:fill="auto"/>
            <w:vAlign w:val="center"/>
          </w:tcPr>
          <w:p w14:paraId="57300326">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查阅/证明文件索引页码</w:t>
            </w:r>
          </w:p>
        </w:tc>
      </w:tr>
      <w:tr w14:paraId="5F2F2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14:paraId="593BD9C5">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1</w:t>
            </w:r>
          </w:p>
        </w:tc>
        <w:tc>
          <w:tcPr>
            <w:tcW w:w="2693" w:type="dxa"/>
            <w:shd w:val="clear" w:color="auto" w:fill="auto"/>
          </w:tcPr>
          <w:p w14:paraId="681E4A5B">
            <w:pPr>
              <w:spacing w:line="360" w:lineRule="auto"/>
              <w:rPr>
                <w:rFonts w:hint="eastAsia" w:ascii="黑体" w:hAnsi="黑体" w:eastAsia="黑体" w:cs="黑体"/>
                <w:color w:val="auto"/>
                <w:highlight w:val="none"/>
              </w:rPr>
            </w:pPr>
          </w:p>
        </w:tc>
        <w:tc>
          <w:tcPr>
            <w:tcW w:w="1701" w:type="dxa"/>
            <w:shd w:val="clear" w:color="auto" w:fill="auto"/>
          </w:tcPr>
          <w:p w14:paraId="6D17858F">
            <w:pPr>
              <w:spacing w:line="360" w:lineRule="auto"/>
              <w:rPr>
                <w:rFonts w:hint="eastAsia" w:ascii="黑体" w:hAnsi="黑体" w:eastAsia="黑体" w:cs="黑体"/>
                <w:color w:val="auto"/>
                <w:highlight w:val="none"/>
              </w:rPr>
            </w:pPr>
          </w:p>
        </w:tc>
        <w:tc>
          <w:tcPr>
            <w:tcW w:w="2032" w:type="dxa"/>
            <w:shd w:val="clear" w:color="auto" w:fill="auto"/>
          </w:tcPr>
          <w:p w14:paraId="3A6BAC7F">
            <w:pPr>
              <w:spacing w:line="360" w:lineRule="auto"/>
              <w:rPr>
                <w:rFonts w:hint="eastAsia" w:ascii="黑体" w:hAnsi="黑体" w:eastAsia="黑体" w:cs="黑体"/>
                <w:color w:val="auto"/>
                <w:highlight w:val="none"/>
              </w:rPr>
            </w:pPr>
          </w:p>
        </w:tc>
        <w:tc>
          <w:tcPr>
            <w:tcW w:w="1166" w:type="dxa"/>
            <w:shd w:val="clear" w:color="auto" w:fill="auto"/>
          </w:tcPr>
          <w:p w14:paraId="4FC54D31">
            <w:pPr>
              <w:spacing w:line="360" w:lineRule="auto"/>
              <w:rPr>
                <w:rFonts w:hint="eastAsia" w:ascii="黑体" w:hAnsi="黑体" w:eastAsia="黑体" w:cs="黑体"/>
                <w:color w:val="auto"/>
                <w:highlight w:val="none"/>
              </w:rPr>
            </w:pPr>
          </w:p>
        </w:tc>
      </w:tr>
      <w:tr w14:paraId="2669B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14:paraId="301640A8">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2</w:t>
            </w:r>
          </w:p>
        </w:tc>
        <w:tc>
          <w:tcPr>
            <w:tcW w:w="2693" w:type="dxa"/>
            <w:shd w:val="clear" w:color="auto" w:fill="auto"/>
          </w:tcPr>
          <w:p w14:paraId="60BB3410">
            <w:pPr>
              <w:spacing w:line="360" w:lineRule="auto"/>
              <w:rPr>
                <w:rFonts w:hint="eastAsia" w:ascii="黑体" w:hAnsi="黑体" w:eastAsia="黑体" w:cs="黑体"/>
                <w:color w:val="auto"/>
                <w:highlight w:val="none"/>
              </w:rPr>
            </w:pPr>
          </w:p>
        </w:tc>
        <w:tc>
          <w:tcPr>
            <w:tcW w:w="1701" w:type="dxa"/>
            <w:shd w:val="clear" w:color="auto" w:fill="auto"/>
          </w:tcPr>
          <w:p w14:paraId="08C92B26">
            <w:pPr>
              <w:spacing w:line="360" w:lineRule="auto"/>
              <w:rPr>
                <w:rFonts w:hint="eastAsia" w:ascii="黑体" w:hAnsi="黑体" w:eastAsia="黑体" w:cs="黑体"/>
                <w:color w:val="auto"/>
                <w:highlight w:val="none"/>
              </w:rPr>
            </w:pPr>
          </w:p>
        </w:tc>
        <w:tc>
          <w:tcPr>
            <w:tcW w:w="2032" w:type="dxa"/>
            <w:shd w:val="clear" w:color="auto" w:fill="auto"/>
          </w:tcPr>
          <w:p w14:paraId="28890269">
            <w:pPr>
              <w:spacing w:line="360" w:lineRule="auto"/>
              <w:rPr>
                <w:rFonts w:hint="eastAsia" w:ascii="黑体" w:hAnsi="黑体" w:eastAsia="黑体" w:cs="黑体"/>
                <w:color w:val="auto"/>
                <w:highlight w:val="none"/>
              </w:rPr>
            </w:pPr>
          </w:p>
        </w:tc>
        <w:tc>
          <w:tcPr>
            <w:tcW w:w="1166" w:type="dxa"/>
            <w:shd w:val="clear" w:color="auto" w:fill="auto"/>
          </w:tcPr>
          <w:p w14:paraId="2B2E3310">
            <w:pPr>
              <w:spacing w:line="360" w:lineRule="auto"/>
              <w:rPr>
                <w:rFonts w:hint="eastAsia" w:ascii="黑体" w:hAnsi="黑体" w:eastAsia="黑体" w:cs="黑体"/>
                <w:color w:val="auto"/>
                <w:highlight w:val="none"/>
              </w:rPr>
            </w:pPr>
          </w:p>
        </w:tc>
      </w:tr>
      <w:tr w14:paraId="5BC8C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14:paraId="4116BBF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3</w:t>
            </w:r>
          </w:p>
        </w:tc>
        <w:tc>
          <w:tcPr>
            <w:tcW w:w="2693" w:type="dxa"/>
            <w:shd w:val="clear" w:color="auto" w:fill="auto"/>
          </w:tcPr>
          <w:p w14:paraId="2034BD42">
            <w:pPr>
              <w:spacing w:line="360" w:lineRule="auto"/>
              <w:rPr>
                <w:rFonts w:hint="eastAsia" w:ascii="黑体" w:hAnsi="黑体" w:eastAsia="黑体" w:cs="黑体"/>
                <w:color w:val="auto"/>
                <w:highlight w:val="none"/>
              </w:rPr>
            </w:pPr>
          </w:p>
        </w:tc>
        <w:tc>
          <w:tcPr>
            <w:tcW w:w="1701" w:type="dxa"/>
            <w:shd w:val="clear" w:color="auto" w:fill="auto"/>
          </w:tcPr>
          <w:p w14:paraId="224D4301">
            <w:pPr>
              <w:spacing w:line="360" w:lineRule="auto"/>
              <w:rPr>
                <w:rFonts w:hint="eastAsia" w:ascii="黑体" w:hAnsi="黑体" w:eastAsia="黑体" w:cs="黑体"/>
                <w:color w:val="auto"/>
                <w:highlight w:val="none"/>
              </w:rPr>
            </w:pPr>
          </w:p>
        </w:tc>
        <w:tc>
          <w:tcPr>
            <w:tcW w:w="2032" w:type="dxa"/>
            <w:shd w:val="clear" w:color="auto" w:fill="auto"/>
          </w:tcPr>
          <w:p w14:paraId="09102F6B">
            <w:pPr>
              <w:spacing w:line="360" w:lineRule="auto"/>
              <w:rPr>
                <w:rFonts w:hint="eastAsia" w:ascii="黑体" w:hAnsi="黑体" w:eastAsia="黑体" w:cs="黑体"/>
                <w:color w:val="auto"/>
                <w:highlight w:val="none"/>
              </w:rPr>
            </w:pPr>
          </w:p>
        </w:tc>
        <w:tc>
          <w:tcPr>
            <w:tcW w:w="1166" w:type="dxa"/>
            <w:shd w:val="clear" w:color="auto" w:fill="auto"/>
          </w:tcPr>
          <w:p w14:paraId="4CF7DC3C">
            <w:pPr>
              <w:spacing w:line="360" w:lineRule="auto"/>
              <w:rPr>
                <w:rFonts w:hint="eastAsia" w:ascii="黑体" w:hAnsi="黑体" w:eastAsia="黑体" w:cs="黑体"/>
                <w:color w:val="auto"/>
                <w:highlight w:val="none"/>
              </w:rPr>
            </w:pPr>
          </w:p>
        </w:tc>
      </w:tr>
      <w:tr w14:paraId="7F48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14:paraId="403133F2">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4</w:t>
            </w:r>
          </w:p>
        </w:tc>
        <w:tc>
          <w:tcPr>
            <w:tcW w:w="2693" w:type="dxa"/>
            <w:shd w:val="clear" w:color="auto" w:fill="auto"/>
          </w:tcPr>
          <w:p w14:paraId="3AA2B337">
            <w:pPr>
              <w:spacing w:line="360" w:lineRule="auto"/>
              <w:rPr>
                <w:rFonts w:hint="eastAsia" w:ascii="黑体" w:hAnsi="黑体" w:eastAsia="黑体" w:cs="黑体"/>
                <w:color w:val="auto"/>
                <w:highlight w:val="none"/>
              </w:rPr>
            </w:pPr>
          </w:p>
        </w:tc>
        <w:tc>
          <w:tcPr>
            <w:tcW w:w="1701" w:type="dxa"/>
            <w:shd w:val="clear" w:color="auto" w:fill="auto"/>
          </w:tcPr>
          <w:p w14:paraId="0EC218D4">
            <w:pPr>
              <w:spacing w:line="360" w:lineRule="auto"/>
              <w:rPr>
                <w:rFonts w:hint="eastAsia" w:ascii="黑体" w:hAnsi="黑体" w:eastAsia="黑体" w:cs="黑体"/>
                <w:color w:val="auto"/>
                <w:highlight w:val="none"/>
              </w:rPr>
            </w:pPr>
          </w:p>
        </w:tc>
        <w:tc>
          <w:tcPr>
            <w:tcW w:w="2032" w:type="dxa"/>
            <w:shd w:val="clear" w:color="auto" w:fill="auto"/>
          </w:tcPr>
          <w:p w14:paraId="473F3A4F">
            <w:pPr>
              <w:spacing w:line="360" w:lineRule="auto"/>
              <w:rPr>
                <w:rFonts w:hint="eastAsia" w:ascii="黑体" w:hAnsi="黑体" w:eastAsia="黑体" w:cs="黑体"/>
                <w:color w:val="auto"/>
                <w:highlight w:val="none"/>
              </w:rPr>
            </w:pPr>
          </w:p>
        </w:tc>
        <w:tc>
          <w:tcPr>
            <w:tcW w:w="1166" w:type="dxa"/>
            <w:shd w:val="clear" w:color="auto" w:fill="auto"/>
          </w:tcPr>
          <w:p w14:paraId="5FACB281">
            <w:pPr>
              <w:spacing w:line="360" w:lineRule="auto"/>
              <w:rPr>
                <w:rFonts w:hint="eastAsia" w:ascii="黑体" w:hAnsi="黑体" w:eastAsia="黑体" w:cs="黑体"/>
                <w:color w:val="auto"/>
                <w:highlight w:val="none"/>
              </w:rPr>
            </w:pPr>
          </w:p>
        </w:tc>
      </w:tr>
      <w:tr w14:paraId="29AB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04" w:type="dxa"/>
            <w:shd w:val="clear" w:color="auto" w:fill="auto"/>
            <w:vAlign w:val="center"/>
          </w:tcPr>
          <w:p w14:paraId="2832A8A0">
            <w:pPr>
              <w:spacing w:line="36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t>…</w:t>
            </w:r>
          </w:p>
        </w:tc>
        <w:tc>
          <w:tcPr>
            <w:tcW w:w="2693" w:type="dxa"/>
            <w:shd w:val="clear" w:color="auto" w:fill="auto"/>
          </w:tcPr>
          <w:p w14:paraId="3A7BCCFB">
            <w:pPr>
              <w:spacing w:line="360" w:lineRule="auto"/>
              <w:rPr>
                <w:rFonts w:hint="eastAsia" w:ascii="黑体" w:hAnsi="黑体" w:eastAsia="黑体" w:cs="黑体"/>
                <w:color w:val="auto"/>
                <w:highlight w:val="none"/>
              </w:rPr>
            </w:pPr>
          </w:p>
        </w:tc>
        <w:tc>
          <w:tcPr>
            <w:tcW w:w="1701" w:type="dxa"/>
            <w:shd w:val="clear" w:color="auto" w:fill="auto"/>
          </w:tcPr>
          <w:p w14:paraId="3A737E45">
            <w:pPr>
              <w:spacing w:line="360" w:lineRule="auto"/>
              <w:rPr>
                <w:rFonts w:hint="eastAsia" w:ascii="黑体" w:hAnsi="黑体" w:eastAsia="黑体" w:cs="黑体"/>
                <w:color w:val="auto"/>
                <w:highlight w:val="none"/>
              </w:rPr>
            </w:pPr>
          </w:p>
        </w:tc>
        <w:tc>
          <w:tcPr>
            <w:tcW w:w="2032" w:type="dxa"/>
            <w:shd w:val="clear" w:color="auto" w:fill="auto"/>
          </w:tcPr>
          <w:p w14:paraId="7BBFE2AC">
            <w:pPr>
              <w:spacing w:line="360" w:lineRule="auto"/>
              <w:rPr>
                <w:rFonts w:hint="eastAsia" w:ascii="黑体" w:hAnsi="黑体" w:eastAsia="黑体" w:cs="黑体"/>
                <w:color w:val="auto"/>
                <w:highlight w:val="none"/>
              </w:rPr>
            </w:pPr>
          </w:p>
        </w:tc>
        <w:tc>
          <w:tcPr>
            <w:tcW w:w="1166" w:type="dxa"/>
            <w:shd w:val="clear" w:color="auto" w:fill="auto"/>
          </w:tcPr>
          <w:p w14:paraId="0B67D6E0">
            <w:pPr>
              <w:spacing w:line="360" w:lineRule="auto"/>
              <w:rPr>
                <w:rFonts w:hint="eastAsia" w:ascii="黑体" w:hAnsi="黑体" w:eastAsia="黑体" w:cs="黑体"/>
                <w:color w:val="auto"/>
                <w:highlight w:val="none"/>
              </w:rPr>
            </w:pPr>
          </w:p>
        </w:tc>
      </w:tr>
    </w:tbl>
    <w:p w14:paraId="208DB763">
      <w:pPr>
        <w:spacing w:before="156" w:beforeLines="50" w:line="360" w:lineRule="auto"/>
        <w:rPr>
          <w:rFonts w:hint="eastAsia" w:ascii="黑体" w:hAnsi="黑体" w:eastAsia="黑体" w:cs="黑体"/>
          <w:color w:val="auto"/>
          <w:highlight w:val="none"/>
        </w:rPr>
      </w:pPr>
      <w:r>
        <w:rPr>
          <w:rFonts w:hint="eastAsia" w:ascii="黑体" w:hAnsi="黑体" w:eastAsia="黑体" w:cs="黑体"/>
          <w:color w:val="auto"/>
          <w:highlight w:val="none"/>
        </w:rPr>
        <w:t>注明：</w:t>
      </w:r>
    </w:p>
    <w:p w14:paraId="77C11479">
      <w:pPr>
        <w:pStyle w:val="31"/>
        <w:numPr>
          <w:ilvl w:val="0"/>
          <w:numId w:val="72"/>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szCs w:val="21"/>
          <w:highlight w:val="none"/>
        </w:rPr>
        <w:t>响应供应商</w:t>
      </w:r>
      <w:r>
        <w:rPr>
          <w:rFonts w:hint="eastAsia" w:ascii="黑体" w:hAnsi="黑体" w:eastAsia="黑体" w:cs="黑体"/>
          <w:color w:val="auto"/>
          <w:highlight w:val="none"/>
        </w:rPr>
        <w:t>必须对应采购文件“采购需求”中的实质性条款(即★号条款)逐条应答并按要求填写表格；</w:t>
      </w:r>
    </w:p>
    <w:p w14:paraId="453B590C">
      <w:pPr>
        <w:pStyle w:val="31"/>
        <w:numPr>
          <w:ilvl w:val="0"/>
          <w:numId w:val="72"/>
        </w:numPr>
        <w:spacing w:line="360" w:lineRule="auto"/>
        <w:ind w:firstLineChars="0"/>
        <w:rPr>
          <w:rFonts w:hint="eastAsia" w:ascii="黑体" w:hAnsi="黑体" w:eastAsia="黑体" w:cs="黑体"/>
          <w:color w:val="auto"/>
          <w:highlight w:val="none"/>
        </w:rPr>
      </w:pPr>
      <w:r>
        <w:rPr>
          <w:rFonts w:hint="eastAsia" w:ascii="黑体" w:hAnsi="黑体" w:eastAsia="黑体" w:cs="黑体"/>
          <w:color w:val="auto"/>
          <w:highlight w:val="none"/>
        </w:rPr>
        <w:t>若采购文件“采购需求”中的实质性条款中规定须提交相关证明文件的，须按要求提供，并作为附件附于表格后。未按要求提供或未提供完整的，视为负偏离处理。</w:t>
      </w:r>
    </w:p>
    <w:p w14:paraId="10D3FB34">
      <w:pPr>
        <w:spacing w:line="360" w:lineRule="auto"/>
        <w:rPr>
          <w:rFonts w:hint="eastAsia" w:ascii="黑体" w:hAnsi="黑体" w:eastAsia="黑体" w:cs="黑体"/>
          <w:color w:val="auto"/>
          <w:szCs w:val="21"/>
          <w:highlight w:val="none"/>
        </w:rPr>
      </w:pPr>
    </w:p>
    <w:p w14:paraId="2F58A533">
      <w:pPr>
        <w:spacing w:line="360" w:lineRule="auto"/>
        <w:rPr>
          <w:rFonts w:hint="eastAsia" w:ascii="黑体" w:hAnsi="黑体" w:eastAsia="黑体" w:cs="黑体"/>
          <w:color w:val="auto"/>
          <w:szCs w:val="21"/>
          <w:highlight w:val="none"/>
        </w:rPr>
      </w:pPr>
    </w:p>
    <w:p w14:paraId="76C66EEA">
      <w:pPr>
        <w:spacing w:line="360" w:lineRule="auto"/>
        <w:rPr>
          <w:rFonts w:hint="eastAsia" w:ascii="黑体" w:hAnsi="黑体" w:eastAsia="黑体" w:cs="黑体"/>
          <w:color w:val="auto"/>
          <w:szCs w:val="21"/>
          <w:highlight w:val="none"/>
        </w:rPr>
      </w:pPr>
    </w:p>
    <w:p w14:paraId="3599FB99">
      <w:pPr>
        <w:spacing w:line="360" w:lineRule="auto"/>
        <w:rPr>
          <w:rFonts w:hint="eastAsia" w:ascii="黑体" w:hAnsi="黑体" w:eastAsia="黑体" w:cs="黑体"/>
          <w:color w:val="auto"/>
          <w:szCs w:val="21"/>
          <w:highlight w:val="none"/>
        </w:rPr>
      </w:pPr>
    </w:p>
    <w:tbl>
      <w:tblPr>
        <w:tblStyle w:val="19"/>
        <w:tblW w:w="0" w:type="auto"/>
        <w:tblInd w:w="0" w:type="dxa"/>
        <w:tblLayout w:type="autofit"/>
        <w:tblCellMar>
          <w:top w:w="0" w:type="dxa"/>
          <w:left w:w="108" w:type="dxa"/>
          <w:bottom w:w="0" w:type="dxa"/>
          <w:right w:w="108" w:type="dxa"/>
        </w:tblCellMar>
      </w:tblPr>
      <w:tblGrid>
        <w:gridCol w:w="5349"/>
        <w:gridCol w:w="3173"/>
      </w:tblGrid>
      <w:tr w14:paraId="321F0061">
        <w:tblPrEx>
          <w:tblCellMar>
            <w:top w:w="0" w:type="dxa"/>
            <w:left w:w="108" w:type="dxa"/>
            <w:bottom w:w="0" w:type="dxa"/>
            <w:right w:w="108" w:type="dxa"/>
          </w:tblCellMar>
        </w:tblPrEx>
        <w:tc>
          <w:tcPr>
            <w:tcW w:w="5349" w:type="dxa"/>
            <w:shd w:val="clear" w:color="auto" w:fill="auto"/>
          </w:tcPr>
          <w:p w14:paraId="6F55E855">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c>
          <w:tcPr>
            <w:tcW w:w="3173" w:type="dxa"/>
            <w:shd w:val="clear" w:color="auto" w:fill="auto"/>
          </w:tcPr>
          <w:p w14:paraId="4DBEF738">
            <w:pPr>
              <w:spacing w:line="360" w:lineRule="auto"/>
              <w:rPr>
                <w:rFonts w:hint="eastAsia" w:ascii="黑体" w:hAnsi="黑体" w:eastAsia="黑体" w:cs="黑体"/>
                <w:color w:val="auto"/>
                <w:szCs w:val="21"/>
                <w:highlight w:val="none"/>
              </w:rPr>
            </w:pPr>
          </w:p>
        </w:tc>
      </w:tr>
      <w:tr w14:paraId="55CFE4FC">
        <w:tblPrEx>
          <w:tblCellMar>
            <w:top w:w="0" w:type="dxa"/>
            <w:left w:w="108" w:type="dxa"/>
            <w:bottom w:w="0" w:type="dxa"/>
            <w:right w:w="108" w:type="dxa"/>
          </w:tblCellMar>
        </w:tblPrEx>
        <w:tc>
          <w:tcPr>
            <w:tcW w:w="5349" w:type="dxa"/>
            <w:shd w:val="clear" w:color="auto" w:fill="auto"/>
          </w:tcPr>
          <w:p w14:paraId="6A5E455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c>
          <w:tcPr>
            <w:tcW w:w="3173" w:type="dxa"/>
            <w:shd w:val="clear" w:color="auto" w:fill="auto"/>
          </w:tcPr>
          <w:p w14:paraId="3D969B48">
            <w:pPr>
              <w:spacing w:line="360" w:lineRule="auto"/>
              <w:rPr>
                <w:rFonts w:hint="eastAsia" w:ascii="黑体" w:hAnsi="黑体" w:eastAsia="黑体" w:cs="黑体"/>
                <w:color w:val="auto"/>
                <w:szCs w:val="21"/>
                <w:highlight w:val="none"/>
              </w:rPr>
            </w:pPr>
          </w:p>
        </w:tc>
      </w:tr>
    </w:tbl>
    <w:p w14:paraId="061ADEDE">
      <w:pPr>
        <w:pStyle w:val="31"/>
        <w:pageBreakBefore/>
        <w:numPr>
          <w:ilvl w:val="0"/>
          <w:numId w:val="62"/>
        </w:numPr>
        <w:spacing w:line="480" w:lineRule="auto"/>
        <w:ind w:firstLineChars="0"/>
        <w:rPr>
          <w:rFonts w:hint="eastAsia" w:ascii="黑体" w:hAnsi="黑体" w:eastAsia="黑体" w:cs="黑体"/>
          <w:b/>
          <w:color w:val="auto"/>
          <w:szCs w:val="21"/>
          <w:highlight w:val="none"/>
        </w:rPr>
      </w:pPr>
      <w:r>
        <w:rPr>
          <w:rStyle w:val="22"/>
          <w:rFonts w:hint="eastAsia" w:ascii="黑体" w:hAnsi="黑体" w:eastAsia="黑体" w:cs="黑体"/>
          <w:bCs w:val="0"/>
          <w:color w:val="auto"/>
          <w:spacing w:val="12"/>
          <w:highlight w:val="none"/>
        </w:rPr>
        <w:t>中小企业</w:t>
      </w:r>
      <w:r>
        <w:rPr>
          <w:rFonts w:hint="eastAsia" w:ascii="黑体" w:hAnsi="黑体" w:eastAsia="黑体" w:cs="黑体"/>
          <w:b/>
          <w:color w:val="auto"/>
          <w:szCs w:val="21"/>
          <w:highlight w:val="none"/>
        </w:rPr>
        <w:t>声明函</w:t>
      </w:r>
      <w:r>
        <w:rPr>
          <w:rFonts w:hint="eastAsia" w:ascii="黑体" w:hAnsi="黑体" w:eastAsia="黑体" w:cs="黑体"/>
          <w:bCs/>
          <w:color w:val="auto"/>
          <w:szCs w:val="21"/>
          <w:highlight w:val="none"/>
        </w:rPr>
        <w:t>（</w:t>
      </w:r>
      <w:r>
        <w:rPr>
          <w:rFonts w:hint="eastAsia" w:ascii="黑体" w:hAnsi="黑体" w:eastAsia="黑体" w:cs="黑体"/>
          <w:b/>
          <w:color w:val="auto"/>
          <w:szCs w:val="21"/>
          <w:highlight w:val="none"/>
        </w:rPr>
        <w:t>如需）</w:t>
      </w:r>
    </w:p>
    <w:p w14:paraId="4FE4B07B">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中小企业声明函（货物）</w:t>
      </w:r>
    </w:p>
    <w:p w14:paraId="1A4135E6">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本公司（联合体）郑重声明，根据《政府采购促进中小企业发展管理办法》（财库﹝2020﹞46 号）的规定，本公司（联合体）参加</w:t>
      </w:r>
      <w:r>
        <w:rPr>
          <w:rFonts w:hint="eastAsia" w:ascii="黑体" w:hAnsi="黑体" w:eastAsia="黑体" w:cs="黑体"/>
          <w:color w:val="auto"/>
          <w:szCs w:val="21"/>
          <w:highlight w:val="none"/>
          <w:u w:val="single"/>
        </w:rPr>
        <w:t>（单位名称）</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（项目名称）</w:t>
      </w:r>
      <w:r>
        <w:rPr>
          <w:rFonts w:hint="eastAsia" w:ascii="黑体" w:hAnsi="黑体" w:eastAsia="黑体" w:cs="黑体"/>
          <w:color w:val="auto"/>
          <w:szCs w:val="21"/>
          <w:highlight w:val="none"/>
        </w:rPr>
        <w:t>采购活动，提供的货物全部由符合政策要求的中小企业制造。相关企业（含联合体中的中小企业、签订分包意向协议的中小企业）的具体情况如下：</w:t>
      </w:r>
    </w:p>
    <w:p w14:paraId="52BD83C8">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1.</w:t>
      </w:r>
      <w:r>
        <w:rPr>
          <w:rFonts w:hint="eastAsia" w:ascii="黑体" w:hAnsi="黑体" w:eastAsia="黑体" w:cs="黑体"/>
          <w:color w:val="auto"/>
          <w:szCs w:val="21"/>
          <w:highlight w:val="none"/>
          <w:u w:val="single"/>
        </w:rPr>
        <w:t xml:space="preserve"> （标的名称） </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行业；制造商为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人，营业收入为 </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 xml:space="preserve"> 万元</w:t>
      </w:r>
      <w:r>
        <w:rPr>
          <w:rFonts w:hint="eastAsia" w:ascii="黑体" w:hAnsi="黑体" w:eastAsia="黑体" w:cs="黑体"/>
          <w:color w:val="auto"/>
          <w:szCs w:val="21"/>
          <w:highlight w:val="none"/>
          <w:vertAlign w:val="superscript"/>
        </w:rPr>
        <w:t>1</w:t>
      </w:r>
      <w:r>
        <w:rPr>
          <w:rFonts w:hint="eastAsia" w:ascii="黑体" w:hAnsi="黑体" w:eastAsia="黑体" w:cs="黑体"/>
          <w:color w:val="auto"/>
          <w:szCs w:val="21"/>
          <w:highlight w:val="none"/>
        </w:rPr>
        <w:t>，属于</w:t>
      </w:r>
      <w:r>
        <w:rPr>
          <w:rFonts w:hint="eastAsia" w:ascii="黑体" w:hAnsi="黑体" w:eastAsia="黑体" w:cs="黑体"/>
          <w:color w:val="auto"/>
          <w:szCs w:val="21"/>
          <w:highlight w:val="none"/>
          <w:u w:val="single"/>
        </w:rPr>
        <w:t>（中型企业、小型企业、微型企业）</w:t>
      </w:r>
      <w:r>
        <w:rPr>
          <w:rFonts w:hint="eastAsia" w:ascii="黑体" w:hAnsi="黑体" w:eastAsia="黑体" w:cs="黑体"/>
          <w:color w:val="auto"/>
          <w:szCs w:val="21"/>
          <w:highlight w:val="none"/>
        </w:rPr>
        <w:t>；</w:t>
      </w:r>
    </w:p>
    <w:p w14:paraId="4B757795">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（标的名称）</w:t>
      </w:r>
      <w:r>
        <w:rPr>
          <w:rFonts w:hint="eastAsia" w:ascii="黑体" w:hAnsi="黑体" w:eastAsia="黑体" w:cs="黑体"/>
          <w:color w:val="auto"/>
          <w:szCs w:val="21"/>
          <w:highlight w:val="none"/>
        </w:rPr>
        <w:t xml:space="preserve"> ，属于</w:t>
      </w:r>
      <w:r>
        <w:rPr>
          <w:rFonts w:hint="eastAsia" w:ascii="黑体" w:hAnsi="黑体" w:eastAsia="黑体" w:cs="黑体"/>
          <w:color w:val="auto"/>
          <w:szCs w:val="21"/>
          <w:highlight w:val="none"/>
          <w:u w:val="single"/>
        </w:rPr>
        <w:t>（采购文件中明确的所属行业）</w:t>
      </w:r>
      <w:r>
        <w:rPr>
          <w:rFonts w:hint="eastAsia" w:ascii="黑体" w:hAnsi="黑体" w:eastAsia="黑体" w:cs="黑体"/>
          <w:color w:val="auto"/>
          <w:szCs w:val="21"/>
          <w:highlight w:val="none"/>
        </w:rPr>
        <w:t>行业；制造商为</w:t>
      </w:r>
      <w:r>
        <w:rPr>
          <w:rFonts w:hint="eastAsia" w:ascii="黑体" w:hAnsi="黑体" w:eastAsia="黑体" w:cs="黑体"/>
          <w:color w:val="auto"/>
          <w:szCs w:val="21"/>
          <w:highlight w:val="none"/>
          <w:u w:val="single"/>
        </w:rPr>
        <w:t>（企业名称）</w:t>
      </w:r>
      <w:r>
        <w:rPr>
          <w:rFonts w:hint="eastAsia" w:ascii="黑体" w:hAnsi="黑体" w:eastAsia="黑体" w:cs="黑体"/>
          <w:color w:val="auto"/>
          <w:szCs w:val="21"/>
          <w:highlight w:val="none"/>
        </w:rPr>
        <w:t>，从业人员</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人，营业收入为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万元，资产总额为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万元，属于</w:t>
      </w:r>
      <w:r>
        <w:rPr>
          <w:rFonts w:hint="eastAsia" w:ascii="黑体" w:hAnsi="黑体" w:eastAsia="黑体" w:cs="黑体"/>
          <w:color w:val="auto"/>
          <w:szCs w:val="21"/>
          <w:highlight w:val="none"/>
          <w:u w:val="single"/>
        </w:rPr>
        <w:t>（中型企业、小型企业、微型企业）</w:t>
      </w:r>
      <w:r>
        <w:rPr>
          <w:rFonts w:hint="eastAsia" w:ascii="黑体" w:hAnsi="黑体" w:eastAsia="黑体" w:cs="黑体"/>
          <w:color w:val="auto"/>
          <w:szCs w:val="21"/>
          <w:highlight w:val="none"/>
        </w:rPr>
        <w:t>；</w:t>
      </w:r>
    </w:p>
    <w:p w14:paraId="7479667E">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w:t>
      </w:r>
    </w:p>
    <w:p w14:paraId="705DE808">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以上企业，不属于大企业的分支机构，不存在控股股东为大企业的情形，也不存在与大企业的负责人为同一人的情形。</w:t>
      </w:r>
    </w:p>
    <w:p w14:paraId="5D9B6946">
      <w:pPr>
        <w:spacing w:line="360" w:lineRule="auto"/>
        <w:ind w:firstLine="424" w:firstLineChars="202"/>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本企业对上述声明内容的真实性负责。如有虚假，将依法承担相应责任。</w:t>
      </w:r>
    </w:p>
    <w:p w14:paraId="2E2291B3">
      <w:pPr>
        <w:spacing w:before="936" w:beforeLines="300" w:line="360" w:lineRule="auto"/>
        <w:ind w:right="420"/>
        <w:jc w:val="cente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企业名称（盖章）：</w:t>
      </w:r>
    </w:p>
    <w:p w14:paraId="7F3C4FBF">
      <w:pPr>
        <w:spacing w:line="360" w:lineRule="auto"/>
        <w:ind w:firstLine="5527" w:firstLineChars="2632"/>
        <w:jc w:val="left"/>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p>
    <w:p w14:paraId="47CC5CC7">
      <w:pPr>
        <w:spacing w:line="360" w:lineRule="auto"/>
        <w:rPr>
          <w:rFonts w:hint="eastAsia" w:ascii="黑体" w:hAnsi="黑体" w:eastAsia="黑体" w:cs="黑体"/>
          <w:color w:val="auto"/>
          <w:szCs w:val="21"/>
          <w:highlight w:val="none"/>
        </w:rPr>
      </w:pPr>
    </w:p>
    <w:p w14:paraId="06102B05">
      <w:pPr>
        <w:spacing w:line="360" w:lineRule="auto"/>
        <w:rPr>
          <w:rFonts w:hint="eastAsia" w:ascii="黑体" w:hAnsi="黑体" w:eastAsia="黑体" w:cs="黑体"/>
          <w:color w:val="auto"/>
          <w:szCs w:val="21"/>
          <w:highlight w:val="none"/>
        </w:rPr>
      </w:pPr>
    </w:p>
    <w:p w14:paraId="354F016F">
      <w:pPr>
        <w:spacing w:line="360" w:lineRule="auto"/>
        <w:rPr>
          <w:rFonts w:hint="eastAsia" w:ascii="黑体" w:hAnsi="黑体" w:eastAsia="黑体" w:cs="黑体"/>
          <w:color w:val="auto"/>
          <w:szCs w:val="21"/>
          <w:highlight w:val="none"/>
        </w:rPr>
      </w:pPr>
    </w:p>
    <w:p w14:paraId="58AF267C">
      <w:pPr>
        <w:rPr>
          <w:rFonts w:hint="eastAsia" w:ascii="黑体" w:hAnsi="黑体" w:eastAsia="黑体" w:cs="黑体"/>
          <w:color w:val="auto"/>
          <w:highlight w:val="none"/>
        </w:rPr>
      </w:pPr>
      <w:r>
        <w:rPr>
          <w:rFonts w:hint="eastAsia" w:ascii="黑体" w:hAnsi="黑体" w:eastAsia="黑体" w:cs="黑体"/>
          <w:color w:val="auto"/>
          <w:szCs w:val="21"/>
          <w:highlight w:val="none"/>
        </w:rPr>
        <w:t>1.从业人员、营业收入、资产总额填报上一年度数据，无上一年度数据的新成立企业可不填报。</w:t>
      </w:r>
    </w:p>
    <w:p w14:paraId="52644FEB">
      <w:pPr>
        <w:rPr>
          <w:rFonts w:hint="eastAsia" w:ascii="黑体" w:hAnsi="黑体" w:eastAsia="黑体" w:cs="黑体"/>
          <w:color w:val="auto"/>
          <w:highlight w:val="none"/>
        </w:rPr>
      </w:pPr>
    </w:p>
    <w:p w14:paraId="6D5AC149">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r>
        <w:rPr>
          <w:rStyle w:val="22"/>
          <w:rFonts w:hint="eastAsia" w:ascii="黑体" w:hAnsi="黑体" w:eastAsia="黑体" w:cs="黑体"/>
          <w:bCs w:val="0"/>
          <w:color w:val="auto"/>
          <w:spacing w:val="12"/>
          <w:highlight w:val="none"/>
        </w:rPr>
        <w:t>残疾人福利性单位声明函（如需）</w:t>
      </w:r>
    </w:p>
    <w:p w14:paraId="4DB60255">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残疾人福利性单位声明函</w:t>
      </w:r>
    </w:p>
    <w:p w14:paraId="5A84579C">
      <w:pPr>
        <w:spacing w:line="480" w:lineRule="auto"/>
        <w:ind w:firstLine="630" w:firstLineChars="300"/>
        <w:rPr>
          <w:rFonts w:hint="eastAsia" w:ascii="黑体" w:hAnsi="黑体" w:eastAsia="黑体" w:cs="黑体"/>
          <w:color w:val="auto"/>
          <w:highlight w:val="none"/>
        </w:rPr>
      </w:pPr>
      <w:r>
        <w:rPr>
          <w:rFonts w:hint="eastAsia" w:ascii="黑体" w:hAnsi="黑体" w:eastAsia="黑体" w:cs="黑体"/>
          <w:bCs/>
          <w:color w:val="auto"/>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21E89F">
      <w:pPr>
        <w:spacing w:line="480" w:lineRule="auto"/>
        <w:ind w:firstLine="420" w:firstLineChars="200"/>
        <w:rPr>
          <w:rFonts w:hint="eastAsia" w:ascii="黑体" w:hAnsi="黑体" w:eastAsia="黑体" w:cs="黑体"/>
          <w:color w:val="auto"/>
          <w:highlight w:val="none"/>
        </w:rPr>
      </w:pPr>
      <w:r>
        <w:rPr>
          <w:rFonts w:hint="eastAsia" w:ascii="黑体" w:hAnsi="黑体" w:eastAsia="黑体" w:cs="黑体"/>
          <w:color w:val="auto"/>
          <w:highlight w:val="none"/>
        </w:rPr>
        <w:t>本单位对上述声明的真实性负责。如有虚假，将依法承担相应责任。</w:t>
      </w:r>
    </w:p>
    <w:p w14:paraId="09E5D34A">
      <w:pPr>
        <w:spacing w:line="360" w:lineRule="auto"/>
        <w:rPr>
          <w:rFonts w:hint="eastAsia" w:ascii="黑体" w:hAnsi="黑体" w:eastAsia="黑体" w:cs="黑体"/>
          <w:color w:val="auto"/>
          <w:highlight w:val="none"/>
        </w:rPr>
      </w:pPr>
    </w:p>
    <w:p w14:paraId="50E761D9">
      <w:pPr>
        <w:spacing w:line="360" w:lineRule="auto"/>
        <w:rPr>
          <w:rFonts w:hint="eastAsia" w:ascii="黑体" w:hAnsi="黑体" w:eastAsia="黑体" w:cs="黑体"/>
          <w:color w:val="auto"/>
          <w:highlight w:val="none"/>
        </w:rPr>
      </w:pPr>
    </w:p>
    <w:p w14:paraId="57A1A2DD">
      <w:pPr>
        <w:spacing w:line="360" w:lineRule="auto"/>
        <w:rPr>
          <w:rFonts w:hint="eastAsia" w:ascii="黑体" w:hAnsi="黑体" w:eastAsia="黑体" w:cs="黑体"/>
          <w:color w:val="auto"/>
          <w:highlight w:val="none"/>
        </w:rPr>
      </w:pPr>
    </w:p>
    <w:tbl>
      <w:tblPr>
        <w:tblStyle w:val="19"/>
        <w:tblW w:w="0" w:type="auto"/>
        <w:tblInd w:w="0" w:type="dxa"/>
        <w:tblLayout w:type="autofit"/>
        <w:tblCellMar>
          <w:top w:w="0" w:type="dxa"/>
          <w:left w:w="108" w:type="dxa"/>
          <w:bottom w:w="0" w:type="dxa"/>
          <w:right w:w="108" w:type="dxa"/>
        </w:tblCellMar>
      </w:tblPr>
      <w:tblGrid>
        <w:gridCol w:w="5353"/>
      </w:tblGrid>
      <w:tr w14:paraId="4F61786C">
        <w:tblPrEx>
          <w:tblCellMar>
            <w:top w:w="0" w:type="dxa"/>
            <w:left w:w="108" w:type="dxa"/>
            <w:bottom w:w="0" w:type="dxa"/>
            <w:right w:w="108" w:type="dxa"/>
          </w:tblCellMar>
        </w:tblPrEx>
        <w:tc>
          <w:tcPr>
            <w:tcW w:w="5353" w:type="dxa"/>
            <w:shd w:val="clear" w:color="auto" w:fill="auto"/>
          </w:tcPr>
          <w:p w14:paraId="6EF1DABD">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响应供应商名称（加盖公章）：</w:t>
            </w:r>
            <w:r>
              <w:rPr>
                <w:rFonts w:hint="eastAsia" w:ascii="黑体" w:hAnsi="黑体" w:eastAsia="黑体" w:cs="黑体"/>
                <w:color w:val="auto"/>
                <w:szCs w:val="21"/>
                <w:highlight w:val="none"/>
                <w:u w:val="single"/>
              </w:rPr>
              <w:t xml:space="preserve">                         </w:t>
            </w:r>
          </w:p>
        </w:tc>
      </w:tr>
      <w:tr w14:paraId="18BA3D6B">
        <w:tblPrEx>
          <w:tblCellMar>
            <w:top w:w="0" w:type="dxa"/>
            <w:left w:w="108" w:type="dxa"/>
            <w:bottom w:w="0" w:type="dxa"/>
            <w:right w:w="108" w:type="dxa"/>
          </w:tblCellMar>
        </w:tblPrEx>
        <w:tc>
          <w:tcPr>
            <w:tcW w:w="5353" w:type="dxa"/>
            <w:shd w:val="clear" w:color="auto" w:fill="auto"/>
          </w:tcPr>
          <w:p w14:paraId="6955B97F">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日期：</w:t>
            </w:r>
            <w:r>
              <w:rPr>
                <w:rFonts w:hint="eastAsia" w:ascii="黑体" w:hAnsi="黑体" w:eastAsia="黑体" w:cs="黑体"/>
                <w:color w:val="auto"/>
                <w:szCs w:val="21"/>
                <w:highlight w:val="none"/>
                <w:u w:val="single"/>
              </w:rPr>
              <w:t xml:space="preserve">             年           月            日</w:t>
            </w:r>
          </w:p>
        </w:tc>
      </w:tr>
    </w:tbl>
    <w:p w14:paraId="3BD2E426">
      <w:pPr>
        <w:rPr>
          <w:rFonts w:hint="eastAsia" w:ascii="黑体" w:hAnsi="黑体" w:eastAsia="黑体" w:cs="黑体"/>
          <w:color w:val="auto"/>
          <w:highlight w:val="none"/>
        </w:rPr>
      </w:pPr>
    </w:p>
    <w:p w14:paraId="24875B13">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r>
        <w:rPr>
          <w:rStyle w:val="22"/>
          <w:rFonts w:hint="eastAsia" w:ascii="黑体" w:hAnsi="黑体" w:eastAsia="黑体" w:cs="黑体"/>
          <w:bCs w:val="0"/>
          <w:color w:val="auto"/>
          <w:spacing w:val="12"/>
          <w:highlight w:val="none"/>
        </w:rPr>
        <w:t>监狱企业的证明文件（如需）</w:t>
      </w:r>
    </w:p>
    <w:p w14:paraId="77BDB680">
      <w:pPr>
        <w:rPr>
          <w:rFonts w:hint="eastAsia" w:ascii="黑体" w:hAnsi="黑体" w:eastAsia="黑体" w:cs="黑体"/>
          <w:color w:val="auto"/>
          <w:highlight w:val="none"/>
        </w:rPr>
      </w:pPr>
    </w:p>
    <w:p w14:paraId="440F3B18">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监狱企业的证明文件</w:t>
      </w:r>
    </w:p>
    <w:p w14:paraId="175AE575">
      <w:pPr>
        <w:spacing w:line="440" w:lineRule="exact"/>
        <w:rPr>
          <w:rFonts w:hint="eastAsia" w:ascii="黑体" w:hAnsi="黑体" w:eastAsia="黑体" w:cs="黑体"/>
          <w:color w:val="auto"/>
          <w:highlight w:val="none"/>
        </w:rPr>
      </w:pPr>
      <w:r>
        <w:rPr>
          <w:rFonts w:hint="eastAsia" w:ascii="黑体" w:hAnsi="黑体" w:eastAsia="黑体" w:cs="黑体"/>
          <w:color w:val="auto"/>
          <w:highlight w:val="none"/>
        </w:rPr>
        <w:t>说明：监狱企业参加采购活动时，应当提供由省级以上监狱管理局、戒毒管理局（含新疆生产建设兵团）出具的属于监狱企业的证明文件并加盖响应供应商公章。</w:t>
      </w:r>
    </w:p>
    <w:p w14:paraId="152175E6">
      <w:pPr>
        <w:spacing w:line="440" w:lineRule="exact"/>
        <w:rPr>
          <w:rFonts w:hint="eastAsia" w:ascii="黑体" w:hAnsi="黑体" w:eastAsia="黑体" w:cs="黑体"/>
          <w:color w:val="auto"/>
          <w:highlight w:val="none"/>
        </w:rPr>
      </w:pPr>
    </w:p>
    <w:p w14:paraId="3FB4BB77">
      <w:pPr>
        <w:spacing w:line="440" w:lineRule="exact"/>
        <w:rPr>
          <w:rFonts w:hint="eastAsia" w:ascii="黑体" w:hAnsi="黑体" w:eastAsia="黑体" w:cs="黑体"/>
          <w:color w:val="auto"/>
          <w:highlight w:val="none"/>
        </w:rPr>
      </w:pPr>
    </w:p>
    <w:p w14:paraId="7C52BCA1">
      <w:pPr>
        <w:rPr>
          <w:rFonts w:hint="eastAsia" w:ascii="黑体" w:hAnsi="黑体" w:eastAsia="黑体" w:cs="黑体"/>
          <w:color w:val="auto"/>
          <w:highlight w:val="none"/>
        </w:rPr>
      </w:pPr>
    </w:p>
    <w:p w14:paraId="0D1B6188">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17" w:name="_Toc46688483"/>
      <w:bookmarkStart w:id="318" w:name="_Hlk46687984"/>
      <w:r>
        <w:rPr>
          <w:rStyle w:val="22"/>
          <w:rFonts w:hint="eastAsia" w:ascii="黑体" w:hAnsi="黑体" w:eastAsia="黑体" w:cs="黑体"/>
          <w:bCs w:val="0"/>
          <w:color w:val="auto"/>
          <w:spacing w:val="12"/>
          <w:highlight w:val="none"/>
        </w:rPr>
        <w:t>政策适用性说明（如需）</w:t>
      </w:r>
      <w:bookmarkEnd w:id="317"/>
    </w:p>
    <w:p w14:paraId="6E794764">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政策适用性说明</w:t>
      </w:r>
    </w:p>
    <w:p w14:paraId="3DB4AEE1">
      <w:pPr>
        <w:spacing w:after="156" w:afterLines="50" w:line="360" w:lineRule="auto"/>
        <w:rPr>
          <w:rFonts w:hint="eastAsia" w:ascii="黑体" w:hAnsi="黑体" w:eastAsia="黑体" w:cs="黑体"/>
          <w:bCs/>
          <w:color w:val="auto"/>
          <w:szCs w:val="21"/>
          <w:highlight w:val="none"/>
          <w:lang w:val="zh-CN"/>
        </w:rPr>
      </w:pPr>
      <w:r>
        <w:rPr>
          <w:rFonts w:hint="eastAsia" w:ascii="黑体" w:hAnsi="黑体" w:eastAsia="黑体" w:cs="黑体"/>
          <w:bCs/>
          <w:color w:val="auto"/>
          <w:szCs w:val="21"/>
          <w:highlight w:val="none"/>
          <w:lang w:val="zh-CN"/>
        </w:rPr>
        <w:t>按照政府采购有关政策的要求，在本次的技术方案中，采用符合政策的小型或微型企业产品、节能产品、环保标志产品，主要产品与核心技术介绍说明如下：</w:t>
      </w:r>
    </w:p>
    <w:tbl>
      <w:tblPr>
        <w:tblStyle w:val="1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2124"/>
        <w:gridCol w:w="992"/>
        <w:gridCol w:w="994"/>
        <w:gridCol w:w="712"/>
        <w:gridCol w:w="852"/>
        <w:gridCol w:w="844"/>
        <w:gridCol w:w="1612"/>
      </w:tblGrid>
      <w:tr w14:paraId="1F246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92" w:type="dxa"/>
            <w:vAlign w:val="center"/>
          </w:tcPr>
          <w:p w14:paraId="57A5C8C6">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序号</w:t>
            </w:r>
          </w:p>
        </w:tc>
        <w:tc>
          <w:tcPr>
            <w:tcW w:w="2124" w:type="dxa"/>
            <w:vAlign w:val="center"/>
          </w:tcPr>
          <w:p w14:paraId="0E14485F">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主要产品/技术名称</w:t>
            </w:r>
          </w:p>
          <w:p w14:paraId="3B292254">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pacing w:val="-6"/>
                <w:szCs w:val="21"/>
                <w:highlight w:val="none"/>
                <w:lang w:val="en-GB"/>
              </w:rPr>
              <w:t>(规格型号、注册商标)</w:t>
            </w:r>
          </w:p>
        </w:tc>
        <w:tc>
          <w:tcPr>
            <w:tcW w:w="992" w:type="dxa"/>
            <w:vAlign w:val="center"/>
          </w:tcPr>
          <w:p w14:paraId="3416C4B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6"/>
                <w:szCs w:val="21"/>
                <w:highlight w:val="none"/>
                <w:lang w:val="en-GB"/>
              </w:rPr>
              <w:t>(开发商)</w:t>
            </w:r>
          </w:p>
        </w:tc>
        <w:tc>
          <w:tcPr>
            <w:tcW w:w="994" w:type="dxa"/>
            <w:vAlign w:val="center"/>
          </w:tcPr>
          <w:p w14:paraId="6886406D">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制造商</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pacing w:val="-8"/>
                <w:szCs w:val="21"/>
                <w:highlight w:val="none"/>
                <w:lang w:val="en-GB"/>
              </w:rPr>
              <w:t>企业类型</w:t>
            </w:r>
          </w:p>
        </w:tc>
        <w:tc>
          <w:tcPr>
            <w:tcW w:w="712" w:type="dxa"/>
            <w:vAlign w:val="center"/>
          </w:tcPr>
          <w:p w14:paraId="01629787">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节能</w:t>
            </w:r>
            <w:r>
              <w:rPr>
                <w:rFonts w:hint="eastAsia" w:ascii="黑体" w:hAnsi="黑体" w:eastAsia="黑体" w:cs="黑体"/>
                <w:color w:val="auto"/>
                <w:szCs w:val="21"/>
                <w:highlight w:val="none"/>
                <w:lang w:val="en-GB"/>
              </w:rPr>
              <w:br w:type="textWrapping"/>
            </w:r>
            <w:r>
              <w:rPr>
                <w:rFonts w:hint="eastAsia" w:ascii="黑体" w:hAnsi="黑体" w:eastAsia="黑体" w:cs="黑体"/>
                <w:color w:val="auto"/>
                <w:szCs w:val="21"/>
                <w:highlight w:val="none"/>
                <w:lang w:val="en-GB"/>
              </w:rPr>
              <w:t>产品</w:t>
            </w:r>
          </w:p>
        </w:tc>
        <w:tc>
          <w:tcPr>
            <w:tcW w:w="852" w:type="dxa"/>
            <w:vAlign w:val="center"/>
          </w:tcPr>
          <w:p w14:paraId="3E5BC82C">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环保标</w:t>
            </w:r>
          </w:p>
          <w:p w14:paraId="621B0751">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志产品</w:t>
            </w:r>
          </w:p>
        </w:tc>
        <w:tc>
          <w:tcPr>
            <w:tcW w:w="844" w:type="dxa"/>
            <w:vAlign w:val="center"/>
          </w:tcPr>
          <w:p w14:paraId="41F490BB">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认证证</w:t>
            </w:r>
          </w:p>
          <w:p w14:paraId="5E613BC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书编号</w:t>
            </w:r>
          </w:p>
        </w:tc>
        <w:tc>
          <w:tcPr>
            <w:tcW w:w="1612" w:type="dxa"/>
            <w:vAlign w:val="center"/>
          </w:tcPr>
          <w:p w14:paraId="533E7BE9">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该产品报价在总报价中占比(%)</w:t>
            </w:r>
          </w:p>
        </w:tc>
      </w:tr>
      <w:tr w14:paraId="6D3C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5349FAE9">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1</w:t>
            </w:r>
          </w:p>
        </w:tc>
        <w:tc>
          <w:tcPr>
            <w:tcW w:w="2124" w:type="dxa"/>
            <w:vAlign w:val="center"/>
          </w:tcPr>
          <w:p w14:paraId="582B9462">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1AE8685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60F7AB4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1873465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195E7F9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5952046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3A807608">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108C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535FE612">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2</w:t>
            </w:r>
          </w:p>
        </w:tc>
        <w:tc>
          <w:tcPr>
            <w:tcW w:w="2124" w:type="dxa"/>
            <w:vAlign w:val="center"/>
          </w:tcPr>
          <w:p w14:paraId="210A11F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1A60DB6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10CD8C4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388B70C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5872A58F">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4146574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428F5A6B">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542AE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7DBBAA11">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3</w:t>
            </w:r>
          </w:p>
        </w:tc>
        <w:tc>
          <w:tcPr>
            <w:tcW w:w="2124" w:type="dxa"/>
            <w:vAlign w:val="center"/>
          </w:tcPr>
          <w:p w14:paraId="237858C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5AF33F15">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40C7F294">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51B1EB7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31A2E396">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5101C38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4BB75B00">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3F3BE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0E1F072D">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4</w:t>
            </w:r>
          </w:p>
        </w:tc>
        <w:tc>
          <w:tcPr>
            <w:tcW w:w="2124" w:type="dxa"/>
            <w:vAlign w:val="center"/>
          </w:tcPr>
          <w:p w14:paraId="576303B7">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0C92706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68EFE37B">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55F6D66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798B01E7">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64D503BC">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5AFD3736">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5517B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78E8364D">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5</w:t>
            </w:r>
          </w:p>
        </w:tc>
        <w:tc>
          <w:tcPr>
            <w:tcW w:w="2124" w:type="dxa"/>
            <w:vAlign w:val="center"/>
          </w:tcPr>
          <w:p w14:paraId="7F782BD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4036F1AF">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16E295ED">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0D9E664A">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10C6D96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378F5149">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102E2395">
            <w:pPr>
              <w:tabs>
                <w:tab w:val="left" w:pos="1260"/>
              </w:tabs>
              <w:ind w:left="-53" w:leftChars="-25" w:right="-53" w:rightChars="-25"/>
              <w:jc w:val="center"/>
              <w:rPr>
                <w:rFonts w:hint="eastAsia" w:ascii="黑体" w:hAnsi="黑体" w:eastAsia="黑体" w:cs="黑体"/>
                <w:color w:val="auto"/>
                <w:szCs w:val="21"/>
                <w:highlight w:val="none"/>
                <w:lang w:val="en-GB"/>
              </w:rPr>
            </w:pPr>
          </w:p>
        </w:tc>
      </w:tr>
      <w:tr w14:paraId="13D36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392" w:type="dxa"/>
            <w:vAlign w:val="center"/>
          </w:tcPr>
          <w:p w14:paraId="0A03BCFA">
            <w:pPr>
              <w:tabs>
                <w:tab w:val="left" w:pos="1260"/>
              </w:tabs>
              <w:ind w:left="-53" w:leftChars="-25" w:right="-53" w:rightChars="-25"/>
              <w:jc w:val="center"/>
              <w:rPr>
                <w:rFonts w:hint="eastAsia" w:ascii="黑体" w:hAnsi="黑体" w:eastAsia="黑体" w:cs="黑体"/>
                <w:color w:val="auto"/>
                <w:szCs w:val="21"/>
                <w:highlight w:val="none"/>
                <w:lang w:val="en-GB"/>
              </w:rPr>
            </w:pPr>
            <w:r>
              <w:rPr>
                <w:rFonts w:hint="eastAsia" w:ascii="黑体" w:hAnsi="黑体" w:eastAsia="黑体" w:cs="黑体"/>
                <w:color w:val="auto"/>
                <w:szCs w:val="21"/>
                <w:highlight w:val="none"/>
                <w:lang w:val="en-GB"/>
              </w:rPr>
              <w:t>…</w:t>
            </w:r>
          </w:p>
        </w:tc>
        <w:tc>
          <w:tcPr>
            <w:tcW w:w="2124" w:type="dxa"/>
            <w:vAlign w:val="center"/>
          </w:tcPr>
          <w:p w14:paraId="4C757ADE">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2" w:type="dxa"/>
            <w:vAlign w:val="center"/>
          </w:tcPr>
          <w:p w14:paraId="51F76B64">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994" w:type="dxa"/>
            <w:vAlign w:val="center"/>
          </w:tcPr>
          <w:p w14:paraId="1BDFC5E1">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712" w:type="dxa"/>
            <w:vAlign w:val="center"/>
          </w:tcPr>
          <w:p w14:paraId="72B70773">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52" w:type="dxa"/>
            <w:vAlign w:val="center"/>
          </w:tcPr>
          <w:p w14:paraId="72A5C840">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844" w:type="dxa"/>
            <w:vAlign w:val="center"/>
          </w:tcPr>
          <w:p w14:paraId="5D003AA8">
            <w:pPr>
              <w:tabs>
                <w:tab w:val="left" w:pos="1260"/>
              </w:tabs>
              <w:ind w:left="-53" w:leftChars="-25" w:right="-53" w:rightChars="-25"/>
              <w:jc w:val="center"/>
              <w:rPr>
                <w:rFonts w:hint="eastAsia" w:ascii="黑体" w:hAnsi="黑体" w:eastAsia="黑体" w:cs="黑体"/>
                <w:color w:val="auto"/>
                <w:szCs w:val="21"/>
                <w:highlight w:val="none"/>
                <w:lang w:val="en-GB"/>
              </w:rPr>
            </w:pPr>
          </w:p>
        </w:tc>
        <w:tc>
          <w:tcPr>
            <w:tcW w:w="1612" w:type="dxa"/>
            <w:vAlign w:val="center"/>
          </w:tcPr>
          <w:p w14:paraId="6CD71F29">
            <w:pPr>
              <w:tabs>
                <w:tab w:val="left" w:pos="1260"/>
              </w:tabs>
              <w:ind w:left="-53" w:leftChars="-25" w:right="-53" w:rightChars="-25"/>
              <w:jc w:val="center"/>
              <w:rPr>
                <w:rFonts w:hint="eastAsia" w:ascii="黑体" w:hAnsi="黑体" w:eastAsia="黑体" w:cs="黑体"/>
                <w:color w:val="auto"/>
                <w:szCs w:val="21"/>
                <w:highlight w:val="none"/>
                <w:lang w:val="en-GB"/>
              </w:rPr>
            </w:pPr>
          </w:p>
        </w:tc>
      </w:tr>
    </w:tbl>
    <w:p w14:paraId="308F75EE">
      <w:pPr>
        <w:spacing w:before="156" w:beforeLines="50" w:line="360" w:lineRule="auto"/>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注明：</w:t>
      </w:r>
    </w:p>
    <w:p w14:paraId="0AAC00BC">
      <w:pPr>
        <w:pStyle w:val="60"/>
        <w:numPr>
          <w:ilvl w:val="0"/>
          <w:numId w:val="73"/>
        </w:numPr>
        <w:spacing w:line="360" w:lineRule="auto"/>
        <w:ind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制造商为小型或微型企业时才需要填“制造商企业类型”栏，填写内容为“小型”或“微型”；</w:t>
      </w:r>
    </w:p>
    <w:p w14:paraId="03A4D48A">
      <w:pPr>
        <w:pStyle w:val="60"/>
        <w:numPr>
          <w:ilvl w:val="0"/>
          <w:numId w:val="73"/>
        </w:numPr>
        <w:tabs>
          <w:tab w:val="left" w:pos="142"/>
        </w:tabs>
        <w:spacing w:line="360" w:lineRule="auto"/>
        <w:ind w:left="424" w:leftChars="2" w:hangingChars="20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节能产品须填写认证证书编号，并提供所投产品的节能产品认证证书复印件加盖供应商公章；</w:t>
      </w:r>
    </w:p>
    <w:p w14:paraId="657A5400">
      <w:pPr>
        <w:pStyle w:val="60"/>
        <w:numPr>
          <w:ilvl w:val="0"/>
          <w:numId w:val="73"/>
        </w:numPr>
        <w:spacing w:line="360" w:lineRule="auto"/>
        <w:ind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环保标志产品须填写认证证书编号，并提供所投产品的环保标志产品认证证书复印件加盖供应商公章。</w:t>
      </w:r>
    </w:p>
    <w:p w14:paraId="20F561BD">
      <w:pPr>
        <w:pStyle w:val="60"/>
        <w:numPr>
          <w:ilvl w:val="0"/>
          <w:numId w:val="73"/>
        </w:numPr>
        <w:spacing w:line="360" w:lineRule="auto"/>
        <w:ind w:firstLineChars="0"/>
        <w:rPr>
          <w:rFonts w:hint="eastAsia" w:ascii="黑体" w:hAnsi="黑体" w:eastAsia="黑体" w:cs="黑体"/>
          <w:bCs/>
          <w:color w:val="auto"/>
          <w:szCs w:val="21"/>
          <w:highlight w:val="none"/>
          <w:lang w:val="en-GB"/>
        </w:rPr>
      </w:pPr>
      <w:r>
        <w:rPr>
          <w:rFonts w:hint="eastAsia" w:ascii="黑体" w:hAnsi="黑体" w:eastAsia="黑体" w:cs="黑体"/>
          <w:bCs/>
          <w:color w:val="auto"/>
          <w:szCs w:val="21"/>
          <w:highlight w:val="none"/>
          <w:lang w:val="en-GB"/>
        </w:rPr>
        <w:t>以上证明资料未按要求提供或未提供完整的，视为未提供处理。</w:t>
      </w:r>
    </w:p>
    <w:p w14:paraId="00B34C0E">
      <w:pPr>
        <w:spacing w:line="360" w:lineRule="auto"/>
        <w:rPr>
          <w:rFonts w:hint="eastAsia" w:ascii="黑体" w:hAnsi="黑体" w:eastAsia="黑体" w:cs="黑体"/>
          <w:bCs/>
          <w:color w:val="auto"/>
          <w:szCs w:val="21"/>
          <w:highlight w:val="none"/>
          <w:lang w:val="en-GB"/>
        </w:rPr>
      </w:pPr>
    </w:p>
    <w:tbl>
      <w:tblPr>
        <w:tblStyle w:val="19"/>
        <w:tblW w:w="8522" w:type="dxa"/>
        <w:tblInd w:w="0" w:type="dxa"/>
        <w:tblLayout w:type="fixed"/>
        <w:tblCellMar>
          <w:top w:w="0" w:type="dxa"/>
          <w:left w:w="108" w:type="dxa"/>
          <w:bottom w:w="0" w:type="dxa"/>
          <w:right w:w="108" w:type="dxa"/>
        </w:tblCellMar>
      </w:tblPr>
      <w:tblGrid>
        <w:gridCol w:w="5987"/>
        <w:gridCol w:w="2535"/>
      </w:tblGrid>
      <w:tr w14:paraId="687336F3">
        <w:tblPrEx>
          <w:tblCellMar>
            <w:top w:w="0" w:type="dxa"/>
            <w:left w:w="108" w:type="dxa"/>
            <w:bottom w:w="0" w:type="dxa"/>
            <w:right w:w="108" w:type="dxa"/>
          </w:tblCellMar>
        </w:tblPrEx>
        <w:tc>
          <w:tcPr>
            <w:tcW w:w="5987" w:type="dxa"/>
            <w:shd w:val="clear" w:color="auto" w:fill="auto"/>
          </w:tcPr>
          <w:p w14:paraId="797977FE">
            <w:pPr>
              <w:overflowPunct w:val="0"/>
              <w:adjustRightInd w:val="0"/>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响应供应商名称（加盖公章）： </w:t>
            </w:r>
            <w:r>
              <w:rPr>
                <w:rFonts w:hint="eastAsia" w:ascii="黑体" w:hAnsi="黑体" w:eastAsia="黑体" w:cs="黑体"/>
                <w:color w:val="auto"/>
                <w:szCs w:val="21"/>
                <w:highlight w:val="none"/>
                <w:u w:val="single"/>
              </w:rPr>
              <w:t xml:space="preserve">                        </w:t>
            </w:r>
          </w:p>
        </w:tc>
        <w:tc>
          <w:tcPr>
            <w:tcW w:w="2535" w:type="dxa"/>
            <w:shd w:val="clear" w:color="auto" w:fill="auto"/>
          </w:tcPr>
          <w:p w14:paraId="43FD5358">
            <w:pPr>
              <w:overflowPunct w:val="0"/>
              <w:adjustRightInd w:val="0"/>
              <w:spacing w:line="360" w:lineRule="auto"/>
              <w:rPr>
                <w:rFonts w:hint="eastAsia" w:ascii="黑体" w:hAnsi="黑体" w:eastAsia="黑体" w:cs="黑体"/>
                <w:color w:val="auto"/>
                <w:szCs w:val="21"/>
                <w:highlight w:val="none"/>
              </w:rPr>
            </w:pPr>
          </w:p>
        </w:tc>
      </w:tr>
      <w:tr w14:paraId="5B9D9845">
        <w:tblPrEx>
          <w:tblCellMar>
            <w:top w:w="0" w:type="dxa"/>
            <w:left w:w="108" w:type="dxa"/>
            <w:bottom w:w="0" w:type="dxa"/>
            <w:right w:w="108" w:type="dxa"/>
          </w:tblCellMar>
        </w:tblPrEx>
        <w:tc>
          <w:tcPr>
            <w:tcW w:w="5987" w:type="dxa"/>
            <w:shd w:val="clear" w:color="auto" w:fill="auto"/>
          </w:tcPr>
          <w:p w14:paraId="270FFC45">
            <w:pPr>
              <w:overflowPunct w:val="0"/>
              <w:adjustRightInd w:val="0"/>
              <w:spacing w:line="360" w:lineRule="auto"/>
              <w:rPr>
                <w:rFonts w:hint="eastAsia" w:ascii="黑体" w:hAnsi="黑体" w:eastAsia="黑体" w:cs="黑体"/>
                <w:color w:val="auto"/>
                <w:szCs w:val="21"/>
                <w:highlight w:val="none"/>
                <w:u w:val="single"/>
              </w:rPr>
            </w:pPr>
            <w:r>
              <w:rPr>
                <w:rFonts w:hint="eastAsia" w:ascii="黑体" w:hAnsi="黑体" w:eastAsia="黑体" w:cs="黑体"/>
                <w:color w:val="auto"/>
                <w:szCs w:val="21"/>
                <w:highlight w:val="none"/>
              </w:rPr>
              <w:t xml:space="preserve">日期： </w:t>
            </w:r>
            <w:r>
              <w:rPr>
                <w:rFonts w:hint="eastAsia" w:ascii="黑体" w:hAnsi="黑体" w:eastAsia="黑体" w:cs="黑体"/>
                <w:color w:val="auto"/>
                <w:szCs w:val="21"/>
                <w:highlight w:val="none"/>
                <w:u w:val="single"/>
              </w:rPr>
              <w:t xml:space="preserve">            年           月            日</w:t>
            </w:r>
          </w:p>
        </w:tc>
        <w:tc>
          <w:tcPr>
            <w:tcW w:w="2535" w:type="dxa"/>
            <w:shd w:val="clear" w:color="auto" w:fill="auto"/>
          </w:tcPr>
          <w:p w14:paraId="2B4D9D70">
            <w:pPr>
              <w:overflowPunct w:val="0"/>
              <w:adjustRightInd w:val="0"/>
              <w:spacing w:line="360" w:lineRule="auto"/>
              <w:rPr>
                <w:rFonts w:hint="eastAsia" w:ascii="黑体" w:hAnsi="黑体" w:eastAsia="黑体" w:cs="黑体"/>
                <w:color w:val="auto"/>
                <w:szCs w:val="21"/>
                <w:highlight w:val="none"/>
                <w:u w:val="single"/>
              </w:rPr>
            </w:pPr>
          </w:p>
        </w:tc>
      </w:tr>
      <w:bookmarkEnd w:id="318"/>
    </w:tbl>
    <w:p w14:paraId="47E76CF4">
      <w:pPr>
        <w:pStyle w:val="31"/>
        <w:pageBreakBefore/>
        <w:numPr>
          <w:ilvl w:val="0"/>
          <w:numId w:val="62"/>
        </w:numPr>
        <w:spacing w:line="480" w:lineRule="auto"/>
        <w:ind w:firstLineChars="0"/>
        <w:rPr>
          <w:rStyle w:val="22"/>
          <w:rFonts w:hint="eastAsia" w:ascii="黑体" w:hAnsi="黑体" w:eastAsia="黑体" w:cs="黑体"/>
          <w:bCs w:val="0"/>
          <w:color w:val="auto"/>
          <w:spacing w:val="12"/>
          <w:highlight w:val="none"/>
        </w:rPr>
      </w:pPr>
      <w:bookmarkStart w:id="319" w:name="_Toc59044613"/>
      <w:r>
        <w:rPr>
          <w:rStyle w:val="22"/>
          <w:rFonts w:hint="eastAsia" w:ascii="黑体" w:hAnsi="黑体" w:eastAsia="黑体" w:cs="黑体"/>
          <w:bCs w:val="0"/>
          <w:color w:val="auto"/>
          <w:spacing w:val="12"/>
          <w:highlight w:val="none"/>
        </w:rPr>
        <w:t>相关保函格式</w:t>
      </w:r>
      <w:bookmarkEnd w:id="319"/>
    </w:p>
    <w:p w14:paraId="144B96F9">
      <w:pPr>
        <w:spacing w:before="312" w:beforeLines="100" w:after="312" w:afterLines="100" w:line="360" w:lineRule="auto"/>
        <w:jc w:val="center"/>
        <w:rPr>
          <w:rFonts w:hint="eastAsia" w:ascii="黑体" w:hAnsi="黑体" w:eastAsia="黑体" w:cs="黑体"/>
          <w:b/>
          <w:color w:val="auto"/>
          <w:spacing w:val="20"/>
          <w:sz w:val="30"/>
          <w:szCs w:val="30"/>
          <w:highlight w:val="none"/>
        </w:rPr>
      </w:pPr>
      <w:r>
        <w:rPr>
          <w:rFonts w:hint="eastAsia" w:ascii="黑体" w:hAnsi="黑体" w:eastAsia="黑体" w:cs="黑体"/>
          <w:b/>
          <w:color w:val="auto"/>
          <w:spacing w:val="20"/>
          <w:sz w:val="30"/>
          <w:szCs w:val="30"/>
          <w:highlight w:val="none"/>
        </w:rPr>
        <w:t>采购</w:t>
      </w:r>
      <w:r>
        <w:rPr>
          <w:rFonts w:hint="eastAsia" w:ascii="黑体" w:hAnsi="黑体" w:eastAsia="黑体" w:cs="黑体"/>
          <w:b/>
          <w:color w:val="auto"/>
          <w:spacing w:val="20"/>
          <w:sz w:val="30"/>
          <w:szCs w:val="30"/>
          <w:highlight w:val="none"/>
          <w:lang w:val="en-US" w:eastAsia="zh-CN"/>
        </w:rPr>
        <w:t>履约</w:t>
      </w:r>
      <w:r>
        <w:rPr>
          <w:rFonts w:hint="eastAsia" w:ascii="黑体" w:hAnsi="黑体" w:eastAsia="黑体" w:cs="黑体"/>
          <w:b/>
          <w:color w:val="auto"/>
          <w:spacing w:val="20"/>
          <w:sz w:val="30"/>
          <w:szCs w:val="30"/>
          <w:highlight w:val="none"/>
        </w:rPr>
        <w:t>担保函</w:t>
      </w:r>
    </w:p>
    <w:p w14:paraId="763259BE">
      <w:pPr>
        <w:spacing w:line="360" w:lineRule="auto"/>
        <w:ind w:firstLine="6261" w:firstLineChars="2970"/>
        <w:rPr>
          <w:rFonts w:hint="eastAsia" w:ascii="黑体" w:hAnsi="黑体" w:eastAsia="黑体" w:cs="黑体"/>
          <w:b/>
          <w:color w:val="auto"/>
          <w:szCs w:val="21"/>
          <w:highlight w:val="none"/>
        </w:rPr>
      </w:pPr>
      <w:r>
        <w:rPr>
          <w:rFonts w:hint="eastAsia" w:ascii="黑体" w:hAnsi="黑体" w:eastAsia="黑体" w:cs="黑体"/>
          <w:b/>
          <w:color w:val="auto"/>
          <w:szCs w:val="21"/>
          <w:highlight w:val="none"/>
        </w:rPr>
        <w:t>编号：</w:t>
      </w:r>
    </w:p>
    <w:p w14:paraId="04A9C1F1">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(采购人)：</w:t>
      </w:r>
    </w:p>
    <w:p w14:paraId="7F81EE06">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鉴于你方与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（以下简称供应商）于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 自签定编号为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的《</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采购合同》 (以下简称主合同)，且依据该合同的约定，供应商应在</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年</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月</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日前向你方交纳履约保证金，且可以履约担保函的形式交纳</w:t>
      </w:r>
      <w:r>
        <w:rPr>
          <w:rFonts w:hint="eastAsia" w:ascii="黑体" w:hAnsi="黑体" w:eastAsia="黑体" w:cs="黑体"/>
          <w:color w:val="auto"/>
          <w:szCs w:val="21"/>
          <w:highlight w:val="none"/>
          <w:lang w:val="en-US" w:eastAsia="zh-CN"/>
        </w:rPr>
        <w:t>履约</w:t>
      </w:r>
      <w:r>
        <w:rPr>
          <w:rFonts w:hint="eastAsia" w:ascii="黑体" w:hAnsi="黑体" w:eastAsia="黑体" w:cs="黑体"/>
          <w:color w:val="auto"/>
          <w:szCs w:val="21"/>
          <w:highlight w:val="none"/>
        </w:rPr>
        <w:t>保证金。应供应商的申请，我方以保证的方式向你方提供如下履约保证金担保：</w:t>
      </w:r>
    </w:p>
    <w:p w14:paraId="36955437">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一、保证责任的情形及保证金额</w:t>
      </w:r>
    </w:p>
    <w:p w14:paraId="19CC9B86">
      <w:pPr>
        <w:spacing w:line="360" w:lineRule="auto"/>
        <w:ind w:left="141" w:leftChars="67"/>
        <w:rPr>
          <w:rFonts w:hint="eastAsia" w:ascii="黑体" w:hAnsi="黑体" w:eastAsia="黑体" w:cs="黑体"/>
          <w:color w:val="auto"/>
          <w:szCs w:val="21"/>
          <w:highlight w:val="none"/>
        </w:rPr>
      </w:pPr>
      <w:r>
        <w:rPr>
          <w:rFonts w:hint="eastAsia" w:ascii="黑体" w:hAnsi="黑体" w:eastAsia="黑体" w:cs="黑体"/>
          <w:color w:val="auto"/>
          <w:szCs w:val="21"/>
          <w:highlight w:val="none"/>
        </w:rPr>
        <w:t>（一）在供应商出现下列情形之一时，我方承担保证责任：</w:t>
      </w:r>
    </w:p>
    <w:p w14:paraId="5977197A">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1.将中标项目转让给他人，或者在</w:t>
      </w:r>
      <w:r>
        <w:rPr>
          <w:rFonts w:hint="eastAsia" w:ascii="黑体" w:hAnsi="黑体" w:eastAsia="黑体" w:cs="黑体"/>
          <w:color w:val="auto"/>
          <w:szCs w:val="21"/>
          <w:highlight w:val="none"/>
          <w:lang w:eastAsia="zh-CN"/>
        </w:rPr>
        <w:t>响应文件</w:t>
      </w:r>
      <w:r>
        <w:rPr>
          <w:rFonts w:hint="eastAsia" w:ascii="黑体" w:hAnsi="黑体" w:eastAsia="黑体" w:cs="黑体"/>
          <w:color w:val="auto"/>
          <w:szCs w:val="21"/>
          <w:highlight w:val="none"/>
        </w:rPr>
        <w:t>中未说明，且未经采购招标机构人同意,将中标项目分包给他人的；</w:t>
      </w:r>
    </w:p>
    <w:p w14:paraId="49194732">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2.主合同约定的应当缴约履约保证金的情形</w:t>
      </w:r>
    </w:p>
    <w:p w14:paraId="69CD15E3">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(1)未按主合同约定的质量、数量和期限供应货物/提供服务/完成工程的；</w:t>
      </w:r>
    </w:p>
    <w:p w14:paraId="7BCDA5AA">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(2)</w:t>
      </w:r>
      <w:r>
        <w:rPr>
          <w:rFonts w:hint="eastAsia" w:ascii="黑体" w:hAnsi="黑体" w:eastAsia="黑体" w:cs="黑体"/>
          <w:color w:val="auto"/>
          <w:szCs w:val="21"/>
          <w:highlight w:val="none"/>
          <w:u w:val="single"/>
        </w:rPr>
        <w:t xml:space="preserve">                                                            。</w:t>
      </w:r>
    </w:p>
    <w:p w14:paraId="1B5962CC">
      <w:pPr>
        <w:spacing w:line="360" w:lineRule="auto"/>
        <w:ind w:left="283" w:leftChars="135"/>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(二)我方的保证范围是主合同约定的合同价款总额的</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%数额为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元(大写：</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)，币种为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（即主合同履约保证金金额）</w:t>
      </w:r>
    </w:p>
    <w:p w14:paraId="4F2FDF4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二、保证的方式及保证期间</w:t>
      </w:r>
    </w:p>
    <w:p w14:paraId="7A95CFAE">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我方保证的方式为：连带责任保证。</w:t>
      </w:r>
    </w:p>
    <w:p w14:paraId="604D3015">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我方保证的期间为：自本合同生效之日起至供应商按照主合同约定的供货/完工期限届满后</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日内。</w:t>
      </w:r>
    </w:p>
    <w:p w14:paraId="0C3A88CC">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如果供应商未按主合同约定向贵方供应货物/提供服务/完成工程的，由我方在保证金额内向你方支付上述款项。</w:t>
      </w:r>
    </w:p>
    <w:p w14:paraId="3C9EB48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三、承担保证责任的程序</w:t>
      </w:r>
    </w:p>
    <w:p w14:paraId="2F817923">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15110D7B">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如果你方与供应商因货物质量问题产生争议，你方还需同时提供</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部门出具的质量检测报告，或经诉讼(仲裁)程序裁决后的裁决书、调解书，本保证人即按照检测结果或裁决书、调解书决定是否承担保证责任。</w:t>
      </w:r>
    </w:p>
    <w:p w14:paraId="4A3EF263">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2.我方收到你方的书面索赔通知及相应证明材料，在</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工作日内进行核定后按照本保函的承诺承担保证责任。</w:t>
      </w:r>
    </w:p>
    <w:p w14:paraId="6BE59D79">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四、保证责任的终止</w:t>
      </w:r>
    </w:p>
    <w:p w14:paraId="62D71F2B">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71D3AA55">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2.我方按照本保函向你方履行了保证责任后，自我方向你方支付款项(支付款项从我方账户划出)之日起，保证责任即终止。</w:t>
      </w:r>
    </w:p>
    <w:p w14:paraId="603A666E">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3.按照法律法规的规定或出现应终止我方保证责任的其它情形的，我方在本保函项下的保证责任亦终止。</w:t>
      </w:r>
    </w:p>
    <w:p w14:paraId="3B786500">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4C77F14">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五,免责条款</w:t>
      </w:r>
    </w:p>
    <w:p w14:paraId="4462E015">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1.因你方违反主合同约定致使供应商不能履行义务的，我方不承担保证责任。</w:t>
      </w:r>
    </w:p>
    <w:p w14:paraId="203B59DA">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2.依照法律法规的规定或你方与供应商的另行约定,全部或者部分免除供应商应缴纳的保证金义务的，我方亦免除相应的保证责任。</w:t>
      </w:r>
    </w:p>
    <w:p w14:paraId="1FF2B9F8">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3.因不可抗力造成供应商不能履行供货义务的，我方不承担保证责任。</w:t>
      </w:r>
    </w:p>
    <w:p w14:paraId="3DD5144B">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六、争议的解决</w:t>
      </w:r>
    </w:p>
    <w:p w14:paraId="327859BD">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因本保函发生的纠纷,由你我双方协商解决，协商不成的，通过诉讼程序解决，诉讼管辖地法院为</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法院。</w:t>
      </w:r>
    </w:p>
    <w:p w14:paraId="4E176EFE">
      <w:pPr>
        <w:spacing w:line="360" w:lineRule="auto"/>
        <w:rPr>
          <w:rFonts w:hint="eastAsia" w:ascii="黑体" w:hAnsi="黑体" w:eastAsia="黑体" w:cs="黑体"/>
          <w:color w:val="auto"/>
          <w:szCs w:val="21"/>
          <w:highlight w:val="none"/>
        </w:rPr>
      </w:pPr>
      <w:r>
        <w:rPr>
          <w:rFonts w:hint="eastAsia" w:ascii="黑体" w:hAnsi="黑体" w:eastAsia="黑体" w:cs="黑体"/>
          <w:color w:val="auto"/>
          <w:szCs w:val="21"/>
          <w:highlight w:val="none"/>
        </w:rPr>
        <w:t>七、保函的生效</w:t>
      </w:r>
    </w:p>
    <w:p w14:paraId="7409DD1D">
      <w:pPr>
        <w:spacing w:line="360" w:lineRule="auto"/>
        <w:ind w:firstLine="420" w:firstLineChars="200"/>
        <w:rPr>
          <w:rFonts w:hint="eastAsia" w:ascii="黑体" w:hAnsi="黑体" w:eastAsia="黑体" w:cs="黑体"/>
          <w:color w:val="auto"/>
          <w:szCs w:val="21"/>
          <w:highlight w:val="none"/>
        </w:rPr>
      </w:pPr>
      <w:r>
        <w:rPr>
          <w:rFonts w:hint="eastAsia" w:ascii="黑体" w:hAnsi="黑体" w:eastAsia="黑体" w:cs="黑体"/>
          <w:color w:val="auto"/>
          <w:szCs w:val="21"/>
          <w:highlight w:val="none"/>
        </w:rPr>
        <w:t>本保函自我方加盖公章之日起生效。</w:t>
      </w:r>
    </w:p>
    <w:p w14:paraId="39748F61">
      <w:pPr>
        <w:spacing w:before="780" w:beforeLines="250" w:line="360" w:lineRule="auto"/>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保证人：(公章)</w:t>
      </w:r>
    </w:p>
    <w:p w14:paraId="1AD08413">
      <w:pPr>
        <w:spacing w:line="360" w:lineRule="auto"/>
        <w:ind w:firstLine="420" w:firstLineChars="200"/>
        <w:jc w:val="right"/>
        <w:rPr>
          <w:rFonts w:hint="eastAsia" w:ascii="黑体" w:hAnsi="黑体" w:eastAsia="黑体" w:cs="黑体"/>
          <w:color w:val="auto"/>
          <w:szCs w:val="21"/>
          <w:highlight w:val="none"/>
        </w:rPr>
      </w:pPr>
      <w:r>
        <w:rPr>
          <w:rFonts w:hint="eastAsia" w:ascii="黑体" w:hAnsi="黑体" w:eastAsia="黑体" w:cs="黑体"/>
          <w:color w:val="auto"/>
          <w:szCs w:val="21"/>
          <w:highlight w:val="none"/>
        </w:rPr>
        <w:t>年   月   日</w:t>
      </w:r>
    </w:p>
    <w:sectPr>
      <w:headerReference r:id="rId3" w:type="default"/>
      <w:footerReference r:id="rId4"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309392"/>
      <w:docPartObj>
        <w:docPartGallery w:val="autotext"/>
      </w:docPartObj>
    </w:sdtPr>
    <w:sdtContent>
      <w:p w14:paraId="15A21D74">
        <w:pPr>
          <w:pStyle w:val="12"/>
          <w:jc w:val="center"/>
        </w:pPr>
        <w:r>
          <w:fldChar w:fldCharType="begin"/>
        </w:r>
        <w:r>
          <w:instrText xml:space="preserve"> PAGE   \* MERGEFORMAT </w:instrText>
        </w:r>
        <w:r>
          <w:fldChar w:fldCharType="separate"/>
        </w:r>
        <w:r>
          <w:rPr>
            <w:lang w:val="zh-CN"/>
          </w:rPr>
          <w:t>23</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59499">
    <w:pPr>
      <w:pStyle w:val="13"/>
      <w:jc w:val="left"/>
      <w:rPr>
        <w:rFonts w:ascii="黑体" w:hAnsi="黑体" w:eastAsia="黑体"/>
        <w:color w:val="FF0000"/>
      </w:rPr>
    </w:pPr>
    <w:r>
      <w:rPr>
        <w:rFonts w:hint="eastAsia" w:ascii="黑体" w:hAnsi="黑体" w:eastAsia="黑体"/>
        <w:sz w:val="21"/>
        <w:szCs w:val="21"/>
      </w:rPr>
      <w:drawing>
        <wp:inline distT="0" distB="0" distL="0" distR="0">
          <wp:extent cx="835660" cy="253365"/>
          <wp:effectExtent l="19050" t="0" r="2323" b="0"/>
          <wp:docPr id="6" name="图片 1"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44330" cy="256246"/>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FB007C"/>
    <w:multiLevelType w:val="multilevel"/>
    <w:tmpl w:val="02FB007C"/>
    <w:lvl w:ilvl="0" w:tentative="0">
      <w:start w:val="1"/>
      <w:numFmt w:val="decimal"/>
      <w:lvlText w:val="22.%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CC66CB"/>
    <w:multiLevelType w:val="multilevel"/>
    <w:tmpl w:val="03CC66CB"/>
    <w:lvl w:ilvl="0" w:tentative="0">
      <w:start w:val="1"/>
      <w:numFmt w:val="decimal"/>
      <w:lvlText w:val="23.%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F923F8"/>
    <w:multiLevelType w:val="multilevel"/>
    <w:tmpl w:val="03F923F8"/>
    <w:lvl w:ilvl="0" w:tentative="0">
      <w:start w:val="1"/>
      <w:numFmt w:val="decimal"/>
      <w:lvlText w:val="24.%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5176C17"/>
    <w:multiLevelType w:val="multilevel"/>
    <w:tmpl w:val="05176C17"/>
    <w:lvl w:ilvl="0" w:tentative="0">
      <w:start w:val="1"/>
      <w:numFmt w:val="decimal"/>
      <w:lvlText w:val="17.%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665615"/>
    <w:multiLevelType w:val="multilevel"/>
    <w:tmpl w:val="05665615"/>
    <w:lvl w:ilvl="0" w:tentative="0">
      <w:start w:val="1"/>
      <w:numFmt w:val="decimal"/>
      <w:lvlText w:val="5.%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A1035E5"/>
    <w:multiLevelType w:val="multilevel"/>
    <w:tmpl w:val="0A1035E5"/>
    <w:lvl w:ilvl="0" w:tentative="0">
      <w:start w:val="1"/>
      <w:numFmt w:val="decimal"/>
      <w:lvlText w:val="21.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1983A2F"/>
    <w:multiLevelType w:val="multilevel"/>
    <w:tmpl w:val="11983A2F"/>
    <w:lvl w:ilvl="0" w:tentative="0">
      <w:start w:val="1"/>
      <w:numFmt w:val="decimal"/>
      <w:lvlText w:val="7.%1"/>
      <w:lvlJc w:val="left"/>
      <w:pPr>
        <w:ind w:left="704" w:hanging="420"/>
      </w:pPr>
      <w:rPr>
        <w:rFonts w:hint="eastAsia"/>
        <w:b w:val="0"/>
        <w:bCs/>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9">
    <w:nsid w:val="164C23E5"/>
    <w:multiLevelType w:val="multilevel"/>
    <w:tmpl w:val="164C23E5"/>
    <w:lvl w:ilvl="0" w:tentative="0">
      <w:start w:val="1"/>
      <w:numFmt w:val="decimal"/>
      <w:lvlText w:val="19.%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8180BD2"/>
    <w:multiLevelType w:val="multilevel"/>
    <w:tmpl w:val="18180BD2"/>
    <w:lvl w:ilvl="0" w:tentative="0">
      <w:start w:val="1"/>
      <w:numFmt w:val="decimal"/>
      <w:lvlText w:val="20.3.%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859491B"/>
    <w:multiLevelType w:val="multilevel"/>
    <w:tmpl w:val="1859491B"/>
    <w:lvl w:ilvl="0" w:tentative="0">
      <w:start w:val="1"/>
      <w:numFmt w:val="decimal"/>
      <w:lvlText w:val="24.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8A1029C"/>
    <w:multiLevelType w:val="multilevel"/>
    <w:tmpl w:val="18A1029C"/>
    <w:lvl w:ilvl="0" w:tentative="0">
      <w:start w:val="1"/>
      <w:numFmt w:val="decimal"/>
      <w:lvlText w:val="24.2.%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8CF6407"/>
    <w:multiLevelType w:val="multilevel"/>
    <w:tmpl w:val="18CF6407"/>
    <w:lvl w:ilvl="0" w:tentative="0">
      <w:start w:val="1"/>
      <w:numFmt w:val="decimal"/>
      <w:lvlText w:val="20.%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91D2B03"/>
    <w:multiLevelType w:val="multilevel"/>
    <w:tmpl w:val="191D2B03"/>
    <w:lvl w:ilvl="0" w:tentative="0">
      <w:start w:val="1"/>
      <w:numFmt w:val="decimal"/>
      <w:lvlText w:val="21.1.2.%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A7773C4"/>
    <w:multiLevelType w:val="multilevel"/>
    <w:tmpl w:val="1A7773C4"/>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C23253F"/>
    <w:multiLevelType w:val="multilevel"/>
    <w:tmpl w:val="1C23253F"/>
    <w:lvl w:ilvl="0" w:tentative="0">
      <w:start w:val="1"/>
      <w:numFmt w:val="decimal"/>
      <w:lvlText w:val="16.%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1D0C1E26"/>
    <w:multiLevelType w:val="multilevel"/>
    <w:tmpl w:val="1D0C1E26"/>
    <w:lvl w:ilvl="0" w:tentative="0">
      <w:start w:val="1"/>
      <w:numFmt w:val="decimal"/>
      <w:lvlText w:val="8.%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D101CEE"/>
    <w:multiLevelType w:val="multilevel"/>
    <w:tmpl w:val="1D101C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F925FFA"/>
    <w:multiLevelType w:val="multilevel"/>
    <w:tmpl w:val="1F925FFA"/>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222102E8"/>
    <w:multiLevelType w:val="multilevel"/>
    <w:tmpl w:val="222102E8"/>
    <w:lvl w:ilvl="0" w:tentative="0">
      <w:start w:val="1"/>
      <w:numFmt w:val="decimal"/>
      <w:lvlText w:val="6.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26A36AB9"/>
    <w:multiLevelType w:val="multilevel"/>
    <w:tmpl w:val="26A36AB9"/>
    <w:lvl w:ilvl="0" w:tentative="0">
      <w:start w:val="1"/>
      <w:numFmt w:val="decimal"/>
      <w:lvlText w:val="24.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276B6FB6"/>
    <w:multiLevelType w:val="multilevel"/>
    <w:tmpl w:val="276B6FB6"/>
    <w:lvl w:ilvl="0" w:tentative="0">
      <w:start w:val="1"/>
      <w:numFmt w:val="chineseCountingThousand"/>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278553F8"/>
    <w:multiLevelType w:val="multilevel"/>
    <w:tmpl w:val="278553F8"/>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AB173E6"/>
    <w:multiLevelType w:val="multilevel"/>
    <w:tmpl w:val="2AB173E6"/>
    <w:lvl w:ilvl="0" w:tentative="0">
      <w:start w:val="1"/>
      <w:numFmt w:val="decimal"/>
      <w:lvlText w:val="24.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308E7A44"/>
    <w:multiLevelType w:val="multilevel"/>
    <w:tmpl w:val="308E7A44"/>
    <w:lvl w:ilvl="0" w:tentative="0">
      <w:start w:val="1"/>
      <w:numFmt w:val="chineseCountingThousand"/>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34E6265E"/>
    <w:multiLevelType w:val="multilevel"/>
    <w:tmpl w:val="34E6265E"/>
    <w:lvl w:ilvl="0" w:tentative="0">
      <w:start w:val="1"/>
      <w:numFmt w:val="decimal"/>
      <w:lvlText w:val="15.4.%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35EA1EC4"/>
    <w:multiLevelType w:val="multilevel"/>
    <w:tmpl w:val="35EA1EC4"/>
    <w:lvl w:ilvl="0" w:tentative="0">
      <w:start w:val="1"/>
      <w:numFmt w:val="chineseCountingThousand"/>
      <w:lvlText w:val="%1 "/>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6D53A72"/>
    <w:multiLevelType w:val="multilevel"/>
    <w:tmpl w:val="36D53A72"/>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D6C1EDA"/>
    <w:multiLevelType w:val="multilevel"/>
    <w:tmpl w:val="3D6C1EDA"/>
    <w:lvl w:ilvl="0" w:tentative="0">
      <w:start w:val="1"/>
      <w:numFmt w:val="decimal"/>
      <w:lvlText w:val="6.%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40DE40B2"/>
    <w:multiLevelType w:val="multilevel"/>
    <w:tmpl w:val="40DE40B2"/>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43A60806"/>
    <w:multiLevelType w:val="multilevel"/>
    <w:tmpl w:val="43A60806"/>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43F72C6C"/>
    <w:multiLevelType w:val="multilevel"/>
    <w:tmpl w:val="43F72C6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44EF59BE"/>
    <w:multiLevelType w:val="multilevel"/>
    <w:tmpl w:val="44EF59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46DC1AEA"/>
    <w:multiLevelType w:val="multilevel"/>
    <w:tmpl w:val="46DC1AE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47536C22"/>
    <w:multiLevelType w:val="multilevel"/>
    <w:tmpl w:val="47536C22"/>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47A12EA2"/>
    <w:multiLevelType w:val="multilevel"/>
    <w:tmpl w:val="47A12EA2"/>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48233025"/>
    <w:multiLevelType w:val="multilevel"/>
    <w:tmpl w:val="48233025"/>
    <w:lvl w:ilvl="0" w:tentative="0">
      <w:start w:val="1"/>
      <w:numFmt w:val="decimal"/>
      <w:lvlText w:val="4.5.%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4B942131"/>
    <w:multiLevelType w:val="multilevel"/>
    <w:tmpl w:val="4B942131"/>
    <w:lvl w:ilvl="0" w:tentative="0">
      <w:start w:val="1"/>
      <w:numFmt w:val="decimal"/>
      <w:lvlText w:val="%1."/>
      <w:lvlJc w:val="left"/>
      <w:pPr>
        <w:ind w:left="420" w:hanging="420"/>
      </w:pPr>
      <w:rPr>
        <w:rFonts w:hint="default" w:ascii="黑体" w:hAnsi="黑体" w:eastAsia="黑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6">
    <w:nsid w:val="4FA24482"/>
    <w:multiLevelType w:val="multilevel"/>
    <w:tmpl w:val="4FA24482"/>
    <w:lvl w:ilvl="0" w:tentative="0">
      <w:start w:val="1"/>
      <w:numFmt w:val="decimal"/>
      <w:lvlText w:val="%1."/>
      <w:lvlJc w:val="left"/>
      <w:pPr>
        <w:ind w:left="420" w:hanging="420"/>
      </w:pPr>
      <w:rPr>
        <w:rFonts w:ascii="黑体" w:hAnsi="黑体" w:eastAsia="黑体"/>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506912C7"/>
    <w:multiLevelType w:val="multilevel"/>
    <w:tmpl w:val="506912C7"/>
    <w:lvl w:ilvl="0" w:tentative="0">
      <w:start w:val="1"/>
      <w:numFmt w:val="decimal"/>
      <w:lvlText w:val="%1、"/>
      <w:lvlJc w:val="left"/>
      <w:pPr>
        <w:ind w:left="420" w:hanging="420"/>
      </w:pPr>
      <w:rPr>
        <w:rFonts w:hint="eastAsia" w:ascii="黑体" w:hAnsi="黑体" w:eastAsia="黑体"/>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51F74565"/>
    <w:multiLevelType w:val="multilevel"/>
    <w:tmpl w:val="51F74565"/>
    <w:lvl w:ilvl="0" w:tentative="0">
      <w:start w:val="1"/>
      <w:numFmt w:val="decimal"/>
      <w:lvlText w:val="14.%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520E1C31"/>
    <w:multiLevelType w:val="multilevel"/>
    <w:tmpl w:val="520E1C31"/>
    <w:lvl w:ilvl="0" w:tentative="0">
      <w:start w:val="1"/>
      <w:numFmt w:val="decimal"/>
      <w:lvlText w:val="2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544409F9"/>
    <w:multiLevelType w:val="multilevel"/>
    <w:tmpl w:val="544409F9"/>
    <w:lvl w:ilvl="0" w:tentative="0">
      <w:start w:val="1"/>
      <w:numFmt w:val="decimal"/>
      <w:lvlText w:val="15.7.%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54D538A6"/>
    <w:multiLevelType w:val="multilevel"/>
    <w:tmpl w:val="54D538A6"/>
    <w:lvl w:ilvl="0" w:tentative="0">
      <w:start w:val="1"/>
      <w:numFmt w:val="decimal"/>
      <w:lvlText w:val="30.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55043338"/>
    <w:multiLevelType w:val="multilevel"/>
    <w:tmpl w:val="55043338"/>
    <w:lvl w:ilvl="0" w:tentative="0">
      <w:start w:val="1"/>
      <w:numFmt w:val="decimal"/>
      <w:lvlText w:val="15.%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56EC55E1"/>
    <w:multiLevelType w:val="multilevel"/>
    <w:tmpl w:val="56EC55E1"/>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595A2D4C"/>
    <w:multiLevelType w:val="multilevel"/>
    <w:tmpl w:val="595A2D4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BCB325D"/>
    <w:multiLevelType w:val="multilevel"/>
    <w:tmpl w:val="5BCB325D"/>
    <w:lvl w:ilvl="0" w:tentative="0">
      <w:start w:val="1"/>
      <w:numFmt w:val="decimal"/>
      <w:lvlText w:val="24.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5C3F1D93"/>
    <w:multiLevelType w:val="multilevel"/>
    <w:tmpl w:val="5C3F1D93"/>
    <w:lvl w:ilvl="0" w:tentative="0">
      <w:start w:val="1"/>
      <w:numFmt w:val="decimal"/>
      <w:lvlText w:val="9.%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E785C0B"/>
    <w:multiLevelType w:val="multilevel"/>
    <w:tmpl w:val="5E785C0B"/>
    <w:lvl w:ilvl="0" w:tentative="0">
      <w:start w:val="1"/>
      <w:numFmt w:val="decimal"/>
      <w:lvlText w:val="1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60B2553C"/>
    <w:multiLevelType w:val="multilevel"/>
    <w:tmpl w:val="60B2553C"/>
    <w:lvl w:ilvl="0" w:tentative="0">
      <w:start w:val="1"/>
      <w:numFmt w:val="decimal"/>
      <w:lvlText w:val="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66FF7F74"/>
    <w:multiLevelType w:val="multilevel"/>
    <w:tmpl w:val="66FF7F74"/>
    <w:lvl w:ilvl="0" w:tentative="0">
      <w:start w:val="1"/>
      <w:numFmt w:val="decimal"/>
      <w:lvlText w:val="4.%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6AF74230"/>
    <w:multiLevelType w:val="multilevel"/>
    <w:tmpl w:val="6AF7423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6">
    <w:nsid w:val="6CD321E0"/>
    <w:multiLevelType w:val="multilevel"/>
    <w:tmpl w:val="6CD321E0"/>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6D4B203D"/>
    <w:multiLevelType w:val="multilevel"/>
    <w:tmpl w:val="6D4B203D"/>
    <w:lvl w:ilvl="0" w:tentative="0">
      <w:start w:val="1"/>
      <w:numFmt w:val="decimal"/>
      <w:lvlText w:val="12.%1"/>
      <w:lvlJc w:val="left"/>
      <w:pPr>
        <w:ind w:left="420" w:hanging="420"/>
      </w:pPr>
      <w:rPr>
        <w:rFonts w:hint="eastAsia"/>
        <w:b w:val="0"/>
        <w:bCs/>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744E2ACA"/>
    <w:multiLevelType w:val="multilevel"/>
    <w:tmpl w:val="744E2ACA"/>
    <w:lvl w:ilvl="0" w:tentative="0">
      <w:start w:val="1"/>
      <w:numFmt w:val="decimal"/>
      <w:lvlText w:val="24.1.%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78F116B2"/>
    <w:multiLevelType w:val="multilevel"/>
    <w:tmpl w:val="78F116B2"/>
    <w:lvl w:ilvl="0" w:tentative="0">
      <w:start w:val="1"/>
      <w:numFmt w:val="decimal"/>
      <w:lvlText w:val="2.%1"/>
      <w:lvlJc w:val="left"/>
      <w:pPr>
        <w:ind w:left="420" w:hanging="420"/>
      </w:pPr>
      <w:rPr>
        <w:rFonts w:hint="eastAsia"/>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7DC36CBE"/>
    <w:multiLevelType w:val="multilevel"/>
    <w:tmpl w:val="7DC36CBE"/>
    <w:lvl w:ilvl="0" w:tentative="0">
      <w:start w:val="1"/>
      <w:numFmt w:val="decimal"/>
      <w:lvlText w:val="%1"/>
      <w:lvlJc w:val="left"/>
      <w:pPr>
        <w:ind w:left="420" w:hanging="420"/>
      </w:pPr>
      <w:rPr>
        <w:rFonts w:hint="eastAsia"/>
        <w:b/>
        <w:bCs/>
      </w:rPr>
    </w:lvl>
    <w:lvl w:ilvl="1" w:tentative="0">
      <w:start w:val="1"/>
      <w:numFmt w:val="decimal"/>
      <w:isLgl/>
      <w:lvlText w:val="%1.%2"/>
      <w:lvlJc w:val="left"/>
      <w:pPr>
        <w:ind w:left="540" w:hanging="54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num w:numId="1">
    <w:abstractNumId w:val="40"/>
  </w:num>
  <w:num w:numId="2">
    <w:abstractNumId w:val="31"/>
  </w:num>
  <w:num w:numId="3">
    <w:abstractNumId w:val="7"/>
  </w:num>
  <w:num w:numId="4">
    <w:abstractNumId w:val="29"/>
  </w:num>
  <w:num w:numId="5">
    <w:abstractNumId w:val="6"/>
  </w:num>
  <w:num w:numId="6">
    <w:abstractNumId w:val="70"/>
  </w:num>
  <w:num w:numId="7">
    <w:abstractNumId w:val="54"/>
  </w:num>
  <w:num w:numId="8">
    <w:abstractNumId w:val="59"/>
  </w:num>
  <w:num w:numId="9">
    <w:abstractNumId w:val="62"/>
  </w:num>
  <w:num w:numId="10">
    <w:abstractNumId w:val="64"/>
  </w:num>
  <w:num w:numId="11">
    <w:abstractNumId w:val="23"/>
  </w:num>
  <w:num w:numId="12">
    <w:abstractNumId w:val="28"/>
  </w:num>
  <w:num w:numId="13">
    <w:abstractNumId w:val="72"/>
  </w:num>
  <w:num w:numId="14">
    <w:abstractNumId w:val="58"/>
  </w:num>
  <w:num w:numId="15">
    <w:abstractNumId w:val="69"/>
  </w:num>
  <w:num w:numId="16">
    <w:abstractNumId w:val="60"/>
  </w:num>
  <w:num w:numId="17">
    <w:abstractNumId w:val="43"/>
  </w:num>
  <w:num w:numId="18">
    <w:abstractNumId w:val="4"/>
  </w:num>
  <w:num w:numId="19">
    <w:abstractNumId w:val="34"/>
  </w:num>
  <w:num w:numId="20">
    <w:abstractNumId w:val="21"/>
  </w:num>
  <w:num w:numId="21">
    <w:abstractNumId w:val="8"/>
  </w:num>
  <w:num w:numId="22">
    <w:abstractNumId w:val="18"/>
  </w:num>
  <w:num w:numId="23">
    <w:abstractNumId w:val="56"/>
  </w:num>
  <w:num w:numId="24">
    <w:abstractNumId w:val="57"/>
  </w:num>
  <w:num w:numId="25">
    <w:abstractNumId w:val="67"/>
  </w:num>
  <w:num w:numId="26">
    <w:abstractNumId w:val="48"/>
  </w:num>
  <w:num w:numId="27">
    <w:abstractNumId w:val="52"/>
  </w:num>
  <w:num w:numId="28">
    <w:abstractNumId w:val="30"/>
  </w:num>
  <w:num w:numId="29">
    <w:abstractNumId w:val="50"/>
  </w:num>
  <w:num w:numId="30">
    <w:abstractNumId w:val="16"/>
  </w:num>
  <w:num w:numId="31">
    <w:abstractNumId w:val="3"/>
  </w:num>
  <w:num w:numId="32">
    <w:abstractNumId w:val="9"/>
  </w:num>
  <w:num w:numId="33">
    <w:abstractNumId w:val="13"/>
  </w:num>
  <w:num w:numId="34">
    <w:abstractNumId w:val="10"/>
  </w:num>
  <w:num w:numId="35">
    <w:abstractNumId w:val="49"/>
  </w:num>
  <w:num w:numId="36">
    <w:abstractNumId w:val="5"/>
  </w:num>
  <w:num w:numId="37">
    <w:abstractNumId w:val="14"/>
  </w:num>
  <w:num w:numId="38">
    <w:abstractNumId w:val="0"/>
  </w:num>
  <w:num w:numId="39">
    <w:abstractNumId w:val="1"/>
  </w:num>
  <w:num w:numId="40">
    <w:abstractNumId w:val="2"/>
  </w:num>
  <w:num w:numId="41">
    <w:abstractNumId w:val="68"/>
  </w:num>
  <w:num w:numId="42">
    <w:abstractNumId w:val="65"/>
  </w:num>
  <w:num w:numId="43">
    <w:abstractNumId w:val="17"/>
  </w:num>
  <w:num w:numId="44">
    <w:abstractNumId w:val="63"/>
  </w:num>
  <w:num w:numId="45">
    <w:abstractNumId w:val="12"/>
  </w:num>
  <w:num w:numId="46">
    <w:abstractNumId w:val="25"/>
  </w:num>
  <w:num w:numId="47">
    <w:abstractNumId w:val="22"/>
  </w:num>
  <w:num w:numId="48">
    <w:abstractNumId w:val="11"/>
  </w:num>
  <w:num w:numId="49">
    <w:abstractNumId w:val="55"/>
  </w:num>
  <w:num w:numId="50">
    <w:abstractNumId w:val="20"/>
  </w:num>
  <w:num w:numId="51">
    <w:abstractNumId w:val="37"/>
  </w:num>
  <w:num w:numId="52">
    <w:abstractNumId w:val="36"/>
  </w:num>
  <w:num w:numId="53">
    <w:abstractNumId w:val="24"/>
  </w:num>
  <w:num w:numId="54">
    <w:abstractNumId w:val="32"/>
  </w:num>
  <w:num w:numId="55">
    <w:abstractNumId w:val="51"/>
  </w:num>
  <w:num w:numId="56">
    <w:abstractNumId w:val="66"/>
  </w:num>
  <w:num w:numId="57">
    <w:abstractNumId w:val="15"/>
  </w:num>
  <w:num w:numId="58">
    <w:abstractNumId w:val="42"/>
  </w:num>
  <w:num w:numId="59">
    <w:abstractNumId w:val="41"/>
  </w:num>
  <w:num w:numId="60">
    <w:abstractNumId w:val="19"/>
  </w:num>
  <w:num w:numId="61">
    <w:abstractNumId w:val="61"/>
  </w:num>
  <w:num w:numId="62">
    <w:abstractNumId w:val="45"/>
  </w:num>
  <w:num w:numId="63">
    <w:abstractNumId w:val="26"/>
  </w:num>
  <w:num w:numId="64">
    <w:abstractNumId w:val="47"/>
  </w:num>
  <w:num w:numId="65">
    <w:abstractNumId w:val="46"/>
  </w:num>
  <w:num w:numId="66">
    <w:abstractNumId w:val="33"/>
  </w:num>
  <w:num w:numId="67">
    <w:abstractNumId w:val="71"/>
  </w:num>
  <w:num w:numId="68">
    <w:abstractNumId w:val="53"/>
  </w:num>
  <w:num w:numId="69">
    <w:abstractNumId w:val="44"/>
  </w:num>
  <w:num w:numId="70">
    <w:abstractNumId w:val="38"/>
  </w:num>
  <w:num w:numId="71">
    <w:abstractNumId w:val="39"/>
  </w:num>
  <w:num w:numId="72">
    <w:abstractNumId w:val="35"/>
  </w:num>
  <w:num w:numId="7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4D6"/>
    <w:rsid w:val="00022113"/>
    <w:rsid w:val="000228A4"/>
    <w:rsid w:val="00023C80"/>
    <w:rsid w:val="00025BA3"/>
    <w:rsid w:val="00030FF0"/>
    <w:rsid w:val="00036691"/>
    <w:rsid w:val="0004118F"/>
    <w:rsid w:val="00050DA6"/>
    <w:rsid w:val="00056015"/>
    <w:rsid w:val="000569EA"/>
    <w:rsid w:val="000626B4"/>
    <w:rsid w:val="00074BF6"/>
    <w:rsid w:val="000A754D"/>
    <w:rsid w:val="000B1319"/>
    <w:rsid w:val="000B1847"/>
    <w:rsid w:val="000C41C4"/>
    <w:rsid w:val="000D523D"/>
    <w:rsid w:val="000F17A3"/>
    <w:rsid w:val="001155B2"/>
    <w:rsid w:val="00115E16"/>
    <w:rsid w:val="00116543"/>
    <w:rsid w:val="00146300"/>
    <w:rsid w:val="001472FA"/>
    <w:rsid w:val="00157D66"/>
    <w:rsid w:val="00172DC0"/>
    <w:rsid w:val="00174B0D"/>
    <w:rsid w:val="001771F9"/>
    <w:rsid w:val="00186F1F"/>
    <w:rsid w:val="001A22D0"/>
    <w:rsid w:val="001C156A"/>
    <w:rsid w:val="001C6E4D"/>
    <w:rsid w:val="001D0F1A"/>
    <w:rsid w:val="001D169D"/>
    <w:rsid w:val="001D1C29"/>
    <w:rsid w:val="001E5E70"/>
    <w:rsid w:val="001E7392"/>
    <w:rsid w:val="001E7D83"/>
    <w:rsid w:val="001F3483"/>
    <w:rsid w:val="001F46C9"/>
    <w:rsid w:val="00200A15"/>
    <w:rsid w:val="002031F2"/>
    <w:rsid w:val="00203F47"/>
    <w:rsid w:val="0021345C"/>
    <w:rsid w:val="00237D89"/>
    <w:rsid w:val="002470D4"/>
    <w:rsid w:val="00257B02"/>
    <w:rsid w:val="00257CD5"/>
    <w:rsid w:val="00260539"/>
    <w:rsid w:val="0028199F"/>
    <w:rsid w:val="002A64B6"/>
    <w:rsid w:val="002B5242"/>
    <w:rsid w:val="002C1CC4"/>
    <w:rsid w:val="002C4449"/>
    <w:rsid w:val="002D3022"/>
    <w:rsid w:val="002D448B"/>
    <w:rsid w:val="002E06AA"/>
    <w:rsid w:val="002E72E4"/>
    <w:rsid w:val="002F7FE6"/>
    <w:rsid w:val="00302748"/>
    <w:rsid w:val="00310304"/>
    <w:rsid w:val="00322A48"/>
    <w:rsid w:val="00323F25"/>
    <w:rsid w:val="0033115B"/>
    <w:rsid w:val="00351451"/>
    <w:rsid w:val="00355775"/>
    <w:rsid w:val="00356B0A"/>
    <w:rsid w:val="00394ED7"/>
    <w:rsid w:val="00396573"/>
    <w:rsid w:val="003A1323"/>
    <w:rsid w:val="003A196D"/>
    <w:rsid w:val="003A48E2"/>
    <w:rsid w:val="003A7C5C"/>
    <w:rsid w:val="003B06B2"/>
    <w:rsid w:val="003C62C9"/>
    <w:rsid w:val="003C7102"/>
    <w:rsid w:val="003F1465"/>
    <w:rsid w:val="003F29C0"/>
    <w:rsid w:val="003F64ED"/>
    <w:rsid w:val="00416FC4"/>
    <w:rsid w:val="00427033"/>
    <w:rsid w:val="00453321"/>
    <w:rsid w:val="004600B2"/>
    <w:rsid w:val="0046093B"/>
    <w:rsid w:val="0046100A"/>
    <w:rsid w:val="00472868"/>
    <w:rsid w:val="00481E6A"/>
    <w:rsid w:val="0049086F"/>
    <w:rsid w:val="00493A68"/>
    <w:rsid w:val="004C1F42"/>
    <w:rsid w:val="004E4CAC"/>
    <w:rsid w:val="004F0FC1"/>
    <w:rsid w:val="004F5F38"/>
    <w:rsid w:val="005051C0"/>
    <w:rsid w:val="00507511"/>
    <w:rsid w:val="00516D61"/>
    <w:rsid w:val="00541EAF"/>
    <w:rsid w:val="00543D06"/>
    <w:rsid w:val="00550124"/>
    <w:rsid w:val="0055351F"/>
    <w:rsid w:val="00560436"/>
    <w:rsid w:val="00565111"/>
    <w:rsid w:val="0057254C"/>
    <w:rsid w:val="00593557"/>
    <w:rsid w:val="005A05B7"/>
    <w:rsid w:val="005A409D"/>
    <w:rsid w:val="005D091E"/>
    <w:rsid w:val="005E1B63"/>
    <w:rsid w:val="005E34C0"/>
    <w:rsid w:val="005F5FFE"/>
    <w:rsid w:val="005F6BAF"/>
    <w:rsid w:val="006124E4"/>
    <w:rsid w:val="00614FDD"/>
    <w:rsid w:val="00624819"/>
    <w:rsid w:val="00632066"/>
    <w:rsid w:val="00636461"/>
    <w:rsid w:val="00640468"/>
    <w:rsid w:val="006411C4"/>
    <w:rsid w:val="0064590D"/>
    <w:rsid w:val="0066437E"/>
    <w:rsid w:val="00665F37"/>
    <w:rsid w:val="00677896"/>
    <w:rsid w:val="00693D3D"/>
    <w:rsid w:val="006B7B5C"/>
    <w:rsid w:val="006C2937"/>
    <w:rsid w:val="006C7847"/>
    <w:rsid w:val="006D20D5"/>
    <w:rsid w:val="006D6924"/>
    <w:rsid w:val="006E61EA"/>
    <w:rsid w:val="006F2D43"/>
    <w:rsid w:val="006F4DA1"/>
    <w:rsid w:val="00712772"/>
    <w:rsid w:val="00716032"/>
    <w:rsid w:val="00725F14"/>
    <w:rsid w:val="00736204"/>
    <w:rsid w:val="007366D4"/>
    <w:rsid w:val="0074059A"/>
    <w:rsid w:val="00742CDD"/>
    <w:rsid w:val="00745059"/>
    <w:rsid w:val="00746053"/>
    <w:rsid w:val="007475EB"/>
    <w:rsid w:val="00755115"/>
    <w:rsid w:val="007605C1"/>
    <w:rsid w:val="007605E0"/>
    <w:rsid w:val="00760CA3"/>
    <w:rsid w:val="00764B91"/>
    <w:rsid w:val="00766663"/>
    <w:rsid w:val="00776574"/>
    <w:rsid w:val="00780EFE"/>
    <w:rsid w:val="007867F0"/>
    <w:rsid w:val="00794213"/>
    <w:rsid w:val="007A0116"/>
    <w:rsid w:val="007A3FA8"/>
    <w:rsid w:val="007A5D5B"/>
    <w:rsid w:val="007B7204"/>
    <w:rsid w:val="007B7FFE"/>
    <w:rsid w:val="007C1784"/>
    <w:rsid w:val="007C1C73"/>
    <w:rsid w:val="007C4AF4"/>
    <w:rsid w:val="007E5D87"/>
    <w:rsid w:val="007E71BE"/>
    <w:rsid w:val="007F36E1"/>
    <w:rsid w:val="007F51C3"/>
    <w:rsid w:val="008018AD"/>
    <w:rsid w:val="0080349D"/>
    <w:rsid w:val="00817C3D"/>
    <w:rsid w:val="008358B4"/>
    <w:rsid w:val="008414D6"/>
    <w:rsid w:val="00856EC5"/>
    <w:rsid w:val="0086021A"/>
    <w:rsid w:val="00860C1C"/>
    <w:rsid w:val="00866128"/>
    <w:rsid w:val="00875066"/>
    <w:rsid w:val="0089696D"/>
    <w:rsid w:val="008A0FDC"/>
    <w:rsid w:val="008B2FA9"/>
    <w:rsid w:val="008D1372"/>
    <w:rsid w:val="008E6F82"/>
    <w:rsid w:val="008E7360"/>
    <w:rsid w:val="008F5825"/>
    <w:rsid w:val="008F77CD"/>
    <w:rsid w:val="008F78DF"/>
    <w:rsid w:val="008F7BD9"/>
    <w:rsid w:val="008F7FD5"/>
    <w:rsid w:val="00903119"/>
    <w:rsid w:val="00923872"/>
    <w:rsid w:val="00931F43"/>
    <w:rsid w:val="00932100"/>
    <w:rsid w:val="00933986"/>
    <w:rsid w:val="00934488"/>
    <w:rsid w:val="00935DB6"/>
    <w:rsid w:val="00937FD8"/>
    <w:rsid w:val="009420CB"/>
    <w:rsid w:val="009765CB"/>
    <w:rsid w:val="00977C17"/>
    <w:rsid w:val="00982DBC"/>
    <w:rsid w:val="009876BD"/>
    <w:rsid w:val="0099741F"/>
    <w:rsid w:val="009A01D6"/>
    <w:rsid w:val="009F1C98"/>
    <w:rsid w:val="009F24A6"/>
    <w:rsid w:val="009F3869"/>
    <w:rsid w:val="009F3B4E"/>
    <w:rsid w:val="00A0077F"/>
    <w:rsid w:val="00A049A2"/>
    <w:rsid w:val="00A04DD6"/>
    <w:rsid w:val="00A05446"/>
    <w:rsid w:val="00A12772"/>
    <w:rsid w:val="00A20949"/>
    <w:rsid w:val="00A31AC8"/>
    <w:rsid w:val="00A46C5D"/>
    <w:rsid w:val="00A503F8"/>
    <w:rsid w:val="00A558D8"/>
    <w:rsid w:val="00A5621B"/>
    <w:rsid w:val="00A579D1"/>
    <w:rsid w:val="00A65511"/>
    <w:rsid w:val="00A71E4F"/>
    <w:rsid w:val="00A72480"/>
    <w:rsid w:val="00A750CD"/>
    <w:rsid w:val="00A752A5"/>
    <w:rsid w:val="00A775C6"/>
    <w:rsid w:val="00A97091"/>
    <w:rsid w:val="00A9723B"/>
    <w:rsid w:val="00AC60ED"/>
    <w:rsid w:val="00AD61C2"/>
    <w:rsid w:val="00AE7246"/>
    <w:rsid w:val="00B056AF"/>
    <w:rsid w:val="00B07820"/>
    <w:rsid w:val="00B238A4"/>
    <w:rsid w:val="00B275AC"/>
    <w:rsid w:val="00B537D0"/>
    <w:rsid w:val="00B54E90"/>
    <w:rsid w:val="00B672ED"/>
    <w:rsid w:val="00B76BCC"/>
    <w:rsid w:val="00B85821"/>
    <w:rsid w:val="00B86048"/>
    <w:rsid w:val="00B86745"/>
    <w:rsid w:val="00BB5B16"/>
    <w:rsid w:val="00BD05FD"/>
    <w:rsid w:val="00BE1535"/>
    <w:rsid w:val="00BE659A"/>
    <w:rsid w:val="00C00309"/>
    <w:rsid w:val="00C04E26"/>
    <w:rsid w:val="00C104C3"/>
    <w:rsid w:val="00C16C2E"/>
    <w:rsid w:val="00C21E6D"/>
    <w:rsid w:val="00C26505"/>
    <w:rsid w:val="00C612EB"/>
    <w:rsid w:val="00C77A69"/>
    <w:rsid w:val="00CA47FA"/>
    <w:rsid w:val="00CB4E0F"/>
    <w:rsid w:val="00CD121F"/>
    <w:rsid w:val="00D003CF"/>
    <w:rsid w:val="00D13632"/>
    <w:rsid w:val="00D349D1"/>
    <w:rsid w:val="00D54AF3"/>
    <w:rsid w:val="00D75B5D"/>
    <w:rsid w:val="00D84E41"/>
    <w:rsid w:val="00D9784A"/>
    <w:rsid w:val="00DA3C3B"/>
    <w:rsid w:val="00DE72C6"/>
    <w:rsid w:val="00DF2701"/>
    <w:rsid w:val="00DF36A1"/>
    <w:rsid w:val="00DF4E9B"/>
    <w:rsid w:val="00E04A31"/>
    <w:rsid w:val="00E04F5C"/>
    <w:rsid w:val="00E0795B"/>
    <w:rsid w:val="00E25C7E"/>
    <w:rsid w:val="00E55DFF"/>
    <w:rsid w:val="00E62E69"/>
    <w:rsid w:val="00E80416"/>
    <w:rsid w:val="00E926A6"/>
    <w:rsid w:val="00E93813"/>
    <w:rsid w:val="00E94ADC"/>
    <w:rsid w:val="00E94D7A"/>
    <w:rsid w:val="00EA191C"/>
    <w:rsid w:val="00EA20A3"/>
    <w:rsid w:val="00EA3D35"/>
    <w:rsid w:val="00EA5A8F"/>
    <w:rsid w:val="00EB1754"/>
    <w:rsid w:val="00EB4561"/>
    <w:rsid w:val="00EB57CB"/>
    <w:rsid w:val="00EB7989"/>
    <w:rsid w:val="00EC6FE8"/>
    <w:rsid w:val="00ED2290"/>
    <w:rsid w:val="00ED59C5"/>
    <w:rsid w:val="00ED659B"/>
    <w:rsid w:val="00EE23D5"/>
    <w:rsid w:val="00EE5628"/>
    <w:rsid w:val="00EF05A0"/>
    <w:rsid w:val="00F03A23"/>
    <w:rsid w:val="00F05948"/>
    <w:rsid w:val="00F06918"/>
    <w:rsid w:val="00F1107D"/>
    <w:rsid w:val="00F21274"/>
    <w:rsid w:val="00F701DF"/>
    <w:rsid w:val="00F7162B"/>
    <w:rsid w:val="00F758C9"/>
    <w:rsid w:val="00F81F78"/>
    <w:rsid w:val="00F827BE"/>
    <w:rsid w:val="00F920BC"/>
    <w:rsid w:val="00FA1637"/>
    <w:rsid w:val="00FA773D"/>
    <w:rsid w:val="00FB055D"/>
    <w:rsid w:val="00FC67E2"/>
    <w:rsid w:val="00FE697B"/>
    <w:rsid w:val="00FF02A2"/>
    <w:rsid w:val="061D6983"/>
    <w:rsid w:val="07645003"/>
    <w:rsid w:val="0C6D23D2"/>
    <w:rsid w:val="0DD24882"/>
    <w:rsid w:val="0E742FFF"/>
    <w:rsid w:val="0EAC50D3"/>
    <w:rsid w:val="10C83D1A"/>
    <w:rsid w:val="128819B3"/>
    <w:rsid w:val="17FE5D44"/>
    <w:rsid w:val="23CB7951"/>
    <w:rsid w:val="34EB7E50"/>
    <w:rsid w:val="36E20641"/>
    <w:rsid w:val="3A344924"/>
    <w:rsid w:val="3F99347E"/>
    <w:rsid w:val="40CF0629"/>
    <w:rsid w:val="44F52628"/>
    <w:rsid w:val="48710218"/>
    <w:rsid w:val="4F4D1891"/>
    <w:rsid w:val="51D65C93"/>
    <w:rsid w:val="5391176E"/>
    <w:rsid w:val="55DC16EE"/>
    <w:rsid w:val="59847927"/>
    <w:rsid w:val="5F1A4D0E"/>
    <w:rsid w:val="640832C9"/>
    <w:rsid w:val="667C5EAD"/>
    <w:rsid w:val="677F63C1"/>
    <w:rsid w:val="6C627437"/>
    <w:rsid w:val="7004359C"/>
    <w:rsid w:val="75E6507D"/>
    <w:rsid w:val="B77FF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7"/>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5"/>
    <w:semiHidden/>
    <w:unhideWhenUsed/>
    <w:qFormat/>
    <w:uiPriority w:val="9"/>
    <w:pPr>
      <w:keepNext/>
      <w:keepLines/>
      <w:spacing w:before="280" w:after="290" w:line="376" w:lineRule="auto"/>
      <w:outlineLvl w:val="3"/>
    </w:pPr>
    <w:rPr>
      <w:rFonts w:ascii="Cambria" w:hAnsi="Cambria" w:eastAsia="宋体" w:cs="Times New Roman"/>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unhideWhenUsed/>
    <w:qFormat/>
    <w:uiPriority w:val="0"/>
    <w:pPr>
      <w:jc w:val="left"/>
    </w:pPr>
  </w:style>
  <w:style w:type="paragraph" w:styleId="7">
    <w:name w:val="Body Text"/>
    <w:basedOn w:val="1"/>
    <w:link w:val="53"/>
    <w:qFormat/>
    <w:uiPriority w:val="0"/>
    <w:pPr>
      <w:spacing w:after="120"/>
    </w:pPr>
    <w:rPr>
      <w:rFonts w:ascii="Times New Roman" w:hAnsi="Times New Roman" w:eastAsia="宋体" w:cs="Times New Roman"/>
      <w:kern w:val="0"/>
      <w:sz w:val="20"/>
      <w:szCs w:val="24"/>
    </w:rPr>
  </w:style>
  <w:style w:type="paragraph" w:styleId="8">
    <w:name w:val="toc 3"/>
    <w:basedOn w:val="1"/>
    <w:next w:val="1"/>
    <w:autoRedefine/>
    <w:unhideWhenUsed/>
    <w:qFormat/>
    <w:uiPriority w:val="39"/>
    <w:pPr>
      <w:tabs>
        <w:tab w:val="left" w:pos="0"/>
        <w:tab w:val="left" w:pos="567"/>
        <w:tab w:val="right" w:leader="dot" w:pos="8296"/>
      </w:tabs>
      <w:spacing w:line="360" w:lineRule="auto"/>
      <w:ind w:left="-279" w:leftChars="-133" w:firstLine="279"/>
    </w:pPr>
  </w:style>
  <w:style w:type="paragraph" w:styleId="9">
    <w:name w:val="Plain Text"/>
    <w:basedOn w:val="1"/>
    <w:link w:val="49"/>
    <w:qFormat/>
    <w:uiPriority w:val="0"/>
    <w:rPr>
      <w:rFonts w:ascii="宋体" w:hAnsi="Courier New" w:eastAsia="宋体"/>
      <w:szCs w:val="24"/>
    </w:rPr>
  </w:style>
  <w:style w:type="paragraph" w:styleId="10">
    <w:name w:val="Date"/>
    <w:basedOn w:val="1"/>
    <w:next w:val="1"/>
    <w:link w:val="46"/>
    <w:unhideWhenUsed/>
    <w:qFormat/>
    <w:uiPriority w:val="0"/>
    <w:pPr>
      <w:ind w:left="100" w:leftChars="2500"/>
    </w:pPr>
    <w:rPr>
      <w:rFonts w:ascii="Calibri" w:hAnsi="Calibri" w:eastAsia="宋体" w:cs="Times New Roman"/>
    </w:rPr>
  </w:style>
  <w:style w:type="paragraph" w:styleId="11">
    <w:name w:val="Balloon Text"/>
    <w:basedOn w:val="1"/>
    <w:link w:val="28"/>
    <w:semiHidden/>
    <w:unhideWhenUsed/>
    <w:qFormat/>
    <w:uiPriority w:val="99"/>
    <w:rPr>
      <w:sz w:val="18"/>
      <w:szCs w:val="18"/>
    </w:rPr>
  </w:style>
  <w:style w:type="paragraph" w:styleId="12">
    <w:name w:val="footer"/>
    <w:basedOn w:val="1"/>
    <w:link w:val="30"/>
    <w:unhideWhenUsed/>
    <w:qFormat/>
    <w:uiPriority w:val="99"/>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qFormat/>
    <w:uiPriority w:val="39"/>
    <w:pPr>
      <w:tabs>
        <w:tab w:val="left" w:pos="0"/>
        <w:tab w:val="right" w:leader="dot" w:pos="8296"/>
      </w:tabs>
      <w:spacing w:line="400" w:lineRule="exact"/>
    </w:pPr>
  </w:style>
  <w:style w:type="paragraph" w:styleId="15">
    <w:name w:val="toc 2"/>
    <w:basedOn w:val="1"/>
    <w:next w:val="1"/>
    <w:autoRedefine/>
    <w:unhideWhenUsed/>
    <w:qFormat/>
    <w:uiPriority w:val="39"/>
    <w:pPr>
      <w:tabs>
        <w:tab w:val="left" w:pos="426"/>
        <w:tab w:val="right" w:leader="dot" w:pos="8296"/>
      </w:tabs>
    </w:pPr>
  </w:style>
  <w:style w:type="paragraph" w:styleId="1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6"/>
    <w:next w:val="6"/>
    <w:link w:val="35"/>
    <w:semiHidden/>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22"/>
    <w:rPr>
      <w:b/>
      <w:bCs/>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Emphasis"/>
    <w:qFormat/>
    <w:uiPriority w:val="20"/>
    <w:rPr>
      <w:i/>
      <w:iCs/>
    </w:rPr>
  </w:style>
  <w:style w:type="character" w:styleId="25">
    <w:name w:val="Hyperlink"/>
    <w:basedOn w:val="21"/>
    <w:unhideWhenUsed/>
    <w:qFormat/>
    <w:uiPriority w:val="99"/>
    <w:rPr>
      <w:color w:val="0000FF" w:themeColor="hyperlink"/>
      <w:u w:val="single"/>
      <w14:textFill>
        <w14:solidFill>
          <w14:schemeClr w14:val="hlink"/>
        </w14:solidFill>
      </w14:textFill>
    </w:rPr>
  </w:style>
  <w:style w:type="character" w:styleId="26">
    <w:name w:val="annotation reference"/>
    <w:basedOn w:val="21"/>
    <w:unhideWhenUsed/>
    <w:qFormat/>
    <w:uiPriority w:val="0"/>
    <w:rPr>
      <w:sz w:val="21"/>
      <w:szCs w:val="21"/>
    </w:rPr>
  </w:style>
  <w:style w:type="character" w:customStyle="1" w:styleId="27">
    <w:name w:val="批注文字 字符"/>
    <w:basedOn w:val="21"/>
    <w:link w:val="6"/>
    <w:qFormat/>
    <w:uiPriority w:val="0"/>
  </w:style>
  <w:style w:type="character" w:customStyle="1" w:styleId="28">
    <w:name w:val="批注框文本 字符"/>
    <w:basedOn w:val="21"/>
    <w:link w:val="11"/>
    <w:semiHidden/>
    <w:qFormat/>
    <w:uiPriority w:val="99"/>
    <w:rPr>
      <w:sz w:val="18"/>
      <w:szCs w:val="18"/>
    </w:rPr>
  </w:style>
  <w:style w:type="character" w:customStyle="1" w:styleId="29">
    <w:name w:val="页眉 字符"/>
    <w:basedOn w:val="21"/>
    <w:link w:val="13"/>
    <w:qFormat/>
    <w:uiPriority w:val="99"/>
    <w:rPr>
      <w:sz w:val="18"/>
      <w:szCs w:val="18"/>
    </w:rPr>
  </w:style>
  <w:style w:type="character" w:customStyle="1" w:styleId="30">
    <w:name w:val="页脚 字符"/>
    <w:basedOn w:val="21"/>
    <w:link w:val="12"/>
    <w:qFormat/>
    <w:uiPriority w:val="99"/>
    <w:rPr>
      <w:sz w:val="18"/>
      <w:szCs w:val="18"/>
    </w:rPr>
  </w:style>
  <w:style w:type="paragraph" w:styleId="31">
    <w:name w:val="List Paragraph"/>
    <w:basedOn w:val="1"/>
    <w:link w:val="32"/>
    <w:qFormat/>
    <w:uiPriority w:val="34"/>
    <w:pPr>
      <w:ind w:firstLine="420" w:firstLineChars="200"/>
    </w:pPr>
  </w:style>
  <w:style w:type="character" w:customStyle="1" w:styleId="32">
    <w:name w:val="列表段落 字符2"/>
    <w:link w:val="31"/>
    <w:qFormat/>
    <w:uiPriority w:val="0"/>
  </w:style>
  <w:style w:type="paragraph" w:customStyle="1" w:styleId="33">
    <w:name w:val="列出段落1"/>
    <w:basedOn w:val="1"/>
    <w:qFormat/>
    <w:uiPriority w:val="34"/>
    <w:pPr>
      <w:ind w:firstLine="420" w:firstLineChars="200"/>
    </w:pPr>
    <w:rPr>
      <w:rFonts w:ascii="Calibri" w:hAnsi="Calibri" w:eastAsia="宋体" w:cs="黑体"/>
    </w:rPr>
  </w:style>
  <w:style w:type="character" w:customStyle="1" w:styleId="34">
    <w:name w:val="标题 1 字符"/>
    <w:basedOn w:val="21"/>
    <w:link w:val="2"/>
    <w:qFormat/>
    <w:uiPriority w:val="9"/>
    <w:rPr>
      <w:b/>
      <w:bCs/>
      <w:kern w:val="44"/>
      <w:sz w:val="44"/>
      <w:szCs w:val="44"/>
    </w:rPr>
  </w:style>
  <w:style w:type="character" w:customStyle="1" w:styleId="35">
    <w:name w:val="批注主题 字符"/>
    <w:basedOn w:val="27"/>
    <w:link w:val="18"/>
    <w:semiHidden/>
    <w:qFormat/>
    <w:uiPriority w:val="99"/>
    <w:rPr>
      <w:b/>
      <w:bCs/>
    </w:rPr>
  </w:style>
  <w:style w:type="character" w:customStyle="1" w:styleId="36">
    <w:name w:val="标题 2 字符"/>
    <w:basedOn w:val="21"/>
    <w:link w:val="3"/>
    <w:qFormat/>
    <w:uiPriority w:val="9"/>
    <w:rPr>
      <w:rFonts w:asciiTheme="majorHAnsi" w:hAnsiTheme="majorHAnsi" w:eastAsiaTheme="majorEastAsia" w:cstheme="majorBidi"/>
      <w:b/>
      <w:bCs/>
      <w:sz w:val="32"/>
      <w:szCs w:val="32"/>
    </w:rPr>
  </w:style>
  <w:style w:type="character" w:customStyle="1" w:styleId="37">
    <w:name w:val="标题 3 字符"/>
    <w:basedOn w:val="21"/>
    <w:link w:val="4"/>
    <w:semiHidden/>
    <w:qFormat/>
    <w:uiPriority w:val="9"/>
    <w:rPr>
      <w:b/>
      <w:bCs/>
      <w:sz w:val="32"/>
      <w:szCs w:val="32"/>
    </w:rPr>
  </w:style>
  <w:style w:type="character" w:customStyle="1" w:styleId="38">
    <w:name w:val="正文缩进2格 Char"/>
    <w:link w:val="39"/>
    <w:qFormat/>
    <w:uiPriority w:val="0"/>
    <w:rPr>
      <w:rFonts w:ascii="仿宋_GB2312" w:hAnsi="宋体" w:eastAsia="仿宋_GB2312"/>
      <w:sz w:val="31"/>
      <w:szCs w:val="28"/>
    </w:rPr>
  </w:style>
  <w:style w:type="paragraph" w:customStyle="1" w:styleId="39">
    <w:name w:val="正文缩进2格"/>
    <w:basedOn w:val="1"/>
    <w:link w:val="38"/>
    <w:qFormat/>
    <w:uiPriority w:val="0"/>
    <w:pPr>
      <w:spacing w:line="600" w:lineRule="exact"/>
      <w:ind w:firstLine="639" w:firstLineChars="206"/>
    </w:pPr>
    <w:rPr>
      <w:rFonts w:ascii="仿宋_GB2312" w:hAnsi="宋体" w:eastAsia="仿宋_GB2312"/>
      <w:sz w:val="31"/>
      <w:szCs w:val="28"/>
    </w:rPr>
  </w:style>
  <w:style w:type="character" w:customStyle="1" w:styleId="40">
    <w:name w:val="标题 3.1 Char"/>
    <w:link w:val="41"/>
    <w:qFormat/>
    <w:locked/>
    <w:uiPriority w:val="0"/>
    <w:rPr>
      <w:rFonts w:ascii="仿宋_GB2312" w:hAnsi="仿宋" w:eastAsia="仿宋_GB2312"/>
      <w:b/>
      <w:bCs/>
      <w:sz w:val="28"/>
      <w:szCs w:val="24"/>
    </w:rPr>
  </w:style>
  <w:style w:type="paragraph" w:customStyle="1" w:styleId="41">
    <w:name w:val="标题 3.1"/>
    <w:basedOn w:val="4"/>
    <w:link w:val="40"/>
    <w:qFormat/>
    <w:uiPriority w:val="0"/>
    <w:pPr>
      <w:spacing w:line="600" w:lineRule="exact"/>
      <w:jc w:val="left"/>
    </w:pPr>
    <w:rPr>
      <w:rFonts w:ascii="仿宋_GB2312" w:hAnsi="仿宋" w:eastAsia="仿宋_GB2312"/>
      <w:sz w:val="28"/>
      <w:szCs w:val="24"/>
    </w:rPr>
  </w:style>
  <w:style w:type="paragraph" w:customStyle="1" w:styleId="42">
    <w:name w:val="正文缩进4格"/>
    <w:basedOn w:val="39"/>
    <w:qFormat/>
    <w:uiPriority w:val="0"/>
    <w:pPr>
      <w:ind w:firstLine="560" w:firstLineChars="200"/>
    </w:pPr>
    <w:rPr>
      <w:rFonts w:hAnsi="Times New Roman"/>
      <w:color w:val="FF0000"/>
      <w:sz w:val="28"/>
    </w:rPr>
  </w:style>
  <w:style w:type="paragraph" w:customStyle="1" w:styleId="43">
    <w:name w:val="正文缩进6格"/>
    <w:basedOn w:val="42"/>
    <w:qFormat/>
    <w:uiPriority w:val="0"/>
    <w:pPr>
      <w:ind w:left="1758" w:leftChars="854"/>
    </w:pPr>
  </w:style>
  <w:style w:type="paragraph" w:customStyle="1" w:styleId="44">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5">
    <w:name w:val="标题 4 字符"/>
    <w:basedOn w:val="21"/>
    <w:link w:val="5"/>
    <w:semiHidden/>
    <w:qFormat/>
    <w:uiPriority w:val="9"/>
    <w:rPr>
      <w:rFonts w:ascii="Cambria" w:hAnsi="Cambria" w:eastAsia="宋体" w:cs="Times New Roman"/>
      <w:b/>
      <w:bCs/>
      <w:kern w:val="0"/>
      <w:sz w:val="28"/>
      <w:szCs w:val="28"/>
    </w:rPr>
  </w:style>
  <w:style w:type="character" w:customStyle="1" w:styleId="46">
    <w:name w:val="日期 字符"/>
    <w:basedOn w:val="21"/>
    <w:link w:val="10"/>
    <w:qFormat/>
    <w:uiPriority w:val="0"/>
    <w:rPr>
      <w:rFonts w:ascii="Calibri" w:hAnsi="Calibri" w:eastAsia="宋体" w:cs="Times New Roman"/>
    </w:rPr>
  </w:style>
  <w:style w:type="character" w:customStyle="1" w:styleId="47">
    <w:name w:val="p141"/>
    <w:qFormat/>
    <w:uiPriority w:val="0"/>
    <w:rPr>
      <w:sz w:val="21"/>
      <w:szCs w:val="21"/>
    </w:rPr>
  </w:style>
  <w:style w:type="paragraph" w:customStyle="1" w:styleId="48">
    <w:name w:val="已访问的超链接1"/>
    <w:unhideWhenUsed/>
    <w:qFormat/>
    <w:uiPriority w:val="99"/>
    <w:pPr>
      <w:widowControl w:val="0"/>
      <w:jc w:val="both"/>
    </w:pPr>
    <w:rPr>
      <w:rFonts w:asciiTheme="minorHAnsi" w:hAnsiTheme="minorHAnsi" w:eastAsiaTheme="minorEastAsia" w:cstheme="minorBidi"/>
      <w:kern w:val="2"/>
      <w:sz w:val="21"/>
      <w:szCs w:val="22"/>
      <w:lang w:val="en-US" w:eastAsia="zh-CN" w:bidi="ar-SA"/>
    </w:rPr>
  </w:style>
  <w:style w:type="character" w:customStyle="1" w:styleId="49">
    <w:name w:val="纯文本 字符"/>
    <w:link w:val="9"/>
    <w:qFormat/>
    <w:uiPriority w:val="0"/>
    <w:rPr>
      <w:rFonts w:ascii="宋体" w:hAnsi="Courier New" w:eastAsia="宋体"/>
      <w:szCs w:val="24"/>
    </w:rPr>
  </w:style>
  <w:style w:type="character" w:customStyle="1" w:styleId="50">
    <w:name w:val="纯文本 Char"/>
    <w:basedOn w:val="21"/>
    <w:semiHidden/>
    <w:qFormat/>
    <w:uiPriority w:val="99"/>
    <w:rPr>
      <w:rFonts w:ascii="宋体" w:hAnsi="Courier New" w:eastAsia="宋体" w:cs="Courier New"/>
      <w:szCs w:val="21"/>
    </w:rPr>
  </w:style>
  <w:style w:type="character" w:customStyle="1" w:styleId="51">
    <w:name w:val="正文缩进2格 Char Char"/>
    <w:qFormat/>
    <w:uiPriority w:val="0"/>
    <w:rPr>
      <w:rFonts w:ascii="仿宋_GB2312" w:hAnsi="宋体" w:eastAsia="仿宋_GB2312"/>
      <w:kern w:val="2"/>
      <w:sz w:val="31"/>
      <w:szCs w:val="28"/>
      <w:lang w:val="en-US" w:eastAsia="zh-CN" w:bidi="ar-SA"/>
    </w:rPr>
  </w:style>
  <w:style w:type="character" w:customStyle="1" w:styleId="52">
    <w:name w:val="正文文本 Char"/>
    <w:basedOn w:val="21"/>
    <w:semiHidden/>
    <w:qFormat/>
    <w:uiPriority w:val="99"/>
  </w:style>
  <w:style w:type="character" w:customStyle="1" w:styleId="53">
    <w:name w:val="正文文本 字符"/>
    <w:link w:val="7"/>
    <w:qFormat/>
    <w:uiPriority w:val="0"/>
    <w:rPr>
      <w:rFonts w:ascii="Times New Roman" w:hAnsi="Times New Roman" w:eastAsia="宋体" w:cs="Times New Roman"/>
      <w:kern w:val="0"/>
      <w:sz w:val="20"/>
      <w:szCs w:val="24"/>
    </w:rPr>
  </w:style>
  <w:style w:type="paragraph" w:customStyle="1" w:styleId="54">
    <w:name w:val="保留正文"/>
    <w:basedOn w:val="7"/>
    <w:qFormat/>
    <w:uiPriority w:val="0"/>
    <w:pPr>
      <w:keepNext/>
      <w:spacing w:after="160"/>
    </w:pPr>
  </w:style>
  <w:style w:type="paragraph" w:customStyle="1" w:styleId="55">
    <w:name w:val="Revision"/>
    <w:hidden/>
    <w:semiHidden/>
    <w:qFormat/>
    <w:uiPriority w:val="99"/>
    <w:rPr>
      <w:rFonts w:ascii="Calibri" w:hAnsi="Calibri" w:eastAsia="宋体" w:cs="Times New Roman"/>
      <w:kern w:val="2"/>
      <w:sz w:val="21"/>
      <w:szCs w:val="22"/>
      <w:lang w:val="en-US" w:eastAsia="zh-CN" w:bidi="ar-SA"/>
    </w:rPr>
  </w:style>
  <w:style w:type="paragraph" w:customStyle="1" w:styleId="56">
    <w:name w:val="_Style 202"/>
    <w:basedOn w:val="1"/>
    <w:qFormat/>
    <w:uiPriority w:val="0"/>
    <w:pPr>
      <w:tabs>
        <w:tab w:val="left" w:pos="360"/>
      </w:tabs>
    </w:pPr>
    <w:rPr>
      <w:rFonts w:ascii="Times New Roman" w:hAnsi="Times New Roman" w:eastAsia="宋体" w:cs="Times New Roman"/>
      <w:szCs w:val="24"/>
    </w:rPr>
  </w:style>
  <w:style w:type="paragraph" w:customStyle="1" w:styleId="57">
    <w:name w:val="样式4"/>
    <w:basedOn w:val="1"/>
    <w:qFormat/>
    <w:uiPriority w:val="0"/>
    <w:pPr>
      <w:tabs>
        <w:tab w:val="left" w:pos="2328"/>
      </w:tabs>
      <w:ind w:left="2328" w:hanging="708"/>
    </w:pPr>
    <w:rPr>
      <w:rFonts w:ascii="Times New Roman" w:hAnsi="Times New Roman" w:eastAsia="宋体" w:cs="Times New Roman"/>
      <w:szCs w:val="24"/>
    </w:rPr>
  </w:style>
  <w:style w:type="character" w:customStyle="1" w:styleId="58">
    <w:name w:val="15"/>
    <w:qFormat/>
    <w:uiPriority w:val="0"/>
    <w:rPr>
      <w:rFonts w:hint="default" w:ascii="Calibri" w:hAnsi="Calibri" w:cs="Calibri"/>
      <w:color w:val="0000FF"/>
      <w:u w:val="single"/>
    </w:rPr>
  </w:style>
  <w:style w:type="paragraph" w:customStyle="1" w:styleId="59">
    <w:name w:val="xl44"/>
    <w:basedOn w:val="1"/>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eastAsia="宋体" w:cs="Times New Roman"/>
      <w:kern w:val="0"/>
      <w:sz w:val="24"/>
      <w:szCs w:val="24"/>
    </w:rPr>
  </w:style>
  <w:style w:type="paragraph" w:customStyle="1" w:styleId="60">
    <w:name w:val="列表段落1"/>
    <w:basedOn w:val="1"/>
    <w:link w:val="62"/>
    <w:qFormat/>
    <w:uiPriority w:val="34"/>
    <w:pPr>
      <w:ind w:firstLine="420" w:firstLineChars="200"/>
    </w:pPr>
    <w:rPr>
      <w:rFonts w:ascii="Calibri" w:hAnsi="Calibri" w:eastAsia="宋体" w:cs="Times New Roman"/>
    </w:rPr>
  </w:style>
  <w:style w:type="character" w:customStyle="1" w:styleId="61">
    <w:name w:val="列表段落 字符1"/>
    <w:qFormat/>
    <w:uiPriority w:val="0"/>
    <w:rPr>
      <w:rFonts w:ascii="Calibri" w:hAnsi="Calibri"/>
      <w:kern w:val="2"/>
      <w:sz w:val="21"/>
      <w:szCs w:val="22"/>
    </w:rPr>
  </w:style>
  <w:style w:type="character" w:customStyle="1" w:styleId="62">
    <w:name w:val="列表段落 字符"/>
    <w:link w:val="60"/>
    <w:qFormat/>
    <w:uiPriority w:val="34"/>
    <w:rPr>
      <w:rFonts w:ascii="Calibri" w:hAnsi="Calibri" w:eastAsia="宋体" w:cs="Times New Roman"/>
    </w:rPr>
  </w:style>
  <w:style w:type="character" w:customStyle="1" w:styleId="63">
    <w:name w:val="批注文字 Char1"/>
    <w:basedOn w:val="21"/>
    <w:qFormat/>
    <w:uiPriority w:val="0"/>
    <w:rPr>
      <w:rFonts w:ascii="Calibri" w:hAnsi="Calibri" w:eastAsia="宋体" w:cs="Times New Roman"/>
    </w:rPr>
  </w:style>
  <w:style w:type="table" w:customStyle="1" w:styleId="64">
    <w:name w:val="网格型1"/>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SelectedStyle="\APA.XSL"/>
</file>

<file path=customXml/itemProps1.xml><?xml version="1.0" encoding="utf-8"?>
<ds:datastoreItem xmlns:ds="http://schemas.openxmlformats.org/officeDocument/2006/customXml" ds:itemID="{2D1BA93A-164C-40CC-A4F5-08A582B0309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70</Pages>
  <Words>6414</Words>
  <Characters>7022</Characters>
  <Lines>253</Lines>
  <Paragraphs>71</Paragraphs>
  <TotalTime>4</TotalTime>
  <ScaleCrop>false</ScaleCrop>
  <LinksUpToDate>false</LinksUpToDate>
  <CharactersWithSpaces>7395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2022-11-18T17:30:00Z</dcterms:created>
  <dc:creator>admin</dc:creator>
  <cp:lastModifiedBy>Tough Zzzz</cp:lastModifiedBy>
  <cp:lastPrinted>2019-08-01T14:35:00Z</cp:lastPrinted>
  <dcterms:modified xsi:type="dcterms:W3CDTF">2025-11-18T01:57:00Z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eyJoZGlkIjoiYTQ1ZjFkZmI1YzQxODdhNDliMzQzYjVkODFiYTIxNWEiLCJ1c2VySWQiOiIzOTA4NDUzMjcifQ==</vt:lpwstr>
  </property>
  <property fmtid="{D5CDD505-2E9C-101B-9397-08002B2CF9AE}" pid="3" name="KSOProductBuildVer">
    <vt:lpwstr>2052-12.1.0.23542</vt:lpwstr>
  </property>
  <property fmtid="{D5CDD505-2E9C-101B-9397-08002B2CF9AE}" pid="4" name="ICV">
    <vt:lpwstr>FEBF3D2439528A8DB2690D695B2956F8_43</vt:lpwstr>
  </property>
</Properties>
</file>